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9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399"/>
        <w:spacing w:after="0" w:line="199"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381"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79" w:lineRule="exact"/>
        <w:rPr>
          <w:sz w:val="24"/>
          <w:szCs w:val="24"/>
          <w:color w:val="auto"/>
        </w:rPr>
      </w:pPr>
    </w:p>
    <w:p>
      <w:pPr>
        <w:ind w:left="400"/>
        <w:spacing w:after="0"/>
        <w:rPr>
          <w:sz w:val="20"/>
          <w:szCs w:val="20"/>
          <w:color w:val="auto"/>
        </w:rPr>
      </w:pPr>
      <w:r>
        <w:rPr>
          <w:rFonts w:ascii="Georgia" w:cs="Georgia" w:eastAsia="Georgia" w:hAnsi="Georgia"/>
          <w:sz w:val="21"/>
          <w:szCs w:val="21"/>
          <w:b w:val="1"/>
          <w:bCs w:val="1"/>
          <w:color w:val="auto"/>
        </w:rPr>
        <w:t>REPORT OF FOREIGN PRIVATE ISSUER PURSUANT TO RULE 13a-16 OR 15d-16 UNDER THE</w:t>
      </w:r>
    </w:p>
    <w:p>
      <w:pPr>
        <w:jc w:val="center"/>
        <w:ind w:right="-399"/>
        <w:spacing w:after="0" w:line="234" w:lineRule="auto"/>
        <w:rPr>
          <w:sz w:val="20"/>
          <w:szCs w:val="20"/>
          <w:color w:val="auto"/>
        </w:rPr>
      </w:pPr>
      <w:r>
        <w:rPr>
          <w:rFonts w:ascii="Georgia" w:cs="Georgia" w:eastAsia="Georgia" w:hAnsi="Georgia"/>
          <w:sz w:val="22"/>
          <w:szCs w:val="22"/>
          <w:b w:val="1"/>
          <w:bCs w:val="1"/>
          <w:color w:val="auto"/>
        </w:rPr>
        <w:t>SECURITIES EXCHANGE ACT OF 1934</w:t>
      </w:r>
    </w:p>
    <w:p>
      <w:pPr>
        <w:spacing w:after="0" w:line="17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For the month of November 2022</w:t>
      </w:r>
    </w:p>
    <w:p>
      <w:pPr>
        <w:spacing w:after="0" w:line="18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Commission File Number 001-40974</w:t>
      </w:r>
    </w:p>
    <w:p>
      <w:pPr>
        <w:spacing w:after="0" w:line="15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GLOBALFOUNDRIES Inc.</w:t>
      </w:r>
    </w:p>
    <w:p>
      <w:pPr>
        <w:spacing w:after="0" w:line="18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400 Stonebreak Road Extension</w:t>
      </w:r>
    </w:p>
    <w:p>
      <w:pPr>
        <w:ind w:left="4960"/>
        <w:spacing w:after="0" w:line="210" w:lineRule="auto"/>
        <w:rPr>
          <w:sz w:val="20"/>
          <w:szCs w:val="20"/>
          <w:color w:val="auto"/>
        </w:rPr>
      </w:pPr>
      <w:r>
        <w:rPr>
          <w:rFonts w:ascii="Times New Roman" w:cs="Times New Roman" w:eastAsia="Times New Roman" w:hAnsi="Times New Roman"/>
          <w:sz w:val="18"/>
          <w:szCs w:val="18"/>
          <w:b w:val="1"/>
          <w:bCs w:val="1"/>
          <w:color w:val="auto"/>
        </w:rPr>
        <w:t>Malta, NY 12020</w:t>
      </w:r>
    </w:p>
    <w:p>
      <w:pPr>
        <w:ind w:left="41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5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42" w:lineRule="exact"/>
        <w:rPr>
          <w:sz w:val="24"/>
          <w:szCs w:val="24"/>
          <w:color w:val="auto"/>
        </w:rPr>
      </w:pPr>
    </w:p>
    <w:p>
      <w:pPr>
        <w:ind w:left="44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17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0" w:lineRule="exact"/>
        <w:rPr>
          <w:sz w:val="24"/>
          <w:szCs w:val="24"/>
          <w:color w:val="auto"/>
        </w:rPr>
      </w:pPr>
    </w:p>
    <w:p>
      <w:pPr>
        <w:spacing w:after="0" w:line="21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Attached hereto is the following exhibit.</w:t>
      </w:r>
    </w:p>
    <w:p>
      <w:pPr>
        <w:spacing w:after="0" w:line="52" w:lineRule="exact"/>
        <w:rPr>
          <w:sz w:val="24"/>
          <w:szCs w:val="24"/>
          <w:color w:val="auto"/>
        </w:rPr>
      </w:pPr>
    </w:p>
    <w:p>
      <w:pPr>
        <w:spacing w:after="0"/>
        <w:tabs>
          <w:tab w:leader="none" w:pos="1980" w:val="left"/>
        </w:tabs>
        <w:rPr>
          <w:sz w:val="20"/>
          <w:szCs w:val="20"/>
          <w:color w:val="auto"/>
        </w:rPr>
      </w:pPr>
      <w:r>
        <w:rPr>
          <w:rFonts w:ascii="Times New Roman" w:cs="Times New Roman" w:eastAsia="Times New Roman" w:hAnsi="Times New Roman"/>
          <w:sz w:val="35"/>
          <w:szCs w:val="35"/>
          <w:u w:val="single" w:color="auto"/>
          <w:color w:val="0000FF"/>
          <w:vertAlign w:val="subscript"/>
        </w:rPr>
        <w:t>Exhibit 99.1</w:t>
      </w:r>
      <w:r>
        <w:rPr>
          <w:sz w:val="20"/>
          <w:szCs w:val="20"/>
          <w:color w:val="auto"/>
        </w:rPr>
        <w:tab/>
      </w:r>
      <w:r>
        <w:rPr>
          <w:rFonts w:ascii="Times New Roman" w:cs="Times New Roman" w:eastAsia="Times New Roman" w:hAnsi="Times New Roman"/>
          <w:sz w:val="17"/>
          <w:szCs w:val="17"/>
          <w:u w:val="single" w:color="auto"/>
          <w:color w:val="0000FF"/>
        </w:rPr>
        <w:t>Press release issued by Registrant on November 8, 2022.</w:t>
      </w:r>
    </w:p>
    <w:p>
      <w:pPr>
        <w:sectPr>
          <w:pgSz w:w="11900" w:h="16838" w:orient="portrait"/>
          <w:cols w:equalWidth="0" w:num="1">
            <w:col w:w="10820"/>
          </w:cols>
          <w:pgMar w:left="340" w:top="1440" w:right="739" w:bottom="1440" w:gutter="0" w:footer="0" w:header="0"/>
        </w:sectPr>
      </w:pPr>
    </w:p>
    <w:bookmarkStart w:id="1" w:name="page2"/>
    <w:bookmarkEnd w:id="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74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GLOBALFOUNDRIES Inc.</w:t>
            </w:r>
          </w:p>
        </w:tc>
      </w:tr>
      <w:tr>
        <w:trPr>
          <w:trHeight w:val="56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Caulfield</w:t>
            </w:r>
          </w:p>
        </w:tc>
      </w:tr>
      <w:tr>
        <w:trPr>
          <w:trHeight w:val="41"/>
        </w:trPr>
        <w:tc>
          <w:tcPr>
            <w:tcW w:w="3380" w:type="dxa"/>
            <w:vAlign w:val="bottom"/>
          </w:tcPr>
          <w:p>
            <w:pPr>
              <w:spacing w:after="0"/>
              <w:rPr>
                <w:sz w:val="3"/>
                <w:szCs w:val="3"/>
                <w:color w:val="auto"/>
              </w:rPr>
            </w:pPr>
          </w:p>
        </w:tc>
        <w:tc>
          <w:tcPr>
            <w:tcW w:w="2740" w:type="dxa"/>
            <w:vAlign w:val="bottom"/>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7"/>
        </w:trPr>
        <w:tc>
          <w:tcPr>
            <w:tcW w:w="3380" w:type="dxa"/>
            <w:vAlign w:val="bottom"/>
          </w:tcPr>
          <w:p>
            <w:pPr>
              <w:spacing w:after="0"/>
              <w:rPr>
                <w:sz w:val="20"/>
                <w:szCs w:val="20"/>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Thomas Caulfield</w:t>
            </w:r>
          </w:p>
        </w:tc>
      </w:tr>
      <w:tr>
        <w:trPr>
          <w:trHeight w:val="283"/>
        </w:trPr>
        <w:tc>
          <w:tcPr>
            <w:tcW w:w="3380" w:type="dxa"/>
            <w:vAlign w:val="bottom"/>
          </w:tcPr>
          <w:p>
            <w:pPr>
              <w:spacing w:after="0"/>
              <w:rPr>
                <w:sz w:val="24"/>
                <w:szCs w:val="24"/>
                <w:color w:val="auto"/>
              </w:rPr>
            </w:pPr>
          </w:p>
        </w:tc>
        <w:tc>
          <w:tcPr>
            <w:tcW w:w="2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357755" cy="454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577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GlobalFoundries Reports Third Quarter 2022 Financial Results</w:t>
      </w:r>
    </w:p>
    <w:p>
      <w:pPr>
        <w:jc w:val="center"/>
        <w:ind w:right="-19"/>
        <w:spacing w:after="0"/>
        <w:rPr>
          <w:sz w:val="20"/>
          <w:szCs w:val="20"/>
          <w:color w:val="auto"/>
        </w:rPr>
      </w:pPr>
      <w:r>
        <w:rPr>
          <w:rFonts w:ascii="Arial" w:cs="Arial" w:eastAsia="Arial" w:hAnsi="Arial"/>
          <w:sz w:val="22"/>
          <w:szCs w:val="22"/>
          <w:i w:val="1"/>
          <w:iCs w:val="1"/>
          <w:color w:val="auto"/>
        </w:rPr>
        <w:t>Record Revenue, Gross Profit, and Net Income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56" w:lineRule="auto"/>
        <w:rPr>
          <w:sz w:val="20"/>
          <w:szCs w:val="20"/>
          <w:color w:val="auto"/>
        </w:rPr>
      </w:pPr>
      <w:r>
        <w:rPr>
          <w:rFonts w:ascii="Arial" w:cs="Arial" w:eastAsia="Arial" w:hAnsi="Arial"/>
          <w:sz w:val="16"/>
          <w:szCs w:val="16"/>
          <w:b w:val="1"/>
          <w:bCs w:val="1"/>
          <w:color w:val="auto"/>
        </w:rPr>
        <w:t>Malta, New York</w:t>
      </w:r>
      <w:r>
        <w:rPr>
          <w:rFonts w:ascii="Arial" w:cs="Arial" w:eastAsia="Arial" w:hAnsi="Arial"/>
          <w:sz w:val="16"/>
          <w:szCs w:val="16"/>
          <w:color w:val="auto"/>
        </w:rPr>
        <w:t>, November 8, 2022 - GlobalFoundries Inc. (GF) (Nasdaq: GFS) today announced preliminary financial results for the third quarter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Third Quarter Financial Highlights</w:t>
      </w:r>
    </w:p>
    <w:p>
      <w:pPr>
        <w:spacing w:after="0" w:line="59"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revenue of $2.1 billion, up 22% year-over-year.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gross margin of 29.4% and adjusted gross margin of 29.9%.</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operating margin of 17.2% and adjusted operating margin of 18.8%.</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net income of $336 million and adjusted net income of $368 million.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adjusted EBITDA of $793 million.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Cash, cash equivalents and marketable securities of $3.5 billion.</w:t>
      </w:r>
    </w:p>
    <w:p>
      <w:pPr>
        <w:spacing w:after="0" w:line="316" w:lineRule="exact"/>
        <w:rPr>
          <w:sz w:val="20"/>
          <w:szCs w:val="20"/>
          <w:color w:val="auto"/>
        </w:rPr>
      </w:pPr>
    </w:p>
    <w:p>
      <w:pPr>
        <w:jc w:val="both"/>
        <w:spacing w:after="0" w:line="336" w:lineRule="auto"/>
        <w:rPr>
          <w:sz w:val="20"/>
          <w:szCs w:val="20"/>
          <w:color w:val="auto"/>
        </w:rPr>
      </w:pPr>
      <w:r>
        <w:rPr>
          <w:rFonts w:ascii="Arial" w:cs="Arial" w:eastAsia="Arial" w:hAnsi="Arial"/>
          <w:sz w:val="16"/>
          <w:szCs w:val="16"/>
          <w:color w:val="auto"/>
        </w:rPr>
        <w:t>“In the third quarter, the GF team continued to execute on its commitments to customers and shareholders despite ongoing macroeconomic and geopolitical challenges,” said CEO Dr. Thomas Caulfield. "300mm-equivalent wafer shipments of 637 thousand was a record for GF, an increase of 5% year-over-year. Our revenue grew 22% year-over-year, and we delivered record gross, operating, and net profits, making significant progress towards our long-term financial model. We remain on track to deliver a strong year of growth and profitability.”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Business Highlights:</w:t>
      </w:r>
    </w:p>
    <w:p>
      <w:pPr>
        <w:spacing w:after="0" w:line="262" w:lineRule="exact"/>
        <w:rPr>
          <w:sz w:val="20"/>
          <w:szCs w:val="20"/>
          <w:color w:val="auto"/>
        </w:rPr>
      </w:pPr>
    </w:p>
    <w:p>
      <w:pPr>
        <w:ind w:left="660" w:right="120" w:hanging="328"/>
        <w:spacing w:after="0" w:line="286"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GF qualified a proprietary automotive eNVM product for one of the largest automotive MCU suppliers in the industry. The qualification allows GF to ship this product from both the Dresden and Singapore facilities, establishing a high-volume, secure supply chain for the automotive industry.</w:t>
      </w:r>
    </w:p>
    <w:p>
      <w:pPr>
        <w:spacing w:after="0" w:line="182" w:lineRule="exact"/>
        <w:rPr>
          <w:rFonts w:ascii="Arial" w:cs="Arial" w:eastAsia="Arial" w:hAnsi="Arial"/>
          <w:sz w:val="16"/>
          <w:szCs w:val="16"/>
          <w:color w:val="auto"/>
        </w:rPr>
      </w:pPr>
    </w:p>
    <w:p>
      <w:pPr>
        <w:ind w:left="660" w:hanging="328"/>
        <w:spacing w:after="0" w:line="321"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U.S. Senator Patrick Leahy and GF announced the award of $30 million in federal funding to advance the development and production of next-generation gallium nitride (GaN) on silicon semiconductors at GF's facility in Essex Junction, VT.</w:t>
      </w:r>
    </w:p>
    <w:p>
      <w:pPr>
        <w:spacing w:after="0" w:line="169" w:lineRule="exact"/>
        <w:rPr>
          <w:rFonts w:ascii="Arial" w:cs="Arial" w:eastAsia="Arial" w:hAnsi="Arial"/>
          <w:sz w:val="16"/>
          <w:szCs w:val="16"/>
          <w:color w:val="auto"/>
        </w:rPr>
      </w:pPr>
    </w:p>
    <w:p>
      <w:pPr>
        <w:ind w:left="660" w:hanging="328"/>
        <w:spacing w:after="0" w:line="321"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GF announced that the company has been added to the Philadelphia Stock Exchange Semiconductor Index (SOX) effective Monday, September 19,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9</w:t>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u w:val="single" w:color="auto"/>
          <w:color w:val="auto"/>
        </w:rPr>
        <w:t>Unaudited Summary Quarterly Results (in millions USD, except per share amounts and wafer shipments)</w:t>
      </w:r>
      <w:r>
        <w:rPr>
          <w:rFonts w:ascii="Arial" w:cs="Arial" w:eastAsia="Arial" w:hAnsi="Arial"/>
          <w:sz w:val="21"/>
          <w:szCs w:val="21"/>
          <w:b w:val="1"/>
          <w:bCs w:val="1"/>
          <w:color w:val="auto"/>
          <w:vertAlign w:val="superscript"/>
        </w:rPr>
        <w:t>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Year-over-year</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Sequential</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64"/>
        </w:trPr>
        <w:tc>
          <w:tcPr>
            <w:tcW w:w="3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Q3'22</w:t>
            </w:r>
          </w:p>
        </w:tc>
        <w:tc>
          <w:tcPr>
            <w:tcW w:w="3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Q2'22</w:t>
            </w:r>
          </w:p>
        </w:tc>
        <w:tc>
          <w:tcPr>
            <w:tcW w:w="260" w:type="dxa"/>
            <w:vAlign w:val="bottom"/>
          </w:tcPr>
          <w:p>
            <w:pPr>
              <w:spacing w:after="0"/>
              <w:rPr>
                <w:sz w:val="14"/>
                <w:szCs w:val="14"/>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Q3'21</w:t>
            </w:r>
          </w:p>
        </w:tc>
        <w:tc>
          <w:tcPr>
            <w:tcW w:w="540" w:type="dxa"/>
            <w:vAlign w:val="bottom"/>
          </w:tcPr>
          <w:p>
            <w:pPr>
              <w:spacing w:after="0"/>
              <w:rPr>
                <w:sz w:val="14"/>
                <w:szCs w:val="14"/>
                <w:color w:val="auto"/>
              </w:rPr>
            </w:pPr>
          </w:p>
        </w:tc>
        <w:tc>
          <w:tcPr>
            <w:tcW w:w="15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Q3'22 vs Q3'21</w:t>
            </w:r>
          </w:p>
        </w:tc>
        <w:tc>
          <w:tcPr>
            <w:tcW w:w="340" w:type="dxa"/>
            <w:vAlign w:val="bottom"/>
          </w:tcPr>
          <w:p>
            <w:pPr>
              <w:spacing w:after="0"/>
              <w:rPr>
                <w:sz w:val="14"/>
                <w:szCs w:val="14"/>
                <w:color w:val="auto"/>
              </w:rPr>
            </w:pPr>
          </w:p>
        </w:tc>
        <w:tc>
          <w:tcPr>
            <w:tcW w:w="16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Q3'22 vs Q2'22</w:t>
            </w:r>
          </w:p>
        </w:tc>
      </w:tr>
      <w:tr>
        <w:trPr>
          <w:trHeight w:val="136"/>
        </w:trPr>
        <w:tc>
          <w:tcPr>
            <w:tcW w:w="3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2,074</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1,993</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1,700</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374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22 %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81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4 %</w:t>
            </w:r>
          </w:p>
        </w:tc>
      </w:tr>
      <w:tr>
        <w:trPr>
          <w:trHeight w:val="61"/>
        </w:trPr>
        <w:tc>
          <w:tcPr>
            <w:tcW w:w="38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4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610</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538</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300</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310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103 %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72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13 %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Gross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29.4 %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27.0 %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17.6 %</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+1,180bps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+240bps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Adjusted gross profit</w:t>
            </w:r>
            <w:r>
              <w:rPr>
                <w:rFonts w:ascii="Arial" w:cs="Arial" w:eastAsia="Arial" w:hAnsi="Arial"/>
                <w:sz w:val="18"/>
                <w:szCs w:val="18"/>
                <w:b w:val="1"/>
                <w:bCs w:val="1"/>
                <w:color w:val="auto"/>
                <w:vertAlign w:val="superscript"/>
              </w:rPr>
              <w:t>(1)</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621</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559</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306</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315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103 %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62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11 %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Adjusted gross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29.9 %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28.0 %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18.0 %</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+1,190bps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+190bps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357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297</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52</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305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587 %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60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Operating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17.2 %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14.9 %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3.1 %</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+1,410bps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+230bps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Adjusted operating profit</w:t>
            </w:r>
            <w:r>
              <w:rPr>
                <w:rFonts w:ascii="Arial" w:cs="Arial" w:eastAsia="Arial" w:hAnsi="Arial"/>
                <w:sz w:val="18"/>
                <w:szCs w:val="18"/>
                <w:b w:val="1"/>
                <w:bCs w:val="1"/>
                <w:color w:val="auto"/>
                <w:vertAlign w:val="superscript"/>
              </w:rPr>
              <w:t>(1)</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389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350</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81</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308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380 %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39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11 %</w:t>
            </w:r>
          </w:p>
        </w:tc>
      </w:tr>
      <w:tr>
        <w:trPr>
          <w:trHeight w:val="195"/>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Adjusted operating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18.8 %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17.6 %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4.8 %</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+1,400bps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+120bps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336</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264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331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6,620 %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72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27 %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Net income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16.2 %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13.2 %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0.3 %</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+1,590bps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+300bps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Adjusted net income</w:t>
            </w:r>
            <w:r>
              <w:rPr>
                <w:rFonts w:ascii="Arial" w:cs="Arial" w:eastAsia="Arial" w:hAnsi="Arial"/>
                <w:sz w:val="18"/>
                <w:szCs w:val="18"/>
                <w:b w:val="1"/>
                <w:bCs w:val="1"/>
                <w:color w:val="auto"/>
                <w:vertAlign w:val="superscript"/>
              </w:rPr>
              <w:t>(1)</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368</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317</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34</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334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982 %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51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16 %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Adjusted net income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17.7 %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15.9 %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2.0 %</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+1,570bps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9"/>
              </w:rPr>
              <w:t>+180bps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per share ("EPS")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0.61</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0.48</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0.01</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0.60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6,000 %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0.13</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27 %</w:t>
            </w:r>
          </w:p>
        </w:tc>
      </w:tr>
      <w:tr>
        <w:trPr>
          <w:trHeight w:val="61"/>
        </w:trPr>
        <w:tc>
          <w:tcPr>
            <w:tcW w:w="38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Adjusted diluted earnings per share</w:t>
            </w:r>
            <w:r>
              <w:rPr>
                <w:rFonts w:ascii="Arial" w:cs="Arial" w:eastAsia="Arial" w:hAnsi="Arial"/>
                <w:sz w:val="18"/>
                <w:szCs w:val="18"/>
                <w:b w:val="1"/>
                <w:bCs w:val="1"/>
                <w:color w:val="auto"/>
                <w:vertAlign w:val="superscript"/>
              </w:rPr>
              <w:t>(1)</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0.67</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0.58</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0.07</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0.60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857 %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0.09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16 %</w:t>
            </w:r>
          </w:p>
        </w:tc>
      </w:tr>
      <w:tr>
        <w:trPr>
          <w:trHeight w:val="61"/>
        </w:trPr>
        <w:tc>
          <w:tcPr>
            <w:tcW w:w="38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(1)(2)</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793</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784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505</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288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57 %</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1 %</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40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i w:val="1"/>
                <w:iCs w:val="1"/>
                <w:color w:val="auto"/>
              </w:rPr>
              <w:t>38.2 %</w:t>
            </w:r>
          </w:p>
        </w:tc>
        <w:tc>
          <w:tcPr>
            <w:tcW w:w="34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39.3 %</w:t>
            </w:r>
          </w:p>
        </w:tc>
        <w:tc>
          <w:tcPr>
            <w:tcW w:w="260" w:type="dxa"/>
            <w:vAlign w:val="bottom"/>
          </w:tcPr>
          <w:p>
            <w:pPr>
              <w:spacing w:after="0"/>
              <w:rPr>
                <w:sz w:val="16"/>
                <w:szCs w:val="16"/>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i w:val="1"/>
                <w:iCs w:val="1"/>
                <w:color w:val="auto"/>
              </w:rPr>
              <w:t>29.7 %</w:t>
            </w: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+850bps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i w:val="1"/>
                <w:iCs w:val="1"/>
                <w:color w:val="auto"/>
                <w:w w:val="97"/>
              </w:rPr>
              <w:t>(110)bps</w:t>
            </w:r>
          </w:p>
        </w:tc>
      </w:tr>
      <w:tr>
        <w:trPr>
          <w:trHeight w:val="69"/>
        </w:trPr>
        <w:tc>
          <w:tcPr>
            <w:tcW w:w="38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from operations</w:t>
            </w:r>
          </w:p>
        </w:tc>
        <w:tc>
          <w:tcPr>
            <w:tcW w:w="4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679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609</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1,109</w:t>
            </w:r>
          </w:p>
        </w:tc>
        <w:tc>
          <w:tcPr>
            <w:tcW w:w="540" w:type="dxa"/>
            <w:vAlign w:val="bottom"/>
            <w:shd w:val="clear" w:color="auto" w:fill="CCEEFF"/>
          </w:tcPr>
          <w:p>
            <w:pPr>
              <w:jc w:val="right"/>
              <w:ind w:right="30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(430)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(39)%</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70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11 %</w:t>
            </w:r>
          </w:p>
        </w:tc>
      </w:tr>
      <w:tr>
        <w:trPr>
          <w:trHeight w:val="61"/>
        </w:trPr>
        <w:tc>
          <w:tcPr>
            <w:tcW w:w="38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r>
      <w:tr>
        <w:trPr>
          <w:trHeight w:val="20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Wafer shipments (300mm equivalent) (in thousands)</w:t>
            </w:r>
          </w:p>
        </w:tc>
        <w:tc>
          <w:tcPr>
            <w:tcW w:w="4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637</w:t>
            </w: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630</w:t>
            </w:r>
          </w:p>
        </w:tc>
        <w:tc>
          <w:tcPr>
            <w:tcW w:w="2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609</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28</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5 %</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4"/>
                <w:szCs w:val="14"/>
                <w:b w:val="1"/>
                <w:bCs w:val="1"/>
                <w:color w:val="auto"/>
              </w:rPr>
              <w:t>7</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1 %</w:t>
            </w:r>
          </w:p>
        </w:tc>
      </w:tr>
    </w:tbl>
    <w:p>
      <w:pPr>
        <w:spacing w:after="0" w:line="333"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Adjusted gross profit, adjusted operating profit, adjusted net income, adjusted diluted earnings per share, and adjusted EBITDA are adjusted non-IFRS metrics; please see the reconciliation of IFRS to adjusted non-IFRS metrics in the section "Unaudited Reconciliation of IFRS to Adjusted non-IFRS" below.</w:t>
      </w:r>
    </w:p>
    <w:p>
      <w:pPr>
        <w:spacing w:after="0" w:line="200" w:lineRule="exact"/>
        <w:rPr>
          <w:sz w:val="20"/>
          <w:szCs w:val="20"/>
          <w:color w:val="auto"/>
        </w:rPr>
      </w:pPr>
    </w:p>
    <w:p>
      <w:pPr>
        <w:jc w:val="both"/>
        <w:ind w:firstLine="8"/>
        <w:spacing w:after="0" w:line="242" w:lineRule="auto"/>
        <w:tabs>
          <w:tab w:leader="none" w:pos="122"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Beginning in Q3 2022, the Company has revised its definition of adjusted EBITDA to include an adjustment for finance income. The change was made due to the Company making an investment during Q2 2022 of approximately $1 billion in marketable securities. The Company believes the revised definition provides management and investors more useful information to evaluate the operations of our business. Adjusted EBITDA is now defined as net income (loss), adjusted for the impact of finance expense, finance income, income tax expense, depreciation, amortization, share based compensation expense, transaction gains and associated expenses, restructuring charges and litigation settlement.</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2 of 9</w:t>
      </w:r>
    </w:p>
    <w:p>
      <w:pPr>
        <w:sectPr>
          <w:pgSz w:w="11900" w:h="16838" w:orient="portrait"/>
          <w:cols w:equalWidth="0" w:num="1">
            <w:col w:w="11240"/>
          </w:cols>
          <w:pgMar w:left="320" w:top="1408" w:right="339" w:bottom="1440" w:gutter="0" w:footer="0" w:header="0"/>
          <w:type w:val="continuous"/>
        </w:sectPr>
      </w:pPr>
    </w:p>
    <w:bookmarkStart w:id="4" w:name="page5"/>
    <w:bookmarkEnd w:id="4"/>
    <w:p>
      <w:pPr>
        <w:ind w:left="1508"/>
        <w:spacing w:after="0"/>
        <w:rPr>
          <w:sz w:val="20"/>
          <w:szCs w:val="20"/>
          <w:color w:val="auto"/>
        </w:rPr>
      </w:pPr>
      <w:r>
        <w:rPr>
          <w:rFonts w:ascii="Arial" w:cs="Arial" w:eastAsia="Arial" w:hAnsi="Arial"/>
          <w:sz w:val="16"/>
          <w:szCs w:val="16"/>
          <w:b w:val="1"/>
          <w:bCs w:val="1"/>
          <w:u w:val="single" w:color="auto"/>
          <w:color w:val="auto"/>
        </w:rPr>
        <w:t>Summary of Fourth Quarter 2022 Outlook (unaudited in millions USD, except per share amounts)</w:t>
      </w:r>
      <w:r>
        <w:rPr>
          <w:rFonts w:ascii="Arial" w:cs="Arial" w:eastAsia="Arial" w:hAnsi="Arial"/>
          <w:sz w:val="21"/>
          <w:szCs w:val="21"/>
          <w:b w:val="1"/>
          <w:bCs w:val="1"/>
          <w:u w:val="single" w:color="auto"/>
          <w:color w:val="auto"/>
          <w:vertAlign w:val="superscript"/>
        </w:rPr>
        <w:t>(3)</w:t>
      </w:r>
    </w:p>
    <w:p>
      <w:pPr>
        <w:spacing w:after="0" w:line="218" w:lineRule="exact"/>
        <w:rPr>
          <w:sz w:val="20"/>
          <w:szCs w:val="20"/>
          <w:color w:val="auto"/>
        </w:rPr>
      </w:pPr>
    </w:p>
    <w:tbl>
      <w:tblPr>
        <w:tblLayout w:type="fixed"/>
        <w:tblInd w:w="168" w:type="dxa"/>
        <w:tblCellMar>
          <w:top w:w="0" w:type="dxa"/>
          <w:left w:w="0" w:type="dxa"/>
          <w:bottom w:w="0" w:type="dxa"/>
          <w:right w:w="0" w:type="dxa"/>
        </w:tblCellMar>
      </w:tblPr>
      <w:tr>
        <w:trPr>
          <w:trHeight w:val="224"/>
        </w:trPr>
        <w:tc>
          <w:tcPr>
            <w:tcW w:w="28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jc w:val="center"/>
              <w:ind w:left="7"/>
              <w:spacing w:after="0"/>
              <w:rPr>
                <w:sz w:val="20"/>
                <w:szCs w:val="20"/>
                <w:color w:val="auto"/>
              </w:rPr>
            </w:pPr>
            <w:r>
              <w:rPr>
                <w:rFonts w:ascii="Arial" w:cs="Arial" w:eastAsia="Arial" w:hAnsi="Arial"/>
                <w:sz w:val="16"/>
                <w:szCs w:val="16"/>
                <w:b w:val="1"/>
                <w:bCs w:val="1"/>
                <w:color w:val="auto"/>
              </w:rPr>
              <w:t>IFRS</w:t>
            </w:r>
          </w:p>
        </w:tc>
        <w:tc>
          <w:tcPr>
            <w:tcW w:w="316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Share-based compensation</w:t>
            </w:r>
          </w:p>
        </w:tc>
        <w:tc>
          <w:tcPr>
            <w:tcW w:w="212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6"/>
                <w:szCs w:val="16"/>
                <w:b w:val="1"/>
                <w:bCs w:val="1"/>
                <w:color w:val="auto"/>
              </w:rPr>
              <w:t>Non-IFRS Adjusted</w:t>
            </w:r>
          </w:p>
        </w:tc>
      </w:tr>
      <w:tr>
        <w:trPr>
          <w:trHeight w:val="20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$2,050</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$2,100</w:t>
            </w:r>
          </w:p>
        </w:tc>
        <w:tc>
          <w:tcPr>
            <w:tcW w:w="3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2120" w:type="dxa"/>
            <w:vAlign w:val="bottom"/>
            <w:gridSpan w:val="2"/>
            <w:shd w:val="clear" w:color="auto" w:fill="CCEEFF"/>
          </w:tcPr>
          <w:p>
            <w:pPr>
              <w:jc w:val="right"/>
              <w:ind w:right="748"/>
              <w:spacing w:after="0"/>
              <w:rPr>
                <w:sz w:val="20"/>
                <w:szCs w:val="20"/>
                <w:color w:val="auto"/>
              </w:rPr>
            </w:pPr>
            <w:r>
              <w:rPr>
                <w:rFonts w:ascii="Arial" w:cs="Arial" w:eastAsia="Arial" w:hAnsi="Arial"/>
                <w:sz w:val="14"/>
                <w:szCs w:val="14"/>
                <w:b w:val="1"/>
                <w:bCs w:val="1"/>
                <w:color w:val="auto"/>
              </w:rPr>
              <w:t>—</w:t>
            </w:r>
          </w:p>
        </w:tc>
      </w:tr>
      <w:tr>
        <w:trPr>
          <w:trHeight w:val="202"/>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$580</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$619</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rPr>
              <w:t>$11 - $15</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$595</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$630</w:t>
            </w:r>
          </w:p>
        </w:tc>
      </w:tr>
      <w:tr>
        <w:trPr>
          <w:trHeight w:val="203"/>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Gross Margin (mid-point)</w:t>
            </w:r>
          </w:p>
        </w:tc>
        <w:tc>
          <w:tcPr>
            <w:tcW w:w="2140" w:type="dxa"/>
            <w:vAlign w:val="bottom"/>
            <w:gridSpan w:val="2"/>
            <w:shd w:val="clear" w:color="auto" w:fill="CCEEFF"/>
          </w:tcPr>
          <w:p>
            <w:pPr>
              <w:jc w:val="center"/>
              <w:ind w:left="7"/>
              <w:spacing w:after="0"/>
              <w:rPr>
                <w:sz w:val="20"/>
                <w:szCs w:val="20"/>
                <w:color w:val="auto"/>
              </w:rPr>
            </w:pPr>
            <w:r>
              <w:rPr>
                <w:rFonts w:ascii="Arial" w:cs="Arial" w:eastAsia="Arial" w:hAnsi="Arial"/>
                <w:sz w:val="14"/>
                <w:szCs w:val="14"/>
                <w:i w:val="1"/>
                <w:iCs w:val="1"/>
                <w:color w:val="auto"/>
              </w:rPr>
              <w:t>28.9%</w:t>
            </w:r>
          </w:p>
        </w:tc>
        <w:tc>
          <w:tcPr>
            <w:tcW w:w="31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i w:val="1"/>
                <w:iCs w:val="1"/>
                <w:color w:val="auto"/>
              </w:rPr>
              <w:t>29.5%</w:t>
            </w:r>
          </w:p>
        </w:tc>
      </w:tr>
      <w:tr>
        <w:trPr>
          <w:trHeight w:val="202"/>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Operating Profit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$323</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$390</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rPr>
              <w:t>$30 - $42</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$365</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$420</w:t>
            </w:r>
          </w:p>
        </w:tc>
      </w:tr>
      <w:tr>
        <w:trPr>
          <w:trHeight w:val="203"/>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Margin (mid-point)</w:t>
            </w:r>
          </w:p>
        </w:tc>
        <w:tc>
          <w:tcPr>
            <w:tcW w:w="2140" w:type="dxa"/>
            <w:vAlign w:val="bottom"/>
            <w:gridSpan w:val="2"/>
            <w:shd w:val="clear" w:color="auto" w:fill="CCEEFF"/>
          </w:tcPr>
          <w:p>
            <w:pPr>
              <w:jc w:val="center"/>
              <w:ind w:left="7"/>
              <w:spacing w:after="0"/>
              <w:rPr>
                <w:sz w:val="20"/>
                <w:szCs w:val="20"/>
                <w:color w:val="auto"/>
              </w:rPr>
            </w:pPr>
            <w:r>
              <w:rPr>
                <w:rFonts w:ascii="Arial" w:cs="Arial" w:eastAsia="Arial" w:hAnsi="Arial"/>
                <w:sz w:val="14"/>
                <w:szCs w:val="14"/>
                <w:i w:val="1"/>
                <w:iCs w:val="1"/>
                <w:color w:val="auto"/>
              </w:rPr>
              <w:t>17.2%</w:t>
            </w:r>
          </w:p>
        </w:tc>
        <w:tc>
          <w:tcPr>
            <w:tcW w:w="31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i w:val="1"/>
                <w:iCs w:val="1"/>
                <w:color w:val="auto"/>
              </w:rPr>
              <w:t>18.9%</w:t>
            </w: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4"/>
                <w:szCs w:val="14"/>
                <w:b w:val="1"/>
                <w:bCs w:val="1"/>
                <w:color w:val="auto"/>
              </w:rPr>
              <w:t>Gain on sale (EFK transaction)</w:t>
            </w:r>
            <w:r>
              <w:rPr>
                <w:rFonts w:ascii="Arial" w:cs="Arial" w:eastAsia="Arial" w:hAnsi="Arial"/>
                <w:sz w:val="18"/>
                <w:szCs w:val="18"/>
                <w:b w:val="1"/>
                <w:bCs w:val="1"/>
                <w:color w:val="auto"/>
                <w:vertAlign w:val="superscript"/>
              </w:rPr>
              <w:t>(4)</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$350</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 $400</w:t>
            </w:r>
          </w:p>
        </w:tc>
        <w:tc>
          <w:tcPr>
            <w:tcW w:w="3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$350</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$400</w:t>
            </w: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b w:val="1"/>
                <w:bCs w:val="1"/>
                <w:color w:val="auto"/>
              </w:rPr>
              <w:t>Net Income</w:t>
            </w:r>
            <w:r>
              <w:rPr>
                <w:rFonts w:ascii="Arial" w:cs="Arial" w:eastAsia="Arial" w:hAnsi="Arial"/>
                <w:sz w:val="18"/>
                <w:szCs w:val="18"/>
                <w:b w:val="1"/>
                <w:bCs w:val="1"/>
                <w:color w:val="auto"/>
                <w:vertAlign w:val="superscript"/>
              </w:rPr>
              <w:t>(5)</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$645</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$770</w:t>
            </w:r>
          </w:p>
        </w:tc>
        <w:tc>
          <w:tcPr>
            <w:tcW w:w="3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$30 - $42</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$687</w:t>
            </w:r>
          </w:p>
        </w:tc>
        <w:tc>
          <w:tcPr>
            <w:tcW w:w="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$800</w:t>
            </w:r>
          </w:p>
        </w:tc>
      </w:tr>
      <w:tr>
        <w:trPr>
          <w:trHeight w:val="198"/>
        </w:trPr>
        <w:tc>
          <w:tcPr>
            <w:tcW w:w="2820" w:type="dxa"/>
            <w:vAlign w:val="bottom"/>
          </w:tcPr>
          <w:p>
            <w:pPr>
              <w:ind w:left="140"/>
              <w:spacing w:after="0"/>
              <w:rPr>
                <w:sz w:val="20"/>
                <w:szCs w:val="20"/>
                <w:color w:val="auto"/>
              </w:rPr>
            </w:pPr>
            <w:r>
              <w:rPr>
                <w:rFonts w:ascii="Arial" w:cs="Arial" w:eastAsia="Arial" w:hAnsi="Arial"/>
                <w:sz w:val="14"/>
                <w:szCs w:val="14"/>
                <w:i w:val="1"/>
                <w:iCs w:val="1"/>
                <w:color w:val="auto"/>
              </w:rPr>
              <w:t>Net Income Margin (mid-point)</w:t>
            </w:r>
          </w:p>
        </w:tc>
        <w:tc>
          <w:tcPr>
            <w:tcW w:w="2140" w:type="dxa"/>
            <w:vAlign w:val="bottom"/>
            <w:gridSpan w:val="2"/>
          </w:tcPr>
          <w:p>
            <w:pPr>
              <w:jc w:val="center"/>
              <w:ind w:left="7"/>
              <w:spacing w:after="0"/>
              <w:rPr>
                <w:sz w:val="20"/>
                <w:szCs w:val="20"/>
                <w:color w:val="auto"/>
              </w:rPr>
            </w:pPr>
            <w:r>
              <w:rPr>
                <w:rFonts w:ascii="Arial" w:cs="Arial" w:eastAsia="Arial" w:hAnsi="Arial"/>
                <w:sz w:val="14"/>
                <w:szCs w:val="14"/>
                <w:i w:val="1"/>
                <w:iCs w:val="1"/>
                <w:color w:val="auto"/>
              </w:rPr>
              <w:t>34.1%</w:t>
            </w:r>
          </w:p>
        </w:tc>
        <w:tc>
          <w:tcPr>
            <w:tcW w:w="3160" w:type="dxa"/>
            <w:vAlign w:val="bottom"/>
          </w:tcPr>
          <w:p>
            <w:pPr>
              <w:spacing w:after="0"/>
              <w:rPr>
                <w:sz w:val="17"/>
                <w:szCs w:val="17"/>
                <w:color w:val="auto"/>
              </w:rPr>
            </w:pPr>
          </w:p>
        </w:tc>
        <w:tc>
          <w:tcPr>
            <w:tcW w:w="2120" w:type="dxa"/>
            <w:vAlign w:val="bottom"/>
            <w:gridSpan w:val="2"/>
          </w:tcPr>
          <w:p>
            <w:pPr>
              <w:jc w:val="right"/>
              <w:ind w:right="628"/>
              <w:spacing w:after="0"/>
              <w:rPr>
                <w:sz w:val="20"/>
                <w:szCs w:val="20"/>
                <w:color w:val="auto"/>
              </w:rPr>
            </w:pPr>
            <w:r>
              <w:rPr>
                <w:rFonts w:ascii="Arial" w:cs="Arial" w:eastAsia="Arial" w:hAnsi="Arial"/>
                <w:sz w:val="14"/>
                <w:szCs w:val="14"/>
                <w:i w:val="1"/>
                <w:iCs w:val="1"/>
                <w:color w:val="auto"/>
              </w:rPr>
              <w:t>35.8%</w:t>
            </w: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EPS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w:t>
            </w:r>
          </w:p>
        </w:tc>
        <w:tc>
          <w:tcPr>
            <w:tcW w:w="1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$1.39</w:t>
            </w:r>
          </w:p>
        </w:tc>
        <w:tc>
          <w:tcPr>
            <w:tcW w:w="3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$1.44</w:t>
            </w: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(6)</w:t>
            </w:r>
          </w:p>
        </w:tc>
        <w:tc>
          <w:tcPr>
            <w:tcW w:w="2140" w:type="dxa"/>
            <w:vAlign w:val="bottom"/>
            <w:gridSpan w:val="2"/>
          </w:tcPr>
          <w:p>
            <w:pPr>
              <w:jc w:val="center"/>
              <w:ind w:left="7"/>
              <w:spacing w:after="0"/>
              <w:rPr>
                <w:sz w:val="20"/>
                <w:szCs w:val="20"/>
                <w:color w:val="auto"/>
              </w:rPr>
            </w:pPr>
            <w:r>
              <w:rPr>
                <w:rFonts w:ascii="Arial" w:cs="Arial" w:eastAsia="Arial" w:hAnsi="Arial"/>
                <w:sz w:val="14"/>
                <w:szCs w:val="14"/>
                <w:b w:val="1"/>
                <w:bCs w:val="1"/>
                <w:color w:val="auto"/>
              </w:rPr>
              <w:t>NA</w:t>
            </w:r>
          </w:p>
        </w:tc>
        <w:tc>
          <w:tcPr>
            <w:tcW w:w="3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$770</w:t>
            </w: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 $840</w:t>
            </w:r>
          </w:p>
        </w:tc>
      </w:tr>
      <w:tr>
        <w:trPr>
          <w:trHeight w:val="203"/>
        </w:trPr>
        <w:tc>
          <w:tcPr>
            <w:tcW w:w="28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Adj. EBITDA Margin (mid-point)</w:t>
            </w: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i w:val="1"/>
                <w:iCs w:val="1"/>
                <w:color w:val="auto"/>
              </w:rPr>
              <w:t>38.8%</w:t>
            </w:r>
          </w:p>
        </w:tc>
      </w:tr>
    </w:tbl>
    <w:p>
      <w:pPr>
        <w:spacing w:after="0" w:line="55" w:lineRule="exact"/>
        <w:rPr>
          <w:sz w:val="20"/>
          <w:szCs w:val="20"/>
          <w:color w:val="auto"/>
        </w:rPr>
      </w:pPr>
    </w:p>
    <w:p>
      <w:pPr>
        <w:jc w:val="both"/>
        <w:ind w:left="8"/>
        <w:spacing w:after="0" w:line="213" w:lineRule="auto"/>
        <w:rPr>
          <w:sz w:val="20"/>
          <w:szCs w:val="20"/>
          <w:color w:val="auto"/>
        </w:rPr>
      </w:pPr>
      <w:r>
        <w:rPr>
          <w:rFonts w:ascii="Arial" w:cs="Arial" w:eastAsia="Arial" w:hAnsi="Arial"/>
          <w:sz w:val="15"/>
          <w:szCs w:val="15"/>
          <w:i w:val="1"/>
          <w:iCs w:val="1"/>
          <w:color w:val="auto"/>
          <w:vertAlign w:val="superscript"/>
        </w:rPr>
        <w:t>(3)</w:t>
      </w:r>
      <w:r>
        <w:rPr>
          <w:rFonts w:ascii="Arial" w:cs="Arial" w:eastAsia="Arial" w:hAnsi="Arial"/>
          <w:sz w:val="12"/>
          <w:szCs w:val="12"/>
          <w:i w:val="1"/>
          <w:iCs w:val="1"/>
          <w:color w:val="auto"/>
        </w:rPr>
        <w:t>The guidance provided above contains forward-looking statements as defined in the U.S. Private Securities Litigation Act of 1995, and is subject to the safe harbors created therein. The guidance includes management’s beliefs and assumptions and is based on information currently available. GF has not provided a reconciliation of its Fourth Fiscal Quarter outlook for adjusted Non-IFRS EBITDA and related Margin because estimates of all of the reconciling items cannot be provided without unreasonable efforts. Certain factors that are materially significant to GF’s ability to</w:t>
      </w:r>
    </w:p>
    <w:p>
      <w:pPr>
        <w:ind w:left="8"/>
        <w:spacing w:after="0"/>
        <w:rPr>
          <w:sz w:val="20"/>
          <w:szCs w:val="20"/>
          <w:color w:val="auto"/>
        </w:rPr>
      </w:pPr>
      <w:r>
        <w:rPr>
          <w:rFonts w:ascii="Arial" w:cs="Arial" w:eastAsia="Arial" w:hAnsi="Arial"/>
          <w:sz w:val="13"/>
          <w:szCs w:val="13"/>
          <w:i w:val="1"/>
          <w:iCs w:val="1"/>
          <w:color w:val="auto"/>
        </w:rPr>
        <w:t>estimate these items are out of its control and/or cannot be reasonably predicted.</w:t>
      </w:r>
    </w:p>
    <w:p>
      <w:pPr>
        <w:spacing w:after="0" w:line="197" w:lineRule="exact"/>
        <w:rPr>
          <w:sz w:val="20"/>
          <w:szCs w:val="20"/>
          <w:color w:val="auto"/>
        </w:rPr>
      </w:pPr>
    </w:p>
    <w:p>
      <w:pPr>
        <w:ind w:left="128" w:hanging="128"/>
        <w:spacing w:after="0"/>
        <w:tabs>
          <w:tab w:leader="none" w:pos="128"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i w:val="1"/>
          <w:iCs w:val="1"/>
          <w:color w:val="auto"/>
        </w:rPr>
        <w:t>Estimated gain on sale of East Fishkill ("EFK") facility in December 2022.</w:t>
      </w:r>
    </w:p>
    <w:p>
      <w:pPr>
        <w:spacing w:after="0" w:line="192" w:lineRule="exact"/>
        <w:rPr>
          <w:rFonts w:ascii="Arial" w:cs="Arial" w:eastAsia="Arial" w:hAnsi="Arial"/>
          <w:sz w:val="15"/>
          <w:szCs w:val="15"/>
          <w:color w:val="auto"/>
          <w:vertAlign w:val="superscript"/>
        </w:rPr>
      </w:pPr>
    </w:p>
    <w:p>
      <w:pPr>
        <w:ind w:left="128" w:hanging="128"/>
        <w:spacing w:after="0"/>
        <w:tabs>
          <w:tab w:leader="none" w:pos="128"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i w:val="1"/>
          <w:iCs w:val="1"/>
          <w:color w:val="auto"/>
        </w:rPr>
        <w:t>Includes one-time estimated gain on sale of EFK facility in December 2022.</w:t>
      </w:r>
    </w:p>
    <w:p>
      <w:pPr>
        <w:spacing w:after="0" w:line="205" w:lineRule="exact"/>
        <w:rPr>
          <w:rFonts w:ascii="Arial" w:cs="Arial" w:eastAsia="Arial" w:hAnsi="Arial"/>
          <w:sz w:val="15"/>
          <w:szCs w:val="15"/>
          <w:color w:val="auto"/>
          <w:vertAlign w:val="superscript"/>
        </w:rPr>
      </w:pPr>
    </w:p>
    <w:p>
      <w:pPr>
        <w:ind w:left="128" w:hanging="128"/>
        <w:spacing w:after="0"/>
        <w:tabs>
          <w:tab w:leader="none" w:pos="128"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i w:val="1"/>
          <w:iCs w:val="1"/>
          <w:color w:val="auto"/>
        </w:rPr>
        <w:t>Reflects change to adjusted EBITDA definition discussed in more detail elsewhere in this release.</w:t>
      </w:r>
    </w:p>
    <w:p>
      <w:pPr>
        <w:sectPr>
          <w:pgSz w:w="11900" w:h="16838" w:orient="portrait"/>
          <w:cols w:equalWidth="0" w:num="1">
            <w:col w:w="10908"/>
          </w:cols>
          <w:pgMar w:left="652"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2"/>
        <w:spacing w:after="0"/>
        <w:rPr>
          <w:sz w:val="20"/>
          <w:szCs w:val="20"/>
          <w:color w:val="auto"/>
        </w:rPr>
      </w:pPr>
      <w:r>
        <w:rPr>
          <w:rFonts w:ascii="Arial" w:cs="Arial" w:eastAsia="Arial" w:hAnsi="Arial"/>
          <w:sz w:val="16"/>
          <w:szCs w:val="16"/>
          <w:color w:val="auto"/>
        </w:rPr>
        <w:t>Page 3 of 9</w:t>
      </w:r>
    </w:p>
    <w:p>
      <w:pPr>
        <w:sectPr>
          <w:pgSz w:w="11900" w:h="16838" w:orient="portrait"/>
          <w:cols w:equalWidth="0" w:num="1">
            <w:col w:w="10908"/>
          </w:cols>
          <w:pgMar w:left="652" w:top="1408"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Unaudited Consolidated Statements of Operations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(in millions USD, except for per share amounts)</w:t>
            </w:r>
          </w:p>
        </w:tc>
        <w:tc>
          <w:tcPr>
            <w:tcW w:w="26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8"/>
                <w:szCs w:val="18"/>
                <w:color w:val="auto"/>
              </w:rPr>
            </w:pPr>
          </w:p>
        </w:tc>
        <w:tc>
          <w:tcPr>
            <w:tcW w:w="1840" w:type="dxa"/>
            <w:vAlign w:val="bottom"/>
          </w:tcPr>
          <w:p>
            <w:pPr>
              <w:jc w:val="right"/>
              <w:ind w:right="288"/>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1,700</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178"/>
        </w:trPr>
        <w:tc>
          <w:tcPr>
            <w:tcW w:w="51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Sales, marketing, general and administrative</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253</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248</w:t>
            </w:r>
          </w:p>
        </w:tc>
        <w:tc>
          <w:tcPr>
            <w:tcW w:w="0" w:type="dxa"/>
            <w:vAlign w:val="bottom"/>
          </w:tcPr>
          <w:p>
            <w:pPr>
              <w:spacing w:after="0"/>
              <w:rPr>
                <w:sz w:val="1"/>
                <w:szCs w:val="1"/>
                <w:color w:val="auto"/>
              </w:rPr>
            </w:pPr>
          </w:p>
        </w:tc>
      </w:tr>
      <w:tr>
        <w:trPr>
          <w:trHeight w:val="195"/>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Operating profit</w:t>
            </w:r>
          </w:p>
        </w:tc>
        <w:tc>
          <w:tcPr>
            <w:tcW w:w="260" w:type="dxa"/>
            <w:vAlign w:val="bottom"/>
          </w:tcPr>
          <w:p>
            <w:pPr>
              <w:spacing w:after="0"/>
              <w:rPr>
                <w:sz w:val="16"/>
                <w:szCs w:val="16"/>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b w:val="1"/>
                <w:bCs w:val="1"/>
                <w:color w:val="auto"/>
              </w:rPr>
              <w:t>357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expense, net</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5"/>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336</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w:t>
            </w:r>
          </w:p>
        </w:tc>
        <w:tc>
          <w:tcPr>
            <w:tcW w:w="2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Shareholders of GlobalFoundries</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Earnings per share :</w:t>
            </w: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0.61</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used in earnings per share calculation</w:t>
            </w:r>
          </w:p>
        </w:tc>
        <w:tc>
          <w:tcPr>
            <w:tcW w:w="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9</w:t>
      </w:r>
    </w:p>
    <w:p>
      <w:pPr>
        <w:sectPr>
          <w:pgSz w:w="11900" w:h="16838" w:orient="portrait"/>
          <w:cols w:equalWidth="0" w:num="1">
            <w:col w:w="9480"/>
          </w:cols>
          <w:pgMar w:left="1200" w:top="1408" w:right="1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u w:val="single" w:color="auto"/>
          <w:color w:val="auto"/>
        </w:rPr>
        <w:t>Unaudited Consolidated Statements of Financial Position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260" w:type="dxa"/>
            <w:vAlign w:val="bottom"/>
          </w:tcPr>
          <w:p>
            <w:pPr>
              <w:spacing w:after="0"/>
              <w:rPr>
                <w:sz w:val="17"/>
                <w:szCs w:val="17"/>
                <w:color w:val="auto"/>
              </w:rPr>
            </w:pPr>
          </w:p>
        </w:tc>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7"/>
                <w:szCs w:val="17"/>
                <w:color w:val="auto"/>
              </w:rPr>
            </w:pPr>
          </w:p>
        </w:tc>
        <w:tc>
          <w:tcPr>
            <w:tcW w:w="184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2021</w:t>
            </w:r>
          </w:p>
        </w:tc>
      </w:tr>
      <w:tr>
        <w:trPr>
          <w:trHeight w:val="162"/>
        </w:trPr>
        <w:tc>
          <w:tcPr>
            <w:tcW w:w="5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2,541</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2,939</w:t>
            </w: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Receivables, prepayments and other</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1,231</w:t>
            </w: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567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2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1,342</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1,121</w:t>
            </w:r>
          </w:p>
        </w:tc>
      </w:tr>
      <w:tr>
        <w:trPr>
          <w:trHeight w:val="19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26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b w:val="1"/>
                <w:bCs w:val="1"/>
                <w:color w:val="auto"/>
              </w:rPr>
              <w:t>5,619</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5,291</w:t>
            </w: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w:t>
            </w: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10,218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8,713</w:t>
            </w: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671</w:t>
            </w: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11,589</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9,737</w:t>
            </w:r>
          </w:p>
        </w:tc>
      </w:tr>
      <w:tr>
        <w:trPr>
          <w:trHeight w:val="19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17,208</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15,028</w:t>
            </w:r>
          </w:p>
        </w:tc>
      </w:tr>
      <w:tr>
        <w:trPr>
          <w:trHeight w:val="18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Current portion of long-term debt</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244</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297</w:t>
            </w: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3,628</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2,866</w:t>
            </w:r>
          </w:p>
        </w:tc>
      </w:tr>
      <w:tr>
        <w:trPr>
          <w:trHeight w:val="19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3,872</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3,163</w:t>
            </w:r>
          </w:p>
        </w:tc>
      </w:tr>
      <w:tr>
        <w:trPr>
          <w:trHeight w:val="19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portion of long-term debt</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1,716</w:t>
            </w: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2,283</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2,116</w:t>
            </w: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Noncurrent liabilities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4,255</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3,832</w:t>
            </w:r>
          </w:p>
        </w:tc>
      </w:tr>
      <w:tr>
        <w:trPr>
          <w:trHeight w:val="178"/>
        </w:trPr>
        <w:tc>
          <w:tcPr>
            <w:tcW w:w="514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0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stock/additional paid-in capital</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23,777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23,498</w:t>
            </w:r>
          </w:p>
        </w:tc>
      </w:tr>
      <w:tr>
        <w:trPr>
          <w:trHeight w:val="199"/>
        </w:trPr>
        <w:tc>
          <w:tcPr>
            <w:tcW w:w="5140" w:type="dxa"/>
            <w:vAlign w:val="bottom"/>
          </w:tcPr>
          <w:p>
            <w:pPr>
              <w:ind w:left="2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(14,689)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(15,469)</w:t>
            </w:r>
          </w:p>
        </w:tc>
      </w:tr>
      <w:tr>
        <w:trPr>
          <w:trHeight w:val="20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9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17,208</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15,028</w:t>
            </w:r>
          </w:p>
        </w:tc>
      </w:tr>
    </w:tbl>
    <w:p>
      <w:pPr>
        <w:spacing w:after="0" w:line="200" w:lineRule="exact"/>
        <w:rPr>
          <w:sz w:val="20"/>
          <w:szCs w:val="20"/>
          <w:color w:val="auto"/>
        </w:rPr>
      </w:pPr>
    </w:p>
    <w:p>
      <w:pPr>
        <w:sectPr>
          <w:pgSz w:w="11900" w:h="16838" w:orient="portrait"/>
          <w:cols w:equalWidth="0" w:num="1">
            <w:col w:w="9500"/>
          </w:cols>
          <w:pgMar w:left="1200" w:top="140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5 of 9</w:t>
      </w:r>
    </w:p>
    <w:p>
      <w:pPr>
        <w:sectPr>
          <w:pgSz w:w="11900" w:h="16838" w:orient="portrait"/>
          <w:cols w:equalWidth="0" w:num="1">
            <w:col w:w="9500"/>
          </w:cols>
          <w:pgMar w:left="1200" w:top="1408" w:right="1199" w:bottom="1440" w:gutter="0" w:footer="0" w:header="0"/>
          <w:type w:val="continuous"/>
        </w:sectPr>
      </w:pPr>
    </w:p>
    <w:bookmarkStart w:id="7" w:name="page8"/>
    <w:bookmarkEnd w:id="7"/>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Unaudited Consolidated Statements of Cash Flows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gridSpan w:val="4"/>
          </w:tcPr>
          <w:p>
            <w:pPr>
              <w:jc w:val="right"/>
              <w:ind w:right="1408"/>
              <w:spacing w:after="0"/>
              <w:rPr>
                <w:sz w:val="20"/>
                <w:szCs w:val="20"/>
                <w:color w:val="auto"/>
              </w:rPr>
            </w:pPr>
            <w:r>
              <w:rPr>
                <w:rFonts w:ascii="Arial" w:cs="Arial" w:eastAsia="Arial" w:hAnsi="Arial"/>
                <w:sz w:val="14"/>
                <w:szCs w:val="14"/>
                <w:b w:val="1"/>
                <w:bCs w:val="1"/>
                <w:color w:val="auto"/>
              </w:rPr>
              <w:t>Three Months Ended</w:t>
            </w:r>
          </w:p>
        </w:tc>
      </w:tr>
      <w:tr>
        <w:trPr>
          <w:trHeight w:val="209"/>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260" w:type="dxa"/>
            <w:vAlign w:val="bottom"/>
          </w:tcPr>
          <w:p>
            <w:pPr>
              <w:spacing w:after="0"/>
              <w:rPr>
                <w:sz w:val="18"/>
                <w:szCs w:val="18"/>
                <w:color w:val="auto"/>
              </w:rPr>
            </w:pPr>
          </w:p>
        </w:tc>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220" w:type="dxa"/>
            <w:vAlign w:val="bottom"/>
          </w:tcPr>
          <w:p>
            <w:pPr>
              <w:spacing w:after="0"/>
              <w:rPr>
                <w:sz w:val="18"/>
                <w:szCs w:val="18"/>
                <w:color w:val="auto"/>
              </w:rPr>
            </w:pPr>
          </w:p>
        </w:tc>
        <w:tc>
          <w:tcPr>
            <w:tcW w:w="1840" w:type="dxa"/>
            <w:vAlign w:val="bottom"/>
          </w:tcPr>
          <w:p>
            <w:pPr>
              <w:jc w:val="right"/>
              <w:ind w:right="308"/>
              <w:spacing w:after="0"/>
              <w:rPr>
                <w:sz w:val="20"/>
                <w:szCs w:val="20"/>
                <w:color w:val="auto"/>
              </w:rPr>
            </w:pPr>
            <w:r>
              <w:rPr>
                <w:rFonts w:ascii="Arial" w:cs="Arial" w:eastAsia="Arial" w:hAnsi="Arial"/>
                <w:sz w:val="14"/>
                <w:szCs w:val="14"/>
                <w:b w:val="1"/>
                <w:bCs w:val="1"/>
                <w:color w:val="auto"/>
              </w:rPr>
              <w:t>September 30, 2021</w:t>
            </w:r>
          </w:p>
        </w:tc>
      </w:tr>
      <w:tr>
        <w:trPr>
          <w:trHeight w:val="162"/>
        </w:trPr>
        <w:tc>
          <w:tcPr>
            <w:tcW w:w="5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spacing w:after="0"/>
              <w:rPr>
                <w:sz w:val="14"/>
                <w:szCs w:val="14"/>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2"/>
        </w:trPr>
        <w:tc>
          <w:tcPr>
            <w:tcW w:w="51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Pr>
          <w:p>
            <w:pPr>
              <w:jc w:val="right"/>
              <w:ind w:right="8"/>
              <w:spacing w:after="0"/>
              <w:rPr>
                <w:sz w:val="20"/>
                <w:szCs w:val="20"/>
                <w:color w:val="auto"/>
              </w:rPr>
            </w:pPr>
            <w:r>
              <w:rPr>
                <w:rFonts w:ascii="Arial" w:cs="Arial" w:eastAsia="Arial" w:hAnsi="Arial"/>
                <w:sz w:val="14"/>
                <w:szCs w:val="14"/>
                <w:b w:val="1"/>
                <w:bCs w:val="1"/>
                <w:color w:val="auto"/>
              </w:rPr>
              <w:t>336</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415</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4"/>
                <w:szCs w:val="14"/>
                <w:color w:val="auto"/>
              </w:rPr>
              <w:t>Finance expense, net and other</w:t>
            </w:r>
            <w:r>
              <w:rPr>
                <w:rFonts w:ascii="Arial" w:cs="Arial" w:eastAsia="Arial" w:hAnsi="Arial"/>
                <w:sz w:val="18"/>
                <w:szCs w:val="18"/>
                <w:color w:val="auto"/>
                <w:vertAlign w:val="superscript"/>
              </w:rPr>
              <w:t>(1)</w:t>
            </w:r>
          </w:p>
        </w:tc>
        <w:tc>
          <w:tcPr>
            <w:tcW w:w="260" w:type="dxa"/>
            <w:vAlign w:val="bottom"/>
          </w:tcPr>
          <w:p>
            <w:pPr>
              <w:spacing w:after="0"/>
              <w:rPr>
                <w:sz w:val="17"/>
                <w:szCs w:val="17"/>
                <w:color w:val="auto"/>
              </w:rPr>
            </w:pPr>
          </w:p>
        </w:tc>
        <w:tc>
          <w:tcPr>
            <w:tcW w:w="19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27</w:t>
            </w: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Other non-cash operating activities</w:t>
            </w:r>
          </w:p>
        </w:tc>
        <w:tc>
          <w:tcPr>
            <w:tcW w:w="26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2</w:t>
            </w: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working capital</w:t>
            </w:r>
          </w:p>
        </w:tc>
        <w:tc>
          <w:tcPr>
            <w:tcW w:w="26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640</w:t>
            </w:r>
          </w:p>
        </w:tc>
      </w:tr>
      <w:tr>
        <w:trPr>
          <w:trHeight w:val="195"/>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679</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1,109</w:t>
            </w:r>
          </w:p>
        </w:tc>
      </w:tr>
      <w:tr>
        <w:trPr>
          <w:trHeight w:val="197"/>
        </w:trPr>
        <w:tc>
          <w:tcPr>
            <w:tcW w:w="5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2"/>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plant, equipment, and intangible assets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(764)</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(362)</w:t>
            </w:r>
          </w:p>
        </w:tc>
      </w:tr>
      <w:tr>
        <w:trPr>
          <w:trHeight w:val="197"/>
        </w:trPr>
        <w:tc>
          <w:tcPr>
            <w:tcW w:w="5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198"/>
        </w:trPr>
        <w:tc>
          <w:tcPr>
            <w:tcW w:w="5140" w:type="dxa"/>
            <w:vAlign w:val="bottom"/>
          </w:tcPr>
          <w:p>
            <w:pPr>
              <w:ind w:left="20"/>
              <w:spacing w:after="0"/>
              <w:rPr>
                <w:sz w:val="20"/>
                <w:szCs w:val="20"/>
                <w:color w:val="auto"/>
              </w:rPr>
            </w:pPr>
            <w:r>
              <w:rPr>
                <w:rFonts w:ascii="Arial" w:cs="Arial" w:eastAsia="Arial" w:hAnsi="Arial"/>
                <w:sz w:val="14"/>
                <w:szCs w:val="14"/>
                <w:color w:val="auto"/>
              </w:rPr>
              <w:t>Repayments of shareholder loan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(442)</w:t>
            </w:r>
          </w:p>
        </w:tc>
      </w:tr>
      <w:tr>
        <w:trPr>
          <w:trHeight w:val="207"/>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(repayment) of debt, net</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financing activities</w:t>
            </w: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157</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(525)</w:t>
            </w:r>
          </w:p>
        </w:tc>
      </w:tr>
      <w:tr>
        <w:trPr>
          <w:trHeight w:val="192"/>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214</w:t>
            </w:r>
          </w:p>
        </w:tc>
      </w:tr>
      <w:tr>
        <w:trPr>
          <w:trHeight w:val="198"/>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the beginning of the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805</w:t>
            </w:r>
          </w:p>
        </w:tc>
      </w:tr>
      <w:tr>
        <w:trPr>
          <w:trHeight w:val="19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2,541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1,019</w:t>
            </w:r>
          </w:p>
        </w:tc>
      </w:tr>
    </w:tbl>
    <w:p>
      <w:pPr>
        <w:spacing w:after="0" w:line="200" w:lineRule="exact"/>
        <w:rPr>
          <w:sz w:val="20"/>
          <w:szCs w:val="20"/>
          <w:color w:val="auto"/>
        </w:rPr>
      </w:pPr>
    </w:p>
    <w:p>
      <w:pPr>
        <w:spacing w:after="0" w:line="220" w:lineRule="exact"/>
        <w:rPr>
          <w:sz w:val="20"/>
          <w:szCs w:val="20"/>
          <w:color w:val="auto"/>
        </w:rPr>
      </w:pPr>
    </w:p>
    <w:p>
      <w:pPr>
        <w:ind w:left="20" w:right="380"/>
        <w:spacing w:after="0" w:line="207" w:lineRule="auto"/>
        <w:rPr>
          <w:sz w:val="20"/>
          <w:szCs w:val="20"/>
          <w:color w:val="auto"/>
        </w:rPr>
      </w:pPr>
      <w:r>
        <w:rPr>
          <w:rFonts w:ascii="Arial" w:cs="Arial" w:eastAsia="Arial" w:hAnsi="Arial"/>
          <w:sz w:val="18"/>
          <w:szCs w:val="18"/>
          <w:b w:val="1"/>
          <w:bCs w:val="1"/>
          <w:color w:val="auto"/>
          <w:vertAlign w:val="superscript"/>
        </w:rPr>
        <w:t>(1</w:t>
      </w:r>
      <w:r>
        <w:rPr>
          <w:rFonts w:ascii="Arial" w:cs="Arial" w:eastAsia="Arial" w:hAnsi="Arial"/>
          <w:sz w:val="18"/>
          <w:szCs w:val="18"/>
          <w:color w:val="auto"/>
          <w:vertAlign w:val="superscript"/>
        </w:rPr>
        <w:t>)</w:t>
      </w:r>
      <w:r>
        <w:rPr>
          <w:rFonts w:ascii="Arial" w:cs="Arial" w:eastAsia="Arial" w:hAnsi="Arial"/>
          <w:sz w:val="11"/>
          <w:szCs w:val="11"/>
          <w:color w:val="auto"/>
        </w:rPr>
        <w:t xml:space="preserve"> Finance expense, net and other has been adjusted to include interest and taxes paid that were previously included in "Other non-cash operating activities." Prior period amounts have been adjusted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6 of 9</w:t>
      </w:r>
    </w:p>
    <w:p>
      <w:pPr>
        <w:sectPr>
          <w:pgSz w:w="11900" w:h="16838" w:orient="portrait"/>
          <w:cols w:equalWidth="0" w:num="1">
            <w:col w:w="9500"/>
          </w:cols>
          <w:pgMar w:left="1200" w:top="1440" w:right="1199" w:bottom="1440" w:gutter="0" w:footer="0" w:header="0"/>
        </w:sectPr>
      </w:pPr>
    </w:p>
    <w:bookmarkStart w:id="8" w:name="page9"/>
    <w:bookmarkEnd w:id="8"/>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Unaudited Reconciliation of IFRS to Adjusted Non-IFRS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20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8"/>
                <w:szCs w:val="18"/>
                <w:color w:val="auto"/>
              </w:rPr>
            </w:pPr>
          </w:p>
        </w:tc>
        <w:tc>
          <w:tcPr>
            <w:tcW w:w="180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 2021</w:t>
            </w:r>
          </w:p>
        </w:tc>
      </w:tr>
      <w:tr>
        <w:trPr>
          <w:trHeight w:val="257"/>
        </w:trPr>
        <w:tc>
          <w:tcPr>
            <w:tcW w:w="48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610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538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300</w:t>
            </w:r>
          </w:p>
        </w:tc>
      </w:tr>
      <w:tr>
        <w:trPr>
          <w:trHeight w:val="198"/>
        </w:trPr>
        <w:tc>
          <w:tcPr>
            <w:tcW w:w="4820" w:type="dxa"/>
            <w:vAlign w:val="bottom"/>
          </w:tcPr>
          <w:p>
            <w:pPr>
              <w:ind w:left="20"/>
              <w:spacing w:after="0"/>
              <w:rPr>
                <w:sz w:val="20"/>
                <w:szCs w:val="20"/>
                <w:color w:val="auto"/>
              </w:rPr>
            </w:pPr>
            <w:r>
              <w:rPr>
                <w:rFonts w:ascii="Arial" w:cs="Arial" w:eastAsia="Arial" w:hAnsi="Arial"/>
                <w:sz w:val="14"/>
                <w:szCs w:val="14"/>
                <w:i w:val="1"/>
                <w:iCs w:val="1"/>
                <w:color w:val="auto"/>
              </w:rPr>
              <w:t>Gross profit margin</w:t>
            </w: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i w:val="1"/>
                <w:iCs w:val="1"/>
                <w:color w:val="auto"/>
              </w:rPr>
              <w:t>29.4 %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i w:val="1"/>
                <w:iCs w:val="1"/>
                <w:color w:val="auto"/>
              </w:rPr>
              <w:t>27.0 %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i w:val="1"/>
                <w:iCs w:val="1"/>
                <w:color w:val="auto"/>
              </w:rPr>
              <w:t>17.6 %</w:t>
            </w: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w:t>
            </w:r>
          </w:p>
        </w:tc>
      </w:tr>
      <w:tr>
        <w:trPr>
          <w:trHeight w:val="195"/>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Adjusted gross profit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621</w:t>
            </w: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559</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306</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98"/>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gross margin</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29.9 %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28.0 %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18.0 %</w:t>
            </w:r>
          </w:p>
        </w:tc>
      </w:tr>
      <w:tr>
        <w:trPr>
          <w:trHeight w:val="310"/>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profit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357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297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52</w:t>
            </w:r>
          </w:p>
        </w:tc>
      </w:tr>
      <w:tr>
        <w:trPr>
          <w:trHeight w:val="198"/>
        </w:trPr>
        <w:tc>
          <w:tcPr>
            <w:tcW w:w="4820" w:type="dxa"/>
            <w:vAlign w:val="bottom"/>
          </w:tcPr>
          <w:p>
            <w:pPr>
              <w:ind w:left="20"/>
              <w:spacing w:after="0"/>
              <w:rPr>
                <w:sz w:val="20"/>
                <w:szCs w:val="20"/>
                <w:color w:val="auto"/>
              </w:rPr>
            </w:pPr>
            <w:r>
              <w:rPr>
                <w:rFonts w:ascii="Arial" w:cs="Arial" w:eastAsia="Arial" w:hAnsi="Arial"/>
                <w:sz w:val="14"/>
                <w:szCs w:val="14"/>
                <w:i w:val="1"/>
                <w:iCs w:val="1"/>
                <w:color w:val="auto"/>
              </w:rPr>
              <w:t>Operating profit margin</w:t>
            </w: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i w:val="1"/>
                <w:iCs w:val="1"/>
                <w:color w:val="auto"/>
              </w:rPr>
              <w:t>17.2 %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i w:val="1"/>
                <w:iCs w:val="1"/>
                <w:color w:val="auto"/>
              </w:rPr>
              <w:t>14.9 %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i w:val="1"/>
                <w:iCs w:val="1"/>
                <w:color w:val="auto"/>
              </w:rPr>
              <w:t>3.1 %</w:t>
            </w: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c>
          <w:tcPr>
            <w:tcW w:w="1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29</w:t>
            </w:r>
          </w:p>
        </w:tc>
      </w:tr>
      <w:tr>
        <w:trPr>
          <w:trHeight w:val="195"/>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Adjusted operating profit</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389</w:t>
            </w: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350</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81</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98"/>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operating profit margin</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18.8 %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17.6 %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4.8 %</w:t>
            </w:r>
          </w:p>
        </w:tc>
      </w:tr>
      <w:tr>
        <w:trPr>
          <w:trHeight w:val="283"/>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336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264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w:t>
            </w:r>
          </w:p>
        </w:tc>
      </w:tr>
      <w:tr>
        <w:trPr>
          <w:trHeight w:val="198"/>
        </w:trPr>
        <w:tc>
          <w:tcPr>
            <w:tcW w:w="4820" w:type="dxa"/>
            <w:vAlign w:val="bottom"/>
          </w:tcPr>
          <w:p>
            <w:pPr>
              <w:ind w:left="20"/>
              <w:spacing w:after="0"/>
              <w:rPr>
                <w:sz w:val="20"/>
                <w:szCs w:val="20"/>
                <w:color w:val="auto"/>
              </w:rPr>
            </w:pPr>
            <w:r>
              <w:rPr>
                <w:rFonts w:ascii="Arial" w:cs="Arial" w:eastAsia="Arial" w:hAnsi="Arial"/>
                <w:sz w:val="14"/>
                <w:szCs w:val="14"/>
                <w:i w:val="1"/>
                <w:iCs w:val="1"/>
                <w:color w:val="auto"/>
              </w:rPr>
              <w:t>Net income margin</w:t>
            </w:r>
          </w:p>
        </w:tc>
        <w:tc>
          <w:tcPr>
            <w:tcW w:w="2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i w:val="1"/>
                <w:iCs w:val="1"/>
                <w:color w:val="auto"/>
              </w:rPr>
              <w:t>16.2 %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4"/>
                <w:szCs w:val="14"/>
                <w:i w:val="1"/>
                <w:iCs w:val="1"/>
                <w:color w:val="auto"/>
              </w:rPr>
              <w:t>13.2 %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4"/>
                <w:szCs w:val="14"/>
                <w:i w:val="1"/>
                <w:iCs w:val="1"/>
                <w:color w:val="auto"/>
              </w:rPr>
              <w:t>0.3 %</w:t>
            </w: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 based compensation</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29</w:t>
            </w:r>
          </w:p>
        </w:tc>
      </w:tr>
      <w:tr>
        <w:trPr>
          <w:trHeight w:val="195"/>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368</w:t>
            </w: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317</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34</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98"/>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Adjusted net income margin</w:t>
            </w: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17.7 %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15.9 %</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2.0 %</w:t>
            </w:r>
          </w:p>
        </w:tc>
      </w:tr>
      <w:tr>
        <w:trPr>
          <w:trHeight w:val="284"/>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0.61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0.48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0.01</w:t>
            </w:r>
          </w:p>
        </w:tc>
      </w:tr>
      <w:tr>
        <w:trPr>
          <w:trHeight w:val="198"/>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based compensation</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0.06</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0.06</w:t>
            </w:r>
          </w:p>
        </w:tc>
      </w:tr>
      <w:tr>
        <w:trPr>
          <w:trHeight w:val="22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diluted earnings per share</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0.67</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0.58</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0.07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6 of 9</w:t>
      </w:r>
    </w:p>
    <w:p>
      <w:pPr>
        <w:sectPr>
          <w:pgSz w:w="11900" w:h="16838" w:orient="portrait"/>
          <w:cols w:equalWidth="0" w:num="1">
            <w:col w:w="11180"/>
          </w:cols>
          <w:pgMar w:left="360" w:top="1440" w:right="3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6"/>
          <w:szCs w:val="16"/>
          <w:b w:val="1"/>
          <w:bCs w:val="1"/>
          <w:u w:val="single" w:color="auto"/>
          <w:color w:val="auto"/>
        </w:rPr>
        <w:t>Unaudited Reconciliation of Net Income to Adjusted EBITDA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millions USD)</w:t>
            </w:r>
          </w:p>
        </w:tc>
        <w:tc>
          <w:tcPr>
            <w:tcW w:w="20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8"/>
                <w:szCs w:val="18"/>
                <w:color w:val="auto"/>
              </w:rPr>
            </w:pPr>
          </w:p>
        </w:tc>
        <w:tc>
          <w:tcPr>
            <w:tcW w:w="1800" w:type="dxa"/>
            <w:vAlign w:val="bottom"/>
          </w:tcPr>
          <w:p>
            <w:pPr>
              <w:jc w:val="right"/>
              <w:ind w:right="268"/>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57"/>
        </w:trPr>
        <w:tc>
          <w:tcPr>
            <w:tcW w:w="48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for the period</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336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264</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98"/>
        </w:trPr>
        <w:tc>
          <w:tcPr>
            <w:tcW w:w="48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395</w:t>
            </w:r>
          </w:p>
        </w:tc>
        <w:tc>
          <w:tcPr>
            <w:tcW w:w="14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108"/>
              <w:spacing w:after="0"/>
              <w:rPr>
                <w:sz w:val="20"/>
                <w:szCs w:val="20"/>
                <w:color w:val="auto"/>
              </w:rPr>
            </w:pPr>
            <w:r>
              <w:rPr>
                <w:rFonts w:ascii="Arial" w:cs="Arial" w:eastAsia="Arial" w:hAnsi="Arial"/>
                <w:sz w:val="14"/>
                <w:szCs w:val="14"/>
                <w:color w:val="auto"/>
              </w:rPr>
              <w:t>411</w:t>
            </w:r>
          </w:p>
        </w:tc>
        <w:tc>
          <w:tcPr>
            <w:tcW w:w="14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2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expense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8"/>
        </w:trPr>
        <w:tc>
          <w:tcPr>
            <w:tcW w:w="4820" w:type="dxa"/>
            <w:vAlign w:val="bottom"/>
          </w:tcPr>
          <w:p>
            <w:pPr>
              <w:ind w:left="20"/>
              <w:spacing w:after="0"/>
              <w:rPr>
                <w:sz w:val="20"/>
                <w:szCs w:val="20"/>
                <w:color w:val="auto"/>
              </w:rPr>
            </w:pPr>
            <w:r>
              <w:rPr>
                <w:rFonts w:ascii="Arial" w:cs="Arial" w:eastAsia="Arial" w:hAnsi="Arial"/>
                <w:sz w:val="14"/>
                <w:szCs w:val="14"/>
                <w:color w:val="auto"/>
              </w:rPr>
              <w:t>Finance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00" w:type="dxa"/>
            <w:vAlign w:val="bottom"/>
          </w:tcPr>
          <w:p>
            <w:pPr>
              <w:jc w:val="right"/>
              <w:ind w:right="6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7"/>
                <w:szCs w:val="17"/>
                <w:color w:val="auto"/>
              </w:rPr>
            </w:pPr>
          </w:p>
        </w:tc>
        <w:tc>
          <w:tcPr>
            <w:tcW w:w="1800" w:type="dxa"/>
            <w:vAlign w:val="bottom"/>
          </w:tcPr>
          <w:p>
            <w:pPr>
              <w:jc w:val="right"/>
              <w:ind w:right="8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8"/>
        </w:trPr>
        <w:tc>
          <w:tcPr>
            <w:tcW w:w="4820" w:type="dxa"/>
            <w:vAlign w:val="bottom"/>
          </w:tcPr>
          <w:p>
            <w:pPr>
              <w:ind w:left="20"/>
              <w:spacing w:after="0"/>
              <w:rPr>
                <w:sz w:val="20"/>
                <w:szCs w:val="20"/>
                <w:color w:val="auto"/>
              </w:rPr>
            </w:pPr>
            <w:r>
              <w:rPr>
                <w:rFonts w:ascii="Arial" w:cs="Arial" w:eastAsia="Arial" w:hAnsi="Arial"/>
                <w:sz w:val="14"/>
                <w:szCs w:val="14"/>
                <w:color w:val="auto"/>
              </w:rPr>
              <w:t>Share based compensation</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80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60" w:type="dxa"/>
            <w:vAlign w:val="bottom"/>
          </w:tcPr>
          <w:p>
            <w:pPr>
              <w:jc w:val="right"/>
              <w:ind w:right="108"/>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7"/>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and corporate severance programs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4820" w:type="dxa"/>
            <w:vAlign w:val="bottom"/>
          </w:tcPr>
          <w:p>
            <w:pPr>
              <w:ind w:left="20"/>
              <w:spacing w:after="0"/>
              <w:rPr>
                <w:sz w:val="20"/>
                <w:szCs w:val="20"/>
                <w:color w:val="auto"/>
              </w:rPr>
            </w:pPr>
            <w:r>
              <w:rPr>
                <w:rFonts w:ascii="Arial" w:cs="Arial" w:eastAsia="Arial" w:hAnsi="Arial"/>
                <w:sz w:val="14"/>
                <w:szCs w:val="14"/>
                <w:color w:val="auto"/>
              </w:rPr>
              <w:t>(Gains) on transactions, legal settlements and transaction expenses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bottom w:val="single" w:sz="8" w:color="CCEEFF"/>
            </w:tcBorders>
            <w:shd w:val="clear" w:color="auto" w:fill="CCEEFF"/>
          </w:tcPr>
          <w:p>
            <w:pPr>
              <w:ind w:left="20"/>
              <w:spacing w:after="0" w:line="200"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8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8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784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505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Adjusted EBITDA margins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i w:val="1"/>
                <w:iCs w:val="1"/>
                <w:color w:val="auto"/>
              </w:rPr>
              <w:t>38.2 %</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i w:val="1"/>
                <w:iCs w:val="1"/>
                <w:color w:val="auto"/>
              </w:rPr>
              <w:t>39.3 %</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i w:val="1"/>
                <w:iCs w:val="1"/>
                <w:color w:val="auto"/>
              </w:rPr>
              <w:t>29.7 %</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20"/>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Reflects change to adjusted EBITDA definition discussed in more detail elsewhere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Page 7 of 9</w:t>
      </w:r>
    </w:p>
    <w:p>
      <w:pPr>
        <w:sectPr>
          <w:pgSz w:w="11900" w:h="16838" w:orient="portrait"/>
          <w:cols w:equalWidth="0" w:num="1">
            <w:col w:w="11180"/>
          </w:cols>
          <w:pgMar w:left="360" w:top="1408"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auto"/>
        </w:rPr>
        <w:t>Adjusted Financial Measures (Non-IFRS)</w:t>
      </w:r>
    </w:p>
    <w:p>
      <w:pPr>
        <w:spacing w:after="0" w:line="262"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In addition to the financial information presented in accordance with IFRS, this press release includes the following adjusted non-IFRS metrics: adjusted gross profit, adjusted operating profit, adjusted net income (loss), adjusted diluted earnings (loss) per share and adjusted EBITDA. We define adjusted gross profit as gross profit adjusted for share-based compensation expense. We define adjusted operating profit as profit from operations adjusted for share-based compensation expense. We define adjusted net income (loss) as net income (loss) adjusted for share-based compensation expense. We define adjusted diluted EPS as adjusted net income (loss) divided by the dilutive shares. We define adjusted EBITDA as net income (loss), adjusted for the impact of finance expense, finance income, income tax expense, depreciation, amortization, share-based compensation expense, transaction gains and associated expenses, restructuring charges and litigation settlements.</w:t>
      </w:r>
    </w:p>
    <w:p>
      <w:pPr>
        <w:spacing w:after="0" w:line="19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We believe that in addition to our results determined in accordance with IFRS, these adjusted non-IFRS measures provide useful information to both management and investors in measuring our financial performance and highlight trends in our business that may not otherwise be apparent when relying solely on IFRS measures. These adjusted non-IFRS financial measures provide supplemental information regarding our operating performance that excludes certain gains, losses and non-cash charges that occur relatively infrequently and/or that we consider to be unrelated to our core operations. For further information regarding these non-IFRS measures, please refer to "Unaudited Reconciliation of IFRS to Adjusted Non-IFRS" table above.</w:t>
      </w:r>
    </w:p>
    <w:p>
      <w:pPr>
        <w:spacing w:after="0" w:line="19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Adjusted non-IFRS financial information is presented for supplemental informational purposes only and should not be considered in isolation or as a substitute for financial information presented in accordance with IFRS. Our presentation of adjusted non-IFRS measures should not be construed as an inference that our future results will be unaffected by unusual or nonrecurring items. Other companies in our industry may calculate these measures differently, which may limit their usefulness as a comparative measure.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 and Webcast Information</w:t>
      </w:r>
    </w:p>
    <w:p>
      <w:pPr>
        <w:spacing w:after="0" w:line="221"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 xml:space="preserve">GF will host a conference call with the financial community on Tuesday, November 8, 2022 at 8:30 a.m. U.S. Eastern Time (ET) to review the Third Quarter 2022 results in detail. Interested parties may join the scheduled conference call by registering at </w:t>
      </w:r>
      <w:r>
        <w:rPr>
          <w:rFonts w:ascii="Arial" w:cs="Arial" w:eastAsia="Arial" w:hAnsi="Arial"/>
          <w:sz w:val="16"/>
          <w:szCs w:val="16"/>
          <w:color w:val="0E32E1"/>
        </w:rPr>
        <w:t>https://register.vevent.com/register/BI4e00c8c0b4a74f61af4bcda1515f2ea0</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call will be webcast and can be accessed from the GF Investor Relations website https://investors.gf.com. A replay of the call will be available on the GF Investor Relations website within 24 hours of the actual call.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GlobalFoundries</w:t>
      </w:r>
    </w:p>
    <w:p>
      <w:pPr>
        <w:spacing w:after="0" w:line="221"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 xml:space="preserve">GlobalFoundries® (GF®) is one of the world’s leading semiconductor manufacturers. GF is redefining innovation and semiconductor manufacturing by developing and delivering feature-rich process technology solutions that provide 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Arial" w:cs="Arial" w:eastAsia="Arial" w:hAnsi="Arial"/>
          <w:sz w:val="16"/>
          <w:szCs w:val="16"/>
          <w:u w:val="single" w:color="auto"/>
          <w:color w:val="0000FF"/>
        </w:rPr>
        <w:t>www.gf.com</w:t>
      </w:r>
      <w:r>
        <w:rPr>
          <w:rFonts w:ascii="Arial" w:cs="Arial" w:eastAsia="Arial" w:hAnsi="Arial"/>
          <w:sz w:val="16"/>
          <w:szCs w:val="16"/>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21"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This press release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the COVID-19 pandemic and supply chain disruptions due to the Russia/Ukraine conflict and actions taken in response to such events; the market for our products may develop more slowly than expected or than it has in the past;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damage our reputation; we could experience interruptions or performance problems associated with our technology, including a service outage; and global economic conditions could deteriorate, including due to increasing interest rates, rising inflation and any potential recession. It is not possible for us to predict all risks, nor can we assess the impact of all factors on our business or the extent to which any factor, or combination of factors, may cause actual results or outcomes to differ materially from those contained in any forward-looking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8 of 9</w:t>
      </w:r>
    </w:p>
    <w:p>
      <w:pPr>
        <w:sectPr>
          <w:pgSz w:w="11900" w:h="16838" w:orient="portrait"/>
          <w:cols w:equalWidth="0" w:num="1">
            <w:col w:w="11240"/>
          </w:cols>
          <w:pgMar w:left="320" w:top="1435" w:right="339" w:bottom="1440" w:gutter="0" w:footer="0" w:header="0"/>
        </w:sectPr>
      </w:pPr>
    </w:p>
    <w:bookmarkStart w:id="11" w:name="page12"/>
    <w:bookmarkEnd w:id="11"/>
    <w:p>
      <w:pPr>
        <w:jc w:val="both"/>
        <w:spacing w:after="0" w:line="234" w:lineRule="auto"/>
        <w:rPr>
          <w:sz w:val="20"/>
          <w:szCs w:val="20"/>
          <w:color w:val="auto"/>
        </w:rPr>
      </w:pPr>
      <w:r>
        <w:rPr>
          <w:rFonts w:ascii="Arial" w:cs="Arial" w:eastAsia="Arial" w:hAnsi="Arial"/>
          <w:sz w:val="16"/>
          <w:szCs w:val="16"/>
          <w:color w:val="auto"/>
        </w:rPr>
        <w:t>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191"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2021 Annual Report on Form 20-F, current reports on Form 6-K and other reports filed with the Securities and Exchange Commission. Copies of our SEC filings are available on our Investor Relations website, investors.gf.com, or from the SEC website, www.sec.gov.</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further information, please contact: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rPr>
          <w:sz w:val="20"/>
          <w:szCs w:val="20"/>
          <w:color w:val="auto"/>
        </w:rPr>
      </w:pPr>
      <w:r>
        <w:rPr>
          <w:rFonts w:ascii="Arial" w:cs="Arial" w:eastAsia="Arial" w:hAnsi="Arial"/>
          <w:sz w:val="16"/>
          <w:szCs w:val="16"/>
          <w:u w:val="single" w:color="auto"/>
          <w:color w:val="0000FF"/>
        </w:rPr>
        <w:t>ir@gf.com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9 of 9</w:t>
      </w:r>
    </w:p>
    <w:sectPr>
      <w:pgSz w:w="11900" w:h="16838" w:orient="portrait"/>
      <w:cols w:equalWidth="0" w:num="1">
        <w:col w:w="11240"/>
      </w:cols>
      <w:pgMar w:left="320"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2022-11-08T06:02:32Z</dcterms:created>
  <dcterms:modified xsi:type="dcterms:W3CDTF">2022-11-08T06:02:32Z</dcterms:modified>
</cp:coreProperties>
</file>