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3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20"/>
        <w:spacing w:after="0"/>
        <w:rPr>
          <w:sz w:val="20"/>
          <w:szCs w:val="20"/>
          <w:color w:val="auto"/>
        </w:rPr>
      </w:pPr>
      <w:r>
        <w:rPr>
          <w:rFonts w:ascii="Georgia" w:cs="Georgia" w:eastAsia="Georgia" w:hAnsi="Georgia"/>
          <w:sz w:val="21"/>
          <w:szCs w:val="21"/>
          <w:b w:val="1"/>
          <w:bCs w:val="1"/>
          <w:color w:val="auto"/>
        </w:rPr>
        <w:t xml:space="preserve">REPORT OF FOREIGN PRIVATE ISSUER PURSUANT TO RULE 13a-16 OR </w:t>
      </w:r>
      <w:r>
        <w:rPr>
          <w:rFonts w:ascii="Times New Roman" w:cs="Times New Roman" w:eastAsia="Times New Roman" w:hAnsi="Times New Roman"/>
          <w:sz w:val="21"/>
          <w:szCs w:val="21"/>
          <w:b w:val="1"/>
          <w:bCs w:val="1"/>
          <w:color w:val="auto"/>
        </w:rPr>
        <w:t>15d-16 UNDER THE</w:t>
      </w:r>
    </w:p>
    <w:p>
      <w:pPr>
        <w:spacing w:after="0" w:line="4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 the month of February 2025</w:t>
      </w:r>
    </w:p>
    <w:p>
      <w:pPr>
        <w:spacing w:after="0" w:line="18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8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66" w:lineRule="exact"/>
        <w:rPr>
          <w:sz w:val="24"/>
          <w:szCs w:val="24"/>
          <w:color w:val="auto"/>
        </w:rPr>
      </w:pPr>
    </w:p>
    <w:p>
      <w:pPr>
        <w:ind w:left="160" w:right="152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279" w:lineRule="exact"/>
        <w:rPr>
          <w:sz w:val="24"/>
          <w:szCs w:val="24"/>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u w:val="single" w:color="auto"/>
          <w:color w:val="0000FF"/>
        </w:rPr>
        <w:t>Press release issued by Registrant on February 11, 2025.</w:t>
      </w:r>
    </w:p>
    <w:p>
      <w:pPr>
        <w:sectPr>
          <w:pgSz w:w="11900" w:h="16838" w:orient="portrait"/>
          <w:cols w:equalWidth="0" w:num="1">
            <w:col w:w="10700"/>
          </w:cols>
          <w:pgMar w:left="340" w:top="1440" w:right="859" w:bottom="1440" w:gutter="0" w:footer="0" w:header="0"/>
        </w:sectPr>
      </w:pPr>
    </w:p>
    <w:bookmarkStart w:id="1" w:name="page2"/>
    <w:bookmarkEnd w:id="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74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70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2025</w:t>
            </w: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Hollister</w:t>
            </w:r>
          </w:p>
        </w:tc>
      </w:tr>
      <w:tr>
        <w:trPr>
          <w:trHeight w:val="40"/>
        </w:trPr>
        <w:tc>
          <w:tcPr>
            <w:tcW w:w="3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380" w:type="dxa"/>
            <w:vAlign w:val="bottom"/>
          </w:tcPr>
          <w:p>
            <w:pPr>
              <w:spacing w:after="0"/>
              <w:rPr>
                <w:sz w:val="20"/>
                <w:szCs w:val="20"/>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Hollister</w:t>
            </w:r>
          </w:p>
        </w:tc>
      </w:tr>
      <w:tr>
        <w:trPr>
          <w:trHeight w:val="283"/>
        </w:trPr>
        <w:tc>
          <w:tcPr>
            <w:tcW w:w="3380" w:type="dxa"/>
            <w:vAlign w:val="bottom"/>
          </w:tcPr>
          <w:p>
            <w:pPr>
              <w:spacing w:after="0"/>
              <w:rPr>
                <w:sz w:val="24"/>
                <w:szCs w:val="24"/>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GlobalFoundries Reports Fourth Quarter 2024 and Fiscal Year 2024</w:t>
      </w:r>
    </w:p>
    <w:p>
      <w:pPr>
        <w:jc w:val="center"/>
        <w:spacing w:after="0"/>
        <w:rPr>
          <w:sz w:val="20"/>
          <w:szCs w:val="20"/>
          <w:color w:val="auto"/>
        </w:rPr>
      </w:pPr>
      <w:r>
        <w:rPr>
          <w:rFonts w:ascii="Arial" w:cs="Arial" w:eastAsia="Arial" w:hAnsi="Arial"/>
          <w:sz w:val="22"/>
          <w:szCs w:val="22"/>
          <w:b w:val="1"/>
          <w:bCs w:val="1"/>
          <w:color w:val="auto"/>
        </w:rPr>
        <w:t>Financial Results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356" w:lineRule="auto"/>
        <w:rPr>
          <w:sz w:val="20"/>
          <w:szCs w:val="20"/>
          <w:color w:val="auto"/>
        </w:rPr>
      </w:pPr>
      <w:r>
        <w:rPr>
          <w:rFonts w:ascii="Arial" w:cs="Arial" w:eastAsia="Arial" w:hAnsi="Arial"/>
          <w:sz w:val="16"/>
          <w:szCs w:val="16"/>
          <w:b w:val="1"/>
          <w:bCs w:val="1"/>
          <w:color w:val="auto"/>
        </w:rPr>
        <w:t>Malta, New York</w:t>
      </w:r>
      <w:r>
        <w:rPr>
          <w:rFonts w:ascii="Arial" w:cs="Arial" w:eastAsia="Arial" w:hAnsi="Arial"/>
          <w:sz w:val="16"/>
          <w:szCs w:val="16"/>
          <w:color w:val="auto"/>
        </w:rPr>
        <w:t>, February 11, 2025 - GlobalFoundries Inc. (GF) (Nasdaq: GFS) today announced preliminary financial results for the fourth quarter and</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ended December 31, 2024.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Fourth Quarter Financial Highlights</w:t>
      </w:r>
    </w:p>
    <w:p>
      <w:pPr>
        <w:spacing w:after="0" w:line="59"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of $1.830 billion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Gross margin of 24.5% and Non-IFRS gross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25.4%</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margin of (38.3)% and Non-IFRS operating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15.6%</w:t>
      </w:r>
    </w:p>
    <w:p>
      <w:pPr>
        <w:spacing w:after="0" w:line="1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loss of $729 million and Non-IFRS net income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$256 million</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Diluted loss per share of $1.32 and Non-IFRS diluted earnings per share of $0.46</w:t>
      </w:r>
    </w:p>
    <w:p>
      <w:pPr>
        <w:spacing w:after="0" w:line="56"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Non-IFRS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$661 million</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Ending cash, cash equivalents and marketable securities of $4.2 billion</w:t>
      </w:r>
    </w:p>
    <w:p>
      <w:pPr>
        <w:spacing w:after="0" w:line="56"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cash provided by operating activities of $457 million and Non-IFRS adjusted free cash flow</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$328 million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Full Year 2024 Financial Highlights</w:t>
      </w:r>
    </w:p>
    <w:p>
      <w:pPr>
        <w:spacing w:after="0" w:line="7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of $6.750 billion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margin of 24.5% and Non-IFRS gross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25.3%</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loss of $262 million and Non-IFRS net income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$870 million</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Diluted loss per share of $0.48 and Non-IFRS diluted earnings per share of $1.56</w:t>
      </w:r>
    </w:p>
    <w:p>
      <w:pPr>
        <w:spacing w:after="0" w:line="46"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Non-IFRS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$2.475 billion</w:t>
      </w:r>
    </w:p>
    <w:p>
      <w:pPr>
        <w:spacing w:after="0" w:line="27"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Year to date net cash provided by operating activities of $1.722 billion and Non-IFRS adjusted free cash flow</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$1.107 billion</w:t>
      </w:r>
    </w:p>
    <w:p>
      <w:pPr>
        <w:spacing w:after="0" w:line="229"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"In the fourth quarter, the GF team delivered solid financial results that exceeded the Non-IFRS midpoint of the guidance ranges we provided in our November earnings release,” said Dr. Thomas Caulfield, President and CEO of GF. "2024 presented a unique set of challenges for our industry, but thanks to our focus on operational excellence, we generated over $1 billion of Non-IFRS adjusted free cash flow</w:t>
      </w:r>
      <w:r>
        <w:rPr>
          <w:rFonts w:ascii="Arial" w:cs="Arial" w:eastAsia="Arial" w:hAnsi="Arial"/>
          <w:sz w:val="21"/>
          <w:szCs w:val="21"/>
          <w:color w:val="auto"/>
          <w:vertAlign w:val="superscript"/>
        </w:rPr>
        <w:t>(1)</w:t>
      </w:r>
      <w:r>
        <w:rPr>
          <w:rFonts w:ascii="Arial" w:cs="Arial" w:eastAsia="Arial" w:hAnsi="Arial"/>
          <w:sz w:val="16"/>
          <w:szCs w:val="16"/>
          <w:color w:val="auto"/>
        </w:rPr>
        <w:t>. As we look to 2025, we are encouraged by our strong design win momentum across our end markets and product portfolio as we position GF for a growth year."</w:t>
      </w:r>
    </w:p>
    <w:p>
      <w:pPr>
        <w:spacing w:after="0" w:line="194"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In the fourth quarter 2024, GF recorded a $935 million impairment charge on the long-lived assets relating to legacy investments in production capacity at its facility in Malta, New York. GF undertook this action pursuant to the diversification of its long-term manufacturing technology platform roadmap in Malta, which is consistent with the Company’s previously communicated technology transfer strategy needed to meet expected long-term customer demand. Since such impairment is not expected to be a recurring event, the Company believes this additional adjustment to Non-IFRS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metrics better enables management and investors to make more meaningful comparisons of fourth quarter 2024 results against prior periods.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302" w:lineRule="exact"/>
        <w:rPr>
          <w:sz w:val="20"/>
          <w:szCs w:val="20"/>
          <w:color w:val="auto"/>
        </w:rPr>
      </w:pPr>
    </w:p>
    <w:p>
      <w:pPr>
        <w:jc w:val="both"/>
        <w:ind w:left="660" w:hanging="328"/>
        <w:spacing w:after="0" w:line="34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GF announced a first-of-its-kind center for advanced packaging and test capabilities, to be developed at its Malta, New York facility. Supported by grants from New York State and the U.S. Department of Commerce, GF’s Advanced Packaging and Photonics Center will help meet the growing demand for U.S.-made essential chips used in AI, automotive, aerospace and defense, and communications applications.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 of 12</w:t>
      </w:r>
    </w:p>
    <w:p>
      <w:pPr>
        <w:sectPr>
          <w:pgSz w:w="11900" w:h="16838" w:orient="portrait"/>
          <w:cols w:equalWidth="0" w:num="1">
            <w:col w:w="11240"/>
          </w:cols>
          <w:pgMar w:left="320" w:top="1298" w:right="339" w:bottom="1440" w:gutter="0" w:footer="0" w:header="0"/>
        </w:sectPr>
      </w:pPr>
    </w:p>
    <w:bookmarkStart w:id="3" w:name="page4"/>
    <w:bookmarkEnd w:id="3"/>
    <w:p>
      <w:pPr>
        <w:jc w:val="both"/>
        <w:ind w:left="660" w:hanging="328"/>
        <w:spacing w:after="0" w:line="345"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IDEMIA and GF announced a partnership to deliver next-generation smart card technology with improved data retention, low read latency and enhanced power efficiency - saving customers cost and time. This multi-year collaboration will be 100% manufactured and tested in Europe on GF's 28ESF3 platform, ensuring trusted providence.</w:t>
      </w:r>
    </w:p>
    <w:p>
      <w:pPr>
        <w:spacing w:after="0" w:line="192" w:lineRule="exact"/>
        <w:rPr>
          <w:rFonts w:ascii="Arial" w:cs="Arial" w:eastAsia="Arial" w:hAnsi="Arial"/>
          <w:sz w:val="16"/>
          <w:szCs w:val="16"/>
          <w:color w:val="auto"/>
        </w:rPr>
      </w:pPr>
    </w:p>
    <w:p>
      <w:pPr>
        <w:jc w:val="both"/>
        <w:ind w:left="660" w:hanging="328"/>
        <w:spacing w:after="0" w:line="345"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Lightmatter announced that it will use GF’s Fotonix™ fabrication platform to develop the industry’s most robust and scalable AI interconnect solution. By integrating electronics and photonics into a single CMOS wafer, GF's unique solution will enable the speed and efficiency needed for future AI data centers.</w:t>
      </w:r>
    </w:p>
    <w:p>
      <w:pPr>
        <w:spacing w:after="0" w:line="174" w:lineRule="exact"/>
        <w:rPr>
          <w:rFonts w:ascii="Arial" w:cs="Arial" w:eastAsia="Arial" w:hAnsi="Arial"/>
          <w:sz w:val="16"/>
          <w:szCs w:val="16"/>
          <w:color w:val="auto"/>
        </w:rPr>
      </w:pPr>
    </w:p>
    <w:p>
      <w:pPr>
        <w:ind w:left="180" w:hanging="172"/>
        <w:spacing w:after="0" w:line="226" w:lineRule="auto"/>
        <w:tabs>
          <w:tab w:leader="none" w:pos="249"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 of 12</w:t>
      </w:r>
    </w:p>
    <w:p>
      <w:pPr>
        <w:sectPr>
          <w:pgSz w:w="11900" w:h="16838" w:orient="portrait"/>
          <w:cols w:equalWidth="0" w:num="1">
            <w:col w:w="11240"/>
          </w:cols>
          <w:pgMar w:left="320" w:top="1124" w:right="339" w:bottom="1440" w:gutter="0" w:footer="0" w:header="0"/>
        </w:sectPr>
      </w:pPr>
    </w:p>
    <w:bookmarkStart w:id="4" w:name="page5"/>
    <w:bookmarkEnd w:id="4"/>
    <w:p>
      <w:pPr>
        <w:spacing w:after="0" w:line="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GlobalFoundries Inc.</w:t>
      </w: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Summary Quarterly Results</w:t>
      </w:r>
    </w:p>
    <w:p>
      <w:pPr>
        <w:jc w:val="center"/>
        <w:ind w:right="-11"/>
        <w:spacing w:after="0"/>
        <w:rPr>
          <w:sz w:val="20"/>
          <w:szCs w:val="20"/>
          <w:color w:val="auto"/>
        </w:rPr>
      </w:pPr>
      <w:r>
        <w:rPr>
          <w:rFonts w:ascii="Arial" w:cs="Arial" w:eastAsia="Arial" w:hAnsi="Arial"/>
          <w:sz w:val="14"/>
          <w:szCs w:val="14"/>
          <w:b w:val="1"/>
          <w:bCs w:val="1"/>
          <w:color w:val="auto"/>
        </w:rPr>
        <w:t>(Unaudited, in millions, except per share amounts and wafer shipments)</w:t>
      </w:r>
    </w:p>
    <w:p>
      <w:pPr>
        <w:spacing w:after="0" w:line="271" w:lineRule="exact"/>
        <w:rPr>
          <w:sz w:val="20"/>
          <w:szCs w:val="20"/>
          <w:color w:val="auto"/>
        </w:rPr>
      </w:pPr>
    </w:p>
    <w:tbl>
      <w:tblPr>
        <w:tblLayout w:type="fixed"/>
        <w:tblInd w:w="52"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9"/>
              </w:rPr>
              <w:t>Year-over-year</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Sequential</w:t>
            </w:r>
          </w:p>
        </w:tc>
        <w:tc>
          <w:tcPr>
            <w:tcW w:w="0" w:type="dxa"/>
            <w:vAlign w:val="bottom"/>
          </w:tcPr>
          <w:p>
            <w:pPr>
              <w:spacing w:after="0"/>
              <w:rPr>
                <w:sz w:val="1"/>
                <w:szCs w:val="1"/>
                <w:color w:val="auto"/>
              </w:rPr>
            </w:pPr>
          </w:p>
        </w:tc>
      </w:tr>
      <w:tr>
        <w:trPr>
          <w:trHeight w:val="164"/>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Q4'24</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Q3'24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Q4'23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Q4'24 vs Q4'23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Q4'24 vs Q3'24</w:t>
            </w:r>
          </w:p>
        </w:tc>
        <w:tc>
          <w:tcPr>
            <w:tcW w:w="0" w:type="dxa"/>
            <w:vAlign w:val="bottom"/>
          </w:tcPr>
          <w:p>
            <w:pPr>
              <w:spacing w:after="0"/>
              <w:rPr>
                <w:sz w:val="1"/>
                <w:szCs w:val="1"/>
                <w:color w:val="auto"/>
              </w:rPr>
            </w:pPr>
          </w:p>
        </w:tc>
      </w:tr>
      <w:tr>
        <w:trPr>
          <w:trHeight w:val="135"/>
        </w:trPr>
        <w:tc>
          <w:tcPr>
            <w:tcW w:w="3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20" w:type="dxa"/>
            <w:vAlign w:val="bottom"/>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1,830</w:t>
            </w:r>
          </w:p>
        </w:tc>
        <w:tc>
          <w:tcPr>
            <w:tcW w:w="140" w:type="dxa"/>
            <w:vAlign w:val="bottom"/>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1,739</w:t>
            </w:r>
          </w:p>
        </w:tc>
        <w:tc>
          <w:tcPr>
            <w:tcW w:w="140" w:type="dxa"/>
            <w:vAlign w:val="bottom"/>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1,854</w:t>
            </w:r>
          </w:p>
        </w:tc>
        <w:tc>
          <w:tcPr>
            <w:tcW w:w="140" w:type="dxa"/>
            <w:vAlign w:val="bottom"/>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449</w:t>
            </w:r>
          </w:p>
        </w:tc>
        <w:tc>
          <w:tcPr>
            <w:tcW w:w="14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414</w:t>
            </w:r>
          </w:p>
        </w:tc>
        <w:tc>
          <w:tcPr>
            <w:tcW w:w="14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525</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(76)</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(14)%</w:t>
            </w:r>
          </w:p>
        </w:tc>
        <w:tc>
          <w:tcPr>
            <w:tcW w:w="140" w:type="dxa"/>
            <w:vAlign w:val="bottom"/>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35</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8 %</w:t>
            </w:r>
          </w:p>
        </w:tc>
        <w:tc>
          <w:tcPr>
            <w:tcW w:w="0" w:type="dxa"/>
            <w:vAlign w:val="bottom"/>
          </w:tcPr>
          <w:p>
            <w:pPr>
              <w:spacing w:after="0"/>
              <w:rPr>
                <w:sz w:val="1"/>
                <w:szCs w:val="1"/>
                <w:color w:val="auto"/>
              </w:rPr>
            </w:pPr>
          </w:p>
        </w:tc>
      </w:tr>
      <w:tr>
        <w:trPr>
          <w:trHeight w:val="26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Gross margin</w:t>
            </w:r>
          </w:p>
        </w:tc>
        <w:tc>
          <w:tcPr>
            <w:tcW w:w="12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24.5 %</w:t>
            </w:r>
          </w:p>
        </w:tc>
        <w:tc>
          <w:tcPr>
            <w:tcW w:w="140" w:type="dxa"/>
            <w:vAlign w:val="bottom"/>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23.8 %</w:t>
            </w:r>
          </w:p>
        </w:tc>
        <w:tc>
          <w:tcPr>
            <w:tcW w:w="14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4"/>
                <w:szCs w:val="14"/>
                <w:i w:val="1"/>
                <w:iCs w:val="1"/>
                <w:color w:val="auto"/>
              </w:rPr>
              <w:t>28.3 %</w:t>
            </w:r>
          </w:p>
        </w:tc>
        <w:tc>
          <w:tcPr>
            <w:tcW w:w="140" w:type="dxa"/>
            <w:vAlign w:val="bottom"/>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(380)bps</w:t>
            </w:r>
          </w:p>
        </w:tc>
        <w:tc>
          <w:tcPr>
            <w:tcW w:w="140" w:type="dxa"/>
            <w:vAlign w:val="bottom"/>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+70bps</w:t>
            </w:r>
          </w:p>
        </w:tc>
        <w:tc>
          <w:tcPr>
            <w:tcW w:w="0" w:type="dxa"/>
            <w:vAlign w:val="bottom"/>
          </w:tcPr>
          <w:p>
            <w:pPr>
              <w:spacing w:after="0"/>
              <w:rPr>
                <w:sz w:val="1"/>
                <w:szCs w:val="1"/>
                <w:color w:val="auto"/>
              </w:rPr>
            </w:pPr>
          </w:p>
        </w:tc>
      </w:tr>
      <w:tr>
        <w:trPr>
          <w:trHeight w:val="203"/>
        </w:trPr>
        <w:tc>
          <w:tcPr>
            <w:tcW w:w="31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gross profit</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464</w:t>
            </w:r>
          </w:p>
        </w:tc>
        <w:tc>
          <w:tcPr>
            <w:tcW w:w="140" w:type="dxa"/>
            <w:vAlign w:val="bottom"/>
          </w:tcPr>
          <w:p>
            <w:pPr>
              <w:spacing w:after="0"/>
              <w:rPr>
                <w:sz w:val="17"/>
                <w:szCs w:val="17"/>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429</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537</w:t>
            </w:r>
          </w:p>
        </w:tc>
        <w:tc>
          <w:tcPr>
            <w:tcW w:w="140" w:type="dxa"/>
            <w:vAlign w:val="bottom"/>
          </w:tcPr>
          <w:p>
            <w:pPr>
              <w:spacing w:after="0"/>
              <w:rPr>
                <w:sz w:val="17"/>
                <w:szCs w:val="17"/>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(73)</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(14)%</w:t>
            </w: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35</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8 %</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Non-IFRS gross margin</w:t>
            </w:r>
            <w:r>
              <w:rPr>
                <w:rFonts w:ascii="Arial" w:cs="Arial" w:eastAsia="Arial" w:hAnsi="Arial"/>
                <w:sz w:val="18"/>
                <w:szCs w:val="18"/>
                <w:i w:val="1"/>
                <w:iCs w:val="1"/>
                <w:color w:val="auto"/>
                <w:vertAlign w:val="superscript"/>
              </w:rPr>
              <w:t>(1)</w:t>
            </w:r>
          </w:p>
        </w:tc>
        <w:tc>
          <w:tcPr>
            <w:tcW w:w="1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25.4 %</w:t>
            </w:r>
          </w:p>
        </w:tc>
        <w:tc>
          <w:tcPr>
            <w:tcW w:w="14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24.7 %</w:t>
            </w:r>
          </w:p>
        </w:tc>
        <w:tc>
          <w:tcPr>
            <w:tcW w:w="14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29.0 %</w:t>
            </w:r>
          </w:p>
        </w:tc>
        <w:tc>
          <w:tcPr>
            <w:tcW w:w="14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(360)bps</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+70bps</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1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(701)</w:t>
            </w:r>
          </w:p>
        </w:tc>
        <w:tc>
          <w:tcPr>
            <w:tcW w:w="14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185</w:t>
            </w:r>
          </w:p>
        </w:tc>
        <w:tc>
          <w:tcPr>
            <w:tcW w:w="14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303</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(1,004)</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(331)%</w:t>
            </w:r>
          </w:p>
        </w:tc>
        <w:tc>
          <w:tcPr>
            <w:tcW w:w="140" w:type="dxa"/>
            <w:vAlign w:val="bottom"/>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(886)</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(479)%</w:t>
            </w:r>
          </w:p>
        </w:tc>
        <w:tc>
          <w:tcPr>
            <w:tcW w:w="0" w:type="dxa"/>
            <w:vAlign w:val="bottom"/>
          </w:tcPr>
          <w:p>
            <w:pPr>
              <w:spacing w:after="0"/>
              <w:rPr>
                <w:sz w:val="1"/>
                <w:szCs w:val="1"/>
                <w:color w:val="auto"/>
              </w:rPr>
            </w:pPr>
          </w:p>
        </w:tc>
      </w:tr>
      <w:tr>
        <w:trPr>
          <w:trHeight w:val="26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Operating margin</w:t>
            </w:r>
          </w:p>
        </w:tc>
        <w:tc>
          <w:tcPr>
            <w:tcW w:w="12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(38.3)%</w:t>
            </w:r>
          </w:p>
        </w:tc>
        <w:tc>
          <w:tcPr>
            <w:tcW w:w="140" w:type="dxa"/>
            <w:vAlign w:val="bottom"/>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10.6 %</w:t>
            </w:r>
          </w:p>
        </w:tc>
        <w:tc>
          <w:tcPr>
            <w:tcW w:w="14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4"/>
                <w:szCs w:val="14"/>
                <w:i w:val="1"/>
                <w:iCs w:val="1"/>
                <w:color w:val="auto"/>
              </w:rPr>
              <w:t>16.3 %</w:t>
            </w:r>
          </w:p>
        </w:tc>
        <w:tc>
          <w:tcPr>
            <w:tcW w:w="140" w:type="dxa"/>
            <w:vAlign w:val="bottom"/>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(5,460)bps</w:t>
            </w:r>
          </w:p>
        </w:tc>
        <w:tc>
          <w:tcPr>
            <w:tcW w:w="140" w:type="dxa"/>
            <w:vAlign w:val="bottom"/>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(4,890)bps</w:t>
            </w:r>
          </w:p>
        </w:tc>
        <w:tc>
          <w:tcPr>
            <w:tcW w:w="0" w:type="dxa"/>
            <w:vAlign w:val="bottom"/>
          </w:tcPr>
          <w:p>
            <w:pPr>
              <w:spacing w:after="0"/>
              <w:rPr>
                <w:sz w:val="1"/>
                <w:szCs w:val="1"/>
                <w:color w:val="auto"/>
              </w:rPr>
            </w:pPr>
          </w:p>
        </w:tc>
      </w:tr>
      <w:tr>
        <w:trPr>
          <w:trHeight w:val="203"/>
        </w:trPr>
        <w:tc>
          <w:tcPr>
            <w:tcW w:w="31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operating profit</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285</w:t>
            </w:r>
          </w:p>
        </w:tc>
        <w:tc>
          <w:tcPr>
            <w:tcW w:w="140" w:type="dxa"/>
            <w:vAlign w:val="bottom"/>
          </w:tcPr>
          <w:p>
            <w:pPr>
              <w:spacing w:after="0"/>
              <w:rPr>
                <w:sz w:val="17"/>
                <w:szCs w:val="17"/>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236</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383</w:t>
            </w:r>
          </w:p>
        </w:tc>
        <w:tc>
          <w:tcPr>
            <w:tcW w:w="140" w:type="dxa"/>
            <w:vAlign w:val="bottom"/>
          </w:tcPr>
          <w:p>
            <w:pPr>
              <w:spacing w:after="0"/>
              <w:rPr>
                <w:sz w:val="17"/>
                <w:szCs w:val="17"/>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(98)</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(26)%</w:t>
            </w: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49</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21 %</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Non-IFRS operating margin</w:t>
            </w:r>
            <w:r>
              <w:rPr>
                <w:rFonts w:ascii="Arial" w:cs="Arial" w:eastAsia="Arial" w:hAnsi="Arial"/>
                <w:sz w:val="18"/>
                <w:szCs w:val="18"/>
                <w:i w:val="1"/>
                <w:iCs w:val="1"/>
                <w:color w:val="auto"/>
                <w:vertAlign w:val="superscript"/>
              </w:rPr>
              <w:t>(1)</w:t>
            </w:r>
          </w:p>
        </w:tc>
        <w:tc>
          <w:tcPr>
            <w:tcW w:w="1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15.6 %</w:t>
            </w:r>
          </w:p>
        </w:tc>
        <w:tc>
          <w:tcPr>
            <w:tcW w:w="14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13.6 %</w:t>
            </w:r>
          </w:p>
        </w:tc>
        <w:tc>
          <w:tcPr>
            <w:tcW w:w="14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20.7 %</w:t>
            </w:r>
          </w:p>
        </w:tc>
        <w:tc>
          <w:tcPr>
            <w:tcW w:w="14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(510)bps</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+200bps</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(729)</w:t>
            </w:r>
          </w:p>
        </w:tc>
        <w:tc>
          <w:tcPr>
            <w:tcW w:w="14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178</w:t>
            </w:r>
          </w:p>
        </w:tc>
        <w:tc>
          <w:tcPr>
            <w:tcW w:w="14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278</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(1,007)</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(362)%</w:t>
            </w:r>
          </w:p>
        </w:tc>
        <w:tc>
          <w:tcPr>
            <w:tcW w:w="140" w:type="dxa"/>
            <w:vAlign w:val="bottom"/>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(907)</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(510)%</w:t>
            </w:r>
          </w:p>
        </w:tc>
        <w:tc>
          <w:tcPr>
            <w:tcW w:w="0" w:type="dxa"/>
            <w:vAlign w:val="bottom"/>
          </w:tcPr>
          <w:p>
            <w:pPr>
              <w:spacing w:after="0"/>
              <w:rPr>
                <w:sz w:val="1"/>
                <w:szCs w:val="1"/>
                <w:color w:val="auto"/>
              </w:rPr>
            </w:pPr>
          </w:p>
        </w:tc>
      </w:tr>
      <w:tr>
        <w:trPr>
          <w:trHeight w:val="26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Net income (loss) margin</w:t>
            </w:r>
          </w:p>
        </w:tc>
        <w:tc>
          <w:tcPr>
            <w:tcW w:w="12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(39.8)%</w:t>
            </w:r>
          </w:p>
        </w:tc>
        <w:tc>
          <w:tcPr>
            <w:tcW w:w="140" w:type="dxa"/>
            <w:vAlign w:val="bottom"/>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10.2 %</w:t>
            </w:r>
          </w:p>
        </w:tc>
        <w:tc>
          <w:tcPr>
            <w:tcW w:w="14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4"/>
                <w:szCs w:val="14"/>
                <w:i w:val="1"/>
                <w:iCs w:val="1"/>
                <w:color w:val="auto"/>
              </w:rPr>
              <w:t>15.0 %</w:t>
            </w:r>
          </w:p>
        </w:tc>
        <w:tc>
          <w:tcPr>
            <w:tcW w:w="140" w:type="dxa"/>
            <w:vAlign w:val="bottom"/>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(5,480)bps</w:t>
            </w:r>
          </w:p>
        </w:tc>
        <w:tc>
          <w:tcPr>
            <w:tcW w:w="140" w:type="dxa"/>
            <w:vAlign w:val="bottom"/>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i w:val="1"/>
                <w:iCs w:val="1"/>
                <w:color w:val="auto"/>
              </w:rPr>
              <w:t>(5,000)bps</w:t>
            </w:r>
          </w:p>
        </w:tc>
        <w:tc>
          <w:tcPr>
            <w:tcW w:w="0" w:type="dxa"/>
            <w:vAlign w:val="bottom"/>
          </w:tcPr>
          <w:p>
            <w:pPr>
              <w:spacing w:after="0"/>
              <w:rPr>
                <w:sz w:val="1"/>
                <w:szCs w:val="1"/>
                <w:color w:val="auto"/>
              </w:rPr>
            </w:pPr>
          </w:p>
        </w:tc>
      </w:tr>
      <w:tr>
        <w:trPr>
          <w:trHeight w:val="203"/>
        </w:trPr>
        <w:tc>
          <w:tcPr>
            <w:tcW w:w="31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Non-IFRS net income</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256</w:t>
            </w:r>
          </w:p>
        </w:tc>
        <w:tc>
          <w:tcPr>
            <w:tcW w:w="140" w:type="dxa"/>
            <w:vAlign w:val="bottom"/>
          </w:tcPr>
          <w:p>
            <w:pPr>
              <w:spacing w:after="0"/>
              <w:rPr>
                <w:sz w:val="17"/>
                <w:szCs w:val="17"/>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229</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356</w:t>
            </w:r>
          </w:p>
        </w:tc>
        <w:tc>
          <w:tcPr>
            <w:tcW w:w="140" w:type="dxa"/>
            <w:vAlign w:val="bottom"/>
          </w:tcPr>
          <w:p>
            <w:pPr>
              <w:spacing w:after="0"/>
              <w:rPr>
                <w:sz w:val="17"/>
                <w:szCs w:val="17"/>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(100)</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(28)%</w:t>
            </w: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27</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12 %</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i w:val="1"/>
                <w:iCs w:val="1"/>
                <w:color w:val="auto"/>
              </w:rPr>
              <w:t>Non-IFRS net income margin</w:t>
            </w:r>
            <w:r>
              <w:rPr>
                <w:rFonts w:ascii="Arial" w:cs="Arial" w:eastAsia="Arial" w:hAnsi="Arial"/>
                <w:sz w:val="18"/>
                <w:szCs w:val="18"/>
                <w:i w:val="1"/>
                <w:iCs w:val="1"/>
                <w:color w:val="auto"/>
                <w:vertAlign w:val="superscript"/>
              </w:rPr>
              <w:t>(1)</w:t>
            </w:r>
          </w:p>
        </w:tc>
        <w:tc>
          <w:tcPr>
            <w:tcW w:w="1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14.0 %</w:t>
            </w:r>
          </w:p>
        </w:tc>
        <w:tc>
          <w:tcPr>
            <w:tcW w:w="14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13.2 %</w:t>
            </w:r>
          </w:p>
        </w:tc>
        <w:tc>
          <w:tcPr>
            <w:tcW w:w="14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19.2 %</w:t>
            </w:r>
          </w:p>
        </w:tc>
        <w:tc>
          <w:tcPr>
            <w:tcW w:w="14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(520)bps</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+80bps</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(loss) per share ("EPS")</w:t>
            </w:r>
          </w:p>
        </w:tc>
        <w:tc>
          <w:tcPr>
            <w:tcW w:w="1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(1.32)</w:t>
            </w:r>
          </w:p>
        </w:tc>
        <w:tc>
          <w:tcPr>
            <w:tcW w:w="14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0.32</w:t>
            </w:r>
          </w:p>
        </w:tc>
        <w:tc>
          <w:tcPr>
            <w:tcW w:w="14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0.50</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(1.82)</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(364)%</w:t>
            </w:r>
          </w:p>
        </w:tc>
        <w:tc>
          <w:tcPr>
            <w:tcW w:w="140" w:type="dxa"/>
            <w:vAlign w:val="bottom"/>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(1.64)</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(513)%</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14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diluted EPS</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0.46</w:t>
            </w:r>
          </w:p>
        </w:tc>
        <w:tc>
          <w:tcPr>
            <w:tcW w:w="14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0.41</w:t>
            </w:r>
          </w:p>
        </w:tc>
        <w:tc>
          <w:tcPr>
            <w:tcW w:w="14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0.64</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(0.18)</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(28)%</w:t>
            </w:r>
          </w:p>
        </w:tc>
        <w:tc>
          <w:tcPr>
            <w:tcW w:w="140" w:type="dxa"/>
            <w:vAlign w:val="bottom"/>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0.05</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12 %</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Non-IFRS adjusted EBITDA</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661</w:t>
            </w:r>
          </w:p>
        </w:tc>
        <w:tc>
          <w:tcPr>
            <w:tcW w:w="140" w:type="dxa"/>
            <w:vAlign w:val="bottom"/>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627</w:t>
            </w:r>
          </w:p>
        </w:tc>
        <w:tc>
          <w:tcPr>
            <w:tcW w:w="14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773</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(112)</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(14)%</w:t>
            </w:r>
          </w:p>
        </w:tc>
        <w:tc>
          <w:tcPr>
            <w:tcW w:w="140" w:type="dxa"/>
            <w:vAlign w:val="bottom"/>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34</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r>
        <w:trPr>
          <w:trHeight w:val="268"/>
        </w:trPr>
        <w:tc>
          <w:tcPr>
            <w:tcW w:w="31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tc>
        <w:tc>
          <w:tcPr>
            <w:tcW w:w="12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36.1 %</w:t>
            </w:r>
          </w:p>
        </w:tc>
        <w:tc>
          <w:tcPr>
            <w:tcW w:w="140" w:type="dxa"/>
            <w:vAlign w:val="bottom"/>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36.1 %</w:t>
            </w:r>
          </w:p>
        </w:tc>
        <w:tc>
          <w:tcPr>
            <w:tcW w:w="14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4"/>
                <w:szCs w:val="14"/>
                <w:i w:val="1"/>
                <w:iCs w:val="1"/>
                <w:color w:val="auto"/>
              </w:rPr>
              <w:t>41.7 %</w:t>
            </w:r>
          </w:p>
        </w:tc>
        <w:tc>
          <w:tcPr>
            <w:tcW w:w="140" w:type="dxa"/>
            <w:vAlign w:val="bottom"/>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(560)bps</w:t>
            </w:r>
          </w:p>
        </w:tc>
        <w:tc>
          <w:tcPr>
            <w:tcW w:w="140" w:type="dxa"/>
            <w:vAlign w:val="bottom"/>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0bps</w:t>
            </w:r>
          </w:p>
        </w:tc>
        <w:tc>
          <w:tcPr>
            <w:tcW w:w="0" w:type="dxa"/>
            <w:vAlign w:val="bottom"/>
          </w:tcPr>
          <w:p>
            <w:pPr>
              <w:spacing w:after="0"/>
              <w:rPr>
                <w:sz w:val="1"/>
                <w:szCs w:val="1"/>
                <w:color w:val="auto"/>
              </w:rPr>
            </w:pPr>
          </w:p>
        </w:tc>
      </w:tr>
      <w:tr>
        <w:trPr>
          <w:trHeight w:val="202"/>
        </w:trPr>
        <w:tc>
          <w:tcPr>
            <w:tcW w:w="31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457</w:t>
            </w:r>
          </w:p>
        </w:tc>
        <w:tc>
          <w:tcPr>
            <w:tcW w:w="140" w:type="dxa"/>
            <w:vAlign w:val="bottom"/>
          </w:tcPr>
          <w:p>
            <w:pPr>
              <w:spacing w:after="0"/>
              <w:rPr>
                <w:sz w:val="17"/>
                <w:szCs w:val="17"/>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375</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684</w:t>
            </w:r>
          </w:p>
        </w:tc>
        <w:tc>
          <w:tcPr>
            <w:tcW w:w="140" w:type="dxa"/>
            <w:vAlign w:val="bottom"/>
          </w:tcPr>
          <w:p>
            <w:pPr>
              <w:spacing w:after="0"/>
              <w:rPr>
                <w:sz w:val="17"/>
                <w:szCs w:val="17"/>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(227)</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(33)%</w:t>
            </w: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82</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22 %</w:t>
            </w:r>
          </w:p>
        </w:tc>
        <w:tc>
          <w:tcPr>
            <w:tcW w:w="0" w:type="dxa"/>
            <w:vAlign w:val="bottom"/>
          </w:tcPr>
          <w:p>
            <w:pPr>
              <w:spacing w:after="0"/>
              <w:rPr>
                <w:sz w:val="1"/>
                <w:szCs w:val="1"/>
                <w:color w:val="auto"/>
              </w:rPr>
            </w:pPr>
          </w:p>
        </w:tc>
      </w:tr>
      <w:tr>
        <w:trPr>
          <w:trHeight w:val="89"/>
        </w:trPr>
        <w:tc>
          <w:tcPr>
            <w:tcW w:w="3140" w:type="dxa"/>
            <w:vAlign w:val="bottom"/>
            <w:tcBorders>
              <w:bottom w:val="single" w:sz="8" w:color="auto"/>
            </w:tcBorders>
            <w:shd w:val="clear" w:color="auto" w:fill="CCEEFF"/>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1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Wafer shipments (300mm equivalent)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595</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549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552</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43</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8 %</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46</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8 %</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172" w:hanging="172"/>
        <w:spacing w:after="0" w:line="226" w:lineRule="auto"/>
        <w:tabs>
          <w:tab w:leader="none" w:pos="145"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Page 3 of 12</w:t>
      </w:r>
    </w:p>
    <w:p>
      <w:pPr>
        <w:sectPr>
          <w:pgSz w:w="11900" w:h="16838" w:orient="portrait"/>
          <w:cols w:equalWidth="0" w:num="1">
            <w:col w:w="11232"/>
          </w:cols>
          <w:pgMar w:left="328" w:top="1440" w:right="339" w:bottom="1440" w:gutter="0" w:footer="0" w:header="0"/>
        </w:sectPr>
      </w:pPr>
    </w:p>
    <w:bookmarkStart w:id="5" w:name="page6"/>
    <w:bookmarkEnd w:id="5"/>
    <w:p>
      <w:pPr>
        <w:spacing w:after="0" w:line="4"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GlobalFoundries Inc.</w:t>
      </w:r>
    </w:p>
    <w:p>
      <w:pPr>
        <w:spacing w:after="0" w:line="254"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Summary Annual Results</w:t>
      </w:r>
    </w:p>
    <w:p>
      <w:pPr>
        <w:jc w:val="center"/>
        <w:ind w:right="-9"/>
        <w:spacing w:after="0"/>
        <w:rPr>
          <w:sz w:val="20"/>
          <w:szCs w:val="20"/>
          <w:color w:val="auto"/>
        </w:rPr>
      </w:pPr>
      <w:r>
        <w:rPr>
          <w:rFonts w:ascii="Arial" w:cs="Arial" w:eastAsia="Arial" w:hAnsi="Arial"/>
          <w:sz w:val="14"/>
          <w:szCs w:val="14"/>
          <w:b w:val="1"/>
          <w:bCs w:val="1"/>
          <w:color w:val="auto"/>
        </w:rPr>
        <w:t>(Unaudited, in millions, except per share amounts and wafer shipments)</w:t>
      </w:r>
    </w:p>
    <w:p>
      <w:pPr>
        <w:spacing w:after="0" w:line="271" w:lineRule="exact"/>
        <w:rPr>
          <w:sz w:val="20"/>
          <w:szCs w:val="20"/>
          <w:color w:val="auto"/>
        </w:rPr>
      </w:pPr>
    </w:p>
    <w:tbl>
      <w:tblPr>
        <w:tblLayout w:type="fixed"/>
        <w:tblInd w:w="5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Year-over-year</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64"/>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FY2024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FY2023</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FY2024 vs FY2023</w:t>
            </w:r>
          </w:p>
        </w:tc>
      </w:tr>
      <w:tr>
        <w:trPr>
          <w:trHeight w:val="135"/>
        </w:trPr>
        <w:tc>
          <w:tcPr>
            <w:tcW w:w="5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120" w:type="dxa"/>
            <w:vAlign w:val="bottom"/>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6,750</w:t>
            </w:r>
          </w:p>
        </w:tc>
        <w:tc>
          <w:tcPr>
            <w:tcW w:w="140" w:type="dxa"/>
            <w:vAlign w:val="bottom"/>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7,392</w:t>
            </w:r>
          </w:p>
        </w:tc>
        <w:tc>
          <w:tcPr>
            <w:tcW w:w="140" w:type="dxa"/>
            <w:vAlign w:val="bottom"/>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(642)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r>
      <w:tr>
        <w:trPr>
          <w:trHeight w:val="61"/>
        </w:trPr>
        <w:tc>
          <w:tcPr>
            <w:tcW w:w="518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203"/>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12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1,651</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2,101</w:t>
            </w:r>
          </w:p>
        </w:tc>
        <w:tc>
          <w:tcPr>
            <w:tcW w:w="140" w:type="dxa"/>
            <w:vAlign w:val="bottom"/>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tcBorders>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(450)</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r>
      <w:tr>
        <w:trPr>
          <w:trHeight w:val="194"/>
        </w:trPr>
        <w:tc>
          <w:tcPr>
            <w:tcW w:w="5180" w:type="dxa"/>
            <w:vAlign w:val="bottom"/>
          </w:tcPr>
          <w:p>
            <w:pPr>
              <w:spacing w:after="0"/>
              <w:rPr>
                <w:sz w:val="20"/>
                <w:szCs w:val="20"/>
                <w:color w:val="auto"/>
              </w:rPr>
            </w:pPr>
            <w:r>
              <w:rPr>
                <w:rFonts w:ascii="Arial" w:cs="Arial" w:eastAsia="Arial" w:hAnsi="Arial"/>
                <w:sz w:val="14"/>
                <w:szCs w:val="14"/>
                <w:i w:val="1"/>
                <w:iCs w:val="1"/>
                <w:color w:val="auto"/>
              </w:rPr>
              <w:t>Gross margin</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24.5 %</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i w:val="1"/>
                <w:iCs w:val="1"/>
                <w:color w:val="auto"/>
              </w:rPr>
              <w:t>28.4 %</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(390)bps</w:t>
            </w:r>
          </w:p>
        </w:tc>
      </w:tr>
      <w:tr>
        <w:trPr>
          <w:trHeight w:val="69"/>
        </w:trPr>
        <w:tc>
          <w:tcPr>
            <w:tcW w:w="518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03"/>
        </w:trPr>
        <w:tc>
          <w:tcPr>
            <w:tcW w:w="5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Non-IFRS gross profit</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1,709</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2,149</w:t>
            </w:r>
          </w:p>
        </w:tc>
        <w:tc>
          <w:tcPr>
            <w:tcW w:w="140" w:type="dxa"/>
            <w:vAlign w:val="bottom"/>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tcBorders>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(440)</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r>
      <w:tr>
        <w:trPr>
          <w:trHeight w:val="263"/>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Non-IFRS gross margin</w:t>
            </w:r>
            <w:r>
              <w:rPr>
                <w:rFonts w:ascii="Arial" w:cs="Arial" w:eastAsia="Arial" w:hAnsi="Arial"/>
                <w:sz w:val="18"/>
                <w:szCs w:val="18"/>
                <w:i w:val="1"/>
                <w:iCs w:val="1"/>
                <w:color w:val="auto"/>
                <w:vertAlign w:val="superscript"/>
              </w:rPr>
              <w:t>(1)</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25.3 %</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i w:val="1"/>
                <w:iCs w:val="1"/>
                <w:color w:val="auto"/>
              </w:rPr>
              <w:t>29.1 %</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(380)bps</w:t>
            </w: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profit (loss)</w:t>
            </w:r>
          </w:p>
        </w:tc>
        <w:tc>
          <w:tcPr>
            <w:tcW w:w="120" w:type="dxa"/>
            <w:vAlign w:val="bottom"/>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(214)</w:t>
            </w:r>
          </w:p>
        </w:tc>
        <w:tc>
          <w:tcPr>
            <w:tcW w:w="140" w:type="dxa"/>
            <w:vAlign w:val="bottom"/>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1,129</w:t>
            </w:r>
          </w:p>
        </w:tc>
        <w:tc>
          <w:tcPr>
            <w:tcW w:w="140" w:type="dxa"/>
            <w:vAlign w:val="bottom"/>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(1,343)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(119)%</w:t>
            </w:r>
          </w:p>
        </w:tc>
      </w:tr>
      <w:tr>
        <w:trPr>
          <w:trHeight w:val="194"/>
        </w:trPr>
        <w:tc>
          <w:tcPr>
            <w:tcW w:w="5180" w:type="dxa"/>
            <w:vAlign w:val="bottom"/>
          </w:tcPr>
          <w:p>
            <w:pPr>
              <w:spacing w:after="0"/>
              <w:rPr>
                <w:sz w:val="20"/>
                <w:szCs w:val="20"/>
                <w:color w:val="auto"/>
              </w:rPr>
            </w:pPr>
            <w:r>
              <w:rPr>
                <w:rFonts w:ascii="Arial" w:cs="Arial" w:eastAsia="Arial" w:hAnsi="Arial"/>
                <w:sz w:val="14"/>
                <w:szCs w:val="14"/>
                <w:i w:val="1"/>
                <w:iCs w:val="1"/>
                <w:color w:val="auto"/>
              </w:rPr>
              <w:t>Operating margin</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(3.2)%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i w:val="1"/>
                <w:iCs w:val="1"/>
                <w:color w:val="auto"/>
              </w:rPr>
              <w:t>15.3 %</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i w:val="1"/>
                <w:iCs w:val="1"/>
                <w:color w:val="auto"/>
              </w:rPr>
              <w:t>(1,850)bps</w:t>
            </w:r>
          </w:p>
        </w:tc>
      </w:tr>
      <w:tr>
        <w:trPr>
          <w:trHeight w:val="69"/>
        </w:trPr>
        <w:tc>
          <w:tcPr>
            <w:tcW w:w="518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03"/>
        </w:trPr>
        <w:tc>
          <w:tcPr>
            <w:tcW w:w="5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Non-IFRS operating profit</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920</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1,369</w:t>
            </w:r>
          </w:p>
        </w:tc>
        <w:tc>
          <w:tcPr>
            <w:tcW w:w="140" w:type="dxa"/>
            <w:vAlign w:val="bottom"/>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tcBorders>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(449)</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r>
      <w:tr>
        <w:trPr>
          <w:trHeight w:val="263"/>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Non-IFRS operating margin</w:t>
            </w:r>
            <w:r>
              <w:rPr>
                <w:rFonts w:ascii="Arial" w:cs="Arial" w:eastAsia="Arial" w:hAnsi="Arial"/>
                <w:sz w:val="18"/>
                <w:szCs w:val="18"/>
                <w:i w:val="1"/>
                <w:iCs w:val="1"/>
                <w:color w:val="auto"/>
                <w:vertAlign w:val="superscript"/>
              </w:rPr>
              <w:t>(1)</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13.6 %</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i w:val="1"/>
                <w:iCs w:val="1"/>
                <w:color w:val="auto"/>
              </w:rPr>
              <w:t>18.5 %</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(490)bps</w:t>
            </w: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(262)</w:t>
            </w:r>
          </w:p>
        </w:tc>
        <w:tc>
          <w:tcPr>
            <w:tcW w:w="140" w:type="dxa"/>
            <w:vAlign w:val="bottom"/>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1,018</w:t>
            </w:r>
          </w:p>
        </w:tc>
        <w:tc>
          <w:tcPr>
            <w:tcW w:w="140" w:type="dxa"/>
            <w:vAlign w:val="bottom"/>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(1,280)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r>
      <w:tr>
        <w:trPr>
          <w:trHeight w:val="194"/>
        </w:trPr>
        <w:tc>
          <w:tcPr>
            <w:tcW w:w="5180" w:type="dxa"/>
            <w:vAlign w:val="bottom"/>
          </w:tcPr>
          <w:p>
            <w:pPr>
              <w:spacing w:after="0"/>
              <w:rPr>
                <w:sz w:val="20"/>
                <w:szCs w:val="20"/>
                <w:color w:val="auto"/>
              </w:rPr>
            </w:pPr>
            <w:r>
              <w:rPr>
                <w:rFonts w:ascii="Arial" w:cs="Arial" w:eastAsia="Arial" w:hAnsi="Arial"/>
                <w:sz w:val="14"/>
                <w:szCs w:val="14"/>
                <w:i w:val="1"/>
                <w:iCs w:val="1"/>
                <w:color w:val="auto"/>
              </w:rPr>
              <w:t>Net income (loss) margin</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(3.9)%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i w:val="1"/>
                <w:iCs w:val="1"/>
                <w:color w:val="auto"/>
              </w:rPr>
              <w:t>13.8 %</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i w:val="1"/>
                <w:iCs w:val="1"/>
                <w:color w:val="auto"/>
              </w:rPr>
              <w:t>(1,770)bps</w:t>
            </w:r>
          </w:p>
        </w:tc>
      </w:tr>
      <w:tr>
        <w:trPr>
          <w:trHeight w:val="69"/>
        </w:trPr>
        <w:tc>
          <w:tcPr>
            <w:tcW w:w="518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03"/>
        </w:trPr>
        <w:tc>
          <w:tcPr>
            <w:tcW w:w="5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Non-IFRS net income</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870</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1,251</w:t>
            </w:r>
          </w:p>
        </w:tc>
        <w:tc>
          <w:tcPr>
            <w:tcW w:w="140" w:type="dxa"/>
            <w:vAlign w:val="bottom"/>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tcBorders>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(381)</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r>
      <w:tr>
        <w:trPr>
          <w:trHeight w:val="263"/>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Non-IFRS net income margin</w:t>
            </w:r>
            <w:r>
              <w:rPr>
                <w:rFonts w:ascii="Arial" w:cs="Arial" w:eastAsia="Arial" w:hAnsi="Arial"/>
                <w:sz w:val="18"/>
                <w:szCs w:val="18"/>
                <w:i w:val="1"/>
                <w:iCs w:val="1"/>
                <w:color w:val="auto"/>
                <w:vertAlign w:val="superscript"/>
              </w:rPr>
              <w:t>(1)</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12.9 %</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i w:val="1"/>
                <w:iCs w:val="1"/>
                <w:color w:val="auto"/>
              </w:rPr>
              <w:t>16.9 %</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(400)bps</w:t>
            </w: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EPS</w:t>
            </w:r>
          </w:p>
        </w:tc>
        <w:tc>
          <w:tcPr>
            <w:tcW w:w="120" w:type="dxa"/>
            <w:vAlign w:val="bottom"/>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(0.48)</w:t>
            </w:r>
          </w:p>
        </w:tc>
        <w:tc>
          <w:tcPr>
            <w:tcW w:w="140" w:type="dxa"/>
            <w:vAlign w:val="bottom"/>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1.83</w:t>
            </w:r>
          </w:p>
        </w:tc>
        <w:tc>
          <w:tcPr>
            <w:tcW w:w="140" w:type="dxa"/>
            <w:vAlign w:val="bottom"/>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(2.31)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r>
      <w:tr>
        <w:trPr>
          <w:trHeight w:val="61"/>
        </w:trPr>
        <w:tc>
          <w:tcPr>
            <w:tcW w:w="518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202"/>
        </w:trPr>
        <w:tc>
          <w:tcPr>
            <w:tcW w:w="5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Non-IFRS diluted EPS</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1.56</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2.24</w:t>
            </w:r>
          </w:p>
        </w:tc>
        <w:tc>
          <w:tcPr>
            <w:tcW w:w="140" w:type="dxa"/>
            <w:vAlign w:val="bottom"/>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tcBorders>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(0.68)</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r>
      <w:tr>
        <w:trPr>
          <w:trHeight w:val="61"/>
        </w:trPr>
        <w:tc>
          <w:tcPr>
            <w:tcW w:w="518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203"/>
        </w:trPr>
        <w:tc>
          <w:tcPr>
            <w:tcW w:w="5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Non-IFRS adjusted EBITDA</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2,475</w:t>
            </w:r>
          </w:p>
        </w:tc>
        <w:tc>
          <w:tcPr>
            <w:tcW w:w="140" w:type="dxa"/>
            <w:vAlign w:val="bottom"/>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2,763</w:t>
            </w:r>
          </w:p>
        </w:tc>
        <w:tc>
          <w:tcPr>
            <w:tcW w:w="140" w:type="dxa"/>
            <w:vAlign w:val="bottom"/>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tcBorders>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(288)</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r>
      <w:tr>
        <w:trPr>
          <w:trHeight w:val="263"/>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36.7 %</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i w:val="1"/>
                <w:iCs w:val="1"/>
                <w:color w:val="auto"/>
              </w:rPr>
              <w:t>37.4 %</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(70)bps</w:t>
            </w: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from operating activities</w:t>
            </w:r>
          </w:p>
        </w:tc>
        <w:tc>
          <w:tcPr>
            <w:tcW w:w="120" w:type="dxa"/>
            <w:vAlign w:val="bottom"/>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1,722</w:t>
            </w:r>
          </w:p>
        </w:tc>
        <w:tc>
          <w:tcPr>
            <w:tcW w:w="140" w:type="dxa"/>
            <w:vAlign w:val="bottom"/>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2,125</w:t>
            </w:r>
          </w:p>
        </w:tc>
        <w:tc>
          <w:tcPr>
            <w:tcW w:w="140" w:type="dxa"/>
            <w:vAlign w:val="bottom"/>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(403)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r>
      <w:tr>
        <w:trPr>
          <w:trHeight w:val="61"/>
        </w:trPr>
        <w:tc>
          <w:tcPr>
            <w:tcW w:w="51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Wafer shipments (300mm equivalent) (in thousands)</w:t>
            </w:r>
          </w:p>
        </w:tc>
        <w:tc>
          <w:tcPr>
            <w:tcW w:w="1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2,124</w:t>
            </w:r>
          </w:p>
        </w:tc>
        <w:tc>
          <w:tcPr>
            <w:tcW w:w="14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2,211</w:t>
            </w:r>
          </w:p>
        </w:tc>
        <w:tc>
          <w:tcPr>
            <w:tcW w:w="14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r>
    </w:tbl>
    <w:p>
      <w:pPr>
        <w:spacing w:after="0" w:line="347" w:lineRule="exact"/>
        <w:rPr>
          <w:sz w:val="20"/>
          <w:szCs w:val="20"/>
          <w:color w:val="auto"/>
        </w:rPr>
      </w:pPr>
    </w:p>
    <w:p>
      <w:pPr>
        <w:ind w:left="170" w:hanging="170"/>
        <w:spacing w:after="0" w:line="226" w:lineRule="auto"/>
        <w:tabs>
          <w:tab w:leader="none" w:pos="146"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
        <w:spacing w:after="0"/>
        <w:rPr>
          <w:sz w:val="20"/>
          <w:szCs w:val="20"/>
          <w:color w:val="auto"/>
        </w:rPr>
      </w:pPr>
      <w:r>
        <w:rPr>
          <w:rFonts w:ascii="Arial" w:cs="Arial" w:eastAsia="Arial" w:hAnsi="Arial"/>
          <w:sz w:val="16"/>
          <w:szCs w:val="16"/>
          <w:color w:val="auto"/>
        </w:rPr>
        <w:t>Page 4 of 12</w:t>
      </w:r>
    </w:p>
    <w:p>
      <w:pPr>
        <w:sectPr>
          <w:pgSz w:w="11900" w:h="16838" w:orient="portrait"/>
          <w:cols w:equalWidth="0" w:num="1">
            <w:col w:w="10890"/>
          </w:cols>
          <w:pgMar w:left="490" w:top="1440" w:right="519" w:bottom="1440" w:gutter="0" w:footer="0" w:header="0"/>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GlobalFoundries Inc.</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Summary of First Quarter 2025 Guidance</w:t>
      </w:r>
    </w:p>
    <w:p>
      <w:pPr>
        <w:jc w:val="center"/>
        <w:ind w:right="-11"/>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b w:val="1"/>
          <w:bCs w:val="1"/>
          <w:color w:val="auto"/>
        </w:rPr>
        <w:t>Unaudited, in millions, except per share amounts)</w:t>
      </w:r>
      <w:r>
        <w:rPr>
          <w:rFonts w:ascii="Arial" w:cs="Arial" w:eastAsia="Arial" w:hAnsi="Arial"/>
          <w:sz w:val="9"/>
          <w:szCs w:val="9"/>
          <w:b w:val="1"/>
          <w:bCs w:val="1"/>
          <w:color w:val="auto"/>
        </w:rPr>
        <w:t>(1)</w:t>
      </w:r>
    </w:p>
    <w:p>
      <w:pPr>
        <w:spacing w:after="0" w:line="234" w:lineRule="exact"/>
        <w:rPr>
          <w:sz w:val="20"/>
          <w:szCs w:val="20"/>
          <w:color w:val="auto"/>
        </w:rPr>
      </w:pPr>
    </w:p>
    <w:tbl>
      <w:tblPr>
        <w:tblLayout w:type="fixed"/>
        <w:tblInd w:w="72" w:type="dxa"/>
        <w:tblCellMar>
          <w:top w:w="0" w:type="dxa"/>
          <w:left w:w="0" w:type="dxa"/>
          <w:bottom w:w="0" w:type="dxa"/>
          <w:right w:w="0" w:type="dxa"/>
        </w:tblCellMar>
      </w:tblPr>
      <w:tr>
        <w:trPr>
          <w:trHeight w:val="248"/>
        </w:trPr>
        <w:tc>
          <w:tcPr>
            <w:tcW w:w="31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2"/>
          </w:tcPr>
          <w:p>
            <w:pPr>
              <w:ind w:left="1280"/>
              <w:spacing w:after="0"/>
              <w:rPr>
                <w:sz w:val="20"/>
                <w:szCs w:val="20"/>
                <w:color w:val="auto"/>
              </w:rPr>
            </w:pPr>
            <w:r>
              <w:rPr>
                <w:rFonts w:ascii="Arial" w:cs="Arial" w:eastAsia="Arial" w:hAnsi="Arial"/>
                <w:sz w:val="16"/>
                <w:szCs w:val="16"/>
                <w:b w:val="1"/>
                <w:bCs w:val="1"/>
                <w:color w:val="auto"/>
              </w:rPr>
              <w:t>IFRS</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Share-based compensation</w:t>
            </w:r>
          </w:p>
        </w:tc>
        <w:tc>
          <w:tcPr>
            <w:tcW w:w="2000" w:type="dxa"/>
            <w:vAlign w:val="bottom"/>
            <w:tcBorders>
              <w:bottom w:val="single" w:sz="8" w:color="auto"/>
            </w:tcBorders>
            <w:gridSpan w:val="2"/>
          </w:tcPr>
          <w:p>
            <w:pPr>
              <w:jc w:val="center"/>
              <w:ind w:left="127"/>
              <w:spacing w:after="0"/>
              <w:rPr>
                <w:sz w:val="20"/>
                <w:szCs w:val="20"/>
                <w:color w:val="auto"/>
              </w:rPr>
            </w:pPr>
            <w:r>
              <w:rPr>
                <w:rFonts w:ascii="Arial" w:cs="Arial" w:eastAsia="Arial" w:hAnsi="Arial"/>
                <w:sz w:val="16"/>
                <w:szCs w:val="16"/>
                <w:b w:val="1"/>
                <w:bCs w:val="1"/>
                <w:color w:val="auto"/>
                <w:w w:val="97"/>
              </w:rPr>
              <w:t xml:space="preserve">Non-IFRS </w:t>
            </w:r>
            <w:r>
              <w:rPr>
                <w:rFonts w:ascii="Arial" w:cs="Arial" w:eastAsia="Arial" w:hAnsi="Arial"/>
                <w:sz w:val="21"/>
                <w:szCs w:val="21"/>
                <w:b w:val="1"/>
                <w:bCs w:val="1"/>
                <w:color w:val="auto"/>
                <w:w w:val="97"/>
                <w:vertAlign w:val="superscript"/>
              </w:rPr>
              <w:t>(2)</w:t>
            </w:r>
          </w:p>
        </w:tc>
      </w:tr>
      <w:tr>
        <w:trPr>
          <w:trHeight w:val="203"/>
        </w:trPr>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$1,550</w:t>
            </w:r>
          </w:p>
        </w:tc>
        <w:tc>
          <w:tcPr>
            <w:tcW w:w="1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$1,600</w:t>
            </w:r>
          </w:p>
        </w:tc>
        <w:tc>
          <w:tcPr>
            <w:tcW w:w="3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2"/>
        </w:trPr>
        <w:tc>
          <w:tcPr>
            <w:tcW w:w="310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 $370</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rPr>
              <w:t>$14 - $16</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$384</w:t>
            </w:r>
          </w:p>
        </w:tc>
      </w:tr>
      <w:tr>
        <w:trPr>
          <w:trHeight w:val="203"/>
        </w:trPr>
        <w:tc>
          <w:tcPr>
            <w:tcW w:w="310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Gross margin</w:t>
            </w:r>
            <w:r>
              <w:rPr>
                <w:rFonts w:ascii="Arial" w:cs="Arial" w:eastAsia="Arial" w:hAnsi="Arial"/>
                <w:sz w:val="9"/>
                <w:szCs w:val="9"/>
                <w:i w:val="1"/>
                <w:iCs w:val="1"/>
                <w:color w:val="auto"/>
              </w:rPr>
              <w:t>(3)</w:t>
            </w:r>
            <w:r>
              <w:rPr>
                <w:rFonts w:ascii="Arial" w:cs="Arial" w:eastAsia="Arial" w:hAnsi="Arial"/>
                <w:sz w:val="14"/>
                <w:szCs w:val="14"/>
                <w:i w:val="1"/>
                <w:iCs w:val="1"/>
                <w:color w:val="auto"/>
              </w:rPr>
              <w:t xml:space="preserve"> (mid-point)</w:t>
            </w:r>
          </w:p>
        </w:tc>
        <w:tc>
          <w:tcPr>
            <w:tcW w:w="2600" w:type="dxa"/>
            <w:vAlign w:val="bottom"/>
            <w:gridSpan w:val="2"/>
            <w:shd w:val="clear" w:color="auto" w:fill="CCEEFF"/>
          </w:tcPr>
          <w:p>
            <w:pPr>
              <w:jc w:val="center"/>
              <w:ind w:left="247"/>
              <w:spacing w:after="0"/>
              <w:rPr>
                <w:sz w:val="20"/>
                <w:szCs w:val="20"/>
                <w:color w:val="auto"/>
              </w:rPr>
            </w:pPr>
            <w:r>
              <w:rPr>
                <w:rFonts w:ascii="Arial" w:cs="Arial" w:eastAsia="Arial" w:hAnsi="Arial"/>
                <w:sz w:val="14"/>
                <w:szCs w:val="14"/>
                <w:i w:val="1"/>
                <w:iCs w:val="1"/>
                <w:color w:val="auto"/>
              </w:rPr>
              <w:t>22.1%</w:t>
            </w:r>
          </w:p>
        </w:tc>
        <w:tc>
          <w:tcPr>
            <w:tcW w:w="34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left="127"/>
              <w:spacing w:after="0"/>
              <w:rPr>
                <w:sz w:val="20"/>
                <w:szCs w:val="20"/>
                <w:color w:val="auto"/>
              </w:rPr>
            </w:pPr>
            <w:r>
              <w:rPr>
                <w:rFonts w:ascii="Arial" w:cs="Arial" w:eastAsia="Arial" w:hAnsi="Arial"/>
                <w:sz w:val="14"/>
                <w:szCs w:val="14"/>
                <w:i w:val="1"/>
                <w:iCs w:val="1"/>
                <w:color w:val="auto"/>
              </w:rPr>
              <w:t>23.0%</w:t>
            </w:r>
          </w:p>
        </w:tc>
      </w:tr>
      <w:tr>
        <w:trPr>
          <w:trHeight w:val="202"/>
        </w:trPr>
        <w:tc>
          <w:tcPr>
            <w:tcW w:w="3100" w:type="dxa"/>
            <w:vAlign w:val="bottom"/>
          </w:tcPr>
          <w:p>
            <w:pPr>
              <w:spacing w:after="0"/>
              <w:rPr>
                <w:sz w:val="20"/>
                <w:szCs w:val="20"/>
                <w:color w:val="auto"/>
              </w:rPr>
            </w:pPr>
            <w:r>
              <w:rPr>
                <w:rFonts w:ascii="Arial" w:cs="Arial" w:eastAsia="Arial" w:hAnsi="Arial"/>
                <w:sz w:val="14"/>
                <w:szCs w:val="14"/>
                <w:b w:val="1"/>
                <w:bCs w:val="1"/>
                <w:color w:val="auto"/>
              </w:rPr>
              <w:t>Operating profit</w:t>
            </w:r>
          </w:p>
        </w:tc>
        <w:tc>
          <w:tcPr>
            <w:tcW w:w="2600" w:type="dxa"/>
            <w:vAlign w:val="bottom"/>
            <w:gridSpan w:val="2"/>
          </w:tcPr>
          <w:p>
            <w:pPr>
              <w:jc w:val="center"/>
              <w:ind w:left="247"/>
              <w:spacing w:after="0"/>
              <w:rPr>
                <w:sz w:val="20"/>
                <w:szCs w:val="20"/>
                <w:color w:val="auto"/>
              </w:rPr>
            </w:pPr>
            <w:r>
              <w:rPr>
                <w:rFonts w:ascii="Arial" w:cs="Arial" w:eastAsia="Arial" w:hAnsi="Arial"/>
                <w:sz w:val="14"/>
                <w:szCs w:val="14"/>
                <w:b w:val="1"/>
                <w:bCs w:val="1"/>
                <w:color w:val="auto"/>
              </w:rPr>
              <w:t>$94 - $167</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rPr>
              <w:t>$47 - $57</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$214</w:t>
            </w:r>
          </w:p>
        </w:tc>
      </w:tr>
      <w:tr>
        <w:trPr>
          <w:trHeight w:val="203"/>
        </w:trPr>
        <w:tc>
          <w:tcPr>
            <w:tcW w:w="310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Operating margin</w:t>
            </w:r>
            <w:r>
              <w:rPr>
                <w:rFonts w:ascii="Arial" w:cs="Arial" w:eastAsia="Arial" w:hAnsi="Arial"/>
                <w:sz w:val="9"/>
                <w:szCs w:val="9"/>
                <w:i w:val="1"/>
                <w:iCs w:val="1"/>
                <w:color w:val="auto"/>
              </w:rPr>
              <w:t>(3)</w:t>
            </w:r>
            <w:r>
              <w:rPr>
                <w:rFonts w:ascii="Arial" w:cs="Arial" w:eastAsia="Arial" w:hAnsi="Arial"/>
                <w:sz w:val="14"/>
                <w:szCs w:val="14"/>
                <w:i w:val="1"/>
                <w:iCs w:val="1"/>
                <w:color w:val="auto"/>
              </w:rPr>
              <w:t xml:space="preserve"> (mid-point)</w:t>
            </w:r>
          </w:p>
        </w:tc>
        <w:tc>
          <w:tcPr>
            <w:tcW w:w="2600" w:type="dxa"/>
            <w:vAlign w:val="bottom"/>
            <w:gridSpan w:val="2"/>
            <w:shd w:val="clear" w:color="auto" w:fill="CCEEFF"/>
          </w:tcPr>
          <w:p>
            <w:pPr>
              <w:jc w:val="center"/>
              <w:ind w:left="247"/>
              <w:spacing w:after="0"/>
              <w:rPr>
                <w:sz w:val="20"/>
                <w:szCs w:val="20"/>
                <w:color w:val="auto"/>
              </w:rPr>
            </w:pPr>
            <w:r>
              <w:rPr>
                <w:rFonts w:ascii="Arial" w:cs="Arial" w:eastAsia="Arial" w:hAnsi="Arial"/>
                <w:sz w:val="14"/>
                <w:szCs w:val="14"/>
                <w:i w:val="1"/>
                <w:iCs w:val="1"/>
                <w:color w:val="auto"/>
              </w:rPr>
              <w:t>8.3%</w:t>
            </w:r>
          </w:p>
        </w:tc>
        <w:tc>
          <w:tcPr>
            <w:tcW w:w="34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left="127"/>
              <w:spacing w:after="0"/>
              <w:rPr>
                <w:sz w:val="20"/>
                <w:szCs w:val="20"/>
                <w:color w:val="auto"/>
              </w:rPr>
            </w:pPr>
            <w:r>
              <w:rPr>
                <w:rFonts w:ascii="Arial" w:cs="Arial" w:eastAsia="Arial" w:hAnsi="Arial"/>
                <w:sz w:val="14"/>
                <w:szCs w:val="14"/>
                <w:i w:val="1"/>
                <w:iCs w:val="1"/>
                <w:color w:val="auto"/>
              </w:rPr>
              <w:t>11.6%</w:t>
            </w:r>
          </w:p>
        </w:tc>
      </w:tr>
      <w:tr>
        <w:trPr>
          <w:trHeight w:val="202"/>
        </w:trPr>
        <w:tc>
          <w:tcPr>
            <w:tcW w:w="3100" w:type="dxa"/>
            <w:vAlign w:val="bottom"/>
          </w:tcPr>
          <w:p>
            <w:pPr>
              <w:spacing w:after="0"/>
              <w:rPr>
                <w:sz w:val="20"/>
                <w:szCs w:val="20"/>
                <w:color w:val="auto"/>
              </w:rPr>
            </w:pPr>
            <w:r>
              <w:rPr>
                <w:rFonts w:ascii="Arial" w:cs="Arial" w:eastAsia="Arial" w:hAnsi="Arial"/>
                <w:sz w:val="14"/>
                <w:szCs w:val="14"/>
                <w:b w:val="1"/>
                <w:bCs w:val="1"/>
                <w:color w:val="auto"/>
              </w:rPr>
              <w:t xml:space="preserve">Net income </w:t>
            </w:r>
            <w:r>
              <w:rPr>
                <w:rFonts w:ascii="Arial" w:cs="Arial" w:eastAsia="Arial" w:hAnsi="Arial"/>
                <w:sz w:val="9"/>
                <w:szCs w:val="9"/>
                <w:b w:val="1"/>
                <w:bCs w:val="1"/>
                <w:color w:val="auto"/>
              </w:rPr>
              <w:t>(4)</w:t>
            </w:r>
          </w:p>
        </w:tc>
        <w:tc>
          <w:tcPr>
            <w:tcW w:w="2600" w:type="dxa"/>
            <w:vAlign w:val="bottom"/>
            <w:gridSpan w:val="2"/>
          </w:tcPr>
          <w:p>
            <w:pPr>
              <w:jc w:val="center"/>
              <w:ind w:left="247"/>
              <w:spacing w:after="0"/>
              <w:rPr>
                <w:sz w:val="20"/>
                <w:szCs w:val="20"/>
                <w:color w:val="auto"/>
              </w:rPr>
            </w:pPr>
            <w:r>
              <w:rPr>
                <w:rFonts w:ascii="Arial" w:cs="Arial" w:eastAsia="Arial" w:hAnsi="Arial"/>
                <w:sz w:val="14"/>
                <w:szCs w:val="14"/>
                <w:b w:val="1"/>
                <w:bCs w:val="1"/>
                <w:color w:val="auto"/>
              </w:rPr>
              <w:t>$78 - $142</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rPr>
              <w:t>$47 - $57</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$189</w:t>
            </w:r>
          </w:p>
        </w:tc>
      </w:tr>
      <w:tr>
        <w:trPr>
          <w:trHeight w:val="203"/>
        </w:trPr>
        <w:tc>
          <w:tcPr>
            <w:tcW w:w="310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Net income margin</w:t>
            </w:r>
            <w:r>
              <w:rPr>
                <w:rFonts w:ascii="Arial" w:cs="Arial" w:eastAsia="Arial" w:hAnsi="Arial"/>
                <w:sz w:val="9"/>
                <w:szCs w:val="9"/>
                <w:i w:val="1"/>
                <w:iCs w:val="1"/>
                <w:color w:val="auto"/>
              </w:rPr>
              <w:t>(3)</w:t>
            </w:r>
            <w:r>
              <w:rPr>
                <w:rFonts w:ascii="Arial" w:cs="Arial" w:eastAsia="Arial" w:hAnsi="Arial"/>
                <w:sz w:val="14"/>
                <w:szCs w:val="14"/>
                <w:i w:val="1"/>
                <w:iCs w:val="1"/>
                <w:color w:val="auto"/>
              </w:rPr>
              <w:t xml:space="preserve"> (mid-point)</w:t>
            </w:r>
          </w:p>
        </w:tc>
        <w:tc>
          <w:tcPr>
            <w:tcW w:w="2600" w:type="dxa"/>
            <w:vAlign w:val="bottom"/>
            <w:gridSpan w:val="2"/>
            <w:shd w:val="clear" w:color="auto" w:fill="CCEEFF"/>
          </w:tcPr>
          <w:p>
            <w:pPr>
              <w:jc w:val="center"/>
              <w:ind w:left="247"/>
              <w:spacing w:after="0"/>
              <w:rPr>
                <w:sz w:val="20"/>
                <w:szCs w:val="20"/>
                <w:color w:val="auto"/>
              </w:rPr>
            </w:pPr>
            <w:r>
              <w:rPr>
                <w:rFonts w:ascii="Arial" w:cs="Arial" w:eastAsia="Arial" w:hAnsi="Arial"/>
                <w:sz w:val="14"/>
                <w:szCs w:val="14"/>
                <w:i w:val="1"/>
                <w:iCs w:val="1"/>
                <w:color w:val="auto"/>
              </w:rPr>
              <w:t>7.0%</w:t>
            </w:r>
          </w:p>
        </w:tc>
        <w:tc>
          <w:tcPr>
            <w:tcW w:w="34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left="127"/>
              <w:spacing w:after="0"/>
              <w:rPr>
                <w:sz w:val="20"/>
                <w:szCs w:val="20"/>
                <w:color w:val="auto"/>
              </w:rPr>
            </w:pPr>
            <w:r>
              <w:rPr>
                <w:rFonts w:ascii="Arial" w:cs="Arial" w:eastAsia="Arial" w:hAnsi="Arial"/>
                <w:sz w:val="14"/>
                <w:szCs w:val="14"/>
                <w:i w:val="1"/>
                <w:iCs w:val="1"/>
                <w:color w:val="auto"/>
              </w:rPr>
              <w:t>10.3%</w:t>
            </w:r>
          </w:p>
        </w:tc>
      </w:tr>
      <w:tr>
        <w:trPr>
          <w:trHeight w:val="200"/>
        </w:trPr>
        <w:tc>
          <w:tcPr>
            <w:tcW w:w="3100" w:type="dxa"/>
            <w:vAlign w:val="bottom"/>
          </w:tcPr>
          <w:p>
            <w:pPr>
              <w:spacing w:after="0"/>
              <w:rPr>
                <w:sz w:val="20"/>
                <w:szCs w:val="20"/>
                <w:color w:val="auto"/>
              </w:rPr>
            </w:pPr>
            <w:r>
              <w:rPr>
                <w:rFonts w:ascii="Arial" w:cs="Arial" w:eastAsia="Arial" w:hAnsi="Arial"/>
                <w:sz w:val="14"/>
                <w:szCs w:val="14"/>
                <w:b w:val="1"/>
                <w:bCs w:val="1"/>
                <w:color w:val="auto"/>
              </w:rPr>
              <w:t>Diluted EPS</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 $0.26</w:t>
            </w:r>
          </w:p>
        </w:tc>
        <w:tc>
          <w:tcPr>
            <w:tcW w:w="3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$0.24</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$0.34</w:t>
            </w:r>
          </w:p>
        </w:tc>
      </w:tr>
    </w:tbl>
    <w:p>
      <w:pPr>
        <w:spacing w:after="0" w:line="349" w:lineRule="exact"/>
        <w:rPr>
          <w:sz w:val="20"/>
          <w:szCs w:val="20"/>
          <w:color w:val="auto"/>
        </w:rPr>
      </w:pPr>
    </w:p>
    <w:p>
      <w:pPr>
        <w:ind w:left="172" w:hanging="172"/>
        <w:spacing w:after="0" w:line="226" w:lineRule="auto"/>
        <w:tabs>
          <w:tab w:leader="none" w:pos="132"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The Guidance provided contains forward-looking statements as defined in the U.S. Private Securities Litigation Act of 1995, and is subject to the safe harbors created therein. The Guidance includes management's beliefs and assumptions and is based on information that is currently available.</w:t>
      </w:r>
    </w:p>
    <w:p>
      <w:pPr>
        <w:spacing w:after="0" w:line="90" w:lineRule="exact"/>
        <w:rPr>
          <w:rFonts w:ascii="Arial" w:cs="Arial" w:eastAsia="Arial" w:hAnsi="Arial"/>
          <w:sz w:val="16"/>
          <w:szCs w:val="16"/>
          <w:color w:val="auto"/>
          <w:vertAlign w:val="superscript"/>
        </w:rPr>
      </w:pPr>
    </w:p>
    <w:p>
      <w:pPr>
        <w:jc w:val="both"/>
        <w:ind w:left="172" w:right="20" w:hanging="172"/>
        <w:spacing w:after="0" w:line="236" w:lineRule="auto"/>
        <w:tabs>
          <w:tab w:leader="none" w:pos="132"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Non-IFRS gross profit, Non-IFRS operating expense, Non-IFRS operating profit, Non-IFRS net income and Non-IFRS diluted EPS are Non-IFRS measures and, for purposes of the Guidance only, are defined as gross profit, operating profit, net income and EPS before share-based compensation, respectively. Non-IFRS operating expense is calculated by subtracting Non-IFRS operating profit from Non-IFRS gross profit. See "Financial Measures (Non-IFRS)" for further discussion on these Non-IFRS measures and why we believe they are useful.</w:t>
      </w:r>
    </w:p>
    <w:p>
      <w:pPr>
        <w:spacing w:after="0" w:line="92" w:lineRule="exact"/>
        <w:rPr>
          <w:rFonts w:ascii="Arial" w:cs="Arial" w:eastAsia="Arial" w:hAnsi="Arial"/>
          <w:sz w:val="16"/>
          <w:szCs w:val="16"/>
          <w:color w:val="auto"/>
          <w:vertAlign w:val="superscript"/>
        </w:rPr>
      </w:pPr>
    </w:p>
    <w:p>
      <w:pPr>
        <w:jc w:val="both"/>
        <w:ind w:left="172" w:hanging="172"/>
        <w:spacing w:after="0" w:line="230" w:lineRule="auto"/>
        <w:tabs>
          <w:tab w:leader="none" w:pos="132"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Non-IFRS margins are Non-IFRS measures and for purposes of the Guidance only, are defined as Non-IFRS gross profit, Non-IFRS operating profit and Non-IFRS net income, each divided by net revenue (using the definitions of Non-IFRS gross profit, Non-IFRS operating profit and Non-IFRS net income, in footnote (2) above, as appropriate). See "Financial Measures (Non-IFRS)" for further discussion on these Non-IFRS measures and why we believe they are useful.</w:t>
      </w:r>
    </w:p>
    <w:p>
      <w:pPr>
        <w:spacing w:after="0" w:line="90" w:lineRule="exact"/>
        <w:rPr>
          <w:rFonts w:ascii="Arial" w:cs="Arial" w:eastAsia="Arial" w:hAnsi="Arial"/>
          <w:sz w:val="16"/>
          <w:szCs w:val="16"/>
          <w:color w:val="auto"/>
          <w:vertAlign w:val="superscript"/>
        </w:rPr>
      </w:pPr>
    </w:p>
    <w:p>
      <w:pPr>
        <w:ind w:left="172" w:right="20" w:hanging="172"/>
        <w:spacing w:after="0" w:line="236" w:lineRule="auto"/>
        <w:tabs>
          <w:tab w:leader="none" w:pos="132"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Included in net income is net interest income and other income and expense which we estimate will be between $0 and $8 million for the first quarter 2025. Also included in net income is income tax expense which we estimate will be between $16 million and $33 million for the first quarter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Page 5 of 12</w:t>
      </w:r>
    </w:p>
    <w:p>
      <w:pPr>
        <w:sectPr>
          <w:pgSz w:w="11900" w:h="16838" w:orient="portrait"/>
          <w:cols w:equalWidth="0" w:num="1">
            <w:col w:w="11232"/>
          </w:cols>
          <w:pgMar w:left="328" w:top="1403" w:right="339" w:bottom="1440" w:gutter="0" w:footer="0" w:header="0"/>
        </w:sectPr>
      </w:pPr>
    </w:p>
    <w:bookmarkStart w:id="7" w:name="page8"/>
    <w:bookmarkEnd w:id="7"/>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 in millions, except for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4"/>
          </w:tcPr>
          <w:p>
            <w:pPr>
              <w:jc w:val="right"/>
              <w:ind w:right="1468"/>
              <w:spacing w:after="0"/>
              <w:rPr>
                <w:sz w:val="20"/>
                <w:szCs w:val="20"/>
                <w:color w:val="auto"/>
              </w:rPr>
            </w:pPr>
            <w:r>
              <w:rPr>
                <w:rFonts w:ascii="Arial" w:cs="Arial" w:eastAsia="Arial" w:hAnsi="Arial"/>
                <w:sz w:val="14"/>
                <w:szCs w:val="14"/>
                <w:b w:val="1"/>
                <w:bCs w:val="1"/>
                <w:color w:val="auto"/>
              </w:rPr>
              <w:t>Year Ended</w:t>
            </w:r>
          </w:p>
        </w:tc>
      </w:tr>
      <w:tr>
        <w:trPr>
          <w:trHeight w:val="223"/>
        </w:trPr>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2023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2024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2023</w:t>
            </w:r>
          </w:p>
        </w:tc>
      </w:tr>
      <w:tr>
        <w:trPr>
          <w:trHeight w:val="162"/>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2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1,830</w:t>
            </w:r>
          </w:p>
        </w:tc>
        <w:tc>
          <w:tcPr>
            <w:tcW w:w="80" w:type="dxa"/>
            <w:vAlign w:val="bottom"/>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1,854</w:t>
            </w:r>
          </w:p>
        </w:tc>
        <w:tc>
          <w:tcPr>
            <w:tcW w:w="8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6,750</w:t>
            </w:r>
          </w:p>
        </w:tc>
        <w:tc>
          <w:tcPr>
            <w:tcW w:w="8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7,392</w:t>
            </w: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1,381</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1,329</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5,099</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5,291</w:t>
            </w:r>
          </w:p>
        </w:tc>
      </w:tr>
      <w:tr>
        <w:trPr>
          <w:trHeight w:val="20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2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449</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525</w:t>
            </w:r>
          </w:p>
        </w:tc>
        <w:tc>
          <w:tcPr>
            <w:tcW w:w="8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1,651</w:t>
            </w:r>
          </w:p>
        </w:tc>
        <w:tc>
          <w:tcPr>
            <w:tcW w:w="8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2,101</w:t>
            </w:r>
          </w:p>
        </w:tc>
      </w:tr>
      <w:tr>
        <w:trPr>
          <w:trHeight w:val="178"/>
        </w:trPr>
        <w:tc>
          <w:tcPr>
            <w:tcW w:w="31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496</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Impairment of long-lived assets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2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1,150</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222</w:t>
            </w:r>
          </w:p>
        </w:tc>
        <w:tc>
          <w:tcPr>
            <w:tcW w:w="8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1,865</w:t>
            </w:r>
          </w:p>
        </w:tc>
        <w:tc>
          <w:tcPr>
            <w:tcW w:w="8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972</w:t>
            </w:r>
          </w:p>
        </w:tc>
      </w:tr>
      <w:tr>
        <w:trPr>
          <w:trHeight w:val="195"/>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(701)</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ind w:right="8"/>
              <w:spacing w:after="0"/>
              <w:rPr>
                <w:sz w:val="20"/>
                <w:szCs w:val="20"/>
                <w:color w:val="auto"/>
              </w:rPr>
            </w:pPr>
            <w:r>
              <w:rPr>
                <w:rFonts w:ascii="Arial" w:cs="Arial" w:eastAsia="Arial" w:hAnsi="Arial"/>
                <w:sz w:val="14"/>
                <w:szCs w:val="14"/>
                <w:b w:val="1"/>
                <w:bCs w:val="1"/>
                <w:color w:val="auto"/>
              </w:rPr>
              <w:t>303</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1,129</w:t>
            </w:r>
          </w:p>
        </w:tc>
      </w:tr>
      <w:tr>
        <w:trPr>
          <w:trHeight w:val="20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income (expense), net</w:t>
            </w:r>
          </w:p>
        </w:tc>
        <w:tc>
          <w:tcPr>
            <w:tcW w:w="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95"/>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(729)</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ind w:right="8"/>
              <w:spacing w:after="0"/>
              <w:rPr>
                <w:sz w:val="20"/>
                <w:szCs w:val="20"/>
                <w:color w:val="auto"/>
              </w:rPr>
            </w:pPr>
            <w:r>
              <w:rPr>
                <w:rFonts w:ascii="Arial" w:cs="Arial" w:eastAsia="Arial" w:hAnsi="Arial"/>
                <w:sz w:val="14"/>
                <w:szCs w:val="14"/>
                <w:b w:val="1"/>
                <w:bCs w:val="1"/>
                <w:color w:val="auto"/>
              </w:rPr>
              <w:t>278</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1,018</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w:t>
            </w:r>
          </w:p>
        </w:tc>
        <w:tc>
          <w:tcPr>
            <w:tcW w:w="1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Shareholders of GlobalFoundries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1,020</w:t>
            </w:r>
          </w:p>
        </w:tc>
      </w:tr>
      <w:tr>
        <w:trPr>
          <w:trHeight w:val="206"/>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2"/>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EPS: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80" w:type="dxa"/>
            <w:vAlign w:val="bottom"/>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99"/>
        </w:trPr>
        <w:tc>
          <w:tcPr>
            <w:tcW w:w="3120" w:type="dxa"/>
            <w:vAlign w:val="bottom"/>
          </w:tcPr>
          <w:p>
            <w:pPr>
              <w:ind w:left="20"/>
              <w:spacing w:after="0"/>
              <w:rPr>
                <w:sz w:val="20"/>
                <w:szCs w:val="20"/>
                <w:color w:val="auto"/>
              </w:rPr>
            </w:pPr>
            <w:r>
              <w:rPr>
                <w:rFonts w:ascii="Arial" w:cs="Arial" w:eastAsia="Arial" w:hAnsi="Arial"/>
                <w:sz w:val="14"/>
                <w:szCs w:val="14"/>
                <w:color w:val="auto"/>
              </w:rPr>
              <w:t>Diluted</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(1.32)</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0.50</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(0.48)</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206"/>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used in EPS calculation:</w:t>
            </w:r>
          </w:p>
        </w:tc>
        <w:tc>
          <w:tcPr>
            <w:tcW w:w="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99"/>
        </w:trPr>
        <w:tc>
          <w:tcPr>
            <w:tcW w:w="3120" w:type="dxa"/>
            <w:vAlign w:val="bottom"/>
          </w:tcPr>
          <w:p>
            <w:pPr>
              <w:ind w:left="2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552</w:t>
            </w:r>
          </w:p>
        </w:tc>
      </w:tr>
      <w:tr>
        <w:trPr>
          <w:trHeight w:val="206"/>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 of 12</w:t>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Financial Position</w:t>
      </w:r>
    </w:p>
    <w:p>
      <w:pPr>
        <w:jc w:val="center"/>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December 31, 2023</w:t>
            </w:r>
          </w:p>
        </w:tc>
      </w:tr>
      <w:tr>
        <w:trPr>
          <w:trHeight w:val="363"/>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14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w:t>
            </w:r>
          </w:p>
        </w:tc>
      </w:tr>
      <w:tr>
        <w:trPr>
          <w:trHeight w:val="198"/>
        </w:trPr>
        <w:tc>
          <w:tcPr>
            <w:tcW w:w="61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1,194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1,033</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 prepayments and other</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r>
      <w:tr>
        <w:trPr>
          <w:trHeight w:val="198"/>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w:t>
            </w:r>
          </w:p>
        </w:tc>
      </w:tr>
      <w:tr>
        <w:trPr>
          <w:trHeight w:val="20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6,416</w:t>
            </w: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6,327</w:t>
            </w:r>
          </w:p>
        </w:tc>
      </w:tr>
      <w:tr>
        <w:trPr>
          <w:trHeight w:val="192"/>
        </w:trPr>
        <w:tc>
          <w:tcPr>
            <w:tcW w:w="614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188</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241</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9,829</w:t>
            </w:r>
          </w:p>
        </w:tc>
      </w:tr>
      <w:tr>
        <w:trPr>
          <w:trHeight w:val="198"/>
        </w:trPr>
        <w:tc>
          <w:tcPr>
            <w:tcW w:w="614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498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335</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198"/>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w:t>
            </w:r>
          </w:p>
        </w:tc>
      </w:tr>
      <w:tr>
        <w:trPr>
          <w:trHeight w:val="20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10,383</w:t>
            </w: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11,717</w:t>
            </w:r>
          </w:p>
        </w:tc>
      </w:tr>
      <w:tr>
        <w:trPr>
          <w:trHeight w:val="195"/>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16,799</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18,044</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4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r>
      <w:tr>
        <w:trPr>
          <w:trHeight w:val="198"/>
        </w:trPr>
        <w:tc>
          <w:tcPr>
            <w:tcW w:w="6140" w:type="dxa"/>
            <w:vAlign w:val="bottom"/>
          </w:tcPr>
          <w:p>
            <w:pPr>
              <w:ind w:left="20"/>
              <w:spacing w:after="0"/>
              <w:rPr>
                <w:sz w:val="20"/>
                <w:szCs w:val="20"/>
                <w:color w:val="auto"/>
              </w:rPr>
            </w:pPr>
            <w:r>
              <w:rPr>
                <w:rFonts w:ascii="Arial" w:cs="Arial" w:eastAsia="Arial" w:hAnsi="Arial"/>
                <w:sz w:val="14"/>
                <w:szCs w:val="14"/>
                <w:color w:val="auto"/>
              </w:rPr>
              <w:t>Current portion of long-term debt</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753</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571</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2,528</w:t>
            </w:r>
          </w:p>
        </w:tc>
      </w:tr>
      <w:tr>
        <w:trPr>
          <w:trHeight w:val="195"/>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3,044</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3,099</w:t>
            </w:r>
          </w:p>
        </w:tc>
      </w:tr>
      <w:tr>
        <w:trPr>
          <w:trHeight w:val="197"/>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portion of long-term debt</w:t>
            </w:r>
          </w:p>
        </w:tc>
        <w:tc>
          <w:tcPr>
            <w:tcW w:w="140" w:type="dxa"/>
            <w:vAlign w:val="bottom"/>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40" w:type="dxa"/>
            <w:vAlign w:val="bottom"/>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w:t>
            </w:r>
          </w:p>
        </w:tc>
      </w:tr>
      <w:tr>
        <w:trPr>
          <w:trHeight w:val="199"/>
        </w:trPr>
        <w:tc>
          <w:tcPr>
            <w:tcW w:w="6140" w:type="dxa"/>
            <w:vAlign w:val="bottom"/>
          </w:tcPr>
          <w:p>
            <w:pPr>
              <w:ind w:left="20"/>
              <w:spacing w:after="0"/>
              <w:rPr>
                <w:sz w:val="20"/>
                <w:szCs w:val="20"/>
                <w:color w:val="auto"/>
              </w:rPr>
            </w:pPr>
            <w:r>
              <w:rPr>
                <w:rFonts w:ascii="Arial" w:cs="Arial" w:eastAsia="Arial" w:hAnsi="Arial"/>
                <w:sz w:val="14"/>
                <w:szCs w:val="14"/>
                <w:color w:val="auto"/>
              </w:rPr>
              <w:t>Non-current portion of lease obligations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424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w:t>
            </w:r>
          </w:p>
        </w:tc>
      </w:tr>
      <w:tr>
        <w:trPr>
          <w:trHeight w:val="195"/>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2,931</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3,794</w:t>
            </w:r>
          </w:p>
        </w:tc>
      </w:tr>
      <w:tr>
        <w:trPr>
          <w:trHeight w:val="197"/>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5,975</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6,893</w:t>
            </w:r>
          </w:p>
        </w:tc>
      </w:tr>
      <w:tr>
        <w:trPr>
          <w:trHeight w:val="182"/>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 additional paid-in capital</w:t>
            </w:r>
          </w:p>
        </w:tc>
        <w:tc>
          <w:tcPr>
            <w:tcW w:w="14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24,025</w:t>
            </w:r>
          </w:p>
        </w:tc>
        <w:tc>
          <w:tcPr>
            <w:tcW w:w="140" w:type="dxa"/>
            <w:vAlign w:val="bottom"/>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24,038</w:t>
            </w:r>
          </w:p>
        </w:tc>
      </w:tr>
      <w:tr>
        <w:trPr>
          <w:trHeight w:val="199"/>
        </w:trPr>
        <w:tc>
          <w:tcPr>
            <w:tcW w:w="61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(13,266)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(13,001)</w:t>
            </w:r>
          </w:p>
        </w:tc>
      </w:tr>
      <w:tr>
        <w:trPr>
          <w:trHeight w:val="20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9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2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4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16,799</w:t>
            </w:r>
          </w:p>
        </w:tc>
        <w:tc>
          <w:tcPr>
            <w:tcW w:w="14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18,044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 of 12</w:t>
      </w:r>
    </w:p>
    <w:p>
      <w:pPr>
        <w:sectPr>
          <w:pgSz w:w="11900" w:h="16838" w:orient="portrait"/>
          <w:cols w:equalWidth="0" w:num="1">
            <w:col w:w="11000"/>
          </w:cols>
          <w:pgMar w:left="440" w:top="1403" w:right="45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257"/>
        </w:trPr>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50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(729)</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278</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1,018</w:t>
            </w: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Finance (income) expense, net and other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of long-lived assets</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Other non-cash operating activities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working capital</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r>
      <w:tr>
        <w:trPr>
          <w:trHeight w:val="195"/>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457</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684</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1,722</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2,125</w:t>
            </w:r>
          </w:p>
        </w:tc>
      </w:tr>
      <w:tr>
        <w:trPr>
          <w:trHeight w:val="237"/>
        </w:trPr>
        <w:tc>
          <w:tcPr>
            <w:tcW w:w="5080" w:type="dxa"/>
            <w:vAlign w:val="bottom"/>
            <w:tcBorders>
              <w:top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 and intangible assets</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Acquisitions, net of cash acquired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purchases of marketable securities</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19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investing activities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(1,125)</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(1,882)</w:t>
            </w: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Proceeds from issuance of equity instruments and other</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(repayment) of debt, net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(452)</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(785)</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w:t>
            </w:r>
          </w:p>
        </w:tc>
      </w:tr>
      <w:tr>
        <w:trPr>
          <w:trHeight w:val="19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507</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w:t>
            </w:r>
          </w:p>
        </w:tc>
        <w:tc>
          <w:tcPr>
            <w:tcW w:w="120" w:type="dxa"/>
            <w:vAlign w:val="bottom"/>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r>
      <w:tr>
        <w:trPr>
          <w:trHeight w:val="19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2,192</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2,387</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2,192</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 of 12</w:t>
      </w:r>
    </w:p>
    <w:p>
      <w:pPr>
        <w:sectPr>
          <w:pgSz w:w="11900" w:h="16838" w:orient="portrait"/>
          <w:cols w:equalWidth="0" w:num="1">
            <w:col w:w="11240"/>
          </w:cols>
          <w:pgMar w:left="320" w:top="1440" w:right="339" w:bottom="1440" w:gutter="0" w:footer="0" w:header="0"/>
        </w:sectPr>
      </w:pPr>
    </w:p>
    <w:bookmarkStart w:id="10" w:name="page11"/>
    <w:bookmarkEnd w:id="10"/>
    <w:p>
      <w:pPr>
        <w:ind w:left="5160"/>
        <w:spacing w:after="0"/>
        <w:rPr>
          <w:sz w:val="20"/>
          <w:szCs w:val="20"/>
          <w:color w:val="auto"/>
        </w:rPr>
      </w:pPr>
      <w:r>
        <w:rPr>
          <w:rFonts w:ascii="Arial" w:cs="Arial" w:eastAsia="Arial" w:hAnsi="Arial"/>
          <w:sz w:val="18"/>
          <w:szCs w:val="18"/>
          <w:b w:val="1"/>
          <w:bCs w:val="1"/>
          <w:color w:val="auto"/>
        </w:rPr>
        <w:t>GlobalFoundries Inc.</w:t>
      </w: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Reconciliation of IFRS to Non-IFRS</w:t>
      </w:r>
    </w:p>
    <w:p>
      <w:pPr>
        <w:jc w:val="center"/>
        <w:ind w:right="-259"/>
        <w:spacing w:after="0"/>
        <w:rPr>
          <w:sz w:val="20"/>
          <w:szCs w:val="20"/>
          <w:color w:val="auto"/>
        </w:rPr>
      </w:pPr>
      <w:r>
        <w:rPr>
          <w:rFonts w:ascii="Arial" w:cs="Arial" w:eastAsia="Arial" w:hAnsi="Arial"/>
          <w:sz w:val="14"/>
          <w:szCs w:val="14"/>
          <w:b w:val="1"/>
          <w:bCs w:val="1"/>
          <w:color w:val="auto"/>
        </w:rPr>
        <w:t>(Unaudited, in millions, except for per share amounts)</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205"/>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2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1,830</w:t>
            </w:r>
          </w:p>
        </w:tc>
        <w:tc>
          <w:tcPr>
            <w:tcW w:w="12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1,739</w:t>
            </w:r>
          </w:p>
        </w:tc>
        <w:tc>
          <w:tcPr>
            <w:tcW w:w="10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1,854</w:t>
            </w:r>
          </w:p>
        </w:tc>
        <w:tc>
          <w:tcPr>
            <w:tcW w:w="12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6,750</w:t>
            </w:r>
          </w:p>
        </w:tc>
        <w:tc>
          <w:tcPr>
            <w:tcW w:w="100" w:type="dxa"/>
            <w:vAlign w:val="bottom"/>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7,392</w:t>
            </w:r>
          </w:p>
        </w:tc>
        <w:tc>
          <w:tcPr>
            <w:tcW w:w="0" w:type="dxa"/>
            <w:vAlign w:val="bottom"/>
          </w:tcPr>
          <w:p>
            <w:pPr>
              <w:spacing w:after="0"/>
              <w:rPr>
                <w:sz w:val="1"/>
                <w:szCs w:val="1"/>
                <w:color w:val="auto"/>
              </w:rPr>
            </w:pPr>
          </w:p>
        </w:tc>
      </w:tr>
      <w:tr>
        <w:trPr>
          <w:trHeight w:val="201"/>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449</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414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525</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1,651</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2,101</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Gross margin</w:t>
            </w:r>
          </w:p>
        </w:tc>
        <w:tc>
          <w:tcPr>
            <w:tcW w:w="1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24.5 %</w:t>
            </w:r>
          </w:p>
        </w:tc>
        <w:tc>
          <w:tcPr>
            <w:tcW w:w="1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23.8 %</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28.3 %</w:t>
            </w:r>
          </w:p>
        </w:tc>
        <w:tc>
          <w:tcPr>
            <w:tcW w:w="1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24.5 %</w:t>
            </w: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28.4 %</w:t>
            </w:r>
          </w:p>
        </w:tc>
        <w:tc>
          <w:tcPr>
            <w:tcW w:w="0" w:type="dxa"/>
            <w:vAlign w:val="bottom"/>
          </w:tcPr>
          <w:p>
            <w:pPr>
              <w:spacing w:after="0"/>
              <w:rPr>
                <w:sz w:val="1"/>
                <w:szCs w:val="1"/>
                <w:color w:val="auto"/>
              </w:rPr>
            </w:pPr>
          </w:p>
        </w:tc>
      </w:tr>
      <w:tr>
        <w:trPr>
          <w:trHeight w:val="19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4"/>
                <w:szCs w:val="14"/>
                <w:b w:val="1"/>
                <w:bCs w:val="1"/>
                <w:color w:val="auto"/>
              </w:rPr>
              <w:t>Non-IFRS gross profit</w:t>
            </w:r>
            <w:r>
              <w:rPr>
                <w:rFonts w:ascii="Arial" w:cs="Arial" w:eastAsia="Arial" w:hAnsi="Arial"/>
                <w:sz w:val="18"/>
                <w:szCs w:val="18"/>
                <w:b w:val="1"/>
                <w:bCs w:val="1"/>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464</w:t>
            </w:r>
          </w:p>
        </w:tc>
        <w:tc>
          <w:tcPr>
            <w:tcW w:w="12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537</w:t>
            </w:r>
          </w:p>
        </w:tc>
        <w:tc>
          <w:tcPr>
            <w:tcW w:w="12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1,709</w:t>
            </w:r>
          </w:p>
        </w:tc>
        <w:tc>
          <w:tcPr>
            <w:tcW w:w="100" w:type="dxa"/>
            <w:vAlign w:val="bottom"/>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2,149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Non-IFRS gross margin</w:t>
            </w:r>
            <w:r>
              <w:rPr>
                <w:rFonts w:ascii="Arial" w:cs="Arial" w:eastAsia="Arial" w:hAnsi="Arial"/>
                <w:sz w:val="18"/>
                <w:szCs w:val="18"/>
                <w:i w:val="1"/>
                <w:iCs w:val="1"/>
                <w:color w:val="auto"/>
                <w:vertAlign w:val="superscript"/>
              </w:rPr>
              <w:t>(1)</w:t>
            </w: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25.4 %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24.7 %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29.0 %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25.3 %</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29.1 %</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Selling, general and administrative</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93</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87</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427</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473</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4"/>
                <w:szCs w:val="14"/>
                <w:color w:val="auto"/>
              </w:rPr>
              <w:t>Structural optimization</w:t>
            </w:r>
            <w:r>
              <w:rPr>
                <w:rFonts w:ascii="Arial" w:cs="Arial" w:eastAsia="Arial" w:hAnsi="Arial"/>
                <w:sz w:val="18"/>
                <w:szCs w:val="18"/>
                <w:color w:val="auto"/>
                <w:vertAlign w:val="superscript"/>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2606040</wp:posOffset>
            </wp:positionH>
            <wp:positionV relativeFrom="paragraph">
              <wp:posOffset>0</wp:posOffset>
            </wp:positionV>
            <wp:extent cx="840105"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40105" cy="154305"/>
                    </a:xfrm>
                    <a:prstGeom prst="rect">
                      <a:avLst/>
                    </a:prstGeom>
                    <a:noFill/>
                  </pic:spPr>
                </pic:pic>
              </a:graphicData>
            </a:graphic>
          </wp:anchor>
        </w:drawing>
      </w:r>
    </w:p>
    <w:p>
      <w:pPr>
        <w:sectPr>
          <w:pgSz w:w="11900" w:h="16838" w:orient="portrait"/>
          <w:cols w:equalWidth="0" w:num="1">
            <w:col w:w="11180"/>
          </w:cols>
          <w:pgMar w:left="220" w:top="836" w:right="499" w:bottom="1440" w:gutter="0" w:footer="0" w:header="0"/>
        </w:sectPr>
      </w:pPr>
    </w:p>
    <w:p>
      <w:pPr>
        <w:spacing w:after="0" w:line="20"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Non-IFRS selling, general and administrative</w:t>
            </w:r>
            <w:r>
              <w:rPr>
                <w:rFonts w:ascii="Arial" w:cs="Arial" w:eastAsia="Arial" w:hAnsi="Arial"/>
                <w:sz w:val="18"/>
                <w:szCs w:val="18"/>
                <w:b w:val="1"/>
                <w:bCs w:val="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Research and development</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23495</wp:posOffset>
            </wp:positionV>
            <wp:extent cx="2357120"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7120" cy="128905"/>
                    </a:xfrm>
                    <a:prstGeom prst="rect">
                      <a:avLst/>
                    </a:prstGeom>
                    <a:noFill/>
                  </pic:spPr>
                </pic:pic>
              </a:graphicData>
            </a:graphic>
          </wp:anchor>
        </w:drawing>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Structural optimization</w:t>
      </w:r>
      <w:r>
        <w:rPr>
          <w:rFonts w:ascii="Arial" w:cs="Arial" w:eastAsia="Arial" w:hAnsi="Arial"/>
          <w:sz w:val="18"/>
          <w:szCs w:val="18"/>
          <w:color w:val="auto"/>
          <w:vertAlign w:val="superscript"/>
        </w:rPr>
        <w:t>(2)</w:t>
      </w:r>
    </w:p>
    <w:p>
      <w:pPr>
        <w:spacing w:after="0" w:line="12" w:lineRule="exact"/>
        <w:rPr>
          <w:sz w:val="20"/>
          <w:szCs w:val="20"/>
          <w:color w:val="auto"/>
        </w:rPr>
      </w:pPr>
    </w:p>
    <w:p>
      <w:pPr>
        <w:ind w:left="280" w:right="340"/>
        <w:spacing w:after="0" w:line="237" w:lineRule="auto"/>
        <w:rPr>
          <w:sz w:val="20"/>
          <w:szCs w:val="20"/>
          <w:color w:val="auto"/>
        </w:rPr>
      </w:pPr>
      <w:r>
        <w:rPr>
          <w:rFonts w:ascii="Arial" w:cs="Arial" w:eastAsia="Arial" w:hAnsi="Arial"/>
          <w:sz w:val="14"/>
          <w:szCs w:val="14"/>
          <w:color w:val="auto"/>
        </w:rPr>
        <w:t>Amortization of acquired intangibles and other acquisition related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540" w:type="dxa"/>
            <w:vAlign w:val="bottom"/>
          </w:tcPr>
          <w:p>
            <w:pPr>
              <w:jc w:val="right"/>
              <w:ind w:right="228"/>
              <w:spacing w:after="0"/>
              <w:rPr>
                <w:sz w:val="20"/>
                <w:szCs w:val="20"/>
                <w:color w:val="auto"/>
              </w:rPr>
            </w:pPr>
            <w:r>
              <w:rPr>
                <w:rFonts w:ascii="Arial" w:cs="Arial" w:eastAsia="Arial" w:hAnsi="Arial"/>
                <w:sz w:val="14"/>
                <w:szCs w:val="14"/>
                <w:b w:val="1"/>
                <w:bCs w:val="1"/>
                <w:color w:val="auto"/>
              </w:rPr>
              <w:t>69</w:t>
            </w: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57</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327</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377</w:t>
            </w: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4"/>
              </w:rPr>
              <w:t>121</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40" w:type="dxa"/>
            <w:vAlign w:val="bottom"/>
            <w:vMerge w:val="continue"/>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105</w:t>
            </w:r>
          </w:p>
        </w:tc>
        <w:tc>
          <w:tcPr>
            <w:tcW w:w="120" w:type="dxa"/>
            <w:vAlign w:val="bottom"/>
          </w:tcPr>
          <w:p>
            <w:pPr>
              <w:spacing w:after="0"/>
              <w:rPr>
                <w:sz w:val="17"/>
                <w:szCs w:val="17"/>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496</w:t>
            </w:r>
          </w:p>
        </w:tc>
        <w:tc>
          <w:tcPr>
            <w:tcW w:w="10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428</w:t>
            </w:r>
          </w:p>
        </w:tc>
        <w:tc>
          <w:tcPr>
            <w:tcW w:w="0" w:type="dxa"/>
            <w:vAlign w:val="bottom"/>
          </w:tcPr>
          <w:p>
            <w:pPr>
              <w:spacing w:after="0"/>
              <w:rPr>
                <w:sz w:val="1"/>
                <w:szCs w:val="1"/>
                <w:color w:val="auto"/>
              </w:rPr>
            </w:pPr>
          </w:p>
        </w:tc>
      </w:tr>
      <w:tr>
        <w:trPr>
          <w:trHeight w:val="194"/>
        </w:trPr>
        <w:tc>
          <w:tcPr>
            <w:tcW w:w="540" w:type="dxa"/>
            <w:vAlign w:val="bottom"/>
          </w:tcPr>
          <w:p>
            <w:pPr>
              <w:jc w:val="right"/>
              <w:ind w:right="228"/>
              <w:spacing w:after="0"/>
              <w:rPr>
                <w:sz w:val="20"/>
                <w:szCs w:val="20"/>
                <w:color w:val="auto"/>
              </w:rPr>
            </w:pPr>
            <w:r>
              <w:rPr>
                <w:rFonts w:ascii="Arial" w:cs="Arial" w:eastAsia="Arial" w:hAnsi="Arial"/>
                <w:sz w:val="14"/>
                <w:szCs w:val="14"/>
                <w:color w:val="auto"/>
              </w:rPr>
              <w:t>8</w:t>
            </w:r>
          </w:p>
        </w:tc>
        <w:tc>
          <w:tcPr>
            <w:tcW w:w="50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1"/>
        </w:trPr>
        <w:tc>
          <w:tcPr>
            <w:tcW w:w="540" w:type="dxa"/>
            <w:vAlign w:val="bottom"/>
          </w:tcPr>
          <w:p>
            <w:pPr>
              <w:jc w:val="right"/>
              <w:ind w:right="228"/>
              <w:spacing w:after="0"/>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54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-551180</wp:posOffset>
            </wp:positionV>
            <wp:extent cx="8401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-294005</wp:posOffset>
            </wp:positionV>
            <wp:extent cx="8401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-645795</wp:posOffset>
            </wp:positionV>
            <wp:extent cx="840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4280" w:space="720"/>
            <w:col w:w="6180"/>
          </w:cols>
          <w:pgMar w:left="220" w:top="836" w:right="499" w:bottom="1440" w:gutter="0" w:footer="0" w:header="0"/>
          <w:type w:val="continuous"/>
        </w:sectPr>
      </w:pPr>
    </w:p>
    <w:tbl>
      <w:tblPr>
        <w:tblLayout w:type="fixed"/>
        <w:tblInd w:w="260" w:type="dxa"/>
        <w:tblCellMar>
          <w:top w:w="0" w:type="dxa"/>
          <w:left w:w="0" w:type="dxa"/>
          <w:bottom w:w="0" w:type="dxa"/>
          <w:right w:w="0" w:type="dxa"/>
        </w:tblCellMar>
      </w:tblPr>
      <w:tr>
        <w:trPr>
          <w:trHeight w:val="221"/>
        </w:trPr>
        <w:tc>
          <w:tcPr>
            <w:tcW w:w="37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b w:val="1"/>
                <w:bCs w:val="1"/>
                <w:color w:val="auto"/>
              </w:rPr>
              <w:t>Non-IFRS research and development</w:t>
            </w:r>
            <w:r>
              <w:rPr>
                <w:rFonts w:ascii="Arial" w:cs="Arial" w:eastAsia="Arial" w:hAnsi="Arial"/>
                <w:sz w:val="18"/>
                <w:szCs w:val="18"/>
                <w:b w:val="1"/>
                <w:bCs w:val="1"/>
                <w:color w:val="auto"/>
                <w:vertAlign w:val="superscript"/>
              </w:rPr>
              <w:t>(1)</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122</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97</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462</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403</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02"/>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12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(701)</w:t>
            </w:r>
          </w:p>
        </w:tc>
        <w:tc>
          <w:tcPr>
            <w:tcW w:w="12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185</w:t>
            </w:r>
          </w:p>
        </w:tc>
        <w:tc>
          <w:tcPr>
            <w:tcW w:w="100" w:type="dxa"/>
            <w:vAlign w:val="bottom"/>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303</w:t>
            </w:r>
          </w:p>
        </w:tc>
        <w:tc>
          <w:tcPr>
            <w:tcW w:w="120" w:type="dxa"/>
            <w:vAlign w:val="bottom"/>
          </w:tcPr>
          <w:p>
            <w:pPr>
              <w:spacing w:after="0"/>
              <w:rPr>
                <w:sz w:val="17"/>
                <w:szCs w:val="17"/>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(214)</w:t>
            </w:r>
          </w:p>
        </w:tc>
        <w:tc>
          <w:tcPr>
            <w:tcW w:w="100" w:type="dxa"/>
            <w:vAlign w:val="bottom"/>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1,129</w:t>
            </w:r>
          </w:p>
        </w:tc>
      </w:tr>
    </w:tbl>
    <w:p>
      <w:pPr>
        <w:spacing w:after="0" w:line="6" w:lineRule="exact"/>
        <w:rPr>
          <w:sz w:val="20"/>
          <w:szCs w:val="20"/>
          <w:color w:val="auto"/>
        </w:rPr>
      </w:pPr>
    </w:p>
    <w:p>
      <w:pPr>
        <w:sectPr>
          <w:pgSz w:w="11900" w:h="16838" w:orient="portrait"/>
          <w:cols w:equalWidth="0" w:num="1">
            <w:col w:w="11180"/>
          </w:cols>
          <w:pgMar w:left="220" w:top="836" w:right="499" w:bottom="1440" w:gutter="0" w:footer="0" w:header="0"/>
          <w:type w:val="continuous"/>
        </w:sectPr>
      </w:pPr>
    </w:p>
    <w:p>
      <w:pPr>
        <w:ind w:left="280"/>
        <w:spacing w:after="0"/>
        <w:rPr>
          <w:sz w:val="20"/>
          <w:szCs w:val="20"/>
          <w:color w:val="auto"/>
        </w:rPr>
      </w:pPr>
      <w:r>
        <w:rPr>
          <w:rFonts w:ascii="Arial" w:cs="Arial" w:eastAsia="Arial" w:hAnsi="Arial"/>
          <w:sz w:val="14"/>
          <w:szCs w:val="14"/>
          <w:i w:val="1"/>
          <w:iCs w:val="1"/>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22225</wp:posOffset>
            </wp:positionV>
            <wp:extent cx="23571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128905"/>
                    </a:xfrm>
                    <a:prstGeom prst="rect">
                      <a:avLst/>
                    </a:prstGeom>
                    <a:noFill/>
                  </pic:spPr>
                </pic:pic>
              </a:graphicData>
            </a:graphic>
          </wp:anchor>
        </w:drawing>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Share-based compensation</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Structural optimization</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-3175</wp:posOffset>
            </wp:positionV>
            <wp:extent cx="235712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214630"/>
                    </a:xfrm>
                    <a:prstGeom prst="rect">
                      <a:avLst/>
                    </a:prstGeom>
                    <a:noFill/>
                  </pic:spPr>
                </pic:pic>
              </a:graphicData>
            </a:graphic>
          </wp:anchor>
        </w:drawing>
      </w:r>
    </w:p>
    <w:p>
      <w:pPr>
        <w:ind w:left="280"/>
        <w:spacing w:after="0" w:line="242" w:lineRule="auto"/>
        <w:rPr>
          <w:sz w:val="20"/>
          <w:szCs w:val="20"/>
          <w:color w:val="auto"/>
        </w:rPr>
      </w:pPr>
      <w:r>
        <w:rPr>
          <w:rFonts w:ascii="Arial" w:cs="Arial" w:eastAsia="Arial" w:hAnsi="Arial"/>
          <w:sz w:val="14"/>
          <w:szCs w:val="14"/>
          <w:color w:val="auto"/>
        </w:rPr>
        <w:t>Amortization of acquired intangibles and other acquisition related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(38.3)%</w:t>
            </w:r>
          </w:p>
        </w:tc>
        <w:tc>
          <w:tcPr>
            <w:tcW w:w="1460" w:type="dxa"/>
            <w:vAlign w:val="bottom"/>
            <w:gridSpan w:val="2"/>
          </w:tcPr>
          <w:p>
            <w:pPr>
              <w:jc w:val="right"/>
              <w:spacing w:after="0"/>
              <w:rPr>
                <w:sz w:val="20"/>
                <w:szCs w:val="20"/>
                <w:color w:val="auto"/>
              </w:rPr>
            </w:pPr>
            <w:r>
              <w:rPr>
                <w:rFonts w:ascii="Arial" w:cs="Arial" w:eastAsia="Arial" w:hAnsi="Arial"/>
                <w:sz w:val="14"/>
                <w:szCs w:val="14"/>
                <w:i w:val="1"/>
                <w:iCs w:val="1"/>
                <w:color w:val="auto"/>
              </w:rPr>
              <w:t>10.6 %</w:t>
            </w:r>
          </w:p>
        </w:tc>
        <w:tc>
          <w:tcPr>
            <w:tcW w:w="1420" w:type="dxa"/>
            <w:vAlign w:val="bottom"/>
            <w:gridSpan w:val="2"/>
          </w:tcPr>
          <w:p>
            <w:pPr>
              <w:jc w:val="right"/>
              <w:spacing w:after="0"/>
              <w:rPr>
                <w:sz w:val="20"/>
                <w:szCs w:val="20"/>
                <w:color w:val="auto"/>
              </w:rPr>
            </w:pPr>
            <w:r>
              <w:rPr>
                <w:rFonts w:ascii="Arial" w:cs="Arial" w:eastAsia="Arial" w:hAnsi="Arial"/>
                <w:sz w:val="14"/>
                <w:szCs w:val="14"/>
                <w:i w:val="1"/>
                <w:iCs w:val="1"/>
                <w:color w:val="auto"/>
              </w:rPr>
              <w:t>16.3 %</w:t>
            </w:r>
          </w:p>
        </w:tc>
        <w:tc>
          <w:tcPr>
            <w:tcW w:w="1440" w:type="dxa"/>
            <w:vAlign w:val="bottom"/>
            <w:gridSpan w:val="2"/>
          </w:tcPr>
          <w:p>
            <w:pPr>
              <w:jc w:val="right"/>
              <w:spacing w:after="0"/>
              <w:rPr>
                <w:sz w:val="20"/>
                <w:szCs w:val="20"/>
                <w:color w:val="auto"/>
              </w:rPr>
            </w:pPr>
            <w:r>
              <w:rPr>
                <w:rFonts w:ascii="Arial" w:cs="Arial" w:eastAsia="Arial" w:hAnsi="Arial"/>
                <w:sz w:val="14"/>
                <w:szCs w:val="14"/>
                <w:i w:val="1"/>
                <w:iCs w:val="1"/>
                <w:color w:val="auto"/>
              </w:rPr>
              <w:t>(3.2)%</w:t>
            </w:r>
          </w:p>
        </w:tc>
        <w:tc>
          <w:tcPr>
            <w:tcW w:w="1440" w:type="dxa"/>
            <w:vAlign w:val="bottom"/>
            <w:gridSpan w:val="2"/>
          </w:tcPr>
          <w:p>
            <w:pPr>
              <w:jc w:val="right"/>
              <w:spacing w:after="0"/>
              <w:rPr>
                <w:sz w:val="20"/>
                <w:szCs w:val="20"/>
                <w:color w:val="auto"/>
              </w:rPr>
            </w:pPr>
            <w:r>
              <w:rPr>
                <w:rFonts w:ascii="Arial" w:cs="Arial" w:eastAsia="Arial" w:hAnsi="Arial"/>
                <w:sz w:val="14"/>
                <w:szCs w:val="14"/>
                <w:i w:val="1"/>
                <w:iCs w:val="1"/>
                <w:color w:val="auto"/>
              </w:rPr>
              <w:t>15.3 %</w:t>
            </w:r>
          </w:p>
        </w:tc>
      </w:tr>
      <w:tr>
        <w:trPr>
          <w:trHeight w:val="207"/>
        </w:trPr>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169</w:t>
            </w:r>
          </w:p>
        </w:tc>
      </w:tr>
      <w:tr>
        <w:trPr>
          <w:trHeight w:val="198"/>
        </w:trPr>
        <w:tc>
          <w:tcPr>
            <w:tcW w:w="132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66"/>
        </w:trPr>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76"/>
        </w:trPr>
        <w:tc>
          <w:tcPr>
            <w:tcW w:w="132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shd w:val="clear" w:color="auto" w:fill="CCEEFF"/>
          </w:tcPr>
          <w:p>
            <w:pPr>
              <w:spacing w:after="0"/>
              <w:rPr>
                <w:sz w:val="6"/>
                <w:szCs w:val="6"/>
                <w:color w:val="auto"/>
              </w:rPr>
            </w:pPr>
          </w:p>
        </w:tc>
      </w:tr>
    </w:tbl>
    <w:p>
      <w:pPr>
        <w:spacing w:after="0" w:line="6" w:lineRule="exact"/>
        <w:rPr>
          <w:sz w:val="20"/>
          <w:szCs w:val="20"/>
          <w:color w:val="auto"/>
        </w:rPr>
      </w:pPr>
    </w:p>
    <w:p>
      <w:pPr>
        <w:sectPr>
          <w:pgSz w:w="11900" w:h="16838" w:orient="portrait"/>
          <w:cols w:equalWidth="0" w:num="2">
            <w:col w:w="3940" w:space="160"/>
            <w:col w:w="7080"/>
          </w:cols>
          <w:pgMar w:left="220" w:top="836" w:right="499" w:bottom="1440" w:gutter="0" w:footer="0" w:header="0"/>
          <w:type w:val="continuous"/>
        </w:sectPr>
      </w:pPr>
    </w:p>
    <w:tbl>
      <w:tblPr>
        <w:tblLayout w:type="fixed"/>
        <w:tblInd w:w="260" w:type="dxa"/>
        <w:tblCellMar>
          <w:top w:w="0" w:type="dxa"/>
          <w:left w:w="0" w:type="dxa"/>
          <w:bottom w:w="0" w:type="dxa"/>
          <w:right w:w="0" w:type="dxa"/>
        </w:tblCellMar>
      </w:tblPr>
      <w:tr>
        <w:trPr>
          <w:trHeight w:val="194"/>
        </w:trPr>
        <w:tc>
          <w:tcPr>
            <w:tcW w:w="3720" w:type="dxa"/>
            <w:vAlign w:val="bottom"/>
          </w:tcPr>
          <w:p>
            <w:pPr>
              <w:ind w:left="20"/>
              <w:spacing w:after="0"/>
              <w:rPr>
                <w:sz w:val="20"/>
                <w:szCs w:val="20"/>
                <w:color w:val="auto"/>
              </w:rPr>
            </w:pPr>
            <w:r>
              <w:rPr>
                <w:rFonts w:ascii="Arial" w:cs="Arial" w:eastAsia="Arial" w:hAnsi="Arial"/>
                <w:sz w:val="14"/>
                <w:szCs w:val="14"/>
                <w:color w:val="auto"/>
              </w:rPr>
              <w:t>Impairment of long-lived assets</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2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71</w:t>
            </w:r>
          </w:p>
        </w:tc>
      </w:tr>
      <w:tr>
        <w:trPr>
          <w:trHeight w:val="196"/>
        </w:trPr>
        <w:tc>
          <w:tcPr>
            <w:tcW w:w="372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Non-IFRS operating profit</w:t>
            </w:r>
            <w:r>
              <w:rPr>
                <w:rFonts w:ascii="Arial" w:cs="Arial" w:eastAsia="Arial" w:hAnsi="Arial"/>
                <w:sz w:val="18"/>
                <w:szCs w:val="18"/>
                <w:b w:val="1"/>
                <w:bCs w:val="1"/>
                <w:color w:val="auto"/>
                <w:vertAlign w:val="superscript"/>
              </w:rPr>
              <w:t>(1)</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285</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236</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383</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920</w:t>
            </w:r>
          </w:p>
        </w:tc>
        <w:tc>
          <w:tcPr>
            <w:tcW w:w="5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1,369</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72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i w:val="1"/>
                <w:iCs w:val="1"/>
                <w:color w:val="auto"/>
              </w:rPr>
              <w:t>Non-IFRS operating margin</w:t>
            </w:r>
            <w:r>
              <w:rPr>
                <w:rFonts w:ascii="Arial" w:cs="Arial" w:eastAsia="Arial" w:hAnsi="Arial"/>
                <w:sz w:val="18"/>
                <w:szCs w:val="18"/>
                <w:i w:val="1"/>
                <w:iCs w:val="1"/>
                <w:color w:val="auto"/>
                <w:vertAlign w:val="superscript"/>
              </w:rPr>
              <w:t>(1)</w:t>
            </w:r>
          </w:p>
        </w:tc>
        <w:tc>
          <w:tcPr>
            <w:tcW w:w="1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15.6 %</w:t>
            </w:r>
          </w:p>
        </w:tc>
        <w:tc>
          <w:tcPr>
            <w:tcW w:w="1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13.6 %</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20.7 %</w:t>
            </w:r>
          </w:p>
        </w:tc>
        <w:tc>
          <w:tcPr>
            <w:tcW w:w="1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13.6 %</w:t>
            </w:r>
          </w:p>
        </w:tc>
        <w:tc>
          <w:tcPr>
            <w:tcW w:w="10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18.5 %</w:t>
            </w:r>
          </w:p>
        </w:tc>
      </w:tr>
      <w:tr>
        <w:trPr>
          <w:trHeight w:val="162"/>
        </w:trPr>
        <w:tc>
          <w:tcPr>
            <w:tcW w:w="372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(729)</w:t>
            </w:r>
          </w:p>
        </w:tc>
        <w:tc>
          <w:tcPr>
            <w:tcW w:w="12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178</w:t>
            </w:r>
          </w:p>
        </w:tc>
        <w:tc>
          <w:tcPr>
            <w:tcW w:w="10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17"/>
                <w:szCs w:val="17"/>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(262)</w:t>
            </w:r>
          </w:p>
        </w:tc>
        <w:tc>
          <w:tcPr>
            <w:tcW w:w="100" w:type="dxa"/>
            <w:vAlign w:val="bottom"/>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1,018</w:t>
            </w:r>
          </w:p>
        </w:tc>
      </w:tr>
    </w:tbl>
    <w:p>
      <w:pPr>
        <w:spacing w:after="0" w:line="6" w:lineRule="exact"/>
        <w:rPr>
          <w:sz w:val="20"/>
          <w:szCs w:val="20"/>
          <w:color w:val="auto"/>
        </w:rPr>
      </w:pPr>
    </w:p>
    <w:p>
      <w:pPr>
        <w:sectPr>
          <w:pgSz w:w="11900" w:h="16838" w:orient="portrait"/>
          <w:cols w:equalWidth="0" w:num="1">
            <w:col w:w="11180"/>
          </w:cols>
          <w:pgMar w:left="220" w:top="836" w:right="499" w:bottom="1440" w:gutter="0" w:footer="0" w:header="0"/>
          <w:type w:val="continuous"/>
        </w:sectPr>
      </w:pPr>
    </w:p>
    <w:p>
      <w:pPr>
        <w:ind w:left="280"/>
        <w:spacing w:after="0"/>
        <w:rPr>
          <w:sz w:val="20"/>
          <w:szCs w:val="20"/>
          <w:color w:val="auto"/>
        </w:rPr>
      </w:pPr>
      <w:r>
        <w:rPr>
          <w:rFonts w:ascii="Arial" w:cs="Arial" w:eastAsia="Arial" w:hAnsi="Arial"/>
          <w:sz w:val="14"/>
          <w:szCs w:val="14"/>
          <w:i w:val="1"/>
          <w:iCs w:val="1"/>
          <w:color w:val="auto"/>
        </w:rPr>
        <w:t>Net income (loss)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22225</wp:posOffset>
            </wp:positionV>
            <wp:extent cx="23571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128905"/>
                    </a:xfrm>
                    <a:prstGeom prst="rect">
                      <a:avLst/>
                    </a:prstGeom>
                    <a:noFill/>
                  </pic:spPr>
                </pic:pic>
              </a:graphicData>
            </a:graphic>
          </wp:anchor>
        </w:drawing>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Share-based compensation</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Structural optimization</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-3175</wp:posOffset>
            </wp:positionV>
            <wp:extent cx="23571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7120" cy="214630"/>
                    </a:xfrm>
                    <a:prstGeom prst="rect">
                      <a:avLst/>
                    </a:prstGeom>
                    <a:noFill/>
                  </pic:spPr>
                </pic:pic>
              </a:graphicData>
            </a:graphic>
          </wp:anchor>
        </w:drawing>
      </w:r>
    </w:p>
    <w:p>
      <w:pPr>
        <w:ind w:left="280"/>
        <w:spacing w:after="0" w:line="242" w:lineRule="auto"/>
        <w:rPr>
          <w:sz w:val="20"/>
          <w:szCs w:val="20"/>
          <w:color w:val="auto"/>
        </w:rPr>
      </w:pPr>
      <w:r>
        <w:rPr>
          <w:rFonts w:ascii="Arial" w:cs="Arial" w:eastAsia="Arial" w:hAnsi="Arial"/>
          <w:sz w:val="14"/>
          <w:szCs w:val="14"/>
          <w:color w:val="auto"/>
        </w:rPr>
        <w:t>Amortization of acquired intangibles and other acquisition related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(39.8)%</w:t>
            </w:r>
          </w:p>
        </w:tc>
        <w:tc>
          <w:tcPr>
            <w:tcW w:w="1460" w:type="dxa"/>
            <w:vAlign w:val="bottom"/>
            <w:gridSpan w:val="2"/>
          </w:tcPr>
          <w:p>
            <w:pPr>
              <w:jc w:val="right"/>
              <w:spacing w:after="0"/>
              <w:rPr>
                <w:sz w:val="20"/>
                <w:szCs w:val="20"/>
                <w:color w:val="auto"/>
              </w:rPr>
            </w:pPr>
            <w:r>
              <w:rPr>
                <w:rFonts w:ascii="Arial" w:cs="Arial" w:eastAsia="Arial" w:hAnsi="Arial"/>
                <w:sz w:val="14"/>
                <w:szCs w:val="14"/>
                <w:i w:val="1"/>
                <w:iCs w:val="1"/>
                <w:color w:val="auto"/>
              </w:rPr>
              <w:t>10.2 %</w:t>
            </w:r>
          </w:p>
        </w:tc>
        <w:tc>
          <w:tcPr>
            <w:tcW w:w="1420" w:type="dxa"/>
            <w:vAlign w:val="bottom"/>
            <w:gridSpan w:val="2"/>
          </w:tcPr>
          <w:p>
            <w:pPr>
              <w:jc w:val="right"/>
              <w:spacing w:after="0"/>
              <w:rPr>
                <w:sz w:val="20"/>
                <w:szCs w:val="20"/>
                <w:color w:val="auto"/>
              </w:rPr>
            </w:pPr>
            <w:r>
              <w:rPr>
                <w:rFonts w:ascii="Arial" w:cs="Arial" w:eastAsia="Arial" w:hAnsi="Arial"/>
                <w:sz w:val="14"/>
                <w:szCs w:val="14"/>
                <w:i w:val="1"/>
                <w:iCs w:val="1"/>
                <w:color w:val="auto"/>
              </w:rPr>
              <w:t>15.0 %</w:t>
            </w:r>
          </w:p>
        </w:tc>
        <w:tc>
          <w:tcPr>
            <w:tcW w:w="1440" w:type="dxa"/>
            <w:vAlign w:val="bottom"/>
            <w:gridSpan w:val="2"/>
          </w:tcPr>
          <w:p>
            <w:pPr>
              <w:jc w:val="right"/>
              <w:spacing w:after="0"/>
              <w:rPr>
                <w:sz w:val="20"/>
                <w:szCs w:val="20"/>
                <w:color w:val="auto"/>
              </w:rPr>
            </w:pPr>
            <w:r>
              <w:rPr>
                <w:rFonts w:ascii="Arial" w:cs="Arial" w:eastAsia="Arial" w:hAnsi="Arial"/>
                <w:sz w:val="14"/>
                <w:szCs w:val="14"/>
                <w:i w:val="1"/>
                <w:iCs w:val="1"/>
                <w:color w:val="auto"/>
              </w:rPr>
              <w:t>(3.9)%</w:t>
            </w:r>
          </w:p>
        </w:tc>
        <w:tc>
          <w:tcPr>
            <w:tcW w:w="1440" w:type="dxa"/>
            <w:vAlign w:val="bottom"/>
            <w:gridSpan w:val="2"/>
          </w:tcPr>
          <w:p>
            <w:pPr>
              <w:jc w:val="right"/>
              <w:spacing w:after="0"/>
              <w:rPr>
                <w:sz w:val="20"/>
                <w:szCs w:val="20"/>
                <w:color w:val="auto"/>
              </w:rPr>
            </w:pPr>
            <w:r>
              <w:rPr>
                <w:rFonts w:ascii="Arial" w:cs="Arial" w:eastAsia="Arial" w:hAnsi="Arial"/>
                <w:sz w:val="14"/>
                <w:szCs w:val="14"/>
                <w:i w:val="1"/>
                <w:iCs w:val="1"/>
                <w:color w:val="auto"/>
              </w:rPr>
              <w:t>13.8 %</w:t>
            </w:r>
          </w:p>
        </w:tc>
      </w:tr>
      <w:tr>
        <w:trPr>
          <w:trHeight w:val="206"/>
        </w:trPr>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169</w:t>
            </w:r>
          </w:p>
        </w:tc>
      </w:tr>
      <w:tr>
        <w:trPr>
          <w:trHeight w:val="199"/>
        </w:trPr>
        <w:tc>
          <w:tcPr>
            <w:tcW w:w="132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66"/>
        </w:trPr>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75"/>
        </w:trPr>
        <w:tc>
          <w:tcPr>
            <w:tcW w:w="132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shd w:val="clear" w:color="auto" w:fill="CCEEFF"/>
          </w:tcPr>
          <w:p>
            <w:pPr>
              <w:spacing w:after="0"/>
              <w:rPr>
                <w:sz w:val="6"/>
                <w:szCs w:val="6"/>
                <w:color w:val="auto"/>
              </w:rPr>
            </w:pPr>
          </w:p>
        </w:tc>
      </w:tr>
    </w:tbl>
    <w:p>
      <w:pPr>
        <w:spacing w:after="0" w:line="6" w:lineRule="exact"/>
        <w:rPr>
          <w:sz w:val="20"/>
          <w:szCs w:val="20"/>
          <w:color w:val="auto"/>
        </w:rPr>
      </w:pPr>
    </w:p>
    <w:p>
      <w:pPr>
        <w:sectPr>
          <w:pgSz w:w="11900" w:h="16838" w:orient="portrait"/>
          <w:cols w:equalWidth="0" w:num="2">
            <w:col w:w="3940" w:space="160"/>
            <w:col w:w="7080"/>
          </w:cols>
          <w:pgMar w:left="220" w:top="836" w:right="499" w:bottom="1440" w:gutter="0" w:footer="0" w:header="0"/>
          <w:type w:val="continuous"/>
        </w:sectPr>
      </w:pPr>
    </w:p>
    <w:tbl>
      <w:tblPr>
        <w:tblLayout w:type="fixed"/>
        <w:tblInd w:w="260" w:type="dxa"/>
        <w:tblCellMar>
          <w:top w:w="0" w:type="dxa"/>
          <w:left w:w="0" w:type="dxa"/>
          <w:bottom w:w="0" w:type="dxa"/>
          <w:right w:w="0" w:type="dxa"/>
        </w:tblCellMar>
      </w:tblPr>
      <w:tr>
        <w:trPr>
          <w:trHeight w:val="194"/>
        </w:trPr>
        <w:tc>
          <w:tcPr>
            <w:tcW w:w="3720" w:type="dxa"/>
            <w:vAlign w:val="bottom"/>
          </w:tcPr>
          <w:p>
            <w:pPr>
              <w:ind w:left="20"/>
              <w:spacing w:after="0"/>
              <w:rPr>
                <w:sz w:val="20"/>
                <w:szCs w:val="20"/>
                <w:color w:val="auto"/>
              </w:rPr>
            </w:pPr>
            <w:r>
              <w:rPr>
                <w:rFonts w:ascii="Arial" w:cs="Arial" w:eastAsia="Arial" w:hAnsi="Arial"/>
                <w:sz w:val="14"/>
                <w:szCs w:val="14"/>
                <w:color w:val="auto"/>
              </w:rPr>
              <w:t>Impairment of long-lived assets</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Income tax effect</w:t>
            </w:r>
            <w:r>
              <w:rPr>
                <w:rFonts w:ascii="Arial" w:cs="Arial" w:eastAsia="Arial" w:hAnsi="Arial"/>
                <w:sz w:val="18"/>
                <w:szCs w:val="18"/>
                <w:color w:val="auto"/>
                <w:vertAlign w:val="superscript"/>
              </w:rPr>
              <w:t>(2)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1"/>
        </w:trPr>
        <w:tc>
          <w:tcPr>
            <w:tcW w:w="3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b w:val="1"/>
                <w:bCs w:val="1"/>
                <w:color w:val="auto"/>
              </w:rPr>
              <w:t>Non-IFRS net income</w:t>
            </w:r>
            <w:r>
              <w:rPr>
                <w:rFonts w:ascii="Arial" w:cs="Arial" w:eastAsia="Arial" w:hAnsi="Arial"/>
                <w:sz w:val="18"/>
                <w:szCs w:val="18"/>
                <w:b w:val="1"/>
                <w:bCs w:val="1"/>
                <w:color w:val="auto"/>
                <w:vertAlign w:val="superscript"/>
              </w:rPr>
              <w:t>(1)</w:t>
            </w:r>
          </w:p>
        </w:tc>
        <w:tc>
          <w:tcPr>
            <w:tcW w:w="12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256</w:t>
            </w:r>
          </w:p>
        </w:tc>
        <w:tc>
          <w:tcPr>
            <w:tcW w:w="120" w:type="dxa"/>
            <w:vAlign w:val="bottom"/>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229</w:t>
            </w:r>
          </w:p>
        </w:tc>
        <w:tc>
          <w:tcPr>
            <w:tcW w:w="100" w:type="dxa"/>
            <w:vAlign w:val="bottom"/>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356</w:t>
            </w:r>
          </w:p>
        </w:tc>
        <w:tc>
          <w:tcPr>
            <w:tcW w:w="120" w:type="dxa"/>
            <w:vAlign w:val="bottom"/>
          </w:tcPr>
          <w:p>
            <w:pPr>
              <w:spacing w:after="0"/>
              <w:rPr>
                <w:sz w:val="18"/>
                <w:szCs w:val="18"/>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870</w:t>
            </w:r>
          </w:p>
        </w:tc>
        <w:tc>
          <w:tcPr>
            <w:tcW w:w="100" w:type="dxa"/>
            <w:vAlign w:val="bottom"/>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1,251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Non-IFRS net income margin</w:t>
            </w:r>
            <w:r>
              <w:rPr>
                <w:rFonts w:ascii="Arial" w:cs="Arial" w:eastAsia="Arial" w:hAnsi="Arial"/>
                <w:sz w:val="18"/>
                <w:szCs w:val="18"/>
                <w:i w:val="1"/>
                <w:iCs w:val="1"/>
                <w:color w:val="auto"/>
                <w:vertAlign w:val="superscript"/>
              </w:rPr>
              <w:t>(1)</w:t>
            </w:r>
          </w:p>
        </w:tc>
        <w:tc>
          <w:tcPr>
            <w:tcW w:w="12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14.0 %</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13.2 %</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19.2 %</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12.9 %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16.9 %</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Diluted earnings (loss) per share</w:t>
            </w:r>
          </w:p>
        </w:tc>
        <w:tc>
          <w:tcPr>
            <w:tcW w:w="5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(1.32)</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0.32</w:t>
            </w:r>
          </w:p>
        </w:tc>
        <w:tc>
          <w:tcPr>
            <w:tcW w:w="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0.50</w:t>
            </w:r>
          </w:p>
        </w:tc>
        <w:tc>
          <w:tcPr>
            <w:tcW w:w="5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(0.48)</w:t>
            </w:r>
          </w:p>
        </w:tc>
        <w:tc>
          <w:tcPr>
            <w:tcW w:w="5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1270</wp:posOffset>
            </wp:positionV>
            <wp:extent cx="23571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7120" cy="128905"/>
                    </a:xfrm>
                    <a:prstGeom prst="rect">
                      <a:avLst/>
                    </a:prstGeom>
                    <a:noFill/>
                  </pic:spPr>
                </pic:pic>
              </a:graphicData>
            </a:graphic>
          </wp:anchor>
        </w:drawing>
      </w:r>
    </w:p>
    <w:p>
      <w:pPr>
        <w:sectPr>
          <w:pgSz w:w="11900" w:h="16838" w:orient="portrait"/>
          <w:cols w:equalWidth="0" w:num="1">
            <w:col w:w="11180"/>
          </w:cols>
          <w:pgMar w:left="220" w:top="836" w:right="499" w:bottom="1440" w:gutter="0" w:footer="0" w:header="0"/>
          <w:type w:val="continuous"/>
        </w:sectPr>
      </w:pPr>
    </w:p>
    <w:p>
      <w:pPr>
        <w:spacing w:after="0" w:line="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Share-based compensation</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Structural optimization</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-3175</wp:posOffset>
            </wp:positionV>
            <wp:extent cx="2357120" cy="213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213995"/>
                    </a:xfrm>
                    <a:prstGeom prst="rect">
                      <a:avLst/>
                    </a:prstGeom>
                    <a:noFill/>
                  </pic:spPr>
                </pic:pic>
              </a:graphicData>
            </a:graphic>
          </wp:anchor>
        </w:drawing>
      </w:r>
    </w:p>
    <w:p>
      <w:pPr>
        <w:ind w:left="280"/>
        <w:spacing w:after="0" w:line="242" w:lineRule="auto"/>
        <w:rPr>
          <w:sz w:val="20"/>
          <w:szCs w:val="20"/>
          <w:color w:val="auto"/>
        </w:rPr>
      </w:pPr>
      <w:r>
        <w:rPr>
          <w:rFonts w:ascii="Arial" w:cs="Arial" w:eastAsia="Arial" w:hAnsi="Arial"/>
          <w:sz w:val="14"/>
          <w:szCs w:val="14"/>
          <w:color w:val="auto"/>
        </w:rPr>
        <w:t>Amortization of acquired intangibles and other acquisition related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6"/>
                <w:szCs w:val="16"/>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6"/>
                <w:szCs w:val="16"/>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6"/>
                <w:szCs w:val="16"/>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0.30</w:t>
            </w:r>
          </w:p>
        </w:tc>
      </w:tr>
      <w:tr>
        <w:trPr>
          <w:trHeight w:val="198"/>
        </w:trPr>
        <w:tc>
          <w:tcPr>
            <w:tcW w:w="1320" w:type="dxa"/>
            <w:vAlign w:val="bottom"/>
          </w:tcPr>
          <w:p>
            <w:pPr>
              <w:jc w:val="right"/>
              <w:ind w:right="10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7"/>
                <w:szCs w:val="17"/>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66"/>
        </w:trPr>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75"/>
        </w:trPr>
        <w:tc>
          <w:tcPr>
            <w:tcW w:w="132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shd w:val="clear" w:color="auto" w:fill="CCEEFF"/>
          </w:tcPr>
          <w:p>
            <w:pPr>
              <w:spacing w:after="0"/>
              <w:rPr>
                <w:sz w:val="6"/>
                <w:szCs w:val="6"/>
                <w:color w:val="auto"/>
              </w:rPr>
            </w:pPr>
          </w:p>
        </w:tc>
      </w:tr>
    </w:tbl>
    <w:p>
      <w:pPr>
        <w:spacing w:after="0" w:line="6" w:lineRule="exact"/>
        <w:rPr>
          <w:sz w:val="20"/>
          <w:szCs w:val="20"/>
          <w:color w:val="auto"/>
        </w:rPr>
      </w:pPr>
    </w:p>
    <w:p>
      <w:pPr>
        <w:sectPr>
          <w:pgSz w:w="11900" w:h="16838" w:orient="portrait"/>
          <w:cols w:equalWidth="0" w:num="2">
            <w:col w:w="3940" w:space="160"/>
            <w:col w:w="7080"/>
          </w:cols>
          <w:pgMar w:left="220" w:top="836" w:right="499" w:bottom="1440" w:gutter="0" w:footer="0" w:header="0"/>
          <w:type w:val="continuous"/>
        </w:sectPr>
      </w:pPr>
    </w:p>
    <w:tbl>
      <w:tblPr>
        <w:tblLayout w:type="fixed"/>
        <w:tblInd w:w="260" w:type="dxa"/>
        <w:tblCellMar>
          <w:top w:w="0" w:type="dxa"/>
          <w:left w:w="0" w:type="dxa"/>
          <w:bottom w:w="0" w:type="dxa"/>
          <w:right w:w="0" w:type="dxa"/>
        </w:tblCellMar>
      </w:tblPr>
      <w:tr>
        <w:trPr>
          <w:trHeight w:val="194"/>
        </w:trPr>
        <w:tc>
          <w:tcPr>
            <w:tcW w:w="3720" w:type="dxa"/>
            <w:vAlign w:val="bottom"/>
          </w:tcPr>
          <w:p>
            <w:pPr>
              <w:ind w:left="20"/>
              <w:spacing w:after="0"/>
              <w:rPr>
                <w:sz w:val="20"/>
                <w:szCs w:val="20"/>
                <w:color w:val="auto"/>
              </w:rPr>
            </w:pPr>
            <w:r>
              <w:rPr>
                <w:rFonts w:ascii="Arial" w:cs="Arial" w:eastAsia="Arial" w:hAnsi="Arial"/>
                <w:sz w:val="14"/>
                <w:szCs w:val="14"/>
                <w:color w:val="auto"/>
              </w:rPr>
              <w:t>Impairment of long-lived assets</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0.13</w:t>
            </w: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4"/>
                <w:szCs w:val="14"/>
                <w:color w:val="auto"/>
              </w:rPr>
              <w:t>Income tax effect</w:t>
            </w:r>
            <w:r>
              <w:rPr>
                <w:rFonts w:ascii="Arial" w:cs="Arial" w:eastAsia="Arial" w:hAnsi="Arial"/>
                <w:sz w:val="18"/>
                <w:szCs w:val="18"/>
                <w:color w:val="auto"/>
                <w:vertAlign w:val="superscript"/>
              </w:rPr>
              <w:t>(3)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(0.02)</w:t>
            </w: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shares outstanding</w:t>
            </w:r>
          </w:p>
        </w:tc>
        <w:tc>
          <w:tcPr>
            <w:tcW w:w="12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556</w:t>
            </w:r>
          </w:p>
        </w:tc>
        <w:tc>
          <w:tcPr>
            <w:tcW w:w="12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555</w:t>
            </w:r>
          </w:p>
        </w:tc>
        <w:tc>
          <w:tcPr>
            <w:tcW w:w="10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557</w:t>
            </w:r>
          </w:p>
        </w:tc>
        <w:tc>
          <w:tcPr>
            <w:tcW w:w="1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556</w:t>
            </w:r>
          </w:p>
        </w:tc>
        <w:tc>
          <w:tcPr>
            <w:tcW w:w="10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556</w:t>
            </w:r>
          </w:p>
        </w:tc>
      </w:tr>
      <w:tr>
        <w:trPr>
          <w:trHeight w:val="196"/>
        </w:trPr>
        <w:tc>
          <w:tcPr>
            <w:tcW w:w="372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Non-IFRS diluted EPS</w:t>
            </w:r>
            <w:r>
              <w:rPr>
                <w:rFonts w:ascii="Arial" w:cs="Arial" w:eastAsia="Arial" w:hAnsi="Arial"/>
                <w:sz w:val="18"/>
                <w:szCs w:val="18"/>
                <w:b w:val="1"/>
                <w:bCs w:val="1"/>
                <w:color w:val="auto"/>
                <w:vertAlign w:val="superscript"/>
              </w:rPr>
              <w:t>(1)</w:t>
            </w:r>
          </w:p>
        </w:tc>
        <w:tc>
          <w:tcPr>
            <w:tcW w:w="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0.46</w:t>
            </w:r>
          </w:p>
        </w:tc>
        <w:tc>
          <w:tcPr>
            <w:tcW w:w="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0.41</w:t>
            </w:r>
          </w:p>
        </w:tc>
        <w:tc>
          <w:tcPr>
            <w:tcW w:w="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0.64</w:t>
            </w:r>
          </w:p>
        </w:tc>
        <w:tc>
          <w:tcPr>
            <w:tcW w:w="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1.56</w:t>
            </w:r>
          </w:p>
        </w:tc>
        <w:tc>
          <w:tcPr>
            <w:tcW w:w="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2.24</w:t>
            </w: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Financial Measures (Non-IFRS)" for further discussion on these Non-IFRS measures and why we believe they are useful.</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ural optimization represents costs associated with employee workforce reduction.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to restructuring charges, structural optimization and amortization of acquired intangibles and other acquisition related charges.</w:t>
      </w:r>
    </w:p>
    <w:p>
      <w:pPr>
        <w:sectPr>
          <w:pgSz w:w="11900" w:h="16838" w:orient="portrait"/>
          <w:cols w:equalWidth="0" w:num="1">
            <w:col w:w="11180"/>
          </w:cols>
          <w:pgMar w:left="220" w:top="83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Page 9 of 12</w:t>
      </w:r>
    </w:p>
    <w:p>
      <w:pPr>
        <w:sectPr>
          <w:pgSz w:w="11900" w:h="16838" w:orient="portrait"/>
          <w:cols w:equalWidth="0" w:num="1">
            <w:col w:w="11180"/>
          </w:cols>
          <w:pgMar w:left="220" w:top="836" w:right="499" w:bottom="1440" w:gutter="0" w:footer="0" w:header="0"/>
          <w:type w:val="continuous"/>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GlobalFoundries Inc.</w:t>
      </w: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Reconciliation of IFRS to Non-IFRS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Non-IFRS Adjusted Free Cash Flow</w:t>
      </w:r>
      <w:r>
        <w:rPr>
          <w:rFonts w:ascii="Arial" w:cs="Arial" w:eastAsia="Arial" w:hAnsi="Arial"/>
          <w:sz w:val="21"/>
          <w:szCs w:val="21"/>
          <w:b w:val="1"/>
          <w:bCs w:val="1"/>
          <w:color w:val="auto"/>
          <w:vertAlign w:val="superscript"/>
        </w:rPr>
        <w:t>(1)</w:t>
      </w:r>
    </w:p>
    <w:p>
      <w:pPr>
        <w:jc w:val="center"/>
        <w:ind w:right="-99"/>
        <w:spacing w:after="0"/>
        <w:rPr>
          <w:sz w:val="20"/>
          <w:szCs w:val="20"/>
          <w:color w:val="auto"/>
        </w:rPr>
      </w:pPr>
      <w:r>
        <w:rPr>
          <w:rFonts w:ascii="Arial" w:cs="Arial" w:eastAsia="Arial" w:hAnsi="Arial"/>
          <w:sz w:val="14"/>
          <w:szCs w:val="14"/>
          <w:b w:val="1"/>
          <w:bCs w:val="1"/>
          <w:color w:val="auto"/>
        </w:rPr>
        <w:t>(Unaudited, in millions</w:t>
      </w:r>
      <w:r>
        <w:rPr>
          <w:rFonts w:ascii="Arial" w:cs="Arial" w:eastAsia="Arial" w:hAnsi="Arial"/>
          <w:sz w:val="16"/>
          <w:szCs w:val="16"/>
          <w:b w:val="1"/>
          <w:bCs w:val="1"/>
          <w:color w:val="auto"/>
        </w:rPr>
        <w:t>)</w:t>
      </w: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457</w:t>
            </w:r>
          </w:p>
        </w:tc>
        <w:tc>
          <w:tcPr>
            <w:tcW w:w="8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375</w:t>
            </w:r>
          </w:p>
        </w:tc>
        <w:tc>
          <w:tcPr>
            <w:tcW w:w="100" w:type="dxa"/>
            <w:vAlign w:val="bottom"/>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684</w:t>
            </w:r>
          </w:p>
        </w:tc>
        <w:tc>
          <w:tcPr>
            <w:tcW w:w="8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1,722</w:t>
            </w:r>
          </w:p>
        </w:tc>
        <w:tc>
          <w:tcPr>
            <w:tcW w:w="100" w:type="dxa"/>
            <w:vAlign w:val="bottom"/>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2,125</w:t>
            </w:r>
          </w:p>
        </w:tc>
        <w:tc>
          <w:tcPr>
            <w:tcW w:w="0" w:type="dxa"/>
            <w:vAlign w:val="bottom"/>
          </w:tcPr>
          <w:p>
            <w:pPr>
              <w:spacing w:after="0"/>
              <w:rPr>
                <w:sz w:val="1"/>
                <w:szCs w:val="1"/>
                <w:color w:val="auto"/>
              </w:rPr>
            </w:pPr>
          </w:p>
        </w:tc>
      </w:tr>
      <w:tr>
        <w:trPr>
          <w:trHeight w:val="153"/>
        </w:trPr>
        <w:tc>
          <w:tcPr>
            <w:tcW w:w="4580" w:type="dxa"/>
            <w:vAlign w:val="bottom"/>
          </w:tcPr>
          <w:p>
            <w:pPr>
              <w:ind w:left="20"/>
              <w:spacing w:after="0" w:line="153" w:lineRule="exact"/>
              <w:rPr>
                <w:sz w:val="20"/>
                <w:szCs w:val="20"/>
                <w:color w:val="auto"/>
              </w:rPr>
            </w:pPr>
            <w:r>
              <w:rPr>
                <w:rFonts w:ascii="Arial" w:cs="Arial" w:eastAsia="Arial" w:hAnsi="Arial"/>
                <w:sz w:val="14"/>
                <w:szCs w:val="14"/>
                <w:color w:val="auto"/>
              </w:rPr>
              <w:t>Less: Purchases of property, plant and equipment and intangible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(1,804)</w:t>
            </w:r>
          </w:p>
        </w:tc>
        <w:tc>
          <w:tcPr>
            <w:tcW w:w="0" w:type="dxa"/>
            <w:vAlign w:val="bottom"/>
          </w:tcPr>
          <w:p>
            <w:pPr>
              <w:spacing w:after="0"/>
              <w:rPr>
                <w:sz w:val="1"/>
                <w:szCs w:val="1"/>
                <w:color w:val="auto"/>
              </w:rPr>
            </w:pPr>
          </w:p>
        </w:tc>
      </w:tr>
      <w:tr>
        <w:trPr>
          <w:trHeight w:val="109"/>
        </w:trPr>
        <w:tc>
          <w:tcPr>
            <w:tcW w:w="4580" w:type="dxa"/>
            <w:vAlign w:val="bottom"/>
            <w:vMerge w:val="restart"/>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government grants</w:t>
            </w:r>
            <w:r>
              <w:rPr>
                <w:rFonts w:ascii="Arial" w:cs="Arial" w:eastAsia="Arial" w:hAnsi="Arial"/>
                <w:sz w:val="9"/>
                <w:szCs w:val="9"/>
                <w:color w:val="auto"/>
              </w:rPr>
              <w:t>(2)</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Non-IFRS adjusted free cash flow</w:t>
            </w:r>
            <w:r>
              <w:rPr>
                <w:rFonts w:ascii="Arial" w:cs="Arial" w:eastAsia="Arial" w:hAnsi="Arial"/>
                <w:sz w:val="9"/>
                <w:szCs w:val="9"/>
                <w:b w:val="1"/>
                <w:bCs w:val="1"/>
                <w:color w:val="auto"/>
              </w:rPr>
              <w:t>(1)</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328</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456</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1,107</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321</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Financial Measures (Non-IFRS)" for further discussion on this Non-IFRS measure and why we believe it is useful.</w:t>
      </w:r>
    </w:p>
    <w:p>
      <w:pPr>
        <w:spacing w:after="0" w:line="107" w:lineRule="exact"/>
        <w:rPr>
          <w:sz w:val="20"/>
          <w:szCs w:val="20"/>
          <w:color w:val="auto"/>
        </w:rPr>
      </w:pPr>
    </w:p>
    <w:p>
      <w:pPr>
        <w:jc w:val="both"/>
        <w:ind w:left="100" w:hanging="81"/>
        <w:spacing w:after="0" w:line="236" w:lineRule="auto"/>
        <w:tabs>
          <w:tab w:leader="none" w:pos="74"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Beginning Q1 2024 Non-IFRS adjusted free cash flow includes proceeds from government grants related to capital expenditures. This change in methodology is in anticipation of future expected proceeds from government grants related to capital expenditures from the planned funding awarded under the U.S. CHIPS and Science Act and the New York State Green CHIPS, and better aligns our Non-IFRS adjusted free cash flow metric to how GF assesses capital decisions internally. As such, prior periods have not been adjusted to reflect this new calculation methodology.</w:t>
      </w:r>
    </w:p>
    <w:p>
      <w:pPr>
        <w:sectPr>
          <w:pgSz w:w="11900" w:h="16838" w:orient="portrait"/>
          <w:cols w:equalWidth="0" w:num="1">
            <w:col w:w="11340"/>
          </w:cols>
          <w:pgMar w:left="2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-104140</wp:posOffset>
            </wp:positionV>
            <wp:extent cx="23571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7120" cy="12890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23495</wp:posOffset>
            </wp:positionV>
            <wp:extent cx="23571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128905"/>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Net income (loss) margin</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23495</wp:posOffset>
            </wp:positionV>
            <wp:extent cx="2357120"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128270"/>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Finance expense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23495</wp:posOffset>
            </wp:positionV>
            <wp:extent cx="23571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57120" cy="12890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Income tax expense (benefit)</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23495</wp:posOffset>
            </wp:positionV>
            <wp:extent cx="23571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57120" cy="12890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Restructuring charges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Impairment of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23495</wp:posOffset>
            </wp:positionV>
            <wp:extent cx="23571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12890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Structural optimization</w:t>
      </w:r>
    </w:p>
    <w:p>
      <w:pPr>
        <w:spacing w:after="0" w:line="42" w:lineRule="exact"/>
        <w:rPr>
          <w:sz w:val="20"/>
          <w:szCs w:val="20"/>
          <w:color w:val="auto"/>
        </w:rPr>
      </w:pPr>
    </w:p>
    <w:p>
      <w:pPr>
        <w:ind w:left="120" w:right="1000"/>
        <w:spacing w:after="0" w:line="306" w:lineRule="auto"/>
        <w:rPr>
          <w:sz w:val="20"/>
          <w:szCs w:val="20"/>
          <w:color w:val="auto"/>
        </w:rPr>
      </w:pPr>
      <w:r>
        <w:rPr>
          <w:rFonts w:ascii="Arial" w:cs="Arial" w:eastAsia="Arial" w:hAnsi="Arial"/>
          <w:sz w:val="14"/>
          <w:szCs w:val="14"/>
          <w:color w:val="auto"/>
        </w:rPr>
        <w:t xml:space="preserve">Other acquisition related charges </w:t>
      </w:r>
      <w:r>
        <w:rPr>
          <w:rFonts w:ascii="Arial" w:cs="Arial" w:eastAsia="Arial" w:hAnsi="Arial"/>
          <w:sz w:val="14"/>
          <w:szCs w:val="14"/>
          <w:b w:val="1"/>
          <w:bCs w:val="1"/>
          <w:color w:val="auto"/>
        </w:rPr>
        <w:t>Non-IFRS adjusted EBITDA</w:t>
      </w:r>
      <w:r>
        <w:rPr>
          <w:rFonts w:ascii="Arial" w:cs="Arial" w:eastAsia="Arial" w:hAnsi="Arial"/>
          <w:sz w:val="18"/>
          <w:szCs w:val="18"/>
          <w:b w:val="1"/>
          <w:bCs w:val="1"/>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-171450</wp:posOffset>
            </wp:positionV>
            <wp:extent cx="23571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i w:val="1"/>
          <w:iCs w:val="1"/>
          <w:color w:val="auto"/>
        </w:rPr>
        <w:t>Non-IFRS adjusted EBITDA margin</w:t>
      </w:r>
      <w:r>
        <w:rPr>
          <w:rFonts w:ascii="Arial" w:cs="Arial" w:eastAsia="Arial" w:hAnsi="Arial"/>
          <w:sz w:val="18"/>
          <w:szCs w:val="18"/>
          <w:i w:val="1"/>
          <w:iCs w:val="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860"/>
        <w:spacing w:after="0"/>
        <w:rPr>
          <w:sz w:val="20"/>
          <w:szCs w:val="20"/>
          <w:color w:val="auto"/>
        </w:rPr>
      </w:pPr>
      <w:r>
        <w:rPr>
          <w:rFonts w:ascii="Arial" w:cs="Arial" w:eastAsia="Arial" w:hAnsi="Arial"/>
          <w:sz w:val="16"/>
          <w:szCs w:val="16"/>
          <w:b w:val="1"/>
          <w:bCs w:val="1"/>
          <w:color w:val="auto"/>
        </w:rPr>
        <w:t>Reconciliation of IFRS to Non-IFRS</w:t>
      </w:r>
    </w:p>
    <w:p>
      <w:pPr>
        <w:spacing w:after="0" w:line="218" w:lineRule="exact"/>
        <w:rPr>
          <w:sz w:val="20"/>
          <w:szCs w:val="20"/>
          <w:color w:val="auto"/>
        </w:rPr>
      </w:pPr>
    </w:p>
    <w:p>
      <w:pPr>
        <w:jc w:val="center"/>
        <w:ind w:right="3860"/>
        <w:spacing w:after="0"/>
        <w:rPr>
          <w:sz w:val="20"/>
          <w:szCs w:val="20"/>
          <w:color w:val="auto"/>
        </w:rPr>
      </w:pPr>
      <w:r>
        <w:rPr>
          <w:rFonts w:ascii="Arial" w:cs="Arial" w:eastAsia="Arial" w:hAnsi="Arial"/>
          <w:sz w:val="16"/>
          <w:szCs w:val="16"/>
          <w:b w:val="1"/>
          <w:bCs w:val="1"/>
          <w:color w:val="auto"/>
        </w:rPr>
        <w:t>Non-IFRS Adjusted EBITDA</w:t>
      </w:r>
    </w:p>
    <w:p>
      <w:pPr>
        <w:ind w:left="960"/>
        <w:spacing w:after="0"/>
        <w:rPr>
          <w:sz w:val="20"/>
          <w:szCs w:val="20"/>
          <w:color w:val="auto"/>
        </w:rPr>
      </w:pPr>
      <w:r>
        <w:rPr>
          <w:rFonts w:ascii="Arial" w:cs="Arial" w:eastAsia="Arial" w:hAnsi="Arial"/>
          <w:sz w:val="14"/>
          <w:szCs w:val="14"/>
          <w:b w:val="1"/>
          <w:bCs w:val="1"/>
          <w:color w:val="auto"/>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Year Ended</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2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2"/>
                <w:szCs w:val="12"/>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2"/>
                <w:szCs w:val="12"/>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20"/>
        </w:trPr>
        <w:tc>
          <w:tcPr>
            <w:tcW w:w="160" w:type="dxa"/>
            <w:vAlign w:val="bottom"/>
          </w:tcPr>
          <w:p>
            <w:pPr>
              <w:spacing w:after="0"/>
              <w:rPr>
                <w:sz w:val="10"/>
                <w:szCs w:val="10"/>
                <w:color w:val="auto"/>
              </w:rPr>
            </w:pPr>
          </w:p>
        </w:tc>
        <w:tc>
          <w:tcPr>
            <w:tcW w:w="12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1,830</w:t>
            </w:r>
          </w:p>
        </w:tc>
        <w:tc>
          <w:tcPr>
            <w:tcW w:w="10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1,739</w:t>
            </w:r>
          </w:p>
        </w:tc>
        <w:tc>
          <w:tcPr>
            <w:tcW w:w="100" w:type="dxa"/>
            <w:vAlign w:val="bottom"/>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1,854</w:t>
            </w:r>
          </w:p>
        </w:tc>
        <w:tc>
          <w:tcPr>
            <w:tcW w:w="100" w:type="dxa"/>
            <w:vAlign w:val="bottom"/>
          </w:tcPr>
          <w:p>
            <w:pPr>
              <w:spacing w:after="0"/>
              <w:rPr>
                <w:sz w:val="17"/>
                <w:szCs w:val="17"/>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6,750</w:t>
            </w:r>
          </w:p>
        </w:tc>
        <w:tc>
          <w:tcPr>
            <w:tcW w:w="100" w:type="dxa"/>
            <w:vAlign w:val="bottom"/>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7,392</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207"/>
        </w:trPr>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(39.8)%</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10.2 %</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15.0 %</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1,568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206"/>
        </w:trPr>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6"/>
        </w:trPr>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6"/>
        </w:trPr>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627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773</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2,475</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2,763</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36.1 %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36.1 %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36.7 %</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37.4 %</w:t>
            </w:r>
          </w:p>
        </w:tc>
        <w:tc>
          <w:tcPr>
            <w:tcW w:w="0" w:type="dxa"/>
            <w:vAlign w:val="bottom"/>
          </w:tcPr>
          <w:p>
            <w:pPr>
              <w:spacing w:after="0"/>
              <w:rPr>
                <w:sz w:val="1"/>
                <w:szCs w:val="1"/>
                <w:color w:val="auto"/>
              </w:rPr>
            </w:pPr>
          </w:p>
        </w:tc>
      </w:tr>
    </w:tbl>
    <w:p>
      <w:pPr>
        <w:spacing w:after="0" w:line="214" w:lineRule="exact"/>
        <w:rPr>
          <w:sz w:val="20"/>
          <w:szCs w:val="20"/>
          <w:color w:val="auto"/>
        </w:rPr>
      </w:pPr>
    </w:p>
    <w:p>
      <w:pPr>
        <w:sectPr>
          <w:pgSz w:w="11900" w:h="16838" w:orient="portrait"/>
          <w:cols w:equalWidth="0" w:num="2">
            <w:col w:w="3240" w:space="720"/>
            <w:col w:w="7380"/>
          </w:cols>
          <w:pgMar w:left="220" w:top="1282" w:right="339" w:bottom="1440" w:gutter="0" w:footer="0" w:header="0"/>
          <w:type w:val="continuous"/>
        </w:sectPr>
      </w:pPr>
    </w:p>
    <w:p>
      <w:pPr>
        <w:spacing w:after="0" w:line="120" w:lineRule="exact"/>
        <w:rPr>
          <w:sz w:val="20"/>
          <w:szCs w:val="20"/>
          <w:color w:val="auto"/>
        </w:rPr>
      </w:pPr>
    </w:p>
    <w:p>
      <w:pPr>
        <w:ind w:left="80" w:hanging="61"/>
        <w:spacing w:after="0"/>
        <w:tabs>
          <w:tab w:leader="none" w:pos="80"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See "Financial Measures (Non-IFRS)" for further discussion on this Non-IFRS measure and why we believe it is useful.</w:t>
      </w:r>
    </w:p>
    <w:p>
      <w:pPr>
        <w:sectPr>
          <w:pgSz w:w="11900" w:h="16838" w:orient="portrait"/>
          <w:cols w:equalWidth="0" w:num="1">
            <w:col w:w="11340"/>
          </w:cols>
          <w:pgMar w:left="220" w:top="1282"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GlobalFoundries Inc.</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Measures (Non-IFRS)</w:t>
      </w:r>
    </w:p>
    <w:p>
      <w:pPr>
        <w:spacing w:after="0" w:line="221"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In addition to the financial information presented in accordance with International Financial Reporting Standards ("IFRS"), this press release includes the following Non-IFRS financial measures: Non-IFRS gross profit, Non-IFRS operating profit, Non-IFRS operating expense, Non-IFRS net income, Non-IFRS selling, general and administrative, Non-IFRS research and development, Non-IFRS diluted earnings per share (“EPS”), Non-IFRS adjusted EBITDA, Non-IFRS adjusted free cash flow and any related margins. We define Non-IFRS gross profit, Non-IFRS selling, general and administrative, Non-IFRS research and development, Non-IFRS operating profit and Non-IFRS net income as gross profit, selling, general and administrative, research and development, operating profit and net income, respectively, adjusted for share-based compensation, structural optimization, amortization of acquired intangibles and other acquisition related charges, impairment of long-lived assets, restructuring charges and any associated income tax effects. We define Non-IFRS operating expense as Non-IFRS gross profit minus Non-IFRS operating profit. We define Non-IFRS diluted EPS as Non-IFRS net income divided by the diluted shares outstanding. We define Non-IFRS adjusted free cash flow as cash flow provided by (used in) operating activities less purchases of property, plant and equipment and intangible assets plus proceeds from government grants related to capital expenditures. We define Non-IFRS adjusted EBITDA as net income adjusted for the impact of finance expense, finance income, income tax expense (benefit), depreciation and amortization, share-based compensation, restructuring charges, impairment of long-lived assets, structural optimization and acquisition related charges. We define Non-IFRS gross margin, Non-IFRS operating margin, Non-IFRS net income margin and Non-IFRS adjusted EBITDA margin as Non-IFRS gross profit, Non-IFRS operating profit, Non-IFRS net income and Non-IFRS adjusted EBITDA, respectively, divided by net revenue. Any adjustments described above that are zero for a given period are excluded from the “Reconciliation of IFRS to Non-IFRS” table. See "Reconciliation of IFRS to Non-IFRS" section for a detailed reconciliation of Non-IFRS financial measures to the most directly comparable IFRS measure.</w:t>
      </w:r>
    </w:p>
    <w:p>
      <w:pPr>
        <w:spacing w:after="0" w:line="19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In the fourth quarter 2024, GF recorded a $935 million impairment charge on the long-lived assets relating to legacy investments in production capacity at its facility in Malta, New York. GF undertook this action pursuant to the diversification of its long-term manufacturing technology platform roadmap in Malta, which is consistent with the Company’s previously communicated technology transfer strategy needed to meet expected long-term customer demand. Since such impairment is not expected to be a recurring event, the Company believes this additional adjustment to Non-IFRS metrics better enables management and investors to make more meaningful comparisons of fourth quarter 2024 results against prior periods.</w:t>
      </w:r>
    </w:p>
    <w:p>
      <w:pPr>
        <w:spacing w:after="0" w:line="191"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We believe that in addition to our results determined in accordance with IFRS, these Non-IFRS financial measures provide useful information to both management and investors in measuring our financial performance and highlight trends in our business that may not otherwise be apparent when relying solely on IFRS measures. These Non-IFRS financial measures provide supplemental information regarding our operating performance that excludes certain gains, losses and non-cash charges that occur relatively infrequently and/or that we consider to be unrelated to our core operations. Management believes that Non-IFRS adjusted free cash flow as a Non-IFRS measure is helpful to investors as it provides insights into the nature and amount of cash the Company generates in the period.</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Non-IFRS financial information is presented for supplemental informational purposes only and should not be considered in isolation or as a substitute for financial information presented in accordance with IFRS. Our presentation of Non-IFRS measures should not be construed as an inference that our future results will be unaffected by unusual or nonrecurring items. Other companies in our industry may calculate these measures differently, which may limit their usefulness as comparative measures.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and Webcast Information</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GF will host a conference call with the financial community on Tuesday, February 11, 2025 at 8:30 a.m. U.S. Eastern Time (ET) to review the fourth quarter and full year 2024 results in detail. Interested parties may join the scheduled conference call by registering at https://register.vevent.com/register/BIe37b8e7058dd4737aeed44b03d7f527d.</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call will be webcast and can be accessed from the GF Investor Relations website https://investors.gf.com. A replay of the call will be available on the GF Investor Relations website within 24 hours of the actual call.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GlobalFoundries</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GlobalFoundries® (GF®)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0000FF"/>
        </w:rPr>
        <w:t>www.gf.com</w:t>
      </w:r>
      <w:r>
        <w:rPr>
          <w:rFonts w:ascii="Arial" w:cs="Arial" w:eastAsia="Arial" w:hAnsi="Arial"/>
          <w:sz w:val="16"/>
          <w:szCs w:val="16"/>
          <w:color w:val="auto"/>
        </w:rPr>
        <w:t>.</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11 of 12</w:t>
      </w:r>
    </w:p>
    <w:p>
      <w:pPr>
        <w:sectPr>
          <w:pgSz w:w="11900" w:h="16838" w:orient="portrait"/>
          <w:cols w:equalWidth="0" w:num="1">
            <w:col w:w="11240"/>
          </w:cols>
          <w:pgMar w:left="320" w:top="128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1"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This press release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Ukraine and Israel; domestic political developments following the change in the U.S. administration;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and our expected results and planned expansions and operations may not proceed as planned if funding we expect to receive (including the planned awards under the U.S. CHIPS and Science Act and New York State Green CHIPS)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198"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2023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further information, please contact: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rPr>
          <w:sz w:val="20"/>
          <w:szCs w:val="20"/>
          <w:color w:val="auto"/>
        </w:rPr>
      </w:pPr>
      <w:r>
        <w:rPr>
          <w:rFonts w:ascii="Arial" w:cs="Arial" w:eastAsia="Arial" w:hAnsi="Arial"/>
          <w:sz w:val="16"/>
          <w:szCs w:val="16"/>
          <w:u w:val="single" w:color="auto"/>
          <w:color w:val="0000FF"/>
        </w:rPr>
        <w:t>ir@gf.com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12 of 12</w:t>
      </w:r>
    </w:p>
    <w:sectPr>
      <w:pgSz w:w="11900" w:h="16838" w:orient="portrait"/>
      <w:cols w:equalWidth="0" w:num="1">
        <w:col w:w="11240"/>
      </w:cols>
      <w:pgMar w:left="320" w:top="12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lvl>
    <w:lvl w:ilvl="1">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2025-02-11T06:09:29Z</dcterms:created>
  <dcterms:modified xsi:type="dcterms:W3CDTF">2025-02-11T06:09:29Z</dcterms:modified>
</cp:coreProperties>
</file>