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2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40"/>
        <w:spacing w:after="0"/>
        <w:rPr>
          <w:sz w:val="20"/>
          <w:szCs w:val="20"/>
          <w:color w:val="auto"/>
        </w:rPr>
      </w:pPr>
      <w:r>
        <w:rPr>
          <w:rFonts w:ascii="Georgia" w:cs="Georgia" w:eastAsia="Georgia" w:hAnsi="Georgia"/>
          <w:sz w:val="22"/>
          <w:szCs w:val="22"/>
          <w:b w:val="1"/>
          <w:bCs w:val="1"/>
          <w:color w:val="auto"/>
        </w:rPr>
        <w:t xml:space="preserve">REPORT OF FOREIGN PRIVATE ISSUER PURSUANT TO RULE 13a-16 OR </w:t>
      </w:r>
      <w:r>
        <w:rPr>
          <w:rFonts w:ascii="Times New Roman" w:cs="Times New Roman" w:eastAsia="Times New Roman" w:hAnsi="Times New Roman"/>
          <w:sz w:val="22"/>
          <w:szCs w:val="22"/>
          <w:b w:val="1"/>
          <w:bCs w:val="1"/>
          <w:color w:val="auto"/>
        </w:rPr>
        <w:t>15d-16 UNDER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4"/>
          <w:szCs w:val="24"/>
          <w:color w:val="auto"/>
        </w:rPr>
      </w:pPr>
    </w:p>
    <w:p>
      <w:pPr>
        <w:ind w:left="180" w:right="204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Exhibit 99.1</w:t>
            </w:r>
          </w:p>
        </w:tc>
        <w:tc>
          <w:tcPr>
            <w:tcW w:w="1100" w:type="dxa"/>
            <w:vAlign w:val="bottom"/>
          </w:tcPr>
          <w:p>
            <w:pPr>
              <w:spacing w:after="0"/>
              <w:rPr>
                <w:sz w:val="18"/>
                <w:szCs w:val="18"/>
                <w:color w:val="auto"/>
              </w:rPr>
            </w:pPr>
          </w:p>
        </w:tc>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Financial Statements as of March 31, 2026 and December 31, 2025 and for the</w:t>
            </w: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three months ended March 31, 2026 and 2025, Management’s Discussion and Analysis of Financial Condition and Results of</w:t>
            </w:r>
          </w:p>
        </w:tc>
        <w:tc>
          <w:tcPr>
            <w:tcW w:w="2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Operations for the three months ended March 31, 2026 and 2025</w:t>
            </w:r>
          </w:p>
        </w:tc>
      </w:tr>
      <w:tr>
        <w:trPr>
          <w:trHeight w:val="2093"/>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60" w:type="dxa"/>
            <w:vAlign w:val="bottom"/>
            <w:tcBorders>
              <w:top w:val="single" w:sz="8" w:color="0000FF"/>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794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83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Sam Franklin</w:t>
            </w:r>
          </w:p>
        </w:tc>
      </w:tr>
      <w:tr>
        <w:trPr>
          <w:trHeight w:val="175"/>
        </w:trPr>
        <w:tc>
          <w:tcPr>
            <w:tcW w:w="31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0" w:type="dxa"/>
            <w:vAlign w:val="bottom"/>
            <w:tcBorders>
              <w:bottom w:val="single" w:sz="8" w:color="auto"/>
            </w:tcBorders>
          </w:tcPr>
          <w:p>
            <w:pPr>
              <w:spacing w:after="0"/>
              <w:rPr>
                <w:sz w:val="15"/>
                <w:szCs w:val="15"/>
                <w:color w:val="auto"/>
              </w:rPr>
            </w:pPr>
          </w:p>
        </w:tc>
      </w:tr>
      <w:tr>
        <w:trPr>
          <w:trHeight w:val="237"/>
        </w:trPr>
        <w:tc>
          <w:tcPr>
            <w:tcW w:w="3180" w:type="dxa"/>
            <w:vAlign w:val="bottom"/>
          </w:tcPr>
          <w:p>
            <w:pPr>
              <w:spacing w:after="0"/>
              <w:rPr>
                <w:sz w:val="20"/>
                <w:szCs w:val="20"/>
                <w:color w:val="auto"/>
              </w:rPr>
            </w:pP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 Franklin</w:t>
            </w:r>
          </w:p>
        </w:tc>
      </w:tr>
      <w:tr>
        <w:trPr>
          <w:trHeight w:val="418"/>
        </w:trPr>
        <w:tc>
          <w:tcPr>
            <w:tcW w:w="3180" w:type="dxa"/>
            <w:vAlign w:val="bottom"/>
          </w:tcPr>
          <w:p>
            <w:pPr>
              <w:spacing w:after="0"/>
              <w:rPr>
                <w:sz w:val="24"/>
                <w:szCs w:val="24"/>
                <w:color w:val="auto"/>
              </w:rPr>
            </w:pP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920" w:type="dxa"/>
            <w:vAlign w:val="bottom"/>
            <w:gridSpan w:val="8"/>
          </w:tcPr>
          <w:p>
            <w:pPr>
              <w:spacing w:after="0"/>
              <w:rPr>
                <w:sz w:val="20"/>
                <w:szCs w:val="20"/>
                <w:color w:val="auto"/>
              </w:rPr>
            </w:pPr>
            <w:r>
              <w:rPr>
                <w:rFonts w:ascii="Arial" w:cs="Arial" w:eastAsia="Arial" w:hAnsi="Arial"/>
                <w:sz w:val="18"/>
                <w:szCs w:val="18"/>
                <w:b w:val="1"/>
                <w:bCs w:val="1"/>
                <w:color w:val="auto"/>
              </w:rPr>
              <w:t>Part 1 - Unaudited Financial Statements</w:t>
            </w:r>
          </w:p>
        </w:tc>
        <w:tc>
          <w:tcPr>
            <w:tcW w:w="1300" w:type="dxa"/>
            <w:vAlign w:val="bottom"/>
            <w:gridSpan w:val="5"/>
          </w:tcPr>
          <w:p>
            <w:pPr>
              <w:ind w:left="440"/>
              <w:spacing w:after="0"/>
              <w:rPr>
                <w:sz w:val="20"/>
                <w:szCs w:val="20"/>
                <w:color w:val="auto"/>
              </w:rPr>
            </w:pPr>
            <w:r>
              <w:rPr>
                <w:rFonts w:ascii="Arial" w:cs="Arial" w:eastAsia="Arial" w:hAnsi="Arial"/>
                <w:sz w:val="18"/>
                <w:szCs w:val="18"/>
                <w:b w:val="1"/>
                <w:bCs w:val="1"/>
                <w:color w:val="auto"/>
              </w:rPr>
              <w:t>Page</w:t>
            </w:r>
          </w:p>
        </w:tc>
      </w:tr>
      <w:tr>
        <w:trPr>
          <w:trHeight w:val="29"/>
        </w:trPr>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4"/>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3</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Comprehensive Income (Loss)</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4</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1500" w:type="dxa"/>
            <w:vAlign w:val="bottom"/>
            <w:gridSpan w:val="4"/>
          </w:tcPr>
          <w:p>
            <w:pPr>
              <w:spacing w:after="0"/>
              <w:rPr>
                <w:sz w:val="22"/>
                <w:szCs w:val="22"/>
                <w:color w:val="auto"/>
              </w:rPr>
            </w:pPr>
          </w:p>
        </w:tc>
        <w:tc>
          <w:tcPr>
            <w:tcW w:w="364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5</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gridSpan w:val="5"/>
          </w:tcPr>
          <w:p>
            <w:pPr>
              <w:spacing w:after="0"/>
              <w:rPr>
                <w:sz w:val="20"/>
                <w:szCs w:val="20"/>
                <w:color w:val="auto"/>
              </w:rPr>
            </w:pPr>
            <w:r>
              <w:rPr>
                <w:rFonts w:ascii="Arial" w:cs="Arial" w:eastAsia="Arial" w:hAnsi="Arial"/>
                <w:sz w:val="18"/>
                <w:szCs w:val="18"/>
                <w:color w:val="0000FF"/>
                <w:w w:val="99"/>
              </w:rPr>
              <w:t>Interim Condensed Consolidated Statements of Changes in Equity</w:t>
            </w:r>
          </w:p>
        </w:tc>
        <w:tc>
          <w:tcPr>
            <w:tcW w:w="4620" w:type="dxa"/>
            <w:vAlign w:val="bottom"/>
            <w:gridSpan w:val="3"/>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6</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220" w:type="dxa"/>
            <w:vAlign w:val="bottom"/>
            <w:gridSpan w:val="2"/>
          </w:tcPr>
          <w:p>
            <w:pPr>
              <w:spacing w:after="0"/>
              <w:rPr>
                <w:sz w:val="22"/>
                <w:szCs w:val="22"/>
                <w:color w:val="auto"/>
              </w:rPr>
            </w:pPr>
          </w:p>
        </w:tc>
        <w:tc>
          <w:tcPr>
            <w:tcW w:w="4620" w:type="dxa"/>
            <w:vAlign w:val="bottom"/>
            <w:gridSpan w:val="3"/>
          </w:tcPr>
          <w:p>
            <w:pPr>
              <w:spacing w:after="0"/>
              <w:rPr>
                <w:sz w:val="22"/>
                <w:szCs w:val="22"/>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19</w:t>
            </w: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Part 2</w:t>
            </w:r>
          </w:p>
        </w:tc>
        <w:tc>
          <w:tcPr>
            <w:tcW w:w="4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8"/>
                <w:szCs w:val="18"/>
                <w:b w:val="1"/>
                <w:bCs w:val="1"/>
                <w:color w:val="auto"/>
              </w:rPr>
              <w:t>Page</w:t>
            </w:r>
          </w:p>
        </w:tc>
      </w:tr>
      <w:tr>
        <w:trPr>
          <w:trHeight w:val="28"/>
        </w:trPr>
        <w:tc>
          <w:tcPr>
            <w:tcW w:w="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00" w:type="dxa"/>
            <w:vAlign w:val="bottom"/>
            <w:gridSpan w:val="5"/>
          </w:tcPr>
          <w:p>
            <w:pPr>
              <w:ind w:left="420"/>
              <w:spacing w:after="0"/>
              <w:rPr>
                <w:sz w:val="20"/>
                <w:szCs w:val="20"/>
                <w:color w:val="auto"/>
              </w:rPr>
            </w:pPr>
            <w:r>
              <w:rPr>
                <w:rFonts w:ascii="Arial" w:cs="Arial" w:eastAsia="Arial" w:hAnsi="Arial"/>
                <w:sz w:val="18"/>
                <w:szCs w:val="18"/>
                <w:color w:val="0000FF"/>
              </w:rPr>
              <w:t>20</w:t>
            </w:r>
            <w:r>
              <w:rPr>
                <w:rFonts w:ascii="Arial" w:cs="Arial" w:eastAsia="Arial" w:hAnsi="Arial"/>
                <w:sz w:val="18"/>
                <w:szCs w:val="18"/>
                <w:color w:val="000000"/>
              </w:rPr>
              <w:t>-</w:t>
            </w:r>
            <w:r>
              <w:rPr>
                <w:rFonts w:ascii="Arial" w:cs="Arial" w:eastAsia="Arial" w:hAnsi="Arial"/>
                <w:sz w:val="18"/>
                <w:szCs w:val="18"/>
                <w:color w:val="0000FF"/>
              </w:rPr>
              <w:t>26</w:t>
            </w: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March 31, 2026 and December 31,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share amounts)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60" w:type="dxa"/>
            <w:vAlign w:val="bottom"/>
          </w:tcPr>
          <w:p>
            <w:pPr>
              <w:spacing w:after="0"/>
              <w:rPr>
                <w:sz w:val="19"/>
                <w:szCs w:val="19"/>
                <w:color w:val="auto"/>
              </w:rPr>
            </w:pPr>
          </w:p>
        </w:tc>
      </w:tr>
      <w:tr>
        <w:trPr>
          <w:trHeight w:val="21"/>
        </w:trPr>
        <w:tc>
          <w:tcPr>
            <w:tcW w:w="7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21"/>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1,809</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1,577</w:t>
            </w:r>
          </w:p>
        </w:tc>
      </w:tr>
      <w:tr>
        <w:trPr>
          <w:trHeight w:val="29"/>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6,036</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6,205</w:t>
            </w:r>
          </w:p>
        </w:tc>
      </w:tr>
      <w:tr>
        <w:trPr>
          <w:trHeight w:val="19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7,210</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7,223</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financial assets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10,861</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10,936</w:t>
            </w: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16,897</w:t>
            </w:r>
          </w:p>
        </w:tc>
        <w:tc>
          <w:tcPr>
            <w:tcW w:w="80" w:type="dxa"/>
            <w:vAlign w:val="bottom"/>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17,141</w:t>
            </w:r>
          </w:p>
        </w:tc>
      </w:tr>
      <w:tr>
        <w:trPr>
          <w:trHeight w:val="257"/>
        </w:trPr>
        <w:tc>
          <w:tcPr>
            <w:tcW w:w="7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9"/>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9"/>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2,329</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2,368</w:t>
            </w:r>
          </w:p>
        </w:tc>
      </w:tr>
      <w:tr>
        <w:trPr>
          <w:trHeight w:val="20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98" w:right="339" w:bottom="831" w:gutter="0" w:footer="0" w:header="0"/>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long-term debt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deferred income from government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6044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60440" cy="18859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606044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Equity: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0440" cy="291465"/>
                    </a:xfrm>
                    <a:prstGeom prst="rect">
                      <a:avLst/>
                    </a:prstGeom>
                    <a:noFill/>
                  </pic:spPr>
                </pic:pic>
              </a:graphicData>
            </a:graphic>
          </wp:anchor>
        </w:drawing>
      </w:r>
    </w:p>
    <w:p>
      <w:pPr>
        <w:spacing w:after="0" w:line="53" w:lineRule="exact"/>
        <w:rPr>
          <w:sz w:val="20"/>
          <w:szCs w:val="20"/>
          <w:color w:val="auto"/>
        </w:rPr>
      </w:pPr>
    </w:p>
    <w:p>
      <w:pPr>
        <w:ind w:left="20"/>
        <w:spacing w:after="0" w:line="299" w:lineRule="auto"/>
        <w:rPr>
          <w:sz w:val="20"/>
          <w:szCs w:val="20"/>
          <w:color w:val="auto"/>
        </w:rPr>
      </w:pPr>
      <w:r>
        <w:rPr>
          <w:rFonts w:ascii="Arial" w:cs="Arial" w:eastAsia="Arial" w:hAnsi="Arial"/>
          <w:sz w:val="16"/>
          <w:szCs w:val="16"/>
          <w:color w:val="auto"/>
        </w:rPr>
        <w:t>Ordinary shares, $0.02 par value, 548,416,440 and 555,888,455 shares issued and outstanding as of March 31, 2026 and December 31, 2025, respectively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deficit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other comprehensive income</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1,063</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876</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511</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196</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10115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6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2,820</w:t>
      </w:r>
    </w:p>
    <w:p>
      <w:pPr>
        <w:spacing w:after="0" w:line="86" w:lineRule="exact"/>
        <w:rPr>
          <w:sz w:val="20"/>
          <w:szCs w:val="20"/>
          <w:color w:val="auto"/>
        </w:rPr>
      </w:pPr>
    </w:p>
    <w:p>
      <w:pPr>
        <w:ind w:left="1089" w:hanging="1089"/>
        <w:spacing w:after="0"/>
        <w:tabs>
          <w:tab w:leader="none" w:pos="1089"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5,149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29" w:hanging="1329"/>
        <w:spacing w:after="0"/>
        <w:tabs>
          <w:tab w:leader="none" w:pos="1329" w:val="left"/>
        </w:tabs>
        <w:numPr>
          <w:ilvl w:val="0"/>
          <w:numId w:val="2"/>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989"/>
        <w:spacing w:after="0"/>
        <w:rPr>
          <w:rFonts w:ascii="Arial" w:cs="Arial" w:eastAsia="Arial" w:hAnsi="Arial"/>
          <w:sz w:val="16"/>
          <w:szCs w:val="16"/>
          <w:color w:val="auto"/>
        </w:rPr>
      </w:pPr>
      <w:r>
        <w:rPr>
          <w:rFonts w:ascii="Arial" w:cs="Arial" w:eastAsia="Arial" w:hAnsi="Arial"/>
          <w:sz w:val="16"/>
          <w:szCs w:val="16"/>
          <w:color w:val="auto"/>
        </w:rPr>
        <w:t>23,850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(12,278)</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1,065</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487</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2,790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1555" cy="188595"/>
                    </a:xfrm>
                    <a:prstGeom prst="rect">
                      <a:avLst/>
                    </a:prstGeom>
                    <a:noFill/>
                  </pic:spPr>
                </pic:pic>
              </a:graphicData>
            </a:graphic>
          </wp:anchor>
        </w:drawing>
      </w:r>
    </w:p>
    <w:p>
      <w:pPr>
        <w:spacing w:after="0" w:line="66" w:lineRule="exact"/>
        <w:rPr>
          <w:sz w:val="20"/>
          <w:szCs w:val="20"/>
          <w:color w:val="auto"/>
        </w:rPr>
      </w:pPr>
    </w:p>
    <w:p>
      <w:pPr>
        <w:ind w:left="1082" w:hanging="1082"/>
        <w:spacing w:after="0"/>
        <w:tabs>
          <w:tab w:leader="none" w:pos="108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5,158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183515</wp:posOffset>
            </wp:positionV>
            <wp:extent cx="101155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1555" cy="15430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501015</wp:posOffset>
            </wp:positionV>
            <wp:extent cx="101155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15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22" w:hanging="1322"/>
        <w:spacing w:after="0"/>
        <w:tabs>
          <w:tab w:leader="none" w:pos="1322" w:val="left"/>
        </w:tabs>
        <w:numPr>
          <w:ilvl w:val="0"/>
          <w:numId w:val="4"/>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1002"/>
        <w:spacing w:after="0"/>
        <w:rPr>
          <w:rFonts w:ascii="Arial" w:cs="Arial" w:eastAsia="Arial" w:hAnsi="Arial"/>
          <w:sz w:val="16"/>
          <w:szCs w:val="16"/>
          <w:color w:val="auto"/>
        </w:rPr>
      </w:pPr>
      <w:r>
        <w:rPr>
          <w:rFonts w:ascii="Arial" w:cs="Arial" w:eastAsia="Arial" w:hAnsi="Arial"/>
          <w:sz w:val="16"/>
          <w:szCs w:val="16"/>
          <w:color w:val="auto"/>
        </w:rPr>
        <w:t>24,220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1555" cy="162560"/>
                    </a:xfrm>
                    <a:prstGeom prst="rect">
                      <a:avLst/>
                    </a:prstGeom>
                    <a:noFill/>
                  </pic:spPr>
                </pic:pic>
              </a:graphicData>
            </a:graphic>
          </wp:anchor>
        </w:drawing>
      </w:r>
    </w:p>
    <w:p>
      <w:pPr>
        <w:spacing w:after="0" w:line="5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(12,381)</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7280" w:space="711"/>
            <w:col w:w="1529" w:space="158"/>
            <w:col w:w="1562"/>
          </w:cols>
          <w:pgMar w:left="320" w:top="98" w:right="339" w:bottom="831"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80" w:type="dxa"/>
            <w:vAlign w:val="bottom"/>
            <w:tcBorders>
              <w:top w:val="single" w:sz="8" w:color="auto"/>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11,693</w:t>
            </w:r>
          </w:p>
        </w:tc>
      </w:tr>
      <w:tr>
        <w:trPr>
          <w:trHeight w:val="221"/>
        </w:trPr>
        <w:tc>
          <w:tcPr>
            <w:tcW w:w="79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9"/>
        </w:trPr>
        <w:tc>
          <w:tcPr>
            <w:tcW w:w="79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5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11,748</w:t>
            </w:r>
          </w:p>
        </w:tc>
      </w:tr>
      <w:tr>
        <w:trPr>
          <w:trHeight w:val="257"/>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16,897</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11,928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11,983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38100</wp:posOffset>
            </wp:positionV>
            <wp:extent cx="10115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66" w:lineRule="exact"/>
        <w:rPr>
          <w:sz w:val="20"/>
          <w:szCs w:val="20"/>
          <w:color w:val="auto"/>
        </w:rPr>
      </w:pPr>
    </w:p>
    <w:p>
      <w:pPr>
        <w:ind w:left="1002" w:hanging="1002"/>
        <w:spacing w:after="0"/>
        <w:tabs>
          <w:tab w:leader="none" w:pos="100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17,141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45085</wp:posOffset>
            </wp:positionV>
            <wp:extent cx="10115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1555" cy="17145"/>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9560" w:space="118"/>
            <w:col w:w="1562"/>
          </w:cols>
          <w:pgMar w:left="320" w:top="98" w:right="339" w:bottom="83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831"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2026 and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Pr>
          <w:p>
            <w:pPr>
              <w:spacing w:after="0"/>
              <w:rPr>
                <w:sz w:val="19"/>
                <w:szCs w:val="19"/>
                <w:color w:val="auto"/>
              </w:rPr>
            </w:pPr>
          </w:p>
        </w:tc>
        <w:tc>
          <w:tcPr>
            <w:tcW w:w="344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19"/>
                <w:szCs w:val="19"/>
                <w:color w:val="auto"/>
              </w:rPr>
            </w:pPr>
          </w:p>
        </w:tc>
      </w:tr>
      <w:tr>
        <w:trPr>
          <w:trHeight w:val="21"/>
        </w:trPr>
        <w:tc>
          <w:tcPr>
            <w:tcW w:w="7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9"/>
        </w:trPr>
        <w:tc>
          <w:tcPr>
            <w:tcW w:w="7160" w:type="dxa"/>
            <w:vAlign w:val="bottom"/>
          </w:tcPr>
          <w:p>
            <w:pPr>
              <w:spacing w:after="0"/>
              <w:rPr>
                <w:sz w:val="19"/>
                <w:szCs w:val="19"/>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2026</w:t>
            </w:r>
          </w:p>
        </w:tc>
        <w:tc>
          <w:tcPr>
            <w:tcW w:w="640" w:type="dxa"/>
            <w:vAlign w:val="bottom"/>
          </w:tcPr>
          <w:p>
            <w:pPr>
              <w:spacing w:after="0"/>
              <w:rPr>
                <w:sz w:val="19"/>
                <w:szCs w:val="19"/>
                <w:color w:val="auto"/>
              </w:rPr>
            </w:pPr>
          </w:p>
        </w:tc>
        <w:tc>
          <w:tcPr>
            <w:tcW w:w="14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19"/>
                <w:szCs w:val="19"/>
                <w:color w:val="auto"/>
              </w:rPr>
            </w:pPr>
          </w:p>
        </w:tc>
      </w:tr>
      <w:tr>
        <w:trPr>
          <w:trHeight w:val="21"/>
        </w:trPr>
        <w:tc>
          <w:tcPr>
            <w:tcW w:w="7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27"/>
        </w:trPr>
        <w:tc>
          <w:tcPr>
            <w:tcW w:w="71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1,230</w:t>
            </w:r>
          </w:p>
        </w:tc>
      </w:tr>
      <w:tr>
        <w:trPr>
          <w:trHeight w:val="29"/>
        </w:trPr>
        <w:tc>
          <w:tcPr>
            <w:tcW w:w="7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w:t>
            </w:r>
          </w:p>
        </w:tc>
        <w:tc>
          <w:tcPr>
            <w:tcW w:w="100" w:type="dxa"/>
            <w:vAlign w:val="bottom"/>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w:t>
            </w:r>
          </w:p>
        </w:tc>
      </w:tr>
      <w:tr>
        <w:trPr>
          <w:trHeight w:val="221"/>
        </w:trPr>
        <w:tc>
          <w:tcPr>
            <w:tcW w:w="716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6"/>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 and other</w:t>
            </w:r>
          </w:p>
        </w:tc>
        <w:tc>
          <w:tcPr>
            <w:tcW w:w="1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29"/>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w:t>
            </w:r>
          </w:p>
        </w:tc>
      </w:tr>
      <w:tr>
        <w:trPr>
          <w:trHeight w:val="21"/>
        </w:trPr>
        <w:tc>
          <w:tcPr>
            <w:tcW w:w="7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Finance income (expense), net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w:t>
            </w: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r>
      <w:tr>
        <w:trPr>
          <w:trHeight w:val="21"/>
        </w:trPr>
        <w:tc>
          <w:tcPr>
            <w:tcW w:w="7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340" w:type="dxa"/>
            <w:vAlign w:val="bottom"/>
            <w:tcBorders>
              <w:top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r>
      <w:tr>
        <w:trPr>
          <w:trHeight w:val="21"/>
        </w:trPr>
        <w:tc>
          <w:tcPr>
            <w:tcW w:w="7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6"/>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340" w:type="dxa"/>
            <w:vAlign w:val="bottom"/>
            <w:tcBorders>
              <w:top w:val="single" w:sz="8" w:color="auto"/>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 of the Company:</w:t>
            </w: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Basic</w:t>
            </w:r>
          </w:p>
        </w:tc>
        <w:tc>
          <w:tcPr>
            <w:tcW w:w="1340" w:type="dxa"/>
            <w:vAlign w:val="bottom"/>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0.19</w:t>
            </w:r>
          </w:p>
        </w:tc>
        <w:tc>
          <w:tcPr>
            <w:tcW w:w="1460" w:type="dxa"/>
            <w:vAlign w:val="bottom"/>
            <w:gridSpan w:val="2"/>
          </w:tcPr>
          <w:p>
            <w:pPr>
              <w:jc w:val="right"/>
              <w:ind w:right="1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0.38</w:t>
            </w: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Diluted</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2026 and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Pr>
          <w:p>
            <w:pPr>
              <w:spacing w:after="0"/>
              <w:rPr>
                <w:sz w:val="19"/>
                <w:szCs w:val="19"/>
                <w:color w:val="auto"/>
              </w:rPr>
            </w:pPr>
          </w:p>
        </w:tc>
        <w:tc>
          <w:tcPr>
            <w:tcW w:w="35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Pr>
          <w:p>
            <w:pPr>
              <w:spacing w:after="0"/>
              <w:rPr>
                <w:sz w:val="19"/>
                <w:szCs w:val="19"/>
                <w:color w:val="auto"/>
              </w:rPr>
            </w:pPr>
          </w:p>
        </w:tc>
      </w:tr>
      <w:tr>
        <w:trPr>
          <w:trHeight w:val="21"/>
        </w:trPr>
        <w:tc>
          <w:tcPr>
            <w:tcW w:w="7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9"/>
        </w:trPr>
        <w:tc>
          <w:tcPr>
            <w:tcW w:w="7160" w:type="dxa"/>
            <w:vAlign w:val="bottom"/>
          </w:tcPr>
          <w:p>
            <w:pPr>
              <w:spacing w:after="0"/>
              <w:rPr>
                <w:sz w:val="19"/>
                <w:szCs w:val="19"/>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560" w:type="dxa"/>
            <w:vAlign w:val="bottom"/>
          </w:tcPr>
          <w:p>
            <w:pPr>
              <w:spacing w:after="0"/>
              <w:rPr>
                <w:sz w:val="19"/>
                <w:szCs w:val="19"/>
                <w:color w:val="auto"/>
              </w:rPr>
            </w:pPr>
          </w:p>
        </w:tc>
        <w:tc>
          <w:tcPr>
            <w:tcW w:w="15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9"/>
                <w:szCs w:val="19"/>
                <w:color w:val="auto"/>
              </w:rPr>
            </w:pPr>
          </w:p>
        </w:tc>
      </w:tr>
      <w:tr>
        <w:trPr>
          <w:trHeight w:val="21"/>
        </w:trPr>
        <w:tc>
          <w:tcPr>
            <w:tcW w:w="7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27"/>
        </w:trPr>
        <w:tc>
          <w:tcPr>
            <w:tcW w:w="71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9"/>
        </w:trPr>
        <w:tc>
          <w:tcPr>
            <w:tcW w:w="7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420" w:type="dxa"/>
            <w:vAlign w:val="bottom"/>
            <w:tcBorders>
              <w:top w:val="single" w:sz="8" w:color="auto"/>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r>
      <w:tr>
        <w:trPr>
          <w:trHeight w:val="250"/>
        </w:trPr>
        <w:tc>
          <w:tcPr>
            <w:tcW w:w="716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net of tax:</w:t>
            </w:r>
          </w:p>
        </w:tc>
        <w:tc>
          <w:tcPr>
            <w:tcW w:w="14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35"/>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income:</w:t>
            </w: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
        </w:trPr>
        <w:tc>
          <w:tcPr>
            <w:tcW w:w="7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exchange fluctuation reserve</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7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gain (loss) on investments measured at fair value through other comprehensive income</w:t>
            </w:r>
          </w:p>
        </w:tc>
        <w:tc>
          <w:tcPr>
            <w:tcW w:w="14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w:t>
            </w:r>
          </w:p>
        </w:tc>
        <w:tc>
          <w:tcPr>
            <w:tcW w:w="1420" w:type="dxa"/>
            <w:vAlign w:val="bottom"/>
            <w:tcBorders>
              <w:top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r>
      <w:tr>
        <w:trPr>
          <w:trHeight w:val="21"/>
        </w:trPr>
        <w:tc>
          <w:tcPr>
            <w:tcW w:w="7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0"/>
        </w:trPr>
        <w:tc>
          <w:tcPr>
            <w:tcW w:w="7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5"/>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Attributable to:</w:t>
            </w: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
        </w:trPr>
        <w:tc>
          <w:tcPr>
            <w:tcW w:w="7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w:t>
            </w:r>
          </w:p>
        </w:tc>
        <w:tc>
          <w:tcPr>
            <w:tcW w:w="1420" w:type="dxa"/>
            <w:vAlign w:val="bottom"/>
            <w:tcBorders>
              <w:top w:val="single" w:sz="8" w:color="auto"/>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r>
      <w:tr>
        <w:trPr>
          <w:trHeight w:val="250"/>
        </w:trPr>
        <w:tc>
          <w:tcPr>
            <w:tcW w:w="716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100" w:type="dxa"/>
            <w:vAlign w:val="bottom"/>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w:t>
            </w:r>
          </w:p>
        </w:tc>
      </w:tr>
      <w:tr>
        <w:trPr>
          <w:trHeight w:val="208"/>
        </w:trPr>
        <w:tc>
          <w:tcPr>
            <w:tcW w:w="71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4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r>
      <w:tr>
        <w:trPr>
          <w:trHeight w:val="29"/>
        </w:trPr>
        <w:tc>
          <w:tcPr>
            <w:tcW w:w="7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7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230"/>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420" w:type="dxa"/>
            <w:vAlign w:val="bottom"/>
            <w:tcBorders>
              <w:top w:val="single" w:sz="8" w:color="auto"/>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100" w:type="dxa"/>
            <w:vAlign w:val="bottom"/>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right"/>
              <w:ind w:right="12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w:t>
            </w:r>
          </w:p>
        </w:tc>
      </w:tr>
      <w:tr>
        <w:trPr>
          <w:trHeight w:val="20"/>
        </w:trPr>
        <w:tc>
          <w:tcPr>
            <w:tcW w:w="7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2026 and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Pr>
          <w:p>
            <w:pPr>
              <w:spacing w:after="0"/>
              <w:rPr>
                <w:sz w:val="19"/>
                <w:szCs w:val="19"/>
                <w:color w:val="auto"/>
              </w:rPr>
            </w:pPr>
          </w:p>
        </w:tc>
        <w:tc>
          <w:tcPr>
            <w:tcW w:w="34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19"/>
                <w:szCs w:val="19"/>
                <w:color w:val="auto"/>
              </w:rPr>
            </w:pPr>
          </w:p>
        </w:tc>
      </w:tr>
      <w:tr>
        <w:trPr>
          <w:trHeight w:val="21"/>
        </w:trPr>
        <w:tc>
          <w:tcPr>
            <w:tcW w:w="7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9"/>
        </w:trPr>
        <w:tc>
          <w:tcPr>
            <w:tcW w:w="7140" w:type="dxa"/>
            <w:vAlign w:val="bottom"/>
          </w:tcPr>
          <w:p>
            <w:pPr>
              <w:spacing w:after="0"/>
              <w:rPr>
                <w:sz w:val="19"/>
                <w:szCs w:val="19"/>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2026</w:t>
            </w:r>
          </w:p>
        </w:tc>
        <w:tc>
          <w:tcPr>
            <w:tcW w:w="640" w:type="dxa"/>
            <w:vAlign w:val="bottom"/>
          </w:tcPr>
          <w:p>
            <w:pPr>
              <w:spacing w:after="0"/>
              <w:rPr>
                <w:sz w:val="19"/>
                <w:szCs w:val="19"/>
                <w:color w:val="auto"/>
              </w:rPr>
            </w:pPr>
          </w:p>
        </w:tc>
        <w:tc>
          <w:tcPr>
            <w:tcW w:w="14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19"/>
                <w:szCs w:val="19"/>
                <w:color w:val="auto"/>
              </w:rPr>
            </w:pP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27"/>
        </w:trPr>
        <w:tc>
          <w:tcPr>
            <w:tcW w:w="7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360" w:type="dxa"/>
            <w:vAlign w:val="bottom"/>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104</w:t>
            </w:r>
          </w:p>
        </w:tc>
        <w:tc>
          <w:tcPr>
            <w:tcW w:w="1460" w:type="dxa"/>
            <w:vAlign w:val="bottom"/>
            <w:gridSpan w:val="2"/>
          </w:tcPr>
          <w:p>
            <w:pPr>
              <w:jc w:val="right"/>
              <w:ind w:right="1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27"/>
        </w:trPr>
        <w:tc>
          <w:tcPr>
            <w:tcW w:w="7140" w:type="dxa"/>
            <w:vAlign w:val="bottom"/>
          </w:tcPr>
          <w:p>
            <w:pPr>
              <w:ind w:left="20"/>
              <w:spacing w:after="0"/>
              <w:rPr>
                <w:sz w:val="20"/>
                <w:szCs w:val="20"/>
                <w:color w:val="auto"/>
              </w:rPr>
            </w:pPr>
            <w:r>
              <w:rPr>
                <w:rFonts w:ascii="Arial" w:cs="Arial" w:eastAsia="Arial" w:hAnsi="Arial"/>
                <w:sz w:val="16"/>
                <w:szCs w:val="16"/>
                <w:color w:val="auto"/>
              </w:rPr>
              <w:t>Gain on acquisition of joint venture interest</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Finance expense</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27"/>
        </w:trPr>
        <w:tc>
          <w:tcPr>
            <w:tcW w:w="7140" w:type="dxa"/>
            <w:vAlign w:val="bottom"/>
          </w:tcPr>
          <w:p>
            <w:pPr>
              <w:ind w:left="20"/>
              <w:spacing w:after="0"/>
              <w:rPr>
                <w:sz w:val="20"/>
                <w:szCs w:val="20"/>
                <w:color w:val="auto"/>
              </w:rPr>
            </w:pPr>
            <w:r>
              <w:rPr>
                <w:rFonts w:ascii="Arial" w:cs="Arial" w:eastAsia="Arial" w:hAnsi="Arial"/>
                <w:sz w:val="16"/>
                <w:szCs w:val="16"/>
                <w:color w:val="auto"/>
              </w:rPr>
              <w:t>Gain on disposal of property, plant and equipment</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activities</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Change in assets and liabilities, net of acquisitions: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and other payables</w:t>
            </w:r>
          </w:p>
        </w:tc>
        <w:tc>
          <w:tcPr>
            <w:tcW w:w="1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21"/>
        </w:trPr>
        <w:tc>
          <w:tcPr>
            <w:tcW w:w="7140" w:type="dxa"/>
            <w:vAlign w:val="bottom"/>
          </w:tcPr>
          <w:p>
            <w:pPr>
              <w:ind w:left="20"/>
              <w:spacing w:after="0"/>
              <w:rPr>
                <w:sz w:val="20"/>
                <w:szCs w:val="20"/>
                <w:color w:val="auto"/>
              </w:rPr>
            </w:pPr>
            <w:r>
              <w:rPr>
                <w:rFonts w:ascii="Arial" w:cs="Arial" w:eastAsia="Arial" w:hAnsi="Arial"/>
                <w:sz w:val="16"/>
                <w:szCs w:val="16"/>
                <w:color w:val="auto"/>
              </w:rPr>
              <w:t>Net change in working capital</w:t>
            </w:r>
          </w:p>
        </w:tc>
        <w:tc>
          <w:tcPr>
            <w:tcW w:w="1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received</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1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Borders>
              <w:top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331</w:t>
            </w: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50"/>
        </w:trPr>
        <w:tc>
          <w:tcPr>
            <w:tcW w:w="7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5"/>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
        </w:trPr>
        <w:tc>
          <w:tcPr>
            <w:tcW w:w="7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 and intangible assets</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360" w:type="dxa"/>
            <w:vAlign w:val="bottom"/>
            <w:tcBorders>
              <w:top w:val="single" w:sz="8" w:color="auto"/>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00" w:type="dxa"/>
            <w:vAlign w:val="bottom"/>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r>
      <w:tr>
        <w:trPr>
          <w:trHeight w:val="250"/>
        </w:trPr>
        <w:tc>
          <w:tcPr>
            <w:tcW w:w="714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Purchase of treasury stock</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Proceeds from issuance of equity instruments, net of taxes paid</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r>
      <w:tr>
        <w:trPr>
          <w:trHeight w:val="23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360" w:type="dxa"/>
            <w:vAlign w:val="bottom"/>
            <w:tcBorders>
              <w:top w:val="single" w:sz="8" w:color="auto"/>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(450)</w:t>
            </w:r>
          </w:p>
        </w:tc>
        <w:tc>
          <w:tcPr>
            <w:tcW w:w="100" w:type="dxa"/>
            <w:vAlign w:val="bottom"/>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r>
      <w:tr>
        <w:trPr>
          <w:trHeight w:val="23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360" w:type="dxa"/>
            <w:vAlign w:val="bottom"/>
            <w:tcBorders>
              <w:top w:val="single" w:sz="8" w:color="auto"/>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(596)</w:t>
            </w:r>
          </w:p>
        </w:tc>
      </w:tr>
      <w:tr>
        <w:trPr>
          <w:trHeight w:val="228"/>
        </w:trPr>
        <w:tc>
          <w:tcPr>
            <w:tcW w:w="714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2,192</w:t>
            </w:r>
          </w:p>
        </w:tc>
      </w:tr>
      <w:tr>
        <w:trPr>
          <w:trHeight w:val="29"/>
        </w:trPr>
        <w:tc>
          <w:tcPr>
            <w:tcW w:w="7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360" w:type="dxa"/>
            <w:vAlign w:val="bottom"/>
            <w:tcBorders>
              <w:top w:val="single" w:sz="8" w:color="auto"/>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1,849</w:t>
            </w:r>
          </w:p>
        </w:tc>
        <w:tc>
          <w:tcPr>
            <w:tcW w:w="100" w:type="dxa"/>
            <w:vAlign w:val="bottom"/>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2026 and 2025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Equity Attributable to Shareholders of GLOBALFOUNDRIES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36195</wp:posOffset>
            </wp:positionV>
            <wp:extent cx="44831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Foreign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Currency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Translation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720" w:type="dxa"/>
            <w:vAlign w:val="bottom"/>
            <w:gridSpan w:val="3"/>
            <w:vMerge w:val="restart"/>
          </w:tcPr>
          <w:p>
            <w:pPr>
              <w:jc w:val="right"/>
              <w:ind w:right="197"/>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and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14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right"/>
              <w:ind w:right="97"/>
              <w:spacing w:after="0" w:line="106"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6"/>
                <w:szCs w:val="6"/>
                <w:color w:val="auto"/>
              </w:rPr>
            </w:pPr>
          </w:p>
        </w:tc>
        <w:tc>
          <w:tcPr>
            <w:tcW w:w="960" w:type="dxa"/>
            <w:vAlign w:val="bottom"/>
            <w:gridSpan w:val="2"/>
            <w:vMerge w:val="restart"/>
          </w:tcPr>
          <w:p>
            <w:pPr>
              <w:jc w:val="right"/>
              <w:ind w:right="17"/>
              <w:spacing w:after="0" w:line="106"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restart"/>
          </w:tcPr>
          <w:p>
            <w:pPr>
              <w:jc w:val="right"/>
              <w:ind w:right="137"/>
              <w:spacing w:after="0" w:line="106" w:lineRule="exact"/>
              <w:rPr>
                <w:sz w:val="20"/>
                <w:szCs w:val="20"/>
                <w:color w:val="auto"/>
              </w:rPr>
            </w:pPr>
            <w:r>
              <w:rPr>
                <w:rFonts w:ascii="Arial" w:cs="Arial" w:eastAsia="Arial" w:hAnsi="Arial"/>
                <w:sz w:val="12"/>
                <w:szCs w:val="12"/>
                <w:b w:val="1"/>
                <w:bCs w:val="1"/>
                <w:color w:val="auto"/>
              </w:rPr>
              <w:t>Hedging</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restart"/>
          </w:tcPr>
          <w:p>
            <w:pPr>
              <w:jc w:val="center"/>
              <w:ind w:right="37"/>
              <w:spacing w:after="0" w:line="106" w:lineRule="exact"/>
              <w:rPr>
                <w:sz w:val="20"/>
                <w:szCs w:val="20"/>
                <w:color w:val="auto"/>
              </w:rPr>
            </w:pPr>
            <w:r>
              <w:rPr>
                <w:rFonts w:ascii="Arial" w:cs="Arial" w:eastAsia="Arial" w:hAnsi="Arial"/>
                <w:sz w:val="12"/>
                <w:szCs w:val="12"/>
                <w:b w:val="1"/>
                <w:bCs w:val="1"/>
                <w:color w:val="auto"/>
              </w:rPr>
              <w:t>Investments</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center"/>
              <w:ind w:right="37"/>
              <w:spacing w:after="0" w:line="106" w:lineRule="exact"/>
              <w:rPr>
                <w:sz w:val="20"/>
                <w:szCs w:val="20"/>
                <w:color w:val="auto"/>
              </w:rPr>
            </w:pPr>
            <w:r>
              <w:rPr>
                <w:rFonts w:ascii="Arial" w:cs="Arial" w:eastAsia="Arial" w:hAnsi="Arial"/>
                <w:sz w:val="12"/>
                <w:szCs w:val="12"/>
                <w:b w:val="1"/>
                <w:bCs w:val="1"/>
                <w:color w:val="auto"/>
              </w:rPr>
              <w:t>Controlling</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9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Reserve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Reserves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24,014</w:t>
            </w:r>
          </w:p>
        </w:tc>
        <w:tc>
          <w:tcPr>
            <w:tcW w:w="8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(13,266)</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10,776</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10,824</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Arial" w:cs="Arial" w:eastAsia="Arial" w:hAnsi="Arial"/>
                <w:sz w:val="13"/>
                <w:szCs w:val="13"/>
                <w:color w:val="auto"/>
              </w:rPr>
              <w:t>Proceeds from issuance of equity</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3"/>
                <w:szCs w:val="13"/>
                <w:color w:val="auto"/>
                <w:w w:val="99"/>
              </w:rPr>
              <w:t>instruments, net of withholding taxes</w:t>
            </w: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March 31, 2025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555</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24,046</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(13,056)</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11,054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11,104</w:t>
            </w: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December 31, 2025</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556</w:t>
            </w:r>
          </w:p>
        </w:tc>
        <w:tc>
          <w:tcPr>
            <w:tcW w:w="800" w:type="dxa"/>
            <w:vAlign w:val="bottom"/>
            <w:gridSpan w:val="2"/>
          </w:tcPr>
          <w:p>
            <w:pPr>
              <w:jc w:val="right"/>
              <w:ind w:right="55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200" w:type="dxa"/>
            <w:vAlign w:val="bottom"/>
            <w:gridSpan w:val="2"/>
          </w:tcPr>
          <w:p>
            <w:pPr>
              <w:ind w:left="120"/>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24,220</w:t>
            </w:r>
          </w:p>
        </w:tc>
        <w:tc>
          <w:tcPr>
            <w:tcW w:w="280" w:type="dxa"/>
            <w:vAlign w:val="bottom"/>
            <w:gridSpan w:val="2"/>
          </w:tcPr>
          <w:p>
            <w:pPr>
              <w:jc w:val="right"/>
              <w:ind w:right="38"/>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(12,381)</w:t>
            </w:r>
          </w:p>
        </w:tc>
        <w:tc>
          <w:tcPr>
            <w:tcW w:w="2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65</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13</w:t>
            </w:r>
          </w:p>
        </w:tc>
        <w:tc>
          <w:tcPr>
            <w:tcW w:w="30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11,928</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55</w:t>
            </w: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11,983</w:t>
            </w: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equity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9"/>
              </w:rPr>
              <w:t>instruments, net of withholding taxes</w:t>
            </w: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Treasury shares</w:t>
            </w:r>
          </w:p>
        </w:tc>
        <w:tc>
          <w:tcPr>
            <w:tcW w:w="9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5"/>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March 31, 2026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548</w:t>
            </w: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23,850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(12,278)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11,693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11,748</w:t>
            </w: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GLOBALFOUNDRIES Inc. (“we,” “GF,” or the “Company”) is one of the world’s leading manufacturers of semiconductors the world relies on to live, work and connect, enabling the scaling of Artificial Intelligence ("AI") in the cloud, and the transition of AI into the physical world. We manufacture differentiated, essential integrated circuits (“ICs”) that are used in billions of electronic devices across various industries.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Summary of Material Accounting Policies and Critical Judgments, Estimates and Assumptions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interim condensed consolidated financial statements ("interim financial statements") have been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International Accounting Standards ("IAS") 34</w:t>
      </w:r>
      <w:r>
        <w:rPr>
          <w:rFonts w:ascii="Arial" w:cs="Arial" w:eastAsia="Arial" w:hAnsi="Arial"/>
          <w:sz w:val="16"/>
          <w:szCs w:val="16"/>
          <w:i w:val="1"/>
          <w:iCs w:val="1"/>
          <w:color w:val="auto"/>
        </w:rPr>
        <w:t>, Interim Financial Reporting</w:t>
      </w:r>
      <w:r>
        <w:rPr>
          <w:rFonts w:ascii="Arial" w:cs="Arial" w:eastAsia="Arial" w:hAnsi="Arial"/>
          <w:sz w:val="16"/>
          <w:szCs w:val="16"/>
          <w:color w:val="auto"/>
        </w:rPr>
        <w:t xml:space="preserve"> ("IAS 34"), as issued by the International Accounting Standards Board ("IASB"). Certain information and footnote disclosures normally included in the annual audited consolidated financial statements prepared in accordance with International Financial Reporting Standards (“IFRS”) Accounting Standards, as issued by the IASB, have been omitted or condensed. These interim financial statements should be read in conjunction with the consolidated financial statements and notes thereto included in GlobalFoundries' Annual Report on Form 20-F for the year ended December 31, 2025. The interim financial statements have been prepared on a basis consistent with the accounting policies disclosed in the December 31, 2025 audited consolidated financial statements.</w:t>
      </w:r>
    </w:p>
    <w:p>
      <w:pPr>
        <w:spacing w:after="0" w:line="6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interim financial statements are unaudited and reflect adjustments (consisting of normal recurring adjustments) that are, in the opinion of management, necessary to provide a fair statement of results for the interim periods in accordance with IAS 34 as issued by the IASB.</w:t>
      </w:r>
    </w:p>
    <w:p>
      <w:pPr>
        <w:spacing w:after="0" w:line="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interim financial statements were approved and authorized to be issued by the Audit, Risk and Compliance Committee of GlobalFoundries’ Board of Directors on May 05, 2026, and subsequent events have been evaluated for their potential effect on the interim financial statements through May 05, 2026.</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Summary of Material Accounting Policies and Critical Judgments, Estimates and Assumptions — </w:t>
      </w:r>
      <w:r>
        <w:rPr>
          <w:rFonts w:ascii="Arial" w:cs="Arial" w:eastAsia="Arial" w:hAnsi="Arial"/>
          <w:sz w:val="16"/>
          <w:szCs w:val="16"/>
          <w:color w:val="auto"/>
        </w:rPr>
        <w:t>The summary of material accounting policies and</w:t>
      </w:r>
      <w:r>
        <w:rPr>
          <w:rFonts w:ascii="Arial" w:cs="Arial" w:eastAsia="Arial" w:hAnsi="Arial"/>
          <w:sz w:val="16"/>
          <w:szCs w:val="16"/>
          <w:b w:val="1"/>
          <w:bCs w:val="1"/>
          <w:color w:val="auto"/>
        </w:rPr>
        <w:t xml:space="preserve"> </w:t>
      </w:r>
      <w:r>
        <w:rPr>
          <w:rFonts w:ascii="Arial" w:cs="Arial" w:eastAsia="Arial" w:hAnsi="Arial"/>
          <w:sz w:val="16"/>
          <w:szCs w:val="16"/>
          <w:color w:val="auto"/>
        </w:rPr>
        <w:t>critical judgments, estimates and assumptions adopted in the preparation of the interim financial statements are consistent with those followed in the preparation of the Company's annual audited consolidated financial statements contained in our Annual Report on Form 20-F for the year ended December 31, 2025.</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Adopted: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Company adopted the following amended IFRS standards, effective January 1, 2026.</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Classification and Measurement of Financial Instruments (Amendments to IFRS 9,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Disclosures</w:t>
      </w:r>
      <w:r>
        <w:rPr>
          <w:rFonts w:ascii="Arial" w:cs="Arial" w:eastAsia="Arial" w:hAnsi="Arial"/>
          <w:sz w:val="16"/>
          <w:szCs w:val="16"/>
          <w:b w:val="1"/>
          <w:bCs w:val="1"/>
          <w:color w:val="auto"/>
        </w:rPr>
        <w:t>)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amendments clarify the requirements for the timing of recognition and derecognition of financial assets and liabilities. The amendments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add further guidance for assessing whether a financial asset meets the solely payments of principal and interest criterion for financial assets that do not relate to basic lending risks, and add new disclosures for certain instruments with contractual terms that can change cash flows based on contingent events. The adoption of these amendments did not result in a material impact to the Company’s consolidated financial statements.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Annual Improvements to IFRS Accounting Standards – Volume 11 – </w:t>
      </w:r>
      <w:r>
        <w:rPr>
          <w:rFonts w:ascii="Arial" w:cs="Arial" w:eastAsia="Arial" w:hAnsi="Arial"/>
          <w:sz w:val="16"/>
          <w:szCs w:val="16"/>
          <w:color w:val="auto"/>
        </w:rPr>
        <w:t>These narrow-scope amendments relate to clarifications, simplifications,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corrections or changes to improve consistency in the following IFRS standards: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xml:space="preserve">,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10, </w:t>
      </w:r>
      <w:r>
        <w:rPr>
          <w:rFonts w:ascii="Arial" w:cs="Arial" w:eastAsia="Arial" w:hAnsi="Arial"/>
          <w:sz w:val="16"/>
          <w:szCs w:val="16"/>
          <w:i w:val="1"/>
          <w:iCs w:val="1"/>
          <w:color w:val="auto"/>
        </w:rPr>
        <w:t>Consolidated Financial Instruments</w:t>
      </w:r>
      <w:r>
        <w:rPr>
          <w:rFonts w:ascii="Arial" w:cs="Arial" w:eastAsia="Arial" w:hAnsi="Arial"/>
          <w:sz w:val="16"/>
          <w:szCs w:val="16"/>
          <w:color w:val="auto"/>
        </w:rPr>
        <w:t xml:space="preserve"> and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The adoption of these amendments did not result in a material impact to the Company’s consolidated financial statements.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Contracts Referencing Nature-dependent Electricity – Amendment to IFRS 9 and IFRS 7 </w:t>
      </w:r>
      <w:r>
        <w:rPr>
          <w:rFonts w:ascii="Arial" w:cs="Arial" w:eastAsia="Arial" w:hAnsi="Arial"/>
          <w:sz w:val="16"/>
          <w:szCs w:val="16"/>
          <w:color w:val="auto"/>
        </w:rPr>
        <w:t>– These amendments include clarifying the application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own-use requirements for nature-dependent electricity contracts, permitting hedge accounting if these contracts are used as hedging instruments and adding new disclosure requirements to enable investors to understand the effect of these contracts on the Company’s financial performance and cash flows. The adoption of these standards, including disclosures that will be made when certain plants commence commercial operations, did not result in a material impact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Adopted: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adopted the following new, revised or amended IFRS standards that have been issued by the IASB that are not yet effective:</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IFRS 18, </w:t>
      </w:r>
      <w:r>
        <w:rPr>
          <w:rFonts w:ascii="Arial" w:cs="Arial" w:eastAsia="Arial" w:hAnsi="Arial"/>
          <w:sz w:val="16"/>
          <w:szCs w:val="16"/>
          <w:b w:val="1"/>
          <w:bCs w:val="1"/>
          <w:i w:val="1"/>
          <w:iCs w:val="1"/>
          <w:color w:val="auto"/>
        </w:rPr>
        <w:t>Presentation and Disclosure in Financial Statements</w:t>
      </w:r>
      <w:r>
        <w:rPr>
          <w:rFonts w:ascii="Arial" w:cs="Arial" w:eastAsia="Arial" w:hAnsi="Arial"/>
          <w:sz w:val="16"/>
          <w:szCs w:val="16"/>
          <w:b w:val="1"/>
          <w:bCs w:val="1"/>
          <w:color w:val="auto"/>
        </w:rPr>
        <w:t xml:space="preserve"> ("IFRS 18") — </w:t>
      </w:r>
      <w:r>
        <w:rPr>
          <w:rFonts w:ascii="Arial" w:cs="Arial" w:eastAsia="Arial" w:hAnsi="Arial"/>
          <w:sz w:val="16"/>
          <w:szCs w:val="16"/>
          <w:color w:val="auto"/>
        </w:rPr>
        <w:t>This new standard will replace IAS 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of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("IAS 1")</w:t>
      </w:r>
      <w:r>
        <w:rPr>
          <w:rFonts w:ascii="Arial" w:cs="Arial" w:eastAsia="Arial" w:hAnsi="Arial"/>
          <w:sz w:val="16"/>
          <w:szCs w:val="16"/>
          <w:i w:val="1"/>
          <w:iCs w:val="1"/>
          <w:color w:val="auto"/>
        </w:rPr>
        <w:t>.</w:t>
      </w:r>
      <w:r>
        <w:rPr>
          <w:rFonts w:ascii="Arial" w:cs="Arial" w:eastAsia="Arial" w:hAnsi="Arial"/>
          <w:sz w:val="16"/>
          <w:szCs w:val="16"/>
          <w:color w:val="auto"/>
        </w:rPr>
        <w:t xml:space="preserve"> The key concepts in IFRS 18 relate to the structure of the statement of profit and loss, required disclosures in the financial statements for certain management-defined performance measures and enhanced principles on aggregation and disaggregation which apply to the primary financial statements and notes in general.</w:t>
      </w:r>
    </w:p>
    <w:p>
      <w:pPr>
        <w:spacing w:after="0" w:line="65" w:lineRule="exact"/>
        <w:rPr>
          <w:sz w:val="20"/>
          <w:szCs w:val="20"/>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IFRS 18 introduces new requirements for presentation within the statement of profit or loss, including specified totals and subtotals. Furthermore, entities are required to classify all income and expenses within the statement of profit and loss into one of five categories: operating, investing, financing, income taxes and discontinued operations, whereof the first three are new.</w:t>
      </w:r>
    </w:p>
    <w:p>
      <w:pPr>
        <w:spacing w:after="0" w:line="6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It also requires disclosure of management-defined performance measures and subtotals of income and expenses and includes new requirements for aggregation and disaggregation of financial information based on the identified ‘roles’ of the primary financial statements and the notes.</w:t>
      </w:r>
    </w:p>
    <w:p>
      <w:pPr>
        <w:spacing w:after="0" w:line="47" w:lineRule="exact"/>
        <w:rPr>
          <w:rFonts w:ascii="Arial" w:cs="Arial" w:eastAsia="Arial" w:hAnsi="Arial"/>
          <w:sz w:val="16"/>
          <w:szCs w:val="16"/>
          <w:color w:val="auto"/>
        </w:rPr>
      </w:pPr>
    </w:p>
    <w:p>
      <w:pPr>
        <w:jc w:val="both"/>
        <w:ind w:left="660" w:hanging="328"/>
        <w:spacing w:after="0" w:line="267"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addition, narrow-scope amendments have been made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which include changing the starting point for determining cash flows from operations under the indirect method, from ‘profit or loss’ to ‘operating profit or loss’ and removing the optionality around classification of cash flows from dividends and interest. Interest paid will be presented as financing cash flows and interest received as investing cash flows, which is a change from current presentation as part of operating cash flows. In addition, there are consequential amendments to several other standards.</w:t>
      </w:r>
    </w:p>
    <w:p>
      <w:pPr>
        <w:spacing w:after="0" w:line="2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effective date for adoption of this standard is annual periods beginning on or after January 1, 2027. Retrospective application is required, hence, the comparative information will be recast in accordance with IFRS 18. The Company is currently assessing the detailed implications of applying the new standard on the consolidated financial statements.</w:t>
      </w:r>
    </w:p>
    <w:p>
      <w:pPr>
        <w:spacing w:after="0" w:line="56" w:lineRule="exact"/>
        <w:rPr>
          <w:sz w:val="20"/>
          <w:szCs w:val="20"/>
          <w:color w:val="auto"/>
        </w:rPr>
      </w:pPr>
    </w:p>
    <w:p>
      <w:pPr>
        <w:jc w:val="both"/>
        <w:ind w:left="660" w:hanging="328"/>
        <w:spacing w:after="0" w:line="27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Although the adoption of IFRS 18 has no impact on the Company’s net income, the Company expects that grouping items of income and expenses into the new categories may impact how operating profit is calculated and reported. For example, items currently in “Other income (expense), net” would be reclassified to “Other operating expenses”, “Other investing expenses” and “Other financing expenses” lines.</w:t>
      </w:r>
    </w:p>
    <w:p>
      <w:pPr>
        <w:spacing w:after="0" w:line="6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does not expect a significant change in the information currently disclosed in the notes to the consolidated financial statements because the requirement to disclose material information remains unchanged. However, the way in which information is grouped may be changed.</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first annual period of application of IFRS 18, disclosures are required for a reconciliation for each line item in the consolidated statement of operations between the stated amounts presented by applying IFRS 18 and the amounts previously presented applying IAS 1.</w:t>
      </w:r>
    </w:p>
    <w:p>
      <w:pPr>
        <w:spacing w:after="0" w:line="3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As of the date the accompanying financial statements were authorized for issue, the Company continues to evaluate the impact on its consolidated financial position and performance as a result of the initial adoption of the aforementioned standards or interpretations and related applicable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presents the Company’s revenue disaggregated based on revenue source, timing of revenue recognition and the end markets that we serve, for the three month periods ended March 31, 2026 and 2025. The Company believes these categories best depict the nature and timing of revenue:</w:t>
      </w:r>
    </w:p>
    <w:p>
      <w:pPr>
        <w:spacing w:after="0" w:line="87"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Three Months Ended</w:t>
      </w:r>
    </w:p>
    <w:p>
      <w:pPr>
        <w:spacing w:after="0" w:line="35"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27940</wp:posOffset>
            </wp:positionV>
            <wp:extent cx="25717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Pr>
          <w:p>
            <w:pPr>
              <w:spacing w:after="0"/>
              <w:rPr>
                <w:sz w:val="19"/>
                <w:szCs w:val="19"/>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auto"/>
              </w:rPr>
              <w:t>2026</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ind w:right="739"/>
              <w:spacing w:after="0"/>
              <w:rPr>
                <w:sz w:val="20"/>
                <w:szCs w:val="20"/>
                <w:color w:val="auto"/>
              </w:rPr>
            </w:pPr>
            <w:r>
              <w:rPr>
                <w:rFonts w:ascii="Arial" w:cs="Arial" w:eastAsia="Arial" w:hAnsi="Arial"/>
                <w:sz w:val="16"/>
                <w:szCs w:val="16"/>
                <w:b w:val="1"/>
                <w:bCs w:val="1"/>
                <w:color w:val="auto"/>
              </w:rPr>
              <w:t>2025</w:t>
            </w:r>
          </w:p>
        </w:tc>
      </w:tr>
      <w:tr>
        <w:trPr>
          <w:trHeight w:val="21"/>
        </w:trPr>
        <w:tc>
          <w:tcPr>
            <w:tcW w:w="7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Type of goods and services:</w:t>
            </w:r>
          </w:p>
        </w:tc>
        <w:tc>
          <w:tcPr>
            <w:tcW w:w="1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7"/>
        </w:trPr>
        <w:tc>
          <w:tcPr>
            <w:tcW w:w="7160" w:type="dxa"/>
            <w:vAlign w:val="bottom"/>
          </w:tcPr>
          <w:p>
            <w:pPr>
              <w:ind w:left="20"/>
              <w:spacing w:after="0"/>
              <w:rPr>
                <w:sz w:val="20"/>
                <w:szCs w:val="20"/>
                <w:color w:val="auto"/>
              </w:rPr>
            </w:pPr>
            <w:r>
              <w:rPr>
                <w:rFonts w:ascii="Arial" w:cs="Arial" w:eastAsia="Arial" w:hAnsi="Arial"/>
                <w:sz w:val="16"/>
                <w:szCs w:val="16"/>
                <w:color w:val="auto"/>
              </w:rPr>
              <w:t>Manufacturing Services</w:t>
            </w:r>
          </w:p>
        </w:tc>
        <w:tc>
          <w:tcPr>
            <w:tcW w:w="1340" w:type="dxa"/>
            <w:vAlign w:val="bottom"/>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1,425</w:t>
            </w:r>
          </w:p>
        </w:tc>
        <w:tc>
          <w:tcPr>
            <w:tcW w:w="5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1,397</w:t>
            </w: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Services</w:t>
            </w:r>
          </w:p>
        </w:tc>
        <w:tc>
          <w:tcPr>
            <w:tcW w:w="1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29"/>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1,634</w:t>
            </w:r>
          </w:p>
        </w:tc>
        <w:tc>
          <w:tcPr>
            <w:tcW w:w="80" w:type="dxa"/>
            <w:vAlign w:val="bottom"/>
          </w:tcPr>
          <w:p>
            <w:pPr>
              <w:spacing w:after="0"/>
              <w:rPr>
                <w:sz w:val="19"/>
                <w:szCs w:val="19"/>
                <w:color w:val="auto"/>
              </w:rPr>
            </w:pPr>
          </w:p>
        </w:tc>
        <w:tc>
          <w:tcPr>
            <w:tcW w:w="4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1,585</w:t>
            </w:r>
          </w:p>
        </w:tc>
      </w:tr>
      <w:tr>
        <w:trPr>
          <w:trHeight w:val="21"/>
        </w:trPr>
        <w:tc>
          <w:tcPr>
            <w:tcW w:w="7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7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recognized over time</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Revenue recognized at a point in time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1,634</w:t>
            </w:r>
          </w:p>
        </w:tc>
        <w:tc>
          <w:tcPr>
            <w:tcW w:w="80" w:type="dxa"/>
            <w:vAlign w:val="bottom"/>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1,585</w:t>
            </w:r>
          </w:p>
        </w:tc>
      </w:tr>
      <w:tr>
        <w:trPr>
          <w:trHeight w:val="196"/>
        </w:trPr>
        <w:tc>
          <w:tcPr>
            <w:tcW w:w="71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Markets:</w:t>
            </w:r>
          </w:p>
        </w:tc>
        <w:tc>
          <w:tcPr>
            <w:tcW w:w="1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7"/>
        </w:trPr>
        <w:tc>
          <w:tcPr>
            <w:tcW w:w="7160" w:type="dxa"/>
            <w:vAlign w:val="bottom"/>
          </w:tcPr>
          <w:p>
            <w:pPr>
              <w:ind w:left="20"/>
              <w:spacing w:after="0"/>
              <w:rPr>
                <w:sz w:val="20"/>
                <w:szCs w:val="20"/>
                <w:color w:val="auto"/>
              </w:rPr>
            </w:pPr>
            <w:r>
              <w:rPr>
                <w:rFonts w:ascii="Arial" w:cs="Arial" w:eastAsia="Arial" w:hAnsi="Arial"/>
                <w:sz w:val="16"/>
                <w:szCs w:val="16"/>
                <w:color w:val="auto"/>
              </w:rPr>
              <w:t>Smart Mobile Devices</w:t>
            </w:r>
          </w:p>
        </w:tc>
        <w:tc>
          <w:tcPr>
            <w:tcW w:w="1340" w:type="dxa"/>
            <w:vAlign w:val="bottom"/>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558</w:t>
            </w:r>
          </w:p>
        </w:tc>
        <w:tc>
          <w:tcPr>
            <w:tcW w:w="5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1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Home and Industrial IoT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1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80" w:type="dxa"/>
            <w:vAlign w:val="bottom"/>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28"/>
        </w:trPr>
        <w:tc>
          <w:tcPr>
            <w:tcW w:w="7160" w:type="dxa"/>
            <w:vAlign w:val="bottom"/>
          </w:tcPr>
          <w:p>
            <w:pPr>
              <w:ind w:left="20"/>
              <w:spacing w:after="0"/>
              <w:rPr>
                <w:sz w:val="20"/>
                <w:szCs w:val="20"/>
                <w:color w:val="auto"/>
              </w:rPr>
            </w:pPr>
            <w:r>
              <w:rPr>
                <w:rFonts w:ascii="Arial" w:cs="Arial" w:eastAsia="Arial" w:hAnsi="Arial"/>
                <w:sz w:val="16"/>
                <w:szCs w:val="16"/>
                <w:color w:val="auto"/>
              </w:rPr>
              <w:t>Technology Services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9"/>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1,634</w:t>
            </w:r>
          </w:p>
        </w:tc>
        <w:tc>
          <w:tcPr>
            <w:tcW w:w="80" w:type="dxa"/>
            <w:vAlign w:val="bottom"/>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1,585</w:t>
            </w:r>
          </w:p>
        </w:tc>
      </w:tr>
      <w:tr>
        <w:trPr>
          <w:trHeight w:val="20"/>
        </w:trPr>
        <w:tc>
          <w:tcPr>
            <w:tcW w:w="7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Effective January 1, 2026, the Company updated the terminology used to describe revenue categories. Revenue previously presented as "Wafer revenue" and "Non-wafer revenue" is now presented as "Manufacturing Services" and "Technology Services," respectively. Manufacturing Services include volume production and sales of finished semiconductor products. Technology Services include non-recurring engineering services, mask production, process qualification, post-fabrication services such as bump, test and packaging, and revenue from intellectual property licenses, related royalties and other items. We believe these categories better reflect the depth and breadth of our business model today. This change in presentation does not impact the composition of revenue, total revenue reported or revenue recognition policies. Prior periods have been conformed to the current period presentation.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Business Combination</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Acquisition of Advanced Micro Foundry Pte. Ltd. – </w:t>
      </w:r>
      <w:r>
        <w:rPr>
          <w:rFonts w:ascii="Arial" w:cs="Arial" w:eastAsia="Arial" w:hAnsi="Arial"/>
          <w:sz w:val="16"/>
          <w:szCs w:val="16"/>
          <w:color w:val="auto"/>
        </w:rPr>
        <w:t>On November 18, 2025, the Company completed its acquisition of Advanced Micro Foundry Pte. Ltd.</w:t>
      </w:r>
      <w:r>
        <w:rPr>
          <w:rFonts w:ascii="Arial" w:cs="Arial" w:eastAsia="Arial" w:hAnsi="Arial"/>
          <w:sz w:val="16"/>
          <w:szCs w:val="16"/>
          <w:b w:val="1"/>
          <w:bCs w:val="1"/>
          <w:color w:val="auto"/>
        </w:rPr>
        <w:t xml:space="preserve"> </w:t>
      </w:r>
      <w:r>
        <w:rPr>
          <w:rFonts w:ascii="Arial" w:cs="Arial" w:eastAsia="Arial" w:hAnsi="Arial"/>
          <w:sz w:val="16"/>
          <w:szCs w:val="16"/>
          <w:color w:val="auto"/>
        </w:rPr>
        <w:t>(“AMF”). AMF is a pioneering silicon photonics foundry based in Singapore. The acquisition is expected to enhance the Company’s scale, differentiation and customer base in silicon photonics and optical networking.</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total purchase consideration was $453 million in cash paid on the closing date. The fair value of consideration transferred was determined by the Company with the assistance of an independent appraiser as part of the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Assets acquired and liabilities assumed at the date of acquisition are as follows:</w:t>
            </w: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6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23"/>
                <w:szCs w:val="23"/>
                <w:color w:val="auto"/>
              </w:rPr>
            </w:pPr>
          </w:p>
        </w:tc>
        <w:tc>
          <w:tcPr>
            <w:tcW w:w="2960" w:type="dxa"/>
            <w:vAlign w:val="bottom"/>
          </w:tcPr>
          <w:p>
            <w:pPr>
              <w:ind w:left="700"/>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21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18"/>
                <w:szCs w:val="18"/>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87</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left="2539"/>
              <w:spacing w:after="0"/>
              <w:rPr>
                <w:sz w:val="20"/>
                <w:szCs w:val="20"/>
                <w:color w:val="auto"/>
              </w:rPr>
            </w:pPr>
            <w:r>
              <w:rPr>
                <w:rFonts w:ascii="Arial" w:cs="Arial" w:eastAsia="Arial" w:hAnsi="Arial"/>
                <w:sz w:val="16"/>
                <w:szCs w:val="16"/>
                <w:color w:val="auto"/>
              </w:rPr>
              <w:t>36</w:t>
            </w: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820" w:type="dxa"/>
            <w:vAlign w:val="bottom"/>
          </w:tcPr>
          <w:p>
            <w:pPr>
              <w:spacing w:after="0"/>
              <w:rPr>
                <w:sz w:val="19"/>
                <w:szCs w:val="19"/>
                <w:color w:val="auto"/>
              </w:rPr>
            </w:pP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74</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left="2539"/>
              <w:spacing w:after="0"/>
              <w:rPr>
                <w:sz w:val="20"/>
                <w:szCs w:val="20"/>
                <w:color w:val="auto"/>
              </w:rPr>
            </w:pPr>
            <w:r>
              <w:rPr>
                <w:rFonts w:ascii="Arial" w:cs="Arial" w:eastAsia="Arial" w:hAnsi="Arial"/>
                <w:sz w:val="16"/>
                <w:szCs w:val="16"/>
                <w:color w:val="auto"/>
              </w:rPr>
              <w:t>63</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820" w:type="dxa"/>
            <w:vAlign w:val="bottom"/>
          </w:tcPr>
          <w:p>
            <w:pPr>
              <w:spacing w:after="0"/>
              <w:rPr>
                <w:sz w:val="19"/>
                <w:szCs w:val="19"/>
                <w:color w:val="auto"/>
              </w:rPr>
            </w:pP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66</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2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820" w:type="dxa"/>
            <w:vAlign w:val="bottom"/>
          </w:tcPr>
          <w:p>
            <w:pPr>
              <w:spacing w:after="0"/>
              <w:rPr>
                <w:sz w:val="19"/>
                <w:szCs w:val="19"/>
                <w:color w:val="auto"/>
              </w:rPr>
            </w:pPr>
          </w:p>
        </w:tc>
        <w:tc>
          <w:tcPr>
            <w:tcW w:w="2960" w:type="dxa"/>
            <w:vAlign w:val="bottom"/>
          </w:tcPr>
          <w:p>
            <w:pPr>
              <w:jc w:val="center"/>
              <w:ind w:left="2539"/>
              <w:spacing w:after="0"/>
              <w:rPr>
                <w:sz w:val="20"/>
                <w:szCs w:val="20"/>
                <w:color w:val="auto"/>
              </w:rPr>
            </w:pPr>
            <w:r>
              <w:rPr>
                <w:rFonts w:ascii="Arial" w:cs="Arial" w:eastAsia="Arial" w:hAnsi="Arial"/>
                <w:sz w:val="16"/>
                <w:szCs w:val="16"/>
                <w:color w:val="auto"/>
              </w:rPr>
              <w:t>(14)</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left="2539"/>
              <w:spacing w:after="0"/>
              <w:rPr>
                <w:sz w:val="20"/>
                <w:szCs w:val="20"/>
                <w:color w:val="auto"/>
              </w:rPr>
            </w:pPr>
            <w:r>
              <w:rPr>
                <w:rFonts w:ascii="Arial" w:cs="Arial" w:eastAsia="Arial" w:hAnsi="Arial"/>
                <w:sz w:val="16"/>
                <w:szCs w:val="16"/>
                <w:color w:val="auto"/>
              </w:rPr>
              <w:t>(34)</w:t>
            </w:r>
          </w:p>
        </w:tc>
      </w:tr>
      <w:tr>
        <w:trPr>
          <w:trHeight w:val="20"/>
        </w:trPr>
        <w:tc>
          <w:tcPr>
            <w:tcW w:w="7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identifiable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278</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Goodwill</w:t>
            </w:r>
            <w:r>
              <w:rPr>
                <w:rFonts w:ascii="Arial" w:cs="Arial" w:eastAsia="Arial" w:hAnsi="Arial"/>
                <w:sz w:val="21"/>
                <w:szCs w:val="21"/>
                <w:color w:val="auto"/>
                <w:vertAlign w:val="superscript"/>
              </w:rPr>
              <w:t>(1)</w:t>
            </w:r>
          </w:p>
        </w:tc>
        <w:tc>
          <w:tcPr>
            <w:tcW w:w="1780" w:type="dxa"/>
            <w:vAlign w:val="bottom"/>
            <w:tcBorders>
              <w:bottom w:val="single" w:sz="8" w:color="auto"/>
            </w:tcBorders>
            <w:shd w:val="clear" w:color="auto" w:fill="CCEEFF"/>
          </w:tcPr>
          <w:p>
            <w:pPr>
              <w:jc w:val="right"/>
              <w:ind w:right="15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2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453</w:t>
            </w:r>
          </w:p>
        </w:tc>
      </w:tr>
      <w:tr>
        <w:trPr>
          <w:trHeight w:val="21"/>
        </w:trPr>
        <w:tc>
          <w:tcPr>
            <w:tcW w:w="7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80" w:hanging="172"/>
        <w:spacing w:after="0" w:line="305" w:lineRule="auto"/>
        <w:tabs>
          <w:tab w:leader="none" w:pos="249" w:val="left"/>
        </w:tabs>
        <w:numPr>
          <w:ilvl w:val="0"/>
          <w:numId w:val="8"/>
        </w:numPr>
        <w:rPr>
          <w:rFonts w:ascii="Arial" w:cs="Arial" w:eastAsia="Arial" w:hAnsi="Arial"/>
          <w:sz w:val="9"/>
          <w:szCs w:val="9"/>
          <w:color w:val="auto"/>
        </w:rPr>
      </w:pPr>
      <w:r>
        <w:rPr>
          <w:rFonts w:ascii="Arial" w:cs="Arial" w:eastAsia="Arial" w:hAnsi="Arial"/>
          <w:sz w:val="14"/>
          <w:szCs w:val="14"/>
          <w:color w:val="auto"/>
        </w:rPr>
        <w:t>Goodwill is mainly attributable to the workforce, synergies, and expected future growth potential from access to new markets. Goodwill recognized will not be deductible for income tax purposes.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fair value of certain identifiable assets and liabilities primarily relating to working capital adjustment, including deferred tax liability, have been determined provisionally, and are subject to adjustments as we obtain additional information. Any adjustments to the purchase price allocation will be made as soon as practicable, but no later than one year from the acquisition date.</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valuation of acquired intangible assets consisting of the developed technology, in-process research and development (“IPR&amp;D”) and customer relationships were determined based on management’s estimates and consultation with an independent appraiser. The fair value of developed technology and IPR&amp;D was estimated using the relief from royalty method, while the customer relationships were measured at fair value using the multiperiod excess earnings method. Significant estimations and assumptions inherent in the valuation method were employed by the Company, which included, but were not limited to, future cash flows, expected revenue growth rates, royalty rates, technology migration curve and discount rate applied to future cash flows.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 xml:space="preserve">Acquisition of MIPS Holdings Inc.– </w:t>
      </w:r>
      <w:r>
        <w:rPr>
          <w:rFonts w:ascii="Arial" w:cs="Arial" w:eastAsia="Arial" w:hAnsi="Arial"/>
          <w:sz w:val="16"/>
          <w:szCs w:val="16"/>
          <w:color w:val="auto"/>
        </w:rPr>
        <w:t>On August 13, 2025, the Company completed its acquisition of MIPS Holdings Inc. ("MIPS"). MIPS is a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of computing subsystems for autonomous platforms serving the automotive, industrial, and embedded markets. The acquisition is expected to expand the Company’s portfolio of customizable intellectual property (“IP”) offerings and enhance the Company's ability to differentiate its process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technologies through advanced IP and software capabilities.</w:t>
            </w:r>
          </w:p>
        </w:tc>
        <w:tc>
          <w:tcPr>
            <w:tcW w:w="8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85"/>
        </w:trPr>
        <w:tc>
          <w:tcPr>
            <w:tcW w:w="7460" w:type="dxa"/>
            <w:vAlign w:val="bottom"/>
          </w:tcPr>
          <w:p>
            <w:pPr>
              <w:spacing w:after="0"/>
              <w:rPr>
                <w:sz w:val="20"/>
                <w:szCs w:val="20"/>
                <w:color w:val="auto"/>
              </w:rPr>
            </w:pPr>
            <w:r>
              <w:rPr>
                <w:rFonts w:ascii="Arial" w:cs="Arial" w:eastAsia="Arial" w:hAnsi="Arial"/>
                <w:sz w:val="16"/>
                <w:szCs w:val="16"/>
                <w:color w:val="auto"/>
              </w:rPr>
              <w:t>Details of the purchase consideration:</w:t>
            </w:r>
          </w:p>
        </w:tc>
        <w:tc>
          <w:tcPr>
            <w:tcW w:w="8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5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24"/>
                <w:szCs w:val="24"/>
                <w:color w:val="auto"/>
              </w:rPr>
            </w:pPr>
          </w:p>
        </w:tc>
        <w:tc>
          <w:tcPr>
            <w:tcW w:w="2920" w:type="dxa"/>
            <w:vAlign w:val="bottom"/>
          </w:tcPr>
          <w:p>
            <w:pPr>
              <w:jc w:val="right"/>
              <w:ind w:right="1499"/>
              <w:spacing w:after="0"/>
              <w:rPr>
                <w:sz w:val="20"/>
                <w:szCs w:val="20"/>
                <w:color w:val="auto"/>
              </w:rPr>
            </w:pPr>
            <w:r>
              <w:rPr>
                <w:rFonts w:ascii="Arial" w:cs="Arial" w:eastAsia="Arial" w:hAnsi="Arial"/>
                <w:sz w:val="16"/>
                <w:szCs w:val="16"/>
                <w:b w:val="1"/>
                <w:bCs w:val="1"/>
                <w:color w:val="auto"/>
              </w:rPr>
              <w:t>Amount</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r>
        <w:trPr>
          <w:trHeight w:val="23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Replacement share-based payment awards</w:t>
            </w:r>
          </w:p>
        </w:tc>
        <w:tc>
          <w:tcPr>
            <w:tcW w:w="86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74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purchase consideration</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0"/>
        </w:trPr>
        <w:tc>
          <w:tcPr>
            <w:tcW w:w="7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The fair value of consideration transferred was determined by the Company with the assistance of an independent appraiser as part of the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Assets acquired and liabilities assumed at the date of acquisition are as follows:</w:t>
            </w: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6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23"/>
                <w:szCs w:val="23"/>
                <w:color w:val="auto"/>
              </w:rPr>
            </w:pPr>
          </w:p>
        </w:tc>
        <w:tc>
          <w:tcPr>
            <w:tcW w:w="2960" w:type="dxa"/>
            <w:vAlign w:val="bottom"/>
          </w:tcPr>
          <w:p>
            <w:pPr>
              <w:jc w:val="right"/>
              <w:ind w:right="1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r>
        <w:trPr>
          <w:trHeight w:val="21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18"/>
                <w:szCs w:val="18"/>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29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8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8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2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8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7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3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8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7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identifiable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131</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Goodwill</w:t>
            </w:r>
            <w:r>
              <w:rPr>
                <w:rFonts w:ascii="Arial" w:cs="Arial" w:eastAsia="Arial" w:hAnsi="Arial"/>
                <w:sz w:val="21"/>
                <w:szCs w:val="21"/>
                <w:color w:val="auto"/>
                <w:vertAlign w:val="superscript"/>
              </w:rPr>
              <w:t>(1)</w:t>
            </w:r>
          </w:p>
        </w:tc>
        <w:tc>
          <w:tcPr>
            <w:tcW w:w="1780" w:type="dxa"/>
            <w:vAlign w:val="bottom"/>
            <w:tcBorders>
              <w:bottom w:val="single" w:sz="8" w:color="auto"/>
            </w:tcBorders>
            <w:shd w:val="clear" w:color="auto" w:fill="CCEEFF"/>
          </w:tcPr>
          <w:p>
            <w:pPr>
              <w:jc w:val="right"/>
              <w:ind w:right="15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2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226</w:t>
            </w:r>
          </w:p>
        </w:tc>
      </w:tr>
      <w:tr>
        <w:trPr>
          <w:trHeight w:val="21"/>
        </w:trPr>
        <w:tc>
          <w:tcPr>
            <w:tcW w:w="7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80" w:hanging="172"/>
        <w:spacing w:after="0" w:line="305" w:lineRule="auto"/>
        <w:tabs>
          <w:tab w:leader="none" w:pos="249" w:val="left"/>
        </w:tabs>
        <w:numPr>
          <w:ilvl w:val="0"/>
          <w:numId w:val="9"/>
        </w:numPr>
        <w:rPr>
          <w:rFonts w:ascii="Arial" w:cs="Arial" w:eastAsia="Arial" w:hAnsi="Arial"/>
          <w:sz w:val="9"/>
          <w:szCs w:val="9"/>
          <w:color w:val="auto"/>
        </w:rPr>
      </w:pPr>
      <w:r>
        <w:rPr>
          <w:rFonts w:ascii="Arial" w:cs="Arial" w:eastAsia="Arial" w:hAnsi="Arial"/>
          <w:sz w:val="14"/>
          <w:szCs w:val="14"/>
          <w:color w:val="auto"/>
        </w:rPr>
        <w:t>Goodwill is mainly attributable to the workforce, synergies, and expected future growth potential from access to new markets. Goodwill recognized will not be deductible for income tax purposes.</w:t>
      </w:r>
    </w:p>
    <w:p>
      <w:pPr>
        <w:spacing w:after="0" w:line="27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fair values of certain identifiable assets and liabilities primarily relating to working capital adjustments, including deferred tax liabilities have been determined provisionally and are subject to adjustments as we obtain additional information. Any adjustments to the purchase price allocation will be made as soon as practicable, but no later than one year from the acquisition date.</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fair value of deferred tax liability has been determined provisionally and is subject to adjustments as we obtain additional information. Any adjustments to the purchase price allocation will be made as soon as practicable, but no later than one year from the acquisition date.</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valuation of acquired intangible assets consisting of the developed technology, IPR&amp;D and customer relationships were determined based on management’s estimates and consultation with an independent appraiser. The fair value of the developed technology and the IPR&amp;D was estimated using the relief from royalty method, while the customer relationships were fair valued using the multiperiod excess earnings method. Significant estimations and assumptions inherent in the valuation method were employed by the Company, which included, but were not limited to, future cash flows, expected revenue growth rates, royalty rates, technology migration curve and discount rate applied to future cash flows.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Other business combinations – </w:t>
      </w:r>
      <w:r>
        <w:rPr>
          <w:rFonts w:ascii="Arial" w:cs="Arial" w:eastAsia="Arial" w:hAnsi="Arial"/>
          <w:sz w:val="16"/>
          <w:szCs w:val="16"/>
          <w:color w:val="auto"/>
        </w:rPr>
        <w:t>Silicon Manufacturing Partners Pte Ltd (“SMP”) was a joint venture between Avago Technologies International Sales Pte.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(“Avago Singapore”) and GLOBALFOUNDRIES Singapore Pte. Ltd. (“GlobalFoundries Singapore”). As of December 31, 2024, we held a 49% interest in SMP and managed all aspects of its manufacturing operations. On January 2, 2025, we acquired the remaining 51% of the shares in the share capital of SMP from Avago Singapore, thereby making SMP a wholly-owned subsidiary of GlobalFoundries. Total purchase price consideration of $64 million was allocated to the fair values of net assets acquired and resulted in the recognition of $37 million goodwill and the derecognition of the existing investment in the joint venture.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November 14, 2025, the Company completed its acquisition of InfiniLink Inc. (“InfiniLink”) for $48 million. InfiniLink specializes in advanced optical data connectivity chips intended for hyper-scale data centers and enterprises. The acquisition is expected to enhance the Company’s in-house design capabilities and further strengthen competitiveness in optics. We recognized goodwill, other intangible assets and deferred tax liabilities of $29 million, $30 million and $11 million, respectively, based on the preliminary allocation of the purchase price to the estimated fair values of the assets acquired and liabilities assumed.</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January 13, 2026, the Company entered into a definitive agreement with Synopsys, Inc. ("Synopsys") for the acquisition of Synopsys’ ARC Processor IP Solutions business and its teams of engineers and designers. This strategic acquisition builds on the differentiated capabilities the Company gained through the MIPS acquisition by expanding our RISC-V and custom processor IP portfolio and software tools and accelerates time-to-market for custom silicon solutions. The transaction is expected to be completed towards the end of the first half of calendar year 2026, subject to the satisfaction of customary closing conditions. The acquisition has not closed as of March 31, 2026 and, accordingly, no amounts related to this acquisition have been reflected in the Company's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Income taxes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tax reporting purposes, the Company consolidates its entities under GLOBALFOUNDRIES Inc., a Cayman Islands entity. As a Cayman Islands entity, the Company’s domestic statutory income tax rate is 0.0%. The difference between the Company’s domestic statutory income tax rate and its effective income tax rate reflected in income tax benefit or income tax expense is primarily due to the effect of tax rates and permanent differences in other jurisdictions in which the Company operates. Applicable to tax years beginning in 2025, the Company's effective tax rate is not currently materially impacted by Pillar Two minimum top-up taxes but may be in the future.</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 tax rate was 43.8% and (8.2)% for the three months ended March 31, 2026 and 2025. The increase was primarily the result of tax expense related to exchange rate differences on the basis of certain non-monetary assets in Germany.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Earnings Per Share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79"/>
        </w:trPr>
        <w:tc>
          <w:tcPr>
            <w:tcW w:w="7680" w:type="dxa"/>
            <w:vAlign w:val="bottom"/>
          </w:tcPr>
          <w:p>
            <w:pPr>
              <w:spacing w:after="0"/>
              <w:rPr>
                <w:sz w:val="24"/>
                <w:szCs w:val="24"/>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24"/>
                <w:szCs w:val="24"/>
                <w:color w:val="auto"/>
              </w:rPr>
            </w:pPr>
          </w:p>
        </w:tc>
      </w:tr>
      <w:tr>
        <w:trPr>
          <w:trHeight w:val="223"/>
        </w:trPr>
        <w:tc>
          <w:tcPr>
            <w:tcW w:w="7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2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9"/>
                <w:szCs w:val="19"/>
                <w:color w:val="auto"/>
              </w:rPr>
            </w:pPr>
          </w:p>
        </w:tc>
      </w:tr>
      <w:tr>
        <w:trPr>
          <w:trHeight w:val="21"/>
        </w:trPr>
        <w:tc>
          <w:tcPr>
            <w:tcW w:w="7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2026</w:t>
            </w:r>
          </w:p>
        </w:tc>
        <w:tc>
          <w:tcPr>
            <w:tcW w:w="54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9"/>
                <w:szCs w:val="19"/>
                <w:color w:val="auto"/>
              </w:rPr>
            </w:pP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1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36"/>
        </w:trPr>
        <w:tc>
          <w:tcPr>
            <w:tcW w:w="7680" w:type="dxa"/>
            <w:vAlign w:val="bottom"/>
          </w:tcPr>
          <w:p>
            <w:pPr>
              <w:ind w:left="240"/>
              <w:spacing w:after="0"/>
              <w:rPr>
                <w:sz w:val="20"/>
                <w:szCs w:val="20"/>
                <w:color w:val="auto"/>
              </w:rPr>
            </w:pPr>
            <w:r>
              <w:rPr>
                <w:rFonts w:ascii="Arial" w:cs="Arial" w:eastAsia="Arial" w:hAnsi="Arial"/>
                <w:sz w:val="16"/>
                <w:szCs w:val="16"/>
                <w:b w:val="1"/>
                <w:bCs w:val="1"/>
                <w:color w:val="auto"/>
              </w:rPr>
              <w:t>Net income attributable to equity shareholders of the Company</w:t>
            </w:r>
          </w:p>
        </w:tc>
        <w:tc>
          <w:tcPr>
            <w:tcW w:w="120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103</w:t>
            </w:r>
          </w:p>
        </w:tc>
        <w:tc>
          <w:tcPr>
            <w:tcW w:w="128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7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9"/>
        </w:trPr>
        <w:tc>
          <w:tcPr>
            <w:tcW w:w="7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ordinary shares outstanding</w:t>
            </w:r>
          </w:p>
        </w:tc>
        <w:tc>
          <w:tcPr>
            <w:tcW w:w="1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28"/>
        </w:trPr>
        <w:tc>
          <w:tcPr>
            <w:tcW w:w="7680" w:type="dxa"/>
            <w:vAlign w:val="bottom"/>
          </w:tcPr>
          <w:p>
            <w:pPr>
              <w:ind w:left="140"/>
              <w:spacing w:after="0"/>
              <w:rPr>
                <w:sz w:val="20"/>
                <w:szCs w:val="20"/>
                <w:color w:val="auto"/>
              </w:rPr>
            </w:pPr>
            <w:r>
              <w:rPr>
                <w:rFonts w:ascii="Arial" w:cs="Arial" w:eastAsia="Arial" w:hAnsi="Arial"/>
                <w:sz w:val="16"/>
                <w:szCs w:val="16"/>
                <w:color w:val="auto"/>
              </w:rPr>
              <w:t>Effect of potentially dilutive shares from employee equity plans</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76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ordinary shares outstanding</w:t>
            </w:r>
          </w:p>
        </w:tc>
        <w:tc>
          <w:tcPr>
            <w:tcW w:w="1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16"/>
        </w:trPr>
        <w:tc>
          <w:tcPr>
            <w:tcW w:w="7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 shareholders:</w:t>
            </w: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r>
      <w:tr>
        <w:trPr>
          <w:trHeight w:val="221"/>
        </w:trPr>
        <w:tc>
          <w:tcPr>
            <w:tcW w:w="7680" w:type="dxa"/>
            <w:vAlign w:val="bottom"/>
          </w:tcPr>
          <w:p>
            <w:pPr>
              <w:ind w:left="140"/>
              <w:spacing w:after="0"/>
              <w:rPr>
                <w:sz w:val="20"/>
                <w:szCs w:val="20"/>
                <w:color w:val="auto"/>
              </w:rPr>
            </w:pPr>
            <w:r>
              <w:rPr>
                <w:rFonts w:ascii="Arial" w:cs="Arial" w:eastAsia="Arial" w:hAnsi="Arial"/>
                <w:sz w:val="16"/>
                <w:szCs w:val="16"/>
                <w:color w:val="auto"/>
              </w:rPr>
              <w:t>Basic</w:t>
            </w:r>
          </w:p>
        </w:tc>
        <w:tc>
          <w:tcPr>
            <w:tcW w:w="120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0.38</w:t>
            </w:r>
          </w:p>
        </w:tc>
      </w:tr>
      <w:tr>
        <w:trPr>
          <w:trHeight w:val="29"/>
        </w:trPr>
        <w:tc>
          <w:tcPr>
            <w:tcW w:w="7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20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0"/>
        </w:trPr>
        <w:tc>
          <w:tcPr>
            <w:tcW w:w="76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gridSpan w:val="3"/>
          </w:tcPr>
          <w:p>
            <w:pPr>
              <w:spacing w:after="0"/>
              <w:rPr>
                <w:sz w:val="20"/>
                <w:szCs w:val="20"/>
                <w:color w:val="auto"/>
              </w:rPr>
            </w:pPr>
            <w:r>
              <w:rPr>
                <w:rFonts w:ascii="Arial" w:cs="Arial" w:eastAsia="Arial" w:hAnsi="Arial"/>
                <w:sz w:val="16"/>
                <w:szCs w:val="16"/>
                <w:b w:val="1"/>
                <w:bCs w:val="1"/>
                <w:color w:val="auto"/>
              </w:rPr>
              <w:t>Note 7. Property, Plant and Equipment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Land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Buildings and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Land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Leasehold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Construction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Computers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 Progress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7,797</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24,387</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465</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480</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33,221</w:t>
            </w: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Transfers from</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6"/>
                <w:szCs w:val="16"/>
                <w:color w:val="auto"/>
              </w:rPr>
              <w:t>construction in</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Effect of exchange rate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changes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7,795</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24,383</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33,385</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book value as of</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2,484</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4,004</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638</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7,210</w:t>
            </w: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Depreciation and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5,256</w:t>
            </w:r>
          </w:p>
        </w:tc>
        <w:tc>
          <w:tcPr>
            <w:tcW w:w="8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20,261</w:t>
            </w:r>
          </w:p>
        </w:tc>
        <w:tc>
          <w:tcPr>
            <w:tcW w:w="10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25,998</w:t>
            </w:r>
          </w:p>
        </w:tc>
        <w:tc>
          <w:tcPr>
            <w:tcW w:w="0" w:type="dxa"/>
            <w:vAlign w:val="bottom"/>
          </w:tcPr>
          <w:p>
            <w:pPr>
              <w:spacing w:after="0"/>
              <w:rPr>
                <w:sz w:val="1"/>
                <w:szCs w:val="1"/>
                <w:color w:val="auto"/>
              </w:rPr>
            </w:pP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Effect of exchange rate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changes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5,311</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20,379</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26,175</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For the three months ended March 31, 2026 and 2025, depreciation expense of property, plant and equipment was $252 million and $310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Pr>
          <w:p>
            <w:pPr>
              <w:spacing w:after="0"/>
              <w:rPr>
                <w:sz w:val="20"/>
                <w:szCs w:val="20"/>
                <w:color w:val="auto"/>
              </w:rPr>
            </w:pPr>
            <w:r>
              <w:rPr>
                <w:rFonts w:ascii="Arial" w:cs="Arial" w:eastAsia="Arial" w:hAnsi="Arial"/>
                <w:sz w:val="16"/>
                <w:szCs w:val="16"/>
                <w:b w:val="1"/>
                <w:bCs w:val="1"/>
                <w:color w:val="auto"/>
              </w:rPr>
              <w:t>Note 8. Receivables, Prepayments and Other Assets</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1"/>
        </w:trPr>
        <w:tc>
          <w:tcPr>
            <w:tcW w:w="6860" w:type="dxa"/>
            <w:vAlign w:val="bottom"/>
          </w:tcPr>
          <w:p>
            <w:pPr>
              <w:spacing w:after="0"/>
              <w:rPr>
                <w:sz w:val="24"/>
                <w:szCs w:val="24"/>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b w:val="1"/>
                <w:bCs w:val="1"/>
                <w:color w:val="auto"/>
              </w:rPr>
              <w:t>March 31, 2026</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7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27"/>
        </w:trPr>
        <w:tc>
          <w:tcPr>
            <w:tcW w:w="6860" w:type="dxa"/>
            <w:vAlign w:val="bottom"/>
          </w:tcPr>
          <w:p>
            <w:pPr>
              <w:ind w:left="100"/>
              <w:spacing w:after="0"/>
              <w:rPr>
                <w:sz w:val="20"/>
                <w:szCs w:val="20"/>
                <w:color w:val="auto"/>
              </w:rPr>
            </w:pPr>
            <w:r>
              <w:rPr>
                <w:rFonts w:ascii="Arial" w:cs="Arial" w:eastAsia="Arial" w:hAnsi="Arial"/>
                <w:sz w:val="16"/>
                <w:szCs w:val="16"/>
                <w:color w:val="auto"/>
              </w:rPr>
              <w:t>Trade receivables, other than related parties</w:t>
            </w:r>
          </w:p>
        </w:tc>
        <w:tc>
          <w:tcPr>
            <w:tcW w:w="1760" w:type="dxa"/>
            <w:vAlign w:val="bottom"/>
          </w:tcPr>
          <w:p>
            <w:pPr>
              <w:jc w:val="right"/>
              <w:ind w:right="155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1,041</w:t>
            </w:r>
          </w:p>
        </w:tc>
      </w:tr>
      <w:tr>
        <w:trPr>
          <w:trHeight w:val="29"/>
        </w:trPr>
        <w:tc>
          <w:tcPr>
            <w:tcW w:w="6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receivables</w:t>
            </w:r>
          </w:p>
        </w:tc>
        <w:tc>
          <w:tcPr>
            <w:tcW w:w="17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57"/>
        </w:trPr>
        <w:tc>
          <w:tcPr>
            <w:tcW w:w="6860" w:type="dxa"/>
            <w:vAlign w:val="bottom"/>
          </w:tcPr>
          <w:p>
            <w:pPr>
              <w:ind w:left="10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17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Receivables from government grants</w:t>
            </w:r>
          </w:p>
        </w:tc>
        <w:tc>
          <w:tcPr>
            <w:tcW w:w="17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27"/>
        </w:trPr>
        <w:tc>
          <w:tcPr>
            <w:tcW w:w="6860" w:type="dxa"/>
            <w:vAlign w:val="bottom"/>
          </w:tcPr>
          <w:p>
            <w:pPr>
              <w:ind w:left="100"/>
              <w:spacing w:after="0"/>
              <w:rPr>
                <w:sz w:val="20"/>
                <w:szCs w:val="20"/>
                <w:color w:val="auto"/>
              </w:rPr>
            </w:pPr>
            <w:r>
              <w:rPr>
                <w:rFonts w:ascii="Arial" w:cs="Arial" w:eastAsia="Arial" w:hAnsi="Arial"/>
                <w:sz w:val="16"/>
                <w:szCs w:val="16"/>
                <w:color w:val="auto"/>
              </w:rPr>
              <w:t>Other current financial assets</w:t>
            </w:r>
          </w:p>
        </w:tc>
        <w:tc>
          <w:tcPr>
            <w:tcW w:w="1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53</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1,347</w:t>
            </w:r>
          </w:p>
        </w:tc>
        <w:tc>
          <w:tcPr>
            <w:tcW w:w="80" w:type="dxa"/>
            <w:vAlign w:val="bottom"/>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1,578</w:t>
            </w:r>
          </w:p>
        </w:tc>
      </w:tr>
      <w:tr>
        <w:trPr>
          <w:trHeight w:val="216"/>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Non-current:</w:t>
            </w: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
        </w:trPr>
        <w:tc>
          <w:tcPr>
            <w:tcW w:w="6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7"/>
        </w:trPr>
        <w:tc>
          <w:tcPr>
            <w:tcW w:w="6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2"/>
                <w:szCs w:val="22"/>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8"/>
        </w:trPr>
        <w:tc>
          <w:tcPr>
            <w:tcW w:w="6860" w:type="dxa"/>
            <w:vAlign w:val="bottom"/>
          </w:tcPr>
          <w:p>
            <w:pPr>
              <w:ind w:left="100"/>
              <w:spacing w:after="0"/>
              <w:rPr>
                <w:sz w:val="20"/>
                <w:szCs w:val="20"/>
                <w:color w:val="auto"/>
              </w:rPr>
            </w:pPr>
            <w:r>
              <w:rPr>
                <w:rFonts w:ascii="Arial" w:cs="Arial" w:eastAsia="Arial" w:hAnsi="Arial"/>
                <w:sz w:val="16"/>
                <w:szCs w:val="16"/>
                <w:color w:val="auto"/>
              </w:rPr>
              <w:t>Advances to suppliers</w:t>
            </w:r>
          </w:p>
        </w:tc>
        <w:tc>
          <w:tcPr>
            <w:tcW w:w="9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9"/>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Receivables from government grants</w:t>
            </w:r>
          </w:p>
        </w:tc>
        <w:tc>
          <w:tcPr>
            <w:tcW w:w="9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8"/>
        </w:trPr>
        <w:tc>
          <w:tcPr>
            <w:tcW w:w="6860" w:type="dxa"/>
            <w:vAlign w:val="bottom"/>
          </w:tcPr>
          <w:p>
            <w:pPr>
              <w:ind w:left="100"/>
              <w:spacing w:after="0"/>
              <w:rPr>
                <w:sz w:val="20"/>
                <w:szCs w:val="20"/>
                <w:color w:val="auto"/>
              </w:rPr>
            </w:pPr>
            <w:r>
              <w:rPr>
                <w:rFonts w:ascii="Arial" w:cs="Arial" w:eastAsia="Arial" w:hAnsi="Arial"/>
                <w:sz w:val="16"/>
                <w:szCs w:val="16"/>
                <w:color w:val="auto"/>
              </w:rPr>
              <w:t>Equity investments</w:t>
            </w:r>
          </w:p>
        </w:tc>
        <w:tc>
          <w:tcPr>
            <w:tcW w:w="9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9"/>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29"/>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606</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498</w:t>
            </w:r>
          </w:p>
        </w:tc>
      </w:tr>
      <w:tr>
        <w:trPr>
          <w:trHeight w:val="21"/>
        </w:trPr>
        <w:tc>
          <w:tcPr>
            <w:tcW w:w="6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31" w:lineRule="auto"/>
        <w:tabs>
          <w:tab w:leader="none" w:pos="185"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summarizes the activity in the Company’s unbilled accounts receivable for the three months ended March 31, 2026 and for the twelve months ended December 31, 2025, respectively: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March 31, 2026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Balance, beginning of period</w:t>
            </w:r>
          </w:p>
        </w:tc>
        <w:tc>
          <w:tcPr>
            <w:tcW w:w="1700" w:type="dxa"/>
            <w:vAlign w:val="bottom"/>
            <w:tcBorders>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8"/>
        </w:trPr>
        <w:tc>
          <w:tcPr>
            <w:tcW w:w="6860" w:type="dxa"/>
            <w:vAlign w:val="bottom"/>
          </w:tcPr>
          <w:p>
            <w:pPr>
              <w:ind w:left="120"/>
              <w:spacing w:after="0"/>
              <w:rPr>
                <w:sz w:val="20"/>
                <w:szCs w:val="20"/>
                <w:color w:val="auto"/>
              </w:rPr>
            </w:pPr>
            <w:r>
              <w:rPr>
                <w:rFonts w:ascii="Arial" w:cs="Arial" w:eastAsia="Arial" w:hAnsi="Arial"/>
                <w:sz w:val="16"/>
                <w:szCs w:val="16"/>
                <w:color w:val="auto"/>
              </w:rPr>
              <w:t>Revenue recognized during the period</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Amounts invoiced</w:t>
            </w:r>
          </w:p>
        </w:tc>
        <w:tc>
          <w:tcPr>
            <w:tcW w:w="17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8"/>
        </w:trPr>
        <w:tc>
          <w:tcPr>
            <w:tcW w:w="6860" w:type="dxa"/>
            <w:vAlign w:val="bottom"/>
          </w:tcPr>
          <w:p>
            <w:pPr>
              <w:ind w:left="120"/>
              <w:spacing w:after="0"/>
              <w:rPr>
                <w:sz w:val="20"/>
                <w:szCs w:val="20"/>
                <w:color w:val="auto"/>
              </w:rPr>
            </w:pPr>
            <w:r>
              <w:rPr>
                <w:rFonts w:ascii="Arial" w:cs="Arial" w:eastAsia="Arial" w:hAnsi="Arial"/>
                <w:sz w:val="16"/>
                <w:szCs w:val="16"/>
                <w:color w:val="auto"/>
              </w:rPr>
              <w:t>Other</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8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Balance, end of period</w:t>
            </w:r>
          </w:p>
        </w:tc>
        <w:tc>
          <w:tcPr>
            <w:tcW w:w="1700" w:type="dxa"/>
            <w:vAlign w:val="bottom"/>
            <w:tcBorders>
              <w:top w:val="single" w:sz="8" w:color="auto"/>
              <w:bottom w:val="single" w:sz="8" w:color="auto"/>
            </w:tcBorders>
            <w:shd w:val="clear" w:color="auto" w:fill="CCEEFF"/>
          </w:tcPr>
          <w:p>
            <w:pPr>
              <w:jc w:val="right"/>
              <w:ind w:right="14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9. Inventories</w:t>
            </w: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8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8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March 31, 2026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Work in progress</w:t>
            </w:r>
          </w:p>
        </w:tc>
        <w:tc>
          <w:tcPr>
            <w:tcW w:w="1700" w:type="dxa"/>
            <w:vAlign w:val="bottom"/>
            <w:tcBorders>
              <w:top w:val="single" w:sz="8" w:color="auto"/>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1,145</w:t>
            </w:r>
          </w:p>
        </w:tc>
        <w:tc>
          <w:tcPr>
            <w:tcW w:w="8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28"/>
        </w:trPr>
        <w:tc>
          <w:tcPr>
            <w:tcW w:w="6860" w:type="dxa"/>
            <w:vAlign w:val="bottom"/>
          </w:tcPr>
          <w:p>
            <w:pPr>
              <w:ind w:left="120"/>
              <w:spacing w:after="0"/>
              <w:rPr>
                <w:sz w:val="20"/>
                <w:szCs w:val="20"/>
                <w:color w:val="auto"/>
              </w:rPr>
            </w:pPr>
            <w:r>
              <w:rPr>
                <w:rFonts w:ascii="Arial" w:cs="Arial" w:eastAsia="Arial" w:hAnsi="Arial"/>
                <w:sz w:val="16"/>
                <w:szCs w:val="16"/>
                <w:color w:val="auto"/>
              </w:rPr>
              <w:t>Raw materials and supplies</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Inventory reserves</w:t>
            </w:r>
          </w:p>
        </w:tc>
        <w:tc>
          <w:tcPr>
            <w:tcW w:w="17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50"/>
        </w:trPr>
        <w:tc>
          <w:tcPr>
            <w:tcW w:w="686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tcPr>
          <w:p>
            <w:pPr>
              <w:jc w:val="right"/>
              <w:ind w:right="14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1,686</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three months ended March 31, 2026 and 2025, the Company recognized $61 million and $16 million, respectively, within cost of revenue to write down certain inventories to their estimated net realizable value. There were no significant reversals of any write-down of inventories.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various lease agreements for certain of its offices, facilities and equipment, with a weighted average remaining lease term of 13.4 years and weighted average discount rate of 4.2% as of March 31, 2026. Leases may include one or more options to renew. Renewal terms are not included in the determination of the lease term unless the renewals are deemed to be reasonably certain at the time of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INTERIM CONDENSED CONSOLIDATED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carrying amounts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570039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Land and improvements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Buildings, leasehold improvements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70039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188595"/>
                    </a:xfrm>
                    <a:prstGeom prst="rect">
                      <a:avLst/>
                    </a:prstGeom>
                    <a:noFill/>
                  </pic:spPr>
                </pic:pic>
              </a:graphicData>
            </a:graphic>
          </wp:anchor>
        </w:drawing>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depreciation of right-of-use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2026</w:t>
            </w:r>
          </w:p>
        </w:tc>
        <w:tc>
          <w:tcPr>
            <w:tcW w:w="240" w:type="dxa"/>
            <w:vAlign w:val="bottom"/>
          </w:tcPr>
          <w:p>
            <w:pPr>
              <w:spacing w:after="0"/>
              <w:rPr>
                <w:sz w:val="19"/>
                <w:szCs w:val="19"/>
                <w:color w:val="auto"/>
              </w:rPr>
            </w:pPr>
          </w:p>
        </w:tc>
        <w:tc>
          <w:tcPr>
            <w:tcW w:w="192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 2025</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0"/>
        </w:trPr>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27"/>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9"/>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70"/>
        </w:trPr>
        <w:tc>
          <w:tcPr>
            <w:tcW w:w="3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597</w:t>
            </w:r>
          </w:p>
        </w:tc>
        <w:tc>
          <w:tcPr>
            <w:tcW w:w="100" w:type="dxa"/>
            <w:vAlign w:val="bottom"/>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gridSpan w:val="2"/>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0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 March 31</w:t>
            </w:r>
          </w:p>
        </w:tc>
      </w:tr>
      <w:tr>
        <w:trPr>
          <w:trHeight w:val="21"/>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40" w:type="dxa"/>
            <w:vAlign w:val="bottom"/>
          </w:tcPr>
          <w:p>
            <w:pPr>
              <w:jc w:val="right"/>
              <w:ind w:right="79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819"/>
              <w:spacing w:after="0"/>
              <w:rPr>
                <w:sz w:val="20"/>
                <w:szCs w:val="20"/>
                <w:color w:val="auto"/>
              </w:rPr>
            </w:pPr>
            <w:r>
              <w:rPr>
                <w:rFonts w:ascii="Arial" w:cs="Arial" w:eastAsia="Arial" w:hAnsi="Arial"/>
                <w:sz w:val="16"/>
                <w:szCs w:val="16"/>
                <w:b w:val="1"/>
                <w:bCs w:val="1"/>
                <w:color w:val="auto"/>
              </w:rPr>
              <w:t>2025</w:t>
            </w:r>
          </w:p>
        </w:tc>
      </w:tr>
    </w:tbl>
    <w:p>
      <w:pPr>
        <w:spacing w:after="0" w:line="1" w:lineRule="exact"/>
        <w:rPr>
          <w:sz w:val="20"/>
          <w:szCs w:val="20"/>
          <w:color w:val="auto"/>
        </w:rPr>
      </w:pPr>
    </w:p>
    <w:p>
      <w:pPr>
        <w:sectPr>
          <w:pgSz w:w="11900" w:h="16838" w:orient="portrait"/>
          <w:cols w:equalWidth="0" w:num="2">
            <w:col w:w="6120" w:space="720"/>
            <w:col w:w="4400"/>
          </w:cols>
          <w:pgMar w:left="320" w:top="98"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8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Land and improvements</w:t>
            </w:r>
          </w:p>
        </w:tc>
        <w:tc>
          <w:tcPr>
            <w:tcW w:w="100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7"/>
        </w:trPr>
        <w:tc>
          <w:tcPr>
            <w:tcW w:w="6860" w:type="dxa"/>
            <w:vAlign w:val="bottom"/>
          </w:tcPr>
          <w:p>
            <w:pPr>
              <w:ind w:left="80"/>
              <w:spacing w:after="0"/>
              <w:rPr>
                <w:sz w:val="20"/>
                <w:szCs w:val="20"/>
                <w:color w:val="auto"/>
              </w:rPr>
            </w:pPr>
            <w:r>
              <w:rPr>
                <w:rFonts w:ascii="Arial" w:cs="Arial" w:eastAsia="Arial" w:hAnsi="Arial"/>
                <w:sz w:val="16"/>
                <w:szCs w:val="16"/>
                <w:color w:val="auto"/>
              </w:rPr>
              <w:t>Buildings, leasehold improvements and equipment</w:t>
            </w:r>
          </w:p>
        </w:tc>
        <w:tc>
          <w:tcPr>
            <w:tcW w:w="10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6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8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w:t>
            </w:r>
          </w:p>
        </w:tc>
        <w:tc>
          <w:tcPr>
            <w:tcW w:w="100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For the three months ended March 31, 2026 and 2025, the additions to right-of-use assets were $43 million and $13 million, respectively, interest expense was $6 million and $6 million, respectively, and cash outflow for leases was $18 million and $33 million,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Pr>
          <w:p>
            <w:pPr>
              <w:spacing w:after="0"/>
              <w:rPr>
                <w:sz w:val="20"/>
                <w:szCs w:val="20"/>
                <w:color w:val="auto"/>
              </w:rPr>
            </w:pPr>
            <w:r>
              <w:rPr>
                <w:rFonts w:ascii="Arial" w:cs="Arial" w:eastAsia="Arial" w:hAnsi="Arial"/>
                <w:sz w:val="16"/>
                <w:szCs w:val="16"/>
                <w:b w:val="1"/>
                <w:bCs w:val="1"/>
                <w:color w:val="auto"/>
              </w:rPr>
              <w:t>Note 11. Trade Payables and Other Liabilities</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1"/>
        </w:trPr>
        <w:tc>
          <w:tcPr>
            <w:tcW w:w="6860" w:type="dxa"/>
            <w:vAlign w:val="bottom"/>
          </w:tcPr>
          <w:p>
            <w:pPr>
              <w:spacing w:after="0"/>
              <w:rPr>
                <w:sz w:val="24"/>
                <w:szCs w:val="24"/>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b w:val="1"/>
                <w:bCs w:val="1"/>
                <w:color w:val="auto"/>
              </w:rPr>
              <w:t>March 31, 2026</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7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28"/>
        </w:trPr>
        <w:tc>
          <w:tcPr>
            <w:tcW w:w="6860" w:type="dxa"/>
            <w:vAlign w:val="bottom"/>
          </w:tcPr>
          <w:p>
            <w:pPr>
              <w:ind w:left="240"/>
              <w:spacing w:after="0"/>
              <w:rPr>
                <w:sz w:val="20"/>
                <w:szCs w:val="20"/>
                <w:color w:val="auto"/>
              </w:rPr>
            </w:pPr>
            <w:r>
              <w:rPr>
                <w:rFonts w:ascii="Arial" w:cs="Arial" w:eastAsia="Arial" w:hAnsi="Arial"/>
                <w:sz w:val="16"/>
                <w:szCs w:val="16"/>
                <w:color w:val="auto"/>
              </w:rPr>
              <w:t>Trade payables</w:t>
            </w:r>
          </w:p>
        </w:tc>
        <w:tc>
          <w:tcPr>
            <w:tcW w:w="1760" w:type="dxa"/>
            <w:vAlign w:val="bottom"/>
          </w:tcPr>
          <w:p>
            <w:pPr>
              <w:jc w:val="right"/>
              <w:ind w:right="155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9"/>
        </w:trPr>
        <w:tc>
          <w:tcPr>
            <w:tcW w:w="6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6"/>
        </w:trPr>
        <w:tc>
          <w:tcPr>
            <w:tcW w:w="6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17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r>
      <w:tr>
        <w:trPr>
          <w:trHeight w:val="257"/>
        </w:trPr>
        <w:tc>
          <w:tcPr>
            <w:tcW w:w="6860" w:type="dxa"/>
            <w:vAlign w:val="bottom"/>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17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36"/>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Advances and deposits</w:t>
            </w:r>
          </w:p>
        </w:tc>
        <w:tc>
          <w:tcPr>
            <w:tcW w:w="17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8"/>
        </w:trPr>
        <w:tc>
          <w:tcPr>
            <w:tcW w:w="6860" w:type="dxa"/>
            <w:vAlign w:val="bottom"/>
          </w:tcPr>
          <w:p>
            <w:pPr>
              <w:ind w:left="140"/>
              <w:spacing w:after="0"/>
              <w:rPr>
                <w:sz w:val="20"/>
                <w:szCs w:val="20"/>
                <w:color w:val="auto"/>
              </w:rPr>
            </w:pPr>
            <w:r>
              <w:rPr>
                <w:rFonts w:ascii="Arial" w:cs="Arial" w:eastAsia="Arial" w:hAnsi="Arial"/>
                <w:sz w:val="16"/>
                <w:szCs w:val="16"/>
                <w:color w:val="auto"/>
              </w:rPr>
              <w:t>Payables for property, plant and equipment and intangible assets</w:t>
            </w:r>
          </w:p>
        </w:tc>
        <w:tc>
          <w:tcPr>
            <w:tcW w:w="1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9"/>
        </w:trPr>
        <w:tc>
          <w:tcPr>
            <w:tcW w:w="6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6"/>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7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2,130</w:t>
            </w:r>
          </w:p>
        </w:tc>
        <w:tc>
          <w:tcPr>
            <w:tcW w:w="96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2,154</w:t>
            </w: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9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8"/>
        </w:trPr>
        <w:tc>
          <w:tcPr>
            <w:tcW w:w="6860" w:type="dxa"/>
            <w:vAlign w:val="bottom"/>
          </w:tcPr>
          <w:p>
            <w:pPr>
              <w:ind w:left="140"/>
              <w:spacing w:after="0"/>
              <w:rPr>
                <w:sz w:val="20"/>
                <w:szCs w:val="20"/>
                <w:color w:val="auto"/>
              </w:rPr>
            </w:pPr>
            <w:r>
              <w:rPr>
                <w:rFonts w:ascii="Arial" w:cs="Arial" w:eastAsia="Arial" w:hAnsi="Arial"/>
                <w:sz w:val="16"/>
                <w:szCs w:val="16"/>
                <w:color w:val="auto"/>
              </w:rPr>
              <w:t>Payables for intangible assets</w:t>
            </w:r>
          </w:p>
        </w:tc>
        <w:tc>
          <w:tcPr>
            <w:tcW w:w="9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9"/>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80" w:type="dxa"/>
            <w:vAlign w:val="bottom"/>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56"/>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9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876</w:t>
            </w:r>
          </w:p>
        </w:tc>
        <w:tc>
          <w:tcPr>
            <w:tcW w:w="80" w:type="dxa"/>
            <w:vAlign w:val="bottom"/>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w:t>
            </w:r>
          </w:p>
        </w:tc>
      </w:tr>
      <w:tr>
        <w:trPr>
          <w:trHeight w:val="20"/>
        </w:trPr>
        <w:tc>
          <w:tcPr>
            <w:tcW w:w="6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77"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Contract liabilities comprise contractual obligations for payments received in advance of the satisfaction of performance obligations for wafers, as well as NRE services.</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Other includes other financial liabilities due from related parties, deferred tax liabilities and non-current advances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gridSpan w:val="2"/>
          </w:tcPr>
          <w:p>
            <w:pPr>
              <w:spacing w:after="0"/>
              <w:rPr>
                <w:sz w:val="20"/>
                <w:szCs w:val="20"/>
                <w:color w:val="auto"/>
              </w:rPr>
            </w:pPr>
            <w:r>
              <w:rPr>
                <w:rFonts w:ascii="Arial" w:cs="Arial" w:eastAsia="Arial" w:hAnsi="Arial"/>
                <w:sz w:val="16"/>
                <w:szCs w:val="16"/>
                <w:color w:val="auto"/>
              </w:rPr>
              <w:t>The following table presents the activities in contract liabilities as of March 31, 2026 and December 31, 2025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7"/>
        </w:trPr>
        <w:tc>
          <w:tcPr>
            <w:tcW w:w="68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March 31, 2026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contract liabilities balance</w:t>
            </w:r>
          </w:p>
        </w:tc>
        <w:tc>
          <w:tcPr>
            <w:tcW w:w="1700" w:type="dxa"/>
            <w:vAlign w:val="bottom"/>
            <w:tcBorders>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1,230</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6"/>
                <w:szCs w:val="16"/>
                <w:color w:val="auto"/>
              </w:rPr>
              <w:t>Cash receipts in advance of satisfaction of performance obligations</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Released to the consolidated statements of operations</w:t>
            </w:r>
          </w:p>
        </w:tc>
        <w:tc>
          <w:tcPr>
            <w:tcW w:w="1700" w:type="dxa"/>
            <w:vAlign w:val="bottom"/>
            <w:shd w:val="clear" w:color="auto" w:fill="CCEEFF"/>
          </w:tcPr>
          <w:p>
            <w:pPr>
              <w:spacing w:after="0"/>
              <w:rPr>
                <w:sz w:val="24"/>
                <w:szCs w:val="2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104"/>
        </w:trPr>
        <w:tc>
          <w:tcPr>
            <w:tcW w:w="6860" w:type="dxa"/>
            <w:vAlign w:val="bottom"/>
            <w:tcBorders>
              <w:bottom w:val="single" w:sz="8" w:color="CCEEFF"/>
            </w:tcBorders>
            <w:shd w:val="clear" w:color="auto" w:fill="CCEEFF"/>
          </w:tcPr>
          <w:p>
            <w:pPr>
              <w:spacing w:after="0"/>
              <w:rPr>
                <w:sz w:val="9"/>
                <w:szCs w:val="9"/>
                <w:color w:val="auto"/>
              </w:rPr>
            </w:pPr>
          </w:p>
        </w:tc>
        <w:tc>
          <w:tcPr>
            <w:tcW w:w="170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8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contract liabilities balance</w:t>
            </w:r>
          </w:p>
        </w:tc>
        <w:tc>
          <w:tcPr>
            <w:tcW w:w="1700" w:type="dxa"/>
            <w:vAlign w:val="bottom"/>
            <w:tcBorders>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1,075</w:t>
            </w:r>
          </w:p>
        </w:tc>
        <w:tc>
          <w:tcPr>
            <w:tcW w:w="8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1,230</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700" w:type="dxa"/>
            <w:vAlign w:val="bottom"/>
            <w:tcBorders>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1,075</w:t>
            </w:r>
          </w:p>
        </w:tc>
        <w:tc>
          <w:tcPr>
            <w:tcW w:w="8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80" w:hanging="172"/>
        <w:spacing w:after="0" w:line="241" w:lineRule="auto"/>
        <w:tabs>
          <w:tab w:leader="none" w:pos="173"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Includes $0 and $15 million primarily due to the unbilled accounts receivable balance applied against the related contract liabilities for a certain customer's non-recurring engineering arrangement as of March 31, 2026 and December 31, 2025, respectively.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Long Term Debt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1380" w:type="dxa"/>
            <w:vAlign w:val="bottom"/>
            <w:vMerge w:val="restart"/>
          </w:tcPr>
          <w:p>
            <w:pPr>
              <w:jc w:val="center"/>
              <w:ind w:left="437"/>
              <w:spacing w:after="0"/>
              <w:rPr>
                <w:sz w:val="20"/>
                <w:szCs w:val="20"/>
                <w:color w:val="auto"/>
              </w:rPr>
            </w:pPr>
            <w:r>
              <w:rPr>
                <w:rFonts w:ascii="Arial" w:cs="Arial" w:eastAsia="Arial" w:hAnsi="Arial"/>
                <w:sz w:val="13"/>
                <w:szCs w:val="13"/>
                <w:b w:val="1"/>
                <w:bCs w:val="1"/>
                <w:color w:val="auto"/>
                <w:w w:val="98"/>
              </w:rPr>
              <w:t>Currency</w:t>
            </w:r>
          </w:p>
        </w:tc>
        <w:tc>
          <w:tcPr>
            <w:tcW w:w="1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Nominal Interest Rate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Interest Payment</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7"/>
              </w:rPr>
              <w:t>Principal Payment</w:t>
            </w:r>
          </w:p>
        </w:tc>
        <w:tc>
          <w:tcPr>
            <w:tcW w:w="1260" w:type="dxa"/>
            <w:vAlign w:val="bottom"/>
            <w:gridSpan w:val="2"/>
          </w:tcPr>
          <w:p>
            <w:pPr>
              <w:jc w:val="right"/>
              <w:ind w:right="557"/>
              <w:spacing w:after="0"/>
              <w:rPr>
                <w:sz w:val="20"/>
                <w:szCs w:val="20"/>
                <w:color w:val="auto"/>
              </w:rPr>
            </w:pPr>
            <w:r>
              <w:rPr>
                <w:rFonts w:ascii="Arial" w:cs="Arial" w:eastAsia="Arial" w:hAnsi="Arial"/>
                <w:sz w:val="13"/>
                <w:szCs w:val="13"/>
                <w:b w:val="1"/>
                <w:bCs w:val="1"/>
                <w:color w:val="auto"/>
              </w:rPr>
              <w:t>Year</w:t>
            </w:r>
          </w:p>
        </w:tc>
        <w:tc>
          <w:tcPr>
            <w:tcW w:w="960" w:type="dxa"/>
            <w:vAlign w:val="bottom"/>
          </w:tcPr>
          <w:p>
            <w:pPr>
              <w:jc w:val="right"/>
              <w:ind w:right="257"/>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5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2"/>
        </w:trPr>
        <w:tc>
          <w:tcPr>
            <w:tcW w:w="18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Terms</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7"/>
              </w:rPr>
              <w:t>Terms</w:t>
            </w:r>
          </w:p>
        </w:tc>
        <w:tc>
          <w:tcPr>
            <w:tcW w:w="126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of Maturity</w:t>
            </w:r>
          </w:p>
        </w:tc>
        <w:tc>
          <w:tcPr>
            <w:tcW w:w="960" w:type="dxa"/>
            <w:vAlign w:val="bottom"/>
          </w:tcPr>
          <w:p>
            <w:pPr>
              <w:jc w:val="right"/>
              <w:ind w:right="377"/>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2"/>
        </w:trPr>
        <w:tc>
          <w:tcPr>
            <w:tcW w:w="1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2021 SGD EDB Loan</w:t>
            </w:r>
          </w:p>
        </w:tc>
        <w:tc>
          <w:tcPr>
            <w:tcW w:w="1380" w:type="dxa"/>
            <w:vAlign w:val="bottom"/>
            <w:tcBorders>
              <w:bottom w:val="single" w:sz="8" w:color="CCEEFF"/>
            </w:tcBorders>
            <w:shd w:val="clear" w:color="auto" w:fill="CCEEFF"/>
          </w:tcPr>
          <w:p>
            <w:pPr>
              <w:jc w:val="center"/>
              <w:ind w:left="437"/>
              <w:spacing w:after="0"/>
              <w:rPr>
                <w:sz w:val="20"/>
                <w:szCs w:val="20"/>
                <w:color w:val="auto"/>
              </w:rPr>
            </w:pPr>
            <w:r>
              <w:rPr>
                <w:rFonts w:ascii="Arial" w:cs="Arial" w:eastAsia="Arial" w:hAnsi="Arial"/>
                <w:sz w:val="13"/>
                <w:szCs w:val="13"/>
                <w:color w:val="auto"/>
                <w:w w:val="99"/>
              </w:rPr>
              <w:t>SGD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1.40%</w:t>
            </w:r>
          </w:p>
        </w:tc>
        <w:tc>
          <w:tcPr>
            <w:tcW w:w="1360" w:type="dxa"/>
            <w:vAlign w:val="bottom"/>
            <w:tcBorders>
              <w:bottom w:val="single" w:sz="8" w:color="CCEEFF"/>
            </w:tcBorders>
            <w:shd w:val="clear" w:color="auto" w:fill="CCEEFF"/>
          </w:tcPr>
          <w:p>
            <w:pPr>
              <w:jc w:val="center"/>
              <w:ind w:right="17"/>
              <w:spacing w:after="0"/>
              <w:rPr>
                <w:sz w:val="20"/>
                <w:szCs w:val="20"/>
                <w:color w:val="auto"/>
              </w:rPr>
            </w:pPr>
            <w:r>
              <w:rPr>
                <w:rFonts w:ascii="Arial" w:cs="Arial" w:eastAsia="Arial" w:hAnsi="Arial"/>
                <w:sz w:val="13"/>
                <w:szCs w:val="13"/>
                <w:color w:val="auto"/>
                <w:w w:val="96"/>
              </w:rPr>
              <w:t>Semi-Annual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2041</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3"/>
                <w:szCs w:val="13"/>
                <w:color w:val="auto"/>
              </w:rPr>
              <w:t>Various</w:t>
            </w:r>
          </w:p>
        </w:tc>
        <w:tc>
          <w:tcPr>
            <w:tcW w:w="1380" w:type="dxa"/>
            <w:vAlign w:val="bottom"/>
          </w:tcPr>
          <w:p>
            <w:pPr>
              <w:jc w:val="center"/>
              <w:ind w:left="437"/>
              <w:spacing w:after="0"/>
              <w:rPr>
                <w:sz w:val="20"/>
                <w:szCs w:val="20"/>
                <w:color w:val="auto"/>
              </w:rPr>
            </w:pPr>
            <w:r>
              <w:rPr>
                <w:rFonts w:ascii="Arial" w:cs="Arial" w:eastAsia="Arial" w:hAnsi="Arial"/>
                <w:sz w:val="13"/>
                <w:szCs w:val="13"/>
                <w:color w:val="auto"/>
                <w:w w:val="96"/>
              </w:rPr>
              <w:t>EUR, USD</w:t>
            </w: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Various</w:t>
            </w: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9"/>
              </w:rPr>
              <w:t>2026-2032</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41"/>
        </w:trPr>
        <w:tc>
          <w:tcPr>
            <w:tcW w:w="186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Current total</w:t>
            </w:r>
          </w:p>
        </w:tc>
        <w:tc>
          <w:tcPr>
            <w:tcW w:w="13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w:t>
            </w: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w:t>
            </w: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2021 SGD EDB Loan</w:t>
            </w:r>
          </w:p>
        </w:tc>
        <w:tc>
          <w:tcPr>
            <w:tcW w:w="1380" w:type="dxa"/>
            <w:vAlign w:val="bottom"/>
            <w:tcBorders>
              <w:bottom w:val="single" w:sz="8" w:color="CCEEFF"/>
            </w:tcBorders>
            <w:shd w:val="clear" w:color="auto" w:fill="CCEEFF"/>
          </w:tcPr>
          <w:p>
            <w:pPr>
              <w:jc w:val="center"/>
              <w:ind w:left="437"/>
              <w:spacing w:after="0"/>
              <w:rPr>
                <w:sz w:val="20"/>
                <w:szCs w:val="20"/>
                <w:color w:val="auto"/>
              </w:rPr>
            </w:pPr>
            <w:r>
              <w:rPr>
                <w:rFonts w:ascii="Arial" w:cs="Arial" w:eastAsia="Arial" w:hAnsi="Arial"/>
                <w:sz w:val="13"/>
                <w:szCs w:val="13"/>
                <w:color w:val="auto"/>
                <w:w w:val="99"/>
              </w:rPr>
              <w:t>SGD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1.40%</w:t>
            </w:r>
          </w:p>
        </w:tc>
        <w:tc>
          <w:tcPr>
            <w:tcW w:w="1360" w:type="dxa"/>
            <w:vAlign w:val="bottom"/>
            <w:tcBorders>
              <w:bottom w:val="single" w:sz="8" w:color="CCEEFF"/>
            </w:tcBorders>
            <w:shd w:val="clear" w:color="auto" w:fill="CCEEFF"/>
          </w:tcPr>
          <w:p>
            <w:pPr>
              <w:jc w:val="center"/>
              <w:ind w:right="17"/>
              <w:spacing w:after="0"/>
              <w:rPr>
                <w:sz w:val="20"/>
                <w:szCs w:val="20"/>
                <w:color w:val="auto"/>
              </w:rPr>
            </w:pPr>
            <w:r>
              <w:rPr>
                <w:rFonts w:ascii="Arial" w:cs="Arial" w:eastAsia="Arial" w:hAnsi="Arial"/>
                <w:sz w:val="13"/>
                <w:szCs w:val="13"/>
                <w:color w:val="auto"/>
                <w:w w:val="96"/>
              </w:rPr>
              <w:t>Semi-Annual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2041</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10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1,023</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3"/>
                <w:szCs w:val="13"/>
                <w:color w:val="auto"/>
              </w:rPr>
              <w:t>Various</w:t>
            </w:r>
          </w:p>
        </w:tc>
        <w:tc>
          <w:tcPr>
            <w:tcW w:w="1380" w:type="dxa"/>
            <w:vAlign w:val="bottom"/>
          </w:tcPr>
          <w:p>
            <w:pPr>
              <w:jc w:val="center"/>
              <w:ind w:left="437"/>
              <w:spacing w:after="0"/>
              <w:rPr>
                <w:sz w:val="20"/>
                <w:szCs w:val="20"/>
                <w:color w:val="auto"/>
              </w:rPr>
            </w:pPr>
            <w:r>
              <w:rPr>
                <w:rFonts w:ascii="Arial" w:cs="Arial" w:eastAsia="Arial" w:hAnsi="Arial"/>
                <w:sz w:val="13"/>
                <w:szCs w:val="13"/>
                <w:color w:val="auto"/>
                <w:w w:val="96"/>
              </w:rPr>
              <w:t>EUR, USD</w:t>
            </w: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Various</w:t>
            </w: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2032</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41"/>
        </w:trPr>
        <w:tc>
          <w:tcPr>
            <w:tcW w:w="186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total</w:t>
            </w:r>
          </w:p>
        </w:tc>
        <w:tc>
          <w:tcPr>
            <w:tcW w:w="13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1,063</w:t>
            </w: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1,065</w:t>
            </w:r>
          </w:p>
        </w:tc>
        <w:tc>
          <w:tcPr>
            <w:tcW w:w="0" w:type="dxa"/>
            <w:vAlign w:val="bottom"/>
          </w:tcPr>
          <w:p>
            <w:pPr>
              <w:spacing w:after="0"/>
              <w:rPr>
                <w:sz w:val="1"/>
                <w:szCs w:val="1"/>
                <w:color w:val="auto"/>
              </w:rPr>
            </w:pPr>
          </w:p>
        </w:tc>
      </w:tr>
      <w:tr>
        <w:trPr>
          <w:trHeight w:val="206"/>
        </w:trPr>
        <w:tc>
          <w:tcPr>
            <w:tcW w:w="18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1,147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1,151</w:t>
            </w:r>
          </w:p>
        </w:tc>
        <w:tc>
          <w:tcPr>
            <w:tcW w:w="0" w:type="dxa"/>
            <w:vAlign w:val="bottom"/>
          </w:tcPr>
          <w:p>
            <w:pPr>
              <w:spacing w:after="0"/>
              <w:rPr>
                <w:sz w:val="1"/>
                <w:szCs w:val="1"/>
                <w:color w:val="auto"/>
              </w:rPr>
            </w:pPr>
          </w:p>
        </w:tc>
      </w:tr>
      <w:tr>
        <w:trPr>
          <w:trHeight w:val="24"/>
        </w:trPr>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to fund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March 31, 2026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 2025</w:t>
            </w:r>
          </w:p>
        </w:tc>
      </w:tr>
      <w:tr>
        <w:trPr>
          <w:trHeight w:val="21"/>
        </w:trPr>
        <w:tc>
          <w:tcPr>
            <w:tcW w:w="68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6"/>
        </w:trPr>
        <w:tc>
          <w:tcPr>
            <w:tcW w:w="6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700" w:type="dxa"/>
            <w:vAlign w:val="bottom"/>
            <w:tcBorders>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w:t>
            </w:r>
          </w:p>
        </w:tc>
      </w:tr>
      <w:tr>
        <w:trPr>
          <w:trHeight w:val="25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Uncommitted Credit Facilities</w:t>
            </w:r>
            <w:r>
              <w:rPr>
                <w:rFonts w:ascii="Arial" w:cs="Arial" w:eastAsia="Arial" w:hAnsi="Arial"/>
                <w:sz w:val="21"/>
                <w:szCs w:val="21"/>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r>
      <w:tr>
        <w:trPr>
          <w:trHeight w:val="275"/>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shd w:val="clear" w:color="auto" w:fill="CCEEFF"/>
          </w:tcPr>
          <w:p>
            <w:pPr>
              <w:jc w:val="right"/>
              <w:ind w:right="14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1,116</w:t>
            </w:r>
          </w:p>
        </w:tc>
        <w:tc>
          <w:tcPr>
            <w:tcW w:w="100" w:type="dxa"/>
            <w:vAlign w:val="bottom"/>
          </w:tcPr>
          <w:p>
            <w:pPr>
              <w:spacing w:after="0"/>
              <w:rPr>
                <w:sz w:val="23"/>
                <w:szCs w:val="2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Credit facility made available to the Company, but the lender is not obligated to loan funds.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Assets pledged as security </w:t>
      </w:r>
      <w:r>
        <w:rPr>
          <w:rFonts w:ascii="Arial" w:cs="Arial" w:eastAsia="Arial" w:hAnsi="Arial"/>
          <w:sz w:val="16"/>
          <w:szCs w:val="16"/>
          <w:color w:val="auto"/>
        </w:rPr>
        <w:t>– Certain property, plant and equipment with a carrying amount of $2.6 billion have been pledged to secure borrowings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pledged agreements for the Company. The Company is not allowed to pledge these assets as security for other borrowings or to sell them outside normal course of business.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Commitments and Contingencies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 enters into several purchase agreements and supplementary agreements with its third-party manufacturers and suppliers for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deliveries of equipment and components. In addition, the Company enters into intellectual property and licensing agreements with third parties. The total future payments under these agreements amounted to $725 million as of March 31, 2026. Purchase commitments of $652 million are due within the next 12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the Company obtained letters of credit and bank guarantees to guarantee payments for utility suppliers, foreign statutory payroll related charges, and other purposes. The Company has obtained total facilities of $132 million as of March 31, 2026 and December 31, 2025.</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financial statements.</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has determined that due to the complexity of calculation of the Advanced Manufacturing Investment Tax Credit ("AMITC") under the Internal Revenue Code Section 48D, and uncertainties regarding compliance with program conditions, it is probable that a portion of AMITC computed and claimed in the United States may be repayable. Management recorded its best estimate of the amount of the AMITC that may be repayable totaling $55 million as of March 31, 2026. The amount of the reserve may change depending on future assessments by tax authorities.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Fair Value Measurements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97"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30" w:lineRule="exact"/>
        <w:rPr>
          <w:rFonts w:ascii="Arial" w:cs="Arial" w:eastAsia="Arial" w:hAnsi="Arial"/>
          <w:sz w:val="16"/>
          <w:szCs w:val="16"/>
          <w:color w:val="auto"/>
        </w:rPr>
      </w:pPr>
    </w:p>
    <w:p>
      <w:pPr>
        <w:jc w:val="both"/>
        <w:ind w:left="660" w:right="20" w:hanging="328"/>
        <w:spacing w:after="0" w:line="252"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w:t>
      </w:r>
    </w:p>
    <w:p>
      <w:pPr>
        <w:ind w:left="660" w:hanging="328"/>
        <w:spacing w:after="0" w:line="27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and Level 2 inputs include U.S. Treasury Securities, U.S. Government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Derivatives </w:t>
      </w:r>
      <w:r>
        <w:rPr>
          <w:rFonts w:ascii="Arial" w:cs="Arial" w:eastAsia="Arial" w:hAnsi="Arial"/>
          <w:sz w:val="16"/>
          <w:szCs w:val="16"/>
          <w:color w:val="auto"/>
        </w:rPr>
        <w:t>– Derivative contracts are classified within Level 2. The fair values of these contracts are determined using observable market inputs,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rates, interest rates, commodity prices and maturity dates to generate pricing curves, which are used to value the positions. The market inputs are generally actively quoted and can be validated through external sources. For derivative positions with maturity dates which fall between the dates of quoted prices, interpolation of rate or maturity scenarios are used in determining fair values.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Equity Securities </w:t>
      </w:r>
      <w:r>
        <w:rPr>
          <w:rFonts w:ascii="Arial" w:cs="Arial" w:eastAsia="Arial" w:hAnsi="Arial"/>
          <w:sz w:val="16"/>
          <w:szCs w:val="16"/>
          <w:color w:val="auto"/>
        </w:rPr>
        <w:t>– Equity securities consist of non-marketable investments in private companies and are classified within Level 3. These securities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initially measured at cost, which approximates fair value, and subsequently re-measured though profit and loss based on recent observable transactions when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Quoted Prices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Identical Assets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 Other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23"/>
        </w:trPr>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Inputs</w:t>
            </w:r>
          </w:p>
        </w:tc>
        <w:tc>
          <w:tcPr>
            <w:tcW w:w="8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2025</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 xml:space="preserve">Investments in marketable securities </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2,181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565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1,616</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57"/>
        </w:trPr>
        <w:tc>
          <w:tcPr>
            <w:tcW w:w="40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2026</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1,924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1,409</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70"/>
        </w:trPr>
        <w:tc>
          <w:tcPr>
            <w:tcW w:w="40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85"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Included in cash and cash equivalents on the Company’s interim condensed consolidated statements of financial position.</w:t>
      </w:r>
    </w:p>
    <w:p>
      <w:pPr>
        <w:spacing w:after="0" w:line="140" w:lineRule="exact"/>
        <w:rPr>
          <w:rFonts w:ascii="Arial" w:cs="Arial" w:eastAsia="Arial" w:hAnsi="Arial"/>
          <w:sz w:val="16"/>
          <w:szCs w:val="16"/>
          <w:color w:val="auto"/>
          <w:vertAlign w:val="superscript"/>
        </w:rPr>
      </w:pPr>
    </w:p>
    <w:p>
      <w:pPr>
        <w:ind w:left="180" w:hanging="172"/>
        <w:spacing w:after="0" w:line="222" w:lineRule="auto"/>
        <w:tabs>
          <w:tab w:leader="none" w:pos="26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Consists of investments in marketable debt securities such as government, agency, and corporate bonds. Included in current and non-current marketable securities on the Company's interim condensed consolidated statements of financial position.</w:t>
      </w:r>
    </w:p>
    <w:p>
      <w:pPr>
        <w:spacing w:after="0" w:line="66"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Consists of foreign currency forward contracts, interest rate swaps, cross currency swaps and commodity swaps.</w:t>
      </w:r>
    </w:p>
    <w:p>
      <w:pPr>
        <w:spacing w:after="0" w:line="65"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88" w:lineRule="exact"/>
        <w:rPr>
          <w:sz w:val="20"/>
          <w:szCs w:val="20"/>
          <w:color w:val="auto"/>
        </w:rPr>
      </w:pPr>
    </w:p>
    <w:p>
      <w:pPr>
        <w:ind w:right="900"/>
        <w:spacing w:after="0" w:line="387" w:lineRule="auto"/>
        <w:rPr>
          <w:sz w:val="20"/>
          <w:szCs w:val="20"/>
          <w:color w:val="auto"/>
        </w:rPr>
      </w:pPr>
      <w:r>
        <w:rPr>
          <w:rFonts w:ascii="Arial" w:cs="Arial" w:eastAsia="Arial" w:hAnsi="Arial"/>
          <w:sz w:val="16"/>
          <w:szCs w:val="16"/>
          <w:color w:val="auto"/>
        </w:rPr>
        <w:t xml:space="preserve">During the three months ended March 31, 2026 and 2025, there were no transfers between Level 1, Level 2 or Level 3 fair value measurements. </w:t>
      </w:r>
      <w:r>
        <w:rPr>
          <w:rFonts w:ascii="Arial" w:cs="Arial" w:eastAsia="Arial" w:hAnsi="Arial"/>
          <w:sz w:val="16"/>
          <w:szCs w:val="16"/>
          <w:b w:val="1"/>
          <w:bCs w:val="1"/>
          <w:color w:val="auto"/>
        </w:rPr>
        <w:t>Assets Measured and Recorded at Fair Value on a Non-Recurring Basis</w:t>
      </w:r>
    </w:p>
    <w:p>
      <w:pPr>
        <w:spacing w:after="0" w:line="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Certain assets such as investments in equity securities, intangible assets and property, plant and equipment, and other non-financial assets, are recorded at fair value only if an impairment or observable price adjustment is recognized in the current period.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current and non-current portions of the Company’s long-term debt which are measured at amortized cost.</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shows the carrying amounts and fair values of the Company’s financial liabilities at amortized cost ("FLAC") not recorded at fair value on a recurring basis. It does not include fair value information for financial assets and financial liabilities not measured at fair value if the carrying amount is a reasonable approximation of fair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2220" w:type="dxa"/>
            <w:vAlign w:val="bottom"/>
            <w:gridSpan w:val="3"/>
          </w:tcPr>
          <w:p>
            <w:pPr>
              <w:ind w:left="1060"/>
              <w:spacing w:after="0"/>
              <w:rPr>
                <w:sz w:val="20"/>
                <w:szCs w:val="20"/>
                <w:color w:val="auto"/>
              </w:rPr>
            </w:pPr>
            <w:r>
              <w:rPr>
                <w:rFonts w:ascii="Arial" w:cs="Arial" w:eastAsia="Arial" w:hAnsi="Arial"/>
                <w:sz w:val="16"/>
                <w:szCs w:val="16"/>
                <w:b w:val="1"/>
                <w:bCs w:val="1"/>
                <w:color w:val="auto"/>
              </w:rPr>
              <w:t>March 31, 2026</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December 31, 2025</w:t>
            </w:r>
          </w:p>
        </w:tc>
      </w:tr>
      <w:tr>
        <w:trPr>
          <w:trHeight w:val="21"/>
        </w:trPr>
        <w:tc>
          <w:tcPr>
            <w:tcW w:w="45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5"/>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Financial Liabilities</w:t>
            </w:r>
          </w:p>
        </w:tc>
        <w:tc>
          <w:tcPr>
            <w:tcW w:w="1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Carrying Amount</w:t>
            </w:r>
          </w:p>
        </w:tc>
        <w:tc>
          <w:tcPr>
            <w:tcW w:w="8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Carrying Amount</w:t>
            </w:r>
          </w:p>
        </w:tc>
        <w:tc>
          <w:tcPr>
            <w:tcW w:w="100" w:type="dxa"/>
            <w:vAlign w:val="bottom"/>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21"/>
        </w:trPr>
        <w:tc>
          <w:tcPr>
            <w:tcW w:w="45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Other long-term debt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1,156</w:t>
            </w:r>
          </w:p>
        </w:tc>
      </w:tr>
    </w:tbl>
    <w:p>
      <w:pPr>
        <w:spacing w:after="0" w:line="200" w:lineRule="exact"/>
        <w:rPr>
          <w:sz w:val="20"/>
          <w:szCs w:val="20"/>
          <w:color w:val="auto"/>
        </w:rPr>
      </w:pP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 a Level 2 valuation. The fair values are estimated based on the type of loan and maturity. The Company estimates the fair value using market interest rates for debts with similar maturities.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Equity</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February 11, 2026, the Company announced that its Board of Directors approved a share repurchase authorization of up to $500 million of its ordinary shares. Under the repurchase authorization, GF may purchase its ordinary shares on a discretionary basis from time to time through open market repurchases, in privately negotiated transactions, through purchases made in compliance with Rule 10b-18 and/or Rule 10b5-1 under the Securities Exchange Act of 1934, as amended, or other means. The actual timing and amount of any share repurchases remains subject to a variety of factors, including share price, trading volume, market conditions, compliance with applicable legal requirements, and other general business considerations. The authorization does not require GF to repurchase any specific number of ordinary shares. The authorization is valid for an initial period of 12 months and may be modified, suspended or terminated at any time.</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13, 2026 the Company repurchased 7.3 million ordinary shares from Mubadala Technology Investment Company ("MTIC"), a majority shareholder, at the price of $40.85 per share, for an aggregate purchase amount of $300 million under our share repurchase authorization.</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the three months ended March 31, 2026, the Company repurchased an additional 2.3 million ordinary shares for $100 million for a weighted average price of $43.88.</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approximately $100 million of ordinary shares remained authorized for repurchase under our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900"/>
        <w:spacing w:after="0" w:line="396" w:lineRule="auto"/>
        <w:rPr>
          <w:sz w:val="20"/>
          <w:szCs w:val="20"/>
          <w:color w:val="auto"/>
        </w:rPr>
      </w:pPr>
      <w:r>
        <w:rPr>
          <w:rFonts w:ascii="Arial" w:cs="Arial" w:eastAsia="Arial" w:hAnsi="Arial"/>
          <w:sz w:val="16"/>
          <w:szCs w:val="16"/>
          <w:b w:val="1"/>
          <w:bCs w:val="1"/>
          <w:color w:val="auto"/>
        </w:rPr>
        <w:t xml:space="preserve">MANAGEMENT’S DISCUSSION AND ANALYSIS OF FINANCIAL CONDITION AND RESULTS OF OPERATIONS </w:t>
      </w:r>
      <w:r>
        <w:rPr>
          <w:rFonts w:ascii="Arial" w:cs="Arial" w:eastAsia="Arial" w:hAnsi="Arial"/>
          <w:sz w:val="16"/>
          <w:szCs w:val="16"/>
          <w:b w:val="1"/>
          <w:bCs w:val="1"/>
          <w:u w:val="single" w:color="auto"/>
          <w:color w:val="auto"/>
        </w:rPr>
        <w:t>Forward-looking Statements</w:t>
      </w:r>
    </w:p>
    <w:p>
      <w:pPr>
        <w:jc w:val="both"/>
        <w:spacing w:after="0" w:line="255"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the Middle East and Ukraine; ongoing political developments in the United States, and in particular, any political and policy-related changes that may impact our industry and the market generally, such as the imposition of trade controls, tariffs and counter-tariffs between the United States and its trade partners and new legislation; the market for our products may develop or recover more slowly than expected or than it has in the past; we may fail to achieve the full benefits of our strategic optimization efforts;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we may fail to achieve the anticipated results or benefits from funding received (including awards under the U.S. CHIPS and Science Act and New York State Green CHIPS) and our expected results and planned or further expansions and operations may not proceed as planned if funding we expect to receive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2025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GLOBALFOUNDRIES Inc. (“we,” “GF,” or the “Company”) is one of the world’s leading manufacturers of semiconductors the world relies on to live, work and connect, enabling the scaling of Artificial Intelligence ("AI") in the cloud, and the transition of AI into the physical world. We manufacture differentiated, essential integrated circuits (“ICs”) that are used in billions of electronic devices across various industries. Our specialized manufacturing processes, extensive library of qualified circuit-building block designs (known as IP titles or IP blocks), and advanced transistor and device technology allow us to serve a wide range of customers, including the global leaders in IC design. We deliver optimized solutions for critical applications that drive key secular growth end markets, ensuring that our products meet stringent requirements for functionality, performance and power efficiency.</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technology portfolio spans differentiated, essential chip technologies including digital, analog, mixed-signal, RF, ultra-low power and embedded memory enabling the connected, secure and intelligent systems that power the digital world. To address the varied needs of our customers, we invest in a broad portfolio, including ultra-low power and feature-rich CMOS, RF, power, optical networking, advanced packaging and IP. Our core technologies such as FinFET, FD-SOI (“FDX™”), RF-SOI, SiGe, RF GaN, BCD and high-voltage BCD, power GaN and silicon photonics deliver the performance, efficiency and integration needed to support next-generation applications in connectivity, power management and high-speed data processing.</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Sources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principal source of our revenue is derived from Manufacturing Services primarily through volume production and sales of finished semiconductor products, which accounted for approximately 87% and 88% of our net revenue for the three months ended March 31, 2026 and 2025, respectively. The remaining portion of net revenue is generated from Technology Services, including non-recurring engineering services, mask production, process qualification, post-fabrication services such as bump, test and packaging and revenue from intellectual property licenses, related royalties and other items.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Dynamics and Strategic Focus</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industry remained subject to volatility due to uncertainties in global trade policy, geopolitical events and the macroeconomic environment. These factors led to incremental caution and uncertainty in the demand outlook, particularly for consumer-centric end markets. In addition, recent global events highlighted the semiconductor industry's vulnerability to materials available and energy supply. GlobalFoundries' diverse supply chain and resilient sourcing largely insulated it from these impacts. The Company continues to monitor and adapt to changes in key macroeconomic indicators, including inflation, interest rates, and GDP growth. The Company remains focused on executing its strategic priorities, including but not limited to: 1) deepening customer and ecosystem relationships, 2) achieving operational scale and efficiencies across our manufacturing footprint, 3) pursuing continuous improvement in cost optimization, 4) investing in a diversified and differentiated technology portfolio.</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Effective January 1, 2026, the Company updated the terminology used to describe revenue categories. Revenue previously presented as "Wafer revenue" and "Non-wafer revenue" is now presented as "Manufacturing Services" and "Technology Services," respectively. Manufacturing Services include volume production and sales of finished semiconductor products. Technology Services include non-recurring engineering services, mask production, process qualification, post-fabrication services such as bump, test and packaging, and revenue from intellectual property licenses, related royalties and other items. We believe these categories better reflect the depth and breadth of our business model today,</w:t>
      </w:r>
    </w:p>
    <w:p>
      <w:pPr>
        <w:spacing w:after="0" w:line="11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This change in presentation does not impact the composition of revenue, total revenue reported or revenue recognition policies. Prior period amounts presented have been conformed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restructuring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operating expenses consist of research and development ("R&amp;D"), selling, general and administrative expenses (“SG&amp;A”), and restructuring charges. Personnel costs are the most significant component of our operating expenses, and consist of salaries, benefits, bonuses, share-based compensation and commissions.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expenses include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Based on our current business activities, we expect our R&amp;D as a percentage of revenue to increase modestly as we integrate the acquisition of MIPS and following the expected completion of Synopsys ARC IP acquisition.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and other</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SG&amp;A and other expenses consist primarily of personnel-related costs, including sales commissions to independent sales representatives and professional fees, including costs of accounting, audit, legal, regulatory and tax compliance. Additionally, costs related to advertising, trade shows, corporate marketing, certain contract cancellation fees, gains and losses on tool sales, withholding taxes and allocated overhead costs are also included in SG&amp;A and other expenses. We expect our SG&amp;A and other as a percentage of revenue to be relatively stable over time as expenses grow in line with increased revenue.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consists of interest earned on our cash and cash equivalents and marketable securities, net of any interest expense on borrowings, amortization of debt issuance costs under our term loans, revolving credit facility, finance leases and other credit facilities we maintain with various financial institutions.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income (expense), net consists of our share of profit of our joint venture, one-time gains and losses and other miscellaneous income and expense items unrelated to our core operations. Included are gains and losses relating to hedging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 (Benefit)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federal and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Three months ended March 31, 2026 and 2025 (in millions).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60" w:type="dxa"/>
            <w:vAlign w:val="bottom"/>
            <w:gridSpan w:val="8"/>
          </w:tcPr>
          <w:p>
            <w:pPr>
              <w:jc w:val="right"/>
              <w:ind w:right="5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
        </w:trPr>
        <w:tc>
          <w:tcPr>
            <w:tcW w:w="6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28"/>
        </w:trPr>
        <w:tc>
          <w:tcPr>
            <w:tcW w:w="64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9"/>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451</w:t>
            </w:r>
          </w:p>
        </w:tc>
        <w:tc>
          <w:tcPr>
            <w:tcW w:w="10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w:t>
            </w:r>
          </w:p>
        </w:tc>
        <w:tc>
          <w:tcPr>
            <w:tcW w:w="0" w:type="dxa"/>
            <w:vAlign w:val="bottom"/>
          </w:tcPr>
          <w:p>
            <w:pPr>
              <w:spacing w:after="0"/>
              <w:rPr>
                <w:sz w:val="1"/>
                <w:szCs w:val="1"/>
                <w:color w:val="auto"/>
              </w:rPr>
            </w:pPr>
          </w:p>
        </w:tc>
      </w:tr>
      <w:tr>
        <w:trPr>
          <w:trHeight w:val="221"/>
        </w:trPr>
        <w:tc>
          <w:tcPr>
            <w:tcW w:w="64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9"/>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 and other</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271</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w:t>
            </w:r>
          </w:p>
        </w:tc>
        <w:tc>
          <w:tcPr>
            <w:tcW w:w="0" w:type="dxa"/>
            <w:vAlign w:val="bottom"/>
          </w:tcPr>
          <w:p>
            <w:pPr>
              <w:spacing w:after="0"/>
              <w:rPr>
                <w:sz w:val="1"/>
                <w:szCs w:val="1"/>
                <w:color w:val="auto"/>
              </w:rPr>
            </w:pPr>
          </w:p>
        </w:tc>
      </w:tr>
      <w:tr>
        <w:trPr>
          <w:trHeight w:val="21"/>
        </w:trPr>
        <w:tc>
          <w:tcPr>
            <w:tcW w:w="6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0" w:type="dxa"/>
            <w:vAlign w:val="bottom"/>
          </w:tcPr>
          <w:p>
            <w:pPr>
              <w:spacing w:after="0"/>
              <w:rPr>
                <w:sz w:val="1"/>
                <w:szCs w:val="1"/>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6"/>
                <w:szCs w:val="16"/>
                <w:color w:val="auto"/>
              </w:rPr>
              <w:t>Finance income (expense), net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9"/>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185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0" w:type="dxa"/>
            <w:vAlign w:val="bottom"/>
          </w:tcPr>
          <w:p>
            <w:pPr>
              <w:spacing w:after="0"/>
              <w:rPr>
                <w:sz w:val="1"/>
                <w:szCs w:val="1"/>
                <w:color w:val="auto"/>
              </w:rPr>
            </w:pPr>
          </w:p>
        </w:tc>
      </w:tr>
      <w:tr>
        <w:trPr>
          <w:trHeight w:val="21"/>
        </w:trPr>
        <w:tc>
          <w:tcPr>
            <w:tcW w:w="64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6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9"/>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5"/>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40" w:type="dxa"/>
            <w:vAlign w:val="bottom"/>
            <w:gridSpan w:val="5"/>
          </w:tcPr>
          <w:p>
            <w:pPr>
              <w:ind w:left="24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vMerge w:val="continue"/>
          </w:tcPr>
          <w:p>
            <w:pPr>
              <w:spacing w:after="0"/>
              <w:rPr>
                <w:sz w:val="19"/>
                <w:szCs w:val="19"/>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vMerge w:val="continue"/>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9"/>
        </w:trPr>
        <w:tc>
          <w:tcPr>
            <w:tcW w:w="6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revenue increased by $49 million, or 3.1%, for the three months ended March 31, 2026, compared to the three months ended March 31, 2025. The increase was primarily driven by higher wafer shipment volumes totalling 579 thousand (300mm equivalent), a 6.6% increase from the prior period and by an 11.2% increase in Technology Services revenue driven by stronger mask and reticle revenue. This was offset by lower average selling prices for certain customers in specific end markets.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End Markets: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40" w:type="dxa"/>
            <w:vAlign w:val="bottom"/>
            <w:gridSpan w:val="8"/>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1060" w:type="dxa"/>
            <w:vAlign w:val="bottom"/>
          </w:tcPr>
          <w:p>
            <w:pPr>
              <w:spacing w:after="0"/>
              <w:rPr>
                <w:sz w:val="19"/>
                <w:szCs w:val="19"/>
                <w:color w:val="auto"/>
              </w:rPr>
            </w:pPr>
          </w:p>
        </w:tc>
      </w:tr>
      <w:tr>
        <w:trPr>
          <w:trHeight w:val="21"/>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6"/>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4"/>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Smart Mobile Devices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28"/>
        </w:trPr>
        <w:tc>
          <w:tcPr>
            <w:tcW w:w="6480" w:type="dxa"/>
            <w:vAlign w:val="bottom"/>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left="4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32.2 %</w:t>
            </w:r>
          </w:p>
        </w:tc>
      </w:tr>
      <w:tr>
        <w:trPr>
          <w:trHeight w:val="29"/>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Home and Industrial IoT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28"/>
        </w:trPr>
        <w:tc>
          <w:tcPr>
            <w:tcW w:w="648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left="49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23.6 %</w:t>
            </w:r>
          </w:p>
        </w:tc>
      </w:tr>
      <w:tr>
        <w:trPr>
          <w:trHeight w:val="29"/>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6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 Services</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29"/>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1,634</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center"/>
              <w:ind w:left="499"/>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3.1 %</w:t>
            </w:r>
          </w:p>
        </w:tc>
      </w:tr>
    </w:tbl>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the three months ended March 31, 2026, Manufacturing Services in two of four end markets, in addition to Technology Services, experienced revenue growth compared to the three months ended March 31, 2025. Communications, Infrastructure &amp; Datacenter grew 32.2% year-over-year, driven by growth in data center networking and satellite communications. The Automotive end market increased 23.6% year-over-year, driven by continued share gains and content expansion across automotive microcontroller units and smart sensors. Home and Industrial IoT declined 22.3% year over year, primarily due to a reduction of revenue from wafer shipments to customers in the personal computing space. Smart Mobile Devices declined 4.8% year-over-year, due to volume decrease tied to broader mobile market weakness. Technology Services revenue increased 11.2% year-over-year, driven by stronger mask and reticle revenue.</w:t>
      </w:r>
    </w:p>
    <w:p>
      <w:pPr>
        <w:sectPr>
          <w:pgSz w:w="11900" w:h="16838" w:orient="portrait"/>
          <w:cols w:equalWidth="0" w:num="1">
            <w:col w:w="11240"/>
          </w:cols>
          <w:pgMar w:left="320" w:top="2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6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4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1,230</w:t>
            </w:r>
          </w:p>
        </w:tc>
        <w:tc>
          <w:tcPr>
            <w:tcW w:w="100" w:type="dxa"/>
            <w:vAlign w:val="bottom"/>
            <w:vMerge w:val="continue"/>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vMerge w:val="continue"/>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4"/>
        </w:trPr>
        <w:tc>
          <w:tcPr>
            <w:tcW w:w="626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27.6 %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22.4 %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+520bps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revenue decreased by $47 million, or 3.8%, for the three months ended March 31, 2026 compared to the three months ended March 31, 2025. The year-over-year change was driven by $52 million lower depreciation and amortization expense primarily due to some of our manufacturing equipment being fully depreciated partially offset by $3 million higher share-based compensation.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Gross margin increased to 27.6% for the three months ended March 31, 2026 from 22.4% for the three months ended March 31, 2025. The increase of 520 basis points was primarily driven by improvements in manufacturing services revenue mix, lower depreciation and amortization expense, partially offset by lower customer underutilization payments.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6280" w:type="dxa"/>
            <w:vAlign w:val="bottom"/>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2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127</w:t>
            </w:r>
          </w:p>
        </w:tc>
        <w:tc>
          <w:tcPr>
            <w:tcW w:w="100" w:type="dxa"/>
            <w:vAlign w:val="bottom"/>
            <w:vMerge w:val="continue"/>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vMerge w:val="continue"/>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4"/>
        </w:trPr>
        <w:tc>
          <w:tcPr>
            <w:tcW w:w="628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8.1 %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8.0 %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R&amp;D expense increased by $5 million, or 3.9%, for the three months ended March 31, 2026 compared to the three months ended March 31, 2025. The increase was primarily due to $14 million higher employee related expenses driven by a 35% increased headcount as a result of recent acquisitions and $8 million higher share-based compensation offset by $17 million lower R&amp;D portfolio investments.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80" w:type="dxa"/>
            <w:vAlign w:val="bottom"/>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6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2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1160" w:type="dxa"/>
            <w:vAlign w:val="bottom"/>
          </w:tcPr>
          <w:p>
            <w:pPr>
              <w:spacing w:after="0"/>
              <w:rPr>
                <w:sz w:val="21"/>
                <w:szCs w:val="21"/>
                <w:color w:val="auto"/>
              </w:rPr>
            </w:pPr>
          </w:p>
        </w:tc>
      </w:tr>
      <w:tr>
        <w:trPr>
          <w:trHeight w:val="21"/>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6"/>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80.5 %</w:t>
            </w:r>
          </w:p>
        </w:tc>
      </w:tr>
      <w:tr>
        <w:trPr>
          <w:trHeight w:val="214"/>
        </w:trPr>
        <w:tc>
          <w:tcPr>
            <w:tcW w:w="628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8.5 %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4.9 %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SG&amp;A expenses increased by $62 million, or 80.5%, for the three months ended March 31, 2026 compared to the three months ended March 31, 2025. The change was driven by $23 million lower tool sales gains, $19 million employee-related expenses driven by a 19% increased headcount primarily related to recent acquisitions, $12 million higher share-based compensation and $8 million increase in depreciation and amortization expense primarily driven by amortization of acquired intangible assets.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80" w:type="dxa"/>
            <w:vAlign w:val="bottom"/>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8"/>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vMerge w:val="continue"/>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9"/>
        </w:trPr>
        <w:tc>
          <w:tcPr>
            <w:tcW w:w="6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Finance income (expense), net increased by $1 million or 7.1%, for the three months ended March 31, 2026 compared to the three months ended March 31, 2025. The increase was mainly attributable to a $2 million reduction in deferred issuance costs resulting from prepayment of Term Loan A in the first quarter of 2025, and $1 million impact from the accretion of the EDB loan. These were offset by $2 million of lower interest income generated from lower year-over-year cash balance and a decline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8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40" w:type="dxa"/>
            <w:vAlign w:val="bottom"/>
            <w:gridSpan w:val="8"/>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vMerge w:val="continue"/>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133.3 %</w:t>
            </w:r>
          </w:p>
        </w:tc>
        <w:tc>
          <w:tcPr>
            <w:tcW w:w="0" w:type="dxa"/>
            <w:vAlign w:val="bottom"/>
          </w:tcPr>
          <w:p>
            <w:pPr>
              <w:spacing w:after="0"/>
              <w:rPr>
                <w:sz w:val="1"/>
                <w:szCs w:val="1"/>
                <w:color w:val="auto"/>
              </w:rPr>
            </w:pPr>
          </w:p>
        </w:tc>
      </w:tr>
      <w:tr>
        <w:trPr>
          <w:trHeight w:val="29"/>
        </w:trPr>
        <w:tc>
          <w:tcPr>
            <w:tcW w:w="6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Other income (expense), net decreased by $40 million or 133%, for the three months ended March 31, 2026 compared to the three months ended March 31, 2025, primarily due to the absence of a $31 million gain from step-acquisition of the remaining equity interest of the Company's joint venture and $6 million lower fair value gains primarily related to equity securities, both of which were recorded in the first quarter of 2025. Additionally, foreign exchange currency losses increased approximately $3 million.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8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 Benefit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64"/>
        </w:trPr>
        <w:tc>
          <w:tcPr>
            <w:tcW w:w="6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7"/>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060" w:type="dxa"/>
            <w:vAlign w:val="bottom"/>
          </w:tcPr>
          <w:p>
            <w:pPr>
              <w:spacing w:after="0"/>
              <w:rPr>
                <w:sz w:val="24"/>
                <w:szCs w:val="24"/>
                <w:color w:val="auto"/>
              </w:rPr>
            </w:pPr>
          </w:p>
        </w:tc>
      </w:tr>
      <w:tr>
        <w:trPr>
          <w:trHeight w:val="21"/>
        </w:trPr>
        <w:tc>
          <w:tcPr>
            <w:tcW w:w="6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6"/>
        </w:trPr>
        <w:tc>
          <w:tcPr>
            <w:tcW w:w="6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ind w:left="140"/>
              <w:spacing w:after="0"/>
              <w:rPr>
                <w:sz w:val="20"/>
                <w:szCs w:val="20"/>
                <w:color w:val="auto"/>
              </w:rPr>
            </w:pPr>
            <w:r>
              <w:rPr>
                <w:rFonts w:ascii="Arial" w:cs="Arial" w:eastAsia="Arial" w:hAnsi="Arial"/>
                <w:sz w:val="16"/>
                <w:szCs w:val="16"/>
                <w:b w:val="1"/>
                <w:bCs w:val="1"/>
                <w:color w:val="auto"/>
              </w:rPr>
              <w:t>% Change</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(81)</w:t>
            </w:r>
          </w:p>
        </w:tc>
        <w:tc>
          <w:tcPr>
            <w:tcW w:w="100" w:type="dxa"/>
            <w:vAlign w:val="bottom"/>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6"/>
              </w:rPr>
              <w:t>NM</w:t>
            </w:r>
          </w:p>
        </w:tc>
      </w:tr>
      <w:tr>
        <w:trPr>
          <w:trHeight w:val="29"/>
        </w:trPr>
        <w:tc>
          <w:tcPr>
            <w:tcW w:w="6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Income tax expense increased by $97 million for the three months ended March 31, 2026 compared to the three months ended March 31, 2025, primarily due to $38 million of tax expense from recognition of German deferred tax assets in the first quarter of 2026 compared to $40 million of tax benefit and a non-recurring $8 million benefit related to recognition of German deferred tax assets, net of contingencies, both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historically financed operations primarily through cash and cash equivalents and marketable securities, as well as cash generated from our business operations, including prepayments under long term agreements ("LTAs"), debt, government grants and advanced manufacturing investment tax credits. As of March 31, 2026, our cash, cash equivalents and marketable securities balances of approximately $3.8 billion included $1.8 billion cash and cash equivalents and approximately $1.9 billion of marketable securities.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March 31, 2026 and December 31, 2025, we had an undrawn revolving credit facility of $1.0 billion. In addition to our available revolver, we had $1.1 billion of debt outstanding as of March 31, 2026 and December 31, 2025, which was primarily comprised of a term loan. Our future capital requirements will depend on many factors, including our revenue growth rate, the timing and amount of payments we receive from customers pursuant to our LTAs and other business arrangements, the timing and extent of spending to support development efforts, the timing and amount of reimbursements we receive under government grants, the introduction of new and enhanced products and solutions, the continuing market adoption of our platform, strategic transactions and our obligations to repay our indebtedness from time to time. We may from time to time seek to raise additional capital to support our growth. As of March 31, 2026, we believe that our existing cash, cash equivalents, marketable securities, credit under our revolving credit facility and expected cash generated from operations are sufficient to meet our capital requirements for at least the next 12 months and beyond.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9"/>
        </w:trPr>
        <w:tc>
          <w:tcPr>
            <w:tcW w:w="768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7680" w:type="dxa"/>
            <w:vAlign w:val="bottom"/>
          </w:tcPr>
          <w:p>
            <w:pPr>
              <w:spacing w:after="0"/>
              <w:rPr>
                <w:sz w:val="23"/>
                <w:szCs w:val="23"/>
                <w:color w:val="auto"/>
              </w:rPr>
            </w:pPr>
          </w:p>
        </w:tc>
        <w:tc>
          <w:tcPr>
            <w:tcW w:w="30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23"/>
                <w:szCs w:val="23"/>
                <w:color w:val="auto"/>
              </w:rPr>
            </w:pPr>
          </w:p>
        </w:tc>
      </w:tr>
      <w:tr>
        <w:trPr>
          <w:trHeight w:val="21"/>
        </w:trPr>
        <w:tc>
          <w:tcPr>
            <w:tcW w:w="7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2026</w:t>
            </w:r>
          </w:p>
        </w:tc>
        <w:tc>
          <w:tcPr>
            <w:tcW w:w="54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500" w:type="dxa"/>
            <w:vAlign w:val="bottom"/>
          </w:tcPr>
          <w:p>
            <w:pPr>
              <w:spacing w:after="0"/>
              <w:rPr>
                <w:sz w:val="19"/>
                <w:szCs w:val="19"/>
                <w:color w:val="auto"/>
              </w:rPr>
            </w:pP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20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9"/>
        </w:trPr>
        <w:tc>
          <w:tcPr>
            <w:tcW w:w="7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r>
      <w:tr>
        <w:trPr>
          <w:trHeight w:val="221"/>
        </w:trPr>
        <w:tc>
          <w:tcPr>
            <w:tcW w:w="7680" w:type="dxa"/>
            <w:vAlign w:val="bottom"/>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20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(596)</w:t>
            </w:r>
          </w:p>
        </w:tc>
      </w:tr>
      <w:tr>
        <w:trPr>
          <w:trHeight w:val="20"/>
        </w:trPr>
        <w:tc>
          <w:tcPr>
            <w:tcW w:w="76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Cash provided by operating activities of $542 million increased $211 million for the three months ended March 31, 2026, compared to $331 million for the three months ended March 31, 2025. Net income declined by $107 million year-over-year, non-cash items increased by $182 million and working capital increased by $148 million. Non-cash adjustments were primarily related to a $131 million favorable change in deferred income taxes largely attributable to the recognition of German net deferred tax assets, a $31 million gain from the step-acquisition of a joint venture in the prior year, a $23 million reduction in gains on the sale of property, plant, and equipment, primarily related to tool sales, and $18 million increase in share-based compensation, a $41 million decrease in depreciation and amortization and $10 million increase in other operating activities. The $148 million improvement in working capital was primarily driven by $215 million of favorable movement in receivables due to better collections, $68 million reduction in cash used for inventory, partially offset by $135 million unfavorable change in trade and other payables due to the timing of payments to suppliers and vendors.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used in investing activities for the three months ended March 31, 2026 of $51 million decreased $160 million compared to the cash used in investing activities of $211 million for the three months ended March 31, 2025. The decrease was primarily attributable to $306 million increase in proceeds from sales and maturities of marketable securities,offset partially by $146 million increase in capital expenditures related to property, plant and equipment and intangible assets manufacturing facility investments.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Cash used in financing activities for the three months ended March 31, 2026 of $450 million decreased $267 million compared to the cash used of $717 million for the three months ended March 31, 2025. The year-over-year change was primarily attributable to reduced debt repayments of $713 million offset by a $400 million increase in share repurchases during the current period and $47 million of reduced proceeds from the issuance of equity instruments, net of taxes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sectPr>
      <w:pgSz w:w="11900" w:h="16838" w:orient="portrait"/>
      <w:cols w:equalWidth="0" w:num="1">
        <w:col w:w="11240"/>
      </w:cols>
      <w:pgMar w:left="320" w:top="2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2026-05-05T06:09:34Z</dcterms:created>
  <dcterms:modified xsi:type="dcterms:W3CDTF">2026-05-05T06:09:34Z</dcterms:modified>
</cp:coreProperties>
</file>