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UNITED STATES</w:t>
      </w:r>
    </w:p>
    <w:p>
      <w:pPr>
        <w:jc w:val="center"/>
        <w:ind w:right="-19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Washington, D.C. 20549</w:t>
      </w:r>
    </w:p>
    <w:p>
      <w:pPr>
        <w:spacing w:after="0" w:line="385"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178" w:lineRule="exact"/>
        <w:rPr>
          <w:sz w:val="24"/>
          <w:szCs w:val="24"/>
          <w:color w:val="auto"/>
        </w:rPr>
      </w:pPr>
    </w:p>
    <w:p>
      <w:pPr>
        <w:ind w:left="240"/>
        <w:spacing w:after="0"/>
        <w:rPr>
          <w:sz w:val="20"/>
          <w:szCs w:val="20"/>
          <w:color w:val="auto"/>
        </w:rPr>
      </w:pPr>
      <w:r>
        <w:rPr>
          <w:rFonts w:ascii="Arial" w:cs="Arial" w:eastAsia="Arial" w:hAnsi="Arial"/>
          <w:sz w:val="21"/>
          <w:szCs w:val="21"/>
          <w:b w:val="1"/>
          <w:bCs w:val="1"/>
          <w:color w:val="auto"/>
        </w:rPr>
        <w:t>REPORT OF FOREIGN PRIVATE ISSUER PURSUANT TO RULE 13a-16 OR 15d-16 UNDER THE SECURITIES</w:t>
      </w:r>
    </w:p>
    <w:p>
      <w:pPr>
        <w:jc w:val="center"/>
        <w:ind w:right="-199"/>
        <w:spacing w:after="0"/>
        <w:rPr>
          <w:sz w:val="20"/>
          <w:szCs w:val="20"/>
          <w:color w:val="auto"/>
        </w:rPr>
      </w:pPr>
      <w:r>
        <w:rPr>
          <w:rFonts w:ascii="Arial" w:cs="Arial" w:eastAsia="Arial" w:hAnsi="Arial"/>
          <w:sz w:val="22"/>
          <w:szCs w:val="22"/>
          <w:b w:val="1"/>
          <w:bCs w:val="1"/>
          <w:color w:val="auto"/>
        </w:rPr>
        <w:t>EXCHANGE ACT OF 1934</w:t>
      </w:r>
    </w:p>
    <w:p>
      <w:pPr>
        <w:spacing w:after="0" w:line="16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month of August 2022</w:t>
      </w:r>
    </w:p>
    <w:p>
      <w:pPr>
        <w:spacing w:after="0" w:line="18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001-40974</w:t>
      </w:r>
    </w:p>
    <w:p>
      <w:pPr>
        <w:spacing w:after="0" w:line="153"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GLOBALFOUNDRIES Inc.</w:t>
      </w:r>
    </w:p>
    <w:p>
      <w:pPr>
        <w:spacing w:after="0" w:line="180"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400 Stonebreak Road Extension</w:t>
      </w:r>
    </w:p>
    <w:p>
      <w:pPr>
        <w:ind w:left="4980"/>
        <w:spacing w:after="0" w:line="205" w:lineRule="auto"/>
        <w:rPr>
          <w:sz w:val="20"/>
          <w:szCs w:val="20"/>
          <w:color w:val="auto"/>
        </w:rPr>
      </w:pPr>
      <w:r>
        <w:rPr>
          <w:rFonts w:ascii="Arial" w:cs="Arial" w:eastAsia="Arial" w:hAnsi="Arial"/>
          <w:sz w:val="18"/>
          <w:szCs w:val="18"/>
          <w:b w:val="1"/>
          <w:bCs w:val="1"/>
          <w:color w:val="auto"/>
        </w:rPr>
        <w:t>Malta, NY 12020</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1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38" w:lineRule="exact"/>
        <w:rPr>
          <w:sz w:val="24"/>
          <w:szCs w:val="24"/>
          <w:color w:val="auto"/>
        </w:rPr>
      </w:pPr>
    </w:p>
    <w:p>
      <w:pPr>
        <w:ind w:left="44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1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are the following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Part I - Financial Information</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0E32E1"/>
                <w:w w:val="93"/>
              </w:rPr>
              <w:t>Exhibit 99.1</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0E32E1"/>
                <w:w w:val="89"/>
              </w:rPr>
              <w:t>Unaudited Interim Condensed Consolidated Financial Statements as of and for the three and six months ended June 30, 2022.</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79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Arial" w:cs="Arial" w:eastAsia="Arial" w:hAnsi="Arial"/>
                <w:sz w:val="18"/>
                <w:szCs w:val="18"/>
                <w:color w:val="0E32E1"/>
                <w:w w:val="93"/>
              </w:rPr>
              <w:t>Exhibit 99.2</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3051F2"/>
                <w:w w:val="90"/>
              </w:rPr>
              <w:t>Management’s Discussion and Analysis of Financial Condition and Results of Operations for the three and six months ended</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794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20" w:type="dxa"/>
            <w:vAlign w:val="bottom"/>
            <w:gridSpan w:val="4"/>
          </w:tcPr>
          <w:p>
            <w:pPr>
              <w:spacing w:after="0" w:line="196" w:lineRule="exact"/>
              <w:rPr>
                <w:sz w:val="20"/>
                <w:szCs w:val="20"/>
                <w:color w:val="auto"/>
              </w:rPr>
            </w:pPr>
            <w:r>
              <w:rPr>
                <w:rFonts w:ascii="Arial" w:cs="Arial" w:eastAsia="Arial" w:hAnsi="Arial"/>
                <w:sz w:val="18"/>
                <w:szCs w:val="18"/>
                <w:color w:val="3051F2"/>
              </w:rPr>
              <w:t>June 30, 2022.</w:t>
            </w:r>
          </w:p>
        </w:tc>
      </w:tr>
      <w:tr>
        <w:trPr>
          <w:trHeight w:val="615"/>
        </w:trPr>
        <w:tc>
          <w:tcPr>
            <w:tcW w:w="1960" w:type="dxa"/>
            <w:vAlign w:val="bottom"/>
            <w:gridSpan w:val="3"/>
          </w:tcPr>
          <w:p>
            <w:pPr>
              <w:spacing w:after="0"/>
              <w:rPr>
                <w:sz w:val="20"/>
                <w:szCs w:val="20"/>
                <w:color w:val="auto"/>
              </w:rPr>
            </w:pPr>
            <w:r>
              <w:rPr>
                <w:rFonts w:ascii="Arial" w:cs="Arial" w:eastAsia="Arial" w:hAnsi="Arial"/>
                <w:sz w:val="18"/>
                <w:szCs w:val="18"/>
                <w:color w:val="auto"/>
                <w:w w:val="95"/>
              </w:rPr>
              <w:t>Part II - Other Information</w:t>
            </w:r>
          </w:p>
        </w:tc>
        <w:tc>
          <w:tcPr>
            <w:tcW w:w="60" w:type="dxa"/>
            <w:vAlign w:val="bottom"/>
          </w:tcPr>
          <w:p>
            <w:pPr>
              <w:spacing w:after="0"/>
              <w:rPr>
                <w:sz w:val="24"/>
                <w:szCs w:val="24"/>
                <w:color w:val="auto"/>
              </w:rPr>
            </w:pPr>
          </w:p>
        </w:tc>
        <w:tc>
          <w:tcPr>
            <w:tcW w:w="860" w:type="dxa"/>
            <w:vAlign w:val="bottom"/>
            <w:tcBorders>
              <w:top w:val="single" w:sz="8" w:color="3051F2"/>
            </w:tcBorders>
          </w:tcPr>
          <w:p>
            <w:pPr>
              <w:spacing w:after="0"/>
              <w:rPr>
                <w:sz w:val="24"/>
                <w:szCs w:val="24"/>
                <w:color w:val="auto"/>
              </w:rPr>
            </w:pPr>
          </w:p>
        </w:tc>
        <w:tc>
          <w:tcPr>
            <w:tcW w:w="180" w:type="dxa"/>
            <w:vAlign w:val="bottom"/>
            <w:tcBorders>
              <w:top w:val="single" w:sz="8" w:color="3051F2"/>
            </w:tcBorders>
          </w:tcPr>
          <w:p>
            <w:pPr>
              <w:spacing w:after="0"/>
              <w:rPr>
                <w:sz w:val="24"/>
                <w:szCs w:val="24"/>
                <w:color w:val="auto"/>
              </w:rPr>
            </w:pPr>
          </w:p>
        </w:tc>
        <w:tc>
          <w:tcPr>
            <w:tcW w:w="7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0000FF"/>
                <w:w w:val="93"/>
              </w:rPr>
              <w:t>Exhibit 99.3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20" w:type="dxa"/>
            <w:vAlign w:val="bottom"/>
            <w:gridSpan w:val="4"/>
          </w:tcPr>
          <w:p>
            <w:pPr>
              <w:spacing w:after="0"/>
              <w:rPr>
                <w:sz w:val="20"/>
                <w:szCs w:val="20"/>
                <w:color w:val="auto"/>
              </w:rPr>
            </w:pPr>
            <w:r>
              <w:rPr>
                <w:rFonts w:ascii="Arial" w:cs="Arial" w:eastAsia="Arial" w:hAnsi="Arial"/>
                <w:sz w:val="18"/>
                <w:szCs w:val="18"/>
                <w:color w:val="0000FF"/>
              </w:rPr>
              <w:t>Risk Factors</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2164715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320" w:type="dxa"/>
            <w:vAlign w:val="bottom"/>
            <w:gridSpan w:val="2"/>
          </w:tcPr>
          <w:p>
            <w:pPr>
              <w:ind w:left="1660"/>
              <w:spacing w:after="0"/>
              <w:rPr>
                <w:sz w:val="20"/>
                <w:szCs w:val="20"/>
                <w:color w:val="auto"/>
              </w:rPr>
            </w:pPr>
            <w:r>
              <w:rPr>
                <w:rFonts w:ascii="Arial" w:cs="Arial" w:eastAsia="Arial" w:hAnsi="Arial"/>
                <w:sz w:val="18"/>
                <w:szCs w:val="18"/>
                <w:b w:val="1"/>
                <w:bCs w:val="1"/>
                <w:color w:val="auto"/>
              </w:rPr>
              <w:t>GLOBALFOUNDRIES Inc.</w:t>
            </w:r>
          </w:p>
        </w:tc>
      </w:tr>
      <w:tr>
        <w:trPr>
          <w:trHeight w:val="567"/>
        </w:trPr>
        <w:tc>
          <w:tcPr>
            <w:tcW w:w="3300" w:type="dxa"/>
            <w:vAlign w:val="bottom"/>
          </w:tcPr>
          <w:p>
            <w:pPr>
              <w:spacing w:after="0"/>
              <w:rPr>
                <w:sz w:val="20"/>
                <w:szCs w:val="20"/>
                <w:color w:val="auto"/>
              </w:rPr>
            </w:pPr>
            <w:r>
              <w:rPr>
                <w:rFonts w:ascii="Arial" w:cs="Arial" w:eastAsia="Arial" w:hAnsi="Arial"/>
                <w:sz w:val="18"/>
                <w:szCs w:val="18"/>
                <w:color w:val="auto"/>
              </w:rPr>
              <w:t>Date: August 19, 2022</w:t>
            </w:r>
          </w:p>
        </w:tc>
        <w:tc>
          <w:tcPr>
            <w:tcW w:w="2640" w:type="dxa"/>
            <w:vAlign w:val="bottom"/>
          </w:tcPr>
          <w:p>
            <w:pPr>
              <w:ind w:left="1660"/>
              <w:spacing w:after="0"/>
              <w:rPr>
                <w:sz w:val="20"/>
                <w:szCs w:val="20"/>
                <w:color w:val="auto"/>
              </w:rPr>
            </w:pPr>
            <w:r>
              <w:rPr>
                <w:rFonts w:ascii="Arial" w:cs="Arial" w:eastAsia="Arial" w:hAnsi="Arial"/>
                <w:sz w:val="18"/>
                <w:szCs w:val="18"/>
                <w:color w:val="auto"/>
              </w:rPr>
              <w:t>By:</w:t>
            </w:r>
          </w:p>
        </w:tc>
        <w:tc>
          <w:tcPr>
            <w:tcW w:w="4680" w:type="dxa"/>
            <w:vAlign w:val="bottom"/>
          </w:tcPr>
          <w:p>
            <w:pPr>
              <w:ind w:left="20"/>
              <w:spacing w:after="0"/>
              <w:rPr>
                <w:sz w:val="20"/>
                <w:szCs w:val="20"/>
                <w:color w:val="auto"/>
              </w:rPr>
            </w:pPr>
            <w:r>
              <w:rPr>
                <w:rFonts w:ascii="Arial" w:cs="Arial" w:eastAsia="Arial" w:hAnsi="Arial"/>
                <w:sz w:val="18"/>
                <w:szCs w:val="18"/>
                <w:color w:val="auto"/>
              </w:rPr>
              <w:t>/s/ Dr. Thomas Caulfield</w:t>
            </w:r>
          </w:p>
        </w:tc>
      </w:tr>
      <w:tr>
        <w:trPr>
          <w:trHeight w:val="41"/>
        </w:trPr>
        <w:tc>
          <w:tcPr>
            <w:tcW w:w="33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237"/>
        </w:trPr>
        <w:tc>
          <w:tcPr>
            <w:tcW w:w="3300" w:type="dxa"/>
            <w:vAlign w:val="bottom"/>
          </w:tcPr>
          <w:p>
            <w:pPr>
              <w:spacing w:after="0"/>
              <w:rPr>
                <w:sz w:val="20"/>
                <w:szCs w:val="20"/>
                <w:color w:val="auto"/>
              </w:rPr>
            </w:pPr>
          </w:p>
        </w:tc>
        <w:tc>
          <w:tcPr>
            <w:tcW w:w="2640" w:type="dxa"/>
            <w:vAlign w:val="bottom"/>
          </w:tcPr>
          <w:p>
            <w:pPr>
              <w:ind w:left="1660"/>
              <w:spacing w:after="0"/>
              <w:rPr>
                <w:sz w:val="20"/>
                <w:szCs w:val="20"/>
                <w:color w:val="auto"/>
              </w:rPr>
            </w:pPr>
            <w:r>
              <w:rPr>
                <w:rFonts w:ascii="Arial" w:cs="Arial" w:eastAsia="Arial" w:hAnsi="Arial"/>
                <w:sz w:val="18"/>
                <w:szCs w:val="18"/>
                <w:color w:val="auto"/>
              </w:rPr>
              <w:t>Name:</w:t>
            </w:r>
          </w:p>
        </w:tc>
        <w:tc>
          <w:tcPr>
            <w:tcW w:w="468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83"/>
        </w:trPr>
        <w:tc>
          <w:tcPr>
            <w:tcW w:w="3300" w:type="dxa"/>
            <w:vAlign w:val="bottom"/>
          </w:tcPr>
          <w:p>
            <w:pPr>
              <w:spacing w:after="0"/>
              <w:rPr>
                <w:sz w:val="24"/>
                <w:szCs w:val="24"/>
                <w:color w:val="auto"/>
              </w:rPr>
            </w:pPr>
          </w:p>
        </w:tc>
        <w:tc>
          <w:tcPr>
            <w:tcW w:w="2640" w:type="dxa"/>
            <w:vAlign w:val="bottom"/>
          </w:tcPr>
          <w:p>
            <w:pPr>
              <w:ind w:left="1660"/>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00" w:type="dxa"/>
            <w:vAlign w:val="bottom"/>
          </w:tcPr>
          <w:p>
            <w:pPr>
              <w:spacing w:after="0"/>
              <w:rPr>
                <w:sz w:val="20"/>
                <w:szCs w:val="20"/>
                <w:color w:val="auto"/>
              </w:rPr>
            </w:pPr>
          </w:p>
        </w:tc>
        <w:tc>
          <w:tcPr>
            <w:tcW w:w="8520" w:type="dxa"/>
            <w:vAlign w:val="bottom"/>
            <w:gridSpan w:val="6"/>
          </w:tcPr>
          <w:p>
            <w:pPr>
              <w:ind w:left="2560"/>
              <w:spacing w:after="0"/>
              <w:rPr>
                <w:sz w:val="20"/>
                <w:szCs w:val="20"/>
                <w:color w:val="auto"/>
              </w:rPr>
            </w:pPr>
            <w:r>
              <w:rPr>
                <w:rFonts w:ascii="Arial" w:cs="Arial" w:eastAsia="Arial" w:hAnsi="Arial"/>
                <w:sz w:val="18"/>
                <w:szCs w:val="18"/>
                <w:color w:val="auto"/>
              </w:rPr>
              <w:t>Unaudited Statements</w:t>
            </w:r>
          </w:p>
        </w:tc>
        <w:tc>
          <w:tcPr>
            <w:tcW w:w="760" w:type="dxa"/>
            <w:vAlign w:val="bottom"/>
            <w:gridSpan w:val="5"/>
          </w:tcPr>
          <w:p>
            <w:pPr>
              <w:ind w:left="34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716"/>
        </w:trPr>
        <w:tc>
          <w:tcPr>
            <w:tcW w:w="8840" w:type="dxa"/>
            <w:vAlign w:val="bottom"/>
            <w:gridSpan w:val="3"/>
          </w:tcPr>
          <w:p>
            <w:pPr>
              <w:spacing w:after="0"/>
              <w:rPr>
                <w:sz w:val="20"/>
                <w:szCs w:val="20"/>
                <w:color w:val="auto"/>
              </w:rPr>
            </w:pPr>
            <w:r>
              <w:rPr>
                <w:rFonts w:ascii="Arial" w:cs="Arial" w:eastAsia="Arial" w:hAnsi="Arial"/>
                <w:sz w:val="18"/>
                <w:szCs w:val="18"/>
                <w:color w:val="0000FF"/>
                <w:w w:val="99"/>
              </w:rPr>
              <w:t>Interim Condensed Consolidated Statements of Financial Position as of June 30, 2022 and December 31, 2021</w:t>
            </w:r>
          </w:p>
        </w:tc>
        <w:tc>
          <w:tcPr>
            <w:tcW w:w="1180" w:type="dxa"/>
            <w:vAlign w:val="bottom"/>
            <w:gridSpan w:val="4"/>
          </w:tcPr>
          <w:p>
            <w:pPr>
              <w:spacing w:after="0"/>
              <w:rPr>
                <w:sz w:val="24"/>
                <w:szCs w:val="24"/>
                <w:color w:val="auto"/>
              </w:rPr>
            </w:pPr>
          </w:p>
        </w:tc>
        <w:tc>
          <w:tcPr>
            <w:tcW w:w="540" w:type="dxa"/>
            <w:vAlign w:val="bottom"/>
            <w:gridSpan w:val="3"/>
          </w:tcPr>
          <w:p>
            <w:pPr>
              <w:spacing w:after="0"/>
              <w:rPr>
                <w:sz w:val="24"/>
                <w:szCs w:val="24"/>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00" w:type="dxa"/>
            <w:vAlign w:val="bottom"/>
            <w:shd w:val="clear" w:color="auto" w:fill="0000FF"/>
          </w:tcPr>
          <w:p>
            <w:pPr>
              <w:spacing w:after="0"/>
              <w:rPr>
                <w:sz w:val="2"/>
                <w:szCs w:val="2"/>
                <w:color w:val="auto"/>
              </w:rPr>
            </w:pPr>
          </w:p>
        </w:tc>
        <w:tc>
          <w:tcPr>
            <w:tcW w:w="3580" w:type="dxa"/>
            <w:vAlign w:val="bottom"/>
            <w:shd w:val="clear" w:color="auto" w:fill="0000FF"/>
          </w:tcPr>
          <w:p>
            <w:pPr>
              <w:spacing w:after="0"/>
              <w:rPr>
                <w:sz w:val="2"/>
                <w:szCs w:val="2"/>
                <w:color w:val="auto"/>
              </w:rPr>
            </w:pPr>
          </w:p>
        </w:tc>
        <w:tc>
          <w:tcPr>
            <w:tcW w:w="376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10020" w:type="dxa"/>
            <w:vAlign w:val="bottom"/>
            <w:gridSpan w:val="7"/>
          </w:tcPr>
          <w:p>
            <w:pPr>
              <w:spacing w:after="0"/>
              <w:rPr>
                <w:sz w:val="20"/>
                <w:szCs w:val="20"/>
                <w:color w:val="auto"/>
              </w:rPr>
            </w:pPr>
            <w:r>
              <w:rPr>
                <w:rFonts w:ascii="Arial" w:cs="Arial" w:eastAsia="Arial" w:hAnsi="Arial"/>
                <w:sz w:val="18"/>
                <w:szCs w:val="18"/>
                <w:color w:val="0000FF"/>
              </w:rPr>
              <w:t>Interim Condensed Consolidated Statements of Operations for the Three and Six Months Ended June 30, 2022 and 2021</w:t>
            </w:r>
          </w:p>
        </w:tc>
        <w:tc>
          <w:tcPr>
            <w:tcW w:w="740" w:type="dxa"/>
            <w:vAlign w:val="bottom"/>
            <w:gridSpan w:val="4"/>
          </w:tcPr>
          <w:p>
            <w:pPr>
              <w:jc w:val="center"/>
              <w:ind w:left="270"/>
              <w:spacing w:after="0"/>
              <w:rPr>
                <w:sz w:val="20"/>
                <w:szCs w:val="20"/>
                <w:color w:val="auto"/>
              </w:rPr>
            </w:pPr>
            <w:r>
              <w:rPr>
                <w:rFonts w:ascii="Arial" w:cs="Arial" w:eastAsia="Arial" w:hAnsi="Arial"/>
                <w:sz w:val="18"/>
                <w:szCs w:val="18"/>
                <w:color w:val="0000FF"/>
                <w:w w:val="99"/>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20" w:type="dxa"/>
            <w:vAlign w:val="bottom"/>
            <w:gridSpan w:val="7"/>
          </w:tcPr>
          <w:p>
            <w:pPr>
              <w:spacing w:after="0"/>
              <w:rPr>
                <w:sz w:val="20"/>
                <w:szCs w:val="20"/>
                <w:color w:val="auto"/>
              </w:rPr>
            </w:pPr>
            <w:r>
              <w:rPr>
                <w:rFonts w:ascii="Arial" w:cs="Arial" w:eastAsia="Arial" w:hAnsi="Arial"/>
                <w:sz w:val="18"/>
                <w:szCs w:val="18"/>
                <w:color w:val="0000FF"/>
              </w:rPr>
              <w:t>Interim Condensed Consolidated Statements of Comprehensive Income (Loss) for the Three and Six Months Ended June</w:t>
            </w:r>
          </w:p>
        </w:tc>
        <w:tc>
          <w:tcPr>
            <w:tcW w:w="740" w:type="dxa"/>
            <w:vAlign w:val="bottom"/>
            <w:gridSpan w:val="4"/>
            <w:vMerge w:val="restart"/>
          </w:tcPr>
          <w:p>
            <w:pPr>
              <w:jc w:val="center"/>
              <w:ind w:left="270"/>
              <w:spacing w:after="0"/>
              <w:rPr>
                <w:sz w:val="20"/>
                <w:szCs w:val="20"/>
                <w:color w:val="auto"/>
              </w:rPr>
            </w:pPr>
            <w:r>
              <w:rPr>
                <w:rFonts w:ascii="Arial" w:cs="Arial" w:eastAsia="Arial" w:hAnsi="Arial"/>
                <w:sz w:val="18"/>
                <w:szCs w:val="18"/>
                <w:color w:val="0000FF"/>
                <w:w w:val="99"/>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6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30, 2022 and 2021</w:t>
            </w:r>
          </w:p>
        </w:tc>
        <w:tc>
          <w:tcPr>
            <w:tcW w:w="360" w:type="dxa"/>
            <w:vAlign w:val="bottom"/>
          </w:tcPr>
          <w:p>
            <w:pPr>
              <w:spacing w:after="0"/>
              <w:rPr>
                <w:sz w:val="17"/>
                <w:szCs w:val="17"/>
                <w:color w:val="auto"/>
              </w:rPr>
            </w:pPr>
          </w:p>
        </w:tc>
        <w:tc>
          <w:tcPr>
            <w:tcW w:w="74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500" w:type="dxa"/>
            <w:vAlign w:val="bottom"/>
            <w:shd w:val="clear" w:color="auto" w:fill="0000FF"/>
          </w:tcPr>
          <w:p>
            <w:pPr>
              <w:spacing w:after="0"/>
              <w:rPr>
                <w:sz w:val="2"/>
                <w:szCs w:val="2"/>
                <w:color w:val="auto"/>
              </w:rPr>
            </w:pPr>
          </w:p>
        </w:tc>
        <w:tc>
          <w:tcPr>
            <w:tcW w:w="35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9360" w:type="dxa"/>
            <w:vAlign w:val="bottom"/>
            <w:gridSpan w:val="4"/>
          </w:tcPr>
          <w:p>
            <w:pPr>
              <w:spacing w:after="0"/>
              <w:rPr>
                <w:sz w:val="20"/>
                <w:szCs w:val="20"/>
                <w:color w:val="auto"/>
              </w:rPr>
            </w:pPr>
            <w:r>
              <w:rPr>
                <w:rFonts w:ascii="Arial" w:cs="Arial" w:eastAsia="Arial" w:hAnsi="Arial"/>
                <w:sz w:val="18"/>
                <w:szCs w:val="18"/>
                <w:color w:val="0000FF"/>
                <w:w w:val="99"/>
              </w:rPr>
              <w:t>Interim Condensed Consolidated Statements of Changes in Equity for the Six Months Ended June 30, 2022 and 2021</w:t>
            </w:r>
          </w:p>
        </w:tc>
        <w:tc>
          <w:tcPr>
            <w:tcW w:w="660" w:type="dxa"/>
            <w:vAlign w:val="bottom"/>
            <w:gridSpan w:val="3"/>
          </w:tcPr>
          <w:p>
            <w:pPr>
              <w:spacing w:after="0"/>
              <w:rPr>
                <w:sz w:val="22"/>
                <w:szCs w:val="22"/>
                <w:color w:val="auto"/>
              </w:rPr>
            </w:pPr>
          </w:p>
        </w:tc>
        <w:tc>
          <w:tcPr>
            <w:tcW w:w="5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40" w:type="dxa"/>
            <w:vAlign w:val="bottom"/>
            <w:gridSpan w:val="3"/>
          </w:tcPr>
          <w:p>
            <w:pPr>
              <w:spacing w:after="0"/>
              <w:rPr>
                <w:sz w:val="20"/>
                <w:szCs w:val="20"/>
                <w:color w:val="auto"/>
              </w:rPr>
            </w:pPr>
            <w:r>
              <w:rPr>
                <w:rFonts w:ascii="Arial" w:cs="Arial" w:eastAsia="Arial" w:hAnsi="Arial"/>
                <w:sz w:val="18"/>
                <w:szCs w:val="18"/>
                <w:color w:val="0000FF"/>
                <w:w w:val="99"/>
              </w:rPr>
              <w:t>Interim Condensed Consolidated Statements of Cash Flows for the Six Months Ended June 30, 2022 and 2021</w:t>
            </w:r>
          </w:p>
        </w:tc>
        <w:tc>
          <w:tcPr>
            <w:tcW w:w="520" w:type="dxa"/>
            <w:vAlign w:val="bottom"/>
          </w:tcPr>
          <w:p>
            <w:pPr>
              <w:spacing w:after="0"/>
              <w:rPr>
                <w:sz w:val="22"/>
                <w:szCs w:val="22"/>
                <w:color w:val="auto"/>
              </w:rPr>
            </w:pPr>
          </w:p>
        </w:tc>
        <w:tc>
          <w:tcPr>
            <w:tcW w:w="660" w:type="dxa"/>
            <w:vAlign w:val="bottom"/>
            <w:gridSpan w:val="3"/>
          </w:tcPr>
          <w:p>
            <w:pPr>
              <w:spacing w:after="0"/>
              <w:rPr>
                <w:sz w:val="22"/>
                <w:szCs w:val="22"/>
                <w:color w:val="auto"/>
              </w:rPr>
            </w:pPr>
          </w:p>
        </w:tc>
        <w:tc>
          <w:tcPr>
            <w:tcW w:w="5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gridSpan w:val="2"/>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80" w:type="dxa"/>
            <w:vAlign w:val="bottom"/>
            <w:gridSpan w:val="2"/>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3760" w:type="dxa"/>
            <w:vAlign w:val="bottom"/>
          </w:tcPr>
          <w:p>
            <w:pPr>
              <w:spacing w:after="0"/>
              <w:rPr>
                <w:sz w:val="22"/>
                <w:szCs w:val="22"/>
                <w:color w:val="auto"/>
              </w:rPr>
            </w:pPr>
          </w:p>
        </w:tc>
        <w:tc>
          <w:tcPr>
            <w:tcW w:w="1180" w:type="dxa"/>
            <w:vAlign w:val="bottom"/>
            <w:gridSpan w:val="4"/>
          </w:tcPr>
          <w:p>
            <w:pPr>
              <w:spacing w:after="0"/>
              <w:rPr>
                <w:sz w:val="22"/>
                <w:szCs w:val="22"/>
                <w:color w:val="auto"/>
              </w:rPr>
            </w:pPr>
          </w:p>
        </w:tc>
        <w:tc>
          <w:tcPr>
            <w:tcW w:w="760" w:type="dxa"/>
            <w:vAlign w:val="bottom"/>
            <w:gridSpan w:val="5"/>
          </w:tcPr>
          <w:p>
            <w:pPr>
              <w:jc w:val="center"/>
              <w:ind w:left="270"/>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17</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340" w:top="9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94" w:right="7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rPr>
          <w:sz w:val="20"/>
          <w:szCs w:val="20"/>
          <w:color w:val="auto"/>
        </w:rPr>
      </w:pPr>
      <w:r>
        <w:rPr>
          <w:rFonts w:ascii="Arial" w:cs="Arial" w:eastAsia="Arial" w:hAnsi="Arial"/>
          <w:sz w:val="16"/>
          <w:szCs w:val="16"/>
          <w:b w:val="1"/>
          <w:bCs w:val="1"/>
          <w:color w:val="auto"/>
        </w:rPr>
        <w:t>AS OF JUNE 30, 2022 AND DECEMBER 31, 2021</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millions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62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prepayments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current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6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979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26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3"/>
        </w:trPr>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76"/>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2,939</w:t>
            </w:r>
          </w:p>
        </w:tc>
      </w:tr>
      <w:tr>
        <w:trPr>
          <w:trHeight w:val="257"/>
        </w:trPr>
        <w:tc>
          <w:tcPr>
            <w:tcW w:w="2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1,191</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1,208</w:t>
            </w:r>
          </w:p>
        </w:tc>
      </w:tr>
      <w:tr>
        <w:trPr>
          <w:trHeight w:val="256"/>
        </w:trPr>
        <w:tc>
          <w:tcPr>
            <w:tcW w:w="2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7"/>
        </w:trPr>
        <w:tc>
          <w:tcPr>
            <w:tcW w:w="2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1,262</w:t>
            </w: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1979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7400" w:space="720"/>
            <w:col w:w="3120"/>
          </w:cols>
          <w:pgMar w:left="320" w:top="94"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5,508</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5,291</w:t>
            </w:r>
          </w:p>
        </w:tc>
      </w:tr>
      <w:tr>
        <w:trPr>
          <w:trHeight w:val="23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assets:</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4"/>
        </w:trPr>
        <w:tc>
          <w:tcPr>
            <w:tcW w:w="81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8,713</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Other noncurrent financial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24"/>
        </w:trPr>
        <w:tc>
          <w:tcPr>
            <w:tcW w:w="812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10,686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9,737</w:t>
            </w:r>
          </w:p>
        </w:tc>
      </w:tr>
      <w:tr>
        <w:trPr>
          <w:trHeight w:val="26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16,194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15,028</w:t>
            </w:r>
          </w:p>
        </w:tc>
      </w:tr>
      <w:tr>
        <w:trPr>
          <w:trHeight w:val="257"/>
        </w:trPr>
        <w:tc>
          <w:tcPr>
            <w:tcW w:w="8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0"/>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2,793</w:t>
            </w:r>
          </w:p>
        </w:tc>
        <w:tc>
          <w:tcPr>
            <w:tcW w:w="8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2,586</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3,313</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3,163</w:t>
            </w:r>
          </w:p>
        </w:tc>
      </w:tr>
      <w:tr>
        <w:trPr>
          <w:trHeight w:val="233"/>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4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4,223</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3,832</w:t>
            </w:r>
          </w:p>
        </w:tc>
      </w:tr>
      <w:tr>
        <w:trPr>
          <w:trHeight w:val="273"/>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7,536</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6,995</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20"/>
              <w:spacing w:after="0"/>
              <w:rPr>
                <w:sz w:val="20"/>
                <w:szCs w:val="20"/>
                <w:color w:val="auto"/>
              </w:rPr>
            </w:pPr>
            <w:r>
              <w:rPr>
                <w:rFonts w:ascii="Arial" w:cs="Arial" w:eastAsia="Arial" w:hAnsi="Arial"/>
                <w:sz w:val="16"/>
                <w:szCs w:val="16"/>
                <w:color w:val="auto"/>
              </w:rPr>
              <w:t>Ordinary shares, $0.02 par value, 540,142 thousand and 531,846 thousand shares issued and outstanding as of</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June 30, 2022 and December 31, 2021</w:t>
            </w: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23,487</w:t>
            </w:r>
          </w:p>
        </w:tc>
      </w:tr>
      <w:tr>
        <w:trPr>
          <w:trHeight w:val="223"/>
        </w:trPr>
        <w:tc>
          <w:tcPr>
            <w:tcW w:w="81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(15,469)</w:t>
            </w:r>
          </w:p>
        </w:tc>
      </w:tr>
      <w:tr>
        <w:trPr>
          <w:trHeight w:val="33"/>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8,607</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7,975</w:t>
            </w:r>
          </w:p>
        </w:tc>
      </w:tr>
      <w:tr>
        <w:trPr>
          <w:trHeight w:val="33"/>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8,658</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8,033</w:t>
            </w: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16,194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INTERIM CONDENSED CONSOLIDATED STATEMENTS OF OPERATIONS FOR THE</w:t>
      </w:r>
    </w:p>
    <w:p>
      <w:pPr>
        <w:spacing w:after="0" w:line="12"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6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24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0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21"/>
                <w:szCs w:val="21"/>
                <w:color w:val="auto"/>
              </w:rPr>
            </w:pPr>
          </w:p>
        </w:tc>
      </w:tr>
      <w:tr>
        <w:trPr>
          <w:trHeight w:val="220"/>
        </w:trPr>
        <w:tc>
          <w:tcPr>
            <w:tcW w:w="47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33"/>
        </w:trPr>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2,708</w:t>
            </w:r>
          </w:p>
        </w:tc>
      </w:tr>
      <w:tr>
        <w:trPr>
          <w:trHeight w:val="33"/>
        </w:trPr>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33"/>
        </w:trPr>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7"/>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241</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485</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r>
      <w:tr>
        <w:trPr>
          <w:trHeight w:val="33"/>
        </w:trPr>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Profit (loss) from operations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Finance expenses, net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profit of joint ventures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Profit (loss) before income taxes</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3"/>
        </w:trPr>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24"/>
        </w:trPr>
        <w:tc>
          <w:tcPr>
            <w:tcW w:w="47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4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r>
      <w:tr>
        <w:trPr>
          <w:trHeight w:val="191"/>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Net earnings (loss) per share attributable to the equity</w:t>
            </w:r>
          </w:p>
        </w:tc>
        <w:tc>
          <w:tcPr>
            <w:tcW w:w="10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holders of the Company:</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4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0.81</w:t>
            </w:r>
          </w:p>
        </w:tc>
        <w:tc>
          <w:tcPr>
            <w:tcW w:w="8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26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45"/>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1"/>
                <w:szCs w:val="21"/>
                <w:color w:val="auto"/>
              </w:rPr>
            </w:pPr>
          </w:p>
        </w:tc>
      </w:tr>
      <w:tr>
        <w:trPr>
          <w:trHeight w:val="220"/>
        </w:trPr>
        <w:tc>
          <w:tcPr>
            <w:tcW w:w="51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3"/>
        </w:trPr>
        <w:tc>
          <w:tcPr>
            <w:tcW w:w="5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0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r>
      <w:tr>
        <w:trPr>
          <w:trHeight w:val="250"/>
        </w:trPr>
        <w:tc>
          <w:tcPr>
            <w:tcW w:w="5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(loss) on investments measured at fair value through other</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Income tax effect</w:t>
            </w:r>
          </w:p>
        </w:tc>
        <w:tc>
          <w:tcPr>
            <w:tcW w:w="10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for the period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r>
      <w:tr>
        <w:trPr>
          <w:trHeight w:val="250"/>
        </w:trPr>
        <w:tc>
          <w:tcPr>
            <w:tcW w:w="5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for the period</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r>
      <w:tr>
        <w:trPr>
          <w:trHeight w:val="33"/>
        </w:trPr>
        <w:tc>
          <w:tcPr>
            <w:tcW w:w="5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 for the period</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33"/>
        </w:trPr>
        <w:tc>
          <w:tcPr>
            <w:tcW w:w="5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(loss) for the period</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(324)</w:t>
            </w:r>
          </w:p>
        </w:tc>
      </w:tr>
      <w:tr>
        <w:trPr>
          <w:trHeight w:val="20"/>
        </w:trPr>
        <w:tc>
          <w:tcPr>
            <w:tcW w:w="5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STATEMENTS OF CHANGES IN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2021 AND 2022</w:t>
      </w:r>
    </w:p>
    <w:p>
      <w:pPr>
        <w:spacing w:after="0" w:line="200" w:lineRule="exact"/>
        <w:rPr>
          <w:sz w:val="20"/>
          <w:szCs w:val="20"/>
          <w:color w:val="auto"/>
        </w:rPr>
      </w:pPr>
    </w:p>
    <w:p>
      <w:pPr>
        <w:spacing w:after="0" w:line="32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Equity Attributable to Shareholders of GLOBALFOUNDRIES Inc.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Foreign</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Currency</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9"/>
              </w:rPr>
              <w:t>Translation</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and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except share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Loan from</w:t>
            </w: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860" w:type="dxa"/>
            <w:vAlign w:val="bottom"/>
            <w:gridSpan w:val="3"/>
          </w:tcPr>
          <w:p>
            <w:pPr>
              <w:ind w:left="80"/>
              <w:spacing w:after="0"/>
              <w:rPr>
                <w:sz w:val="20"/>
                <w:szCs w:val="20"/>
                <w:color w:val="auto"/>
              </w:rPr>
            </w:pPr>
            <w:r>
              <w:rPr>
                <w:rFonts w:ascii="Arial" w:cs="Arial" w:eastAsia="Arial" w:hAnsi="Arial"/>
                <w:sz w:val="16"/>
                <w:szCs w:val="16"/>
                <w:b w:val="1"/>
                <w:bCs w:val="1"/>
                <w:color w:val="auto"/>
              </w:rPr>
              <w:t>Hedging</w:t>
            </w: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20" w:type="dxa"/>
            <w:vAlign w:val="bottom"/>
          </w:tcPr>
          <w:p>
            <w:pPr>
              <w:spacing w:after="0"/>
              <w:rPr>
                <w:sz w:val="17"/>
                <w:szCs w:val="17"/>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w:t>
            </w:r>
          </w:p>
        </w:tc>
      </w:tr>
      <w:tr>
        <w:trPr>
          <w:trHeight w:val="215"/>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amounts)</w:t>
            </w: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Common Shares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Capital</w:t>
            </w:r>
          </w:p>
        </w:tc>
        <w:tc>
          <w:tcPr>
            <w:tcW w:w="1100" w:type="dxa"/>
            <w:vAlign w:val="bottom"/>
            <w:gridSpan w:val="3"/>
          </w:tcPr>
          <w:p>
            <w:pPr>
              <w:ind w:left="40"/>
              <w:spacing w:after="0"/>
              <w:rPr>
                <w:sz w:val="20"/>
                <w:szCs w:val="20"/>
                <w:color w:val="auto"/>
              </w:rPr>
            </w:pPr>
            <w:r>
              <w:rPr>
                <w:rFonts w:ascii="Arial" w:cs="Arial" w:eastAsia="Arial" w:hAnsi="Arial"/>
                <w:sz w:val="16"/>
                <w:szCs w:val="16"/>
                <w:b w:val="1"/>
                <w:bCs w:val="1"/>
                <w:color w:val="auto"/>
              </w:rPr>
              <w:t>Shareholder</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860" w:type="dxa"/>
            <w:vAlign w:val="bottom"/>
            <w:gridSpan w:val="3"/>
          </w:tcPr>
          <w:p>
            <w:pPr>
              <w:ind w:left="80"/>
              <w:spacing w:after="0"/>
              <w:rPr>
                <w:sz w:val="20"/>
                <w:szCs w:val="20"/>
                <w:color w:val="auto"/>
              </w:rPr>
            </w:pPr>
            <w:r>
              <w:rPr>
                <w:rFonts w:ascii="Arial" w:cs="Arial" w:eastAsia="Arial" w:hAnsi="Arial"/>
                <w:sz w:val="16"/>
                <w:szCs w:val="16"/>
                <w:b w:val="1"/>
                <w:bCs w:val="1"/>
                <w:color w:val="auto"/>
              </w:rPr>
              <w:t>Reserve</w:t>
            </w:r>
          </w:p>
        </w:tc>
        <w:tc>
          <w:tcPr>
            <w:tcW w:w="14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Reserves</w:t>
            </w:r>
          </w:p>
        </w:tc>
        <w:tc>
          <w:tcPr>
            <w:tcW w:w="16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15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3"/>
        </w:trPr>
        <w:tc>
          <w:tcPr>
            <w:tcW w:w="1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1"/>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8"/>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500,000,000</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10,681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(15,219)</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7,177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7,242</w:t>
            </w:r>
          </w:p>
        </w:tc>
      </w:tr>
      <w:tr>
        <w:trPr>
          <w:trHeight w:val="223"/>
        </w:trPr>
        <w:tc>
          <w:tcPr>
            <w:tcW w:w="1500" w:type="dxa"/>
            <w:vAlign w:val="bottom"/>
          </w:tcPr>
          <w:p>
            <w:pPr>
              <w:ind w:left="20"/>
              <w:spacing w:after="0"/>
              <w:rPr>
                <w:sz w:val="20"/>
                <w:szCs w:val="20"/>
                <w:color w:val="auto"/>
              </w:rPr>
            </w:pPr>
            <w:r>
              <w:rPr>
                <w:rFonts w:ascii="Arial" w:cs="Arial" w:eastAsia="Arial" w:hAnsi="Arial"/>
                <w:sz w:val="16"/>
                <w:szCs w:val="16"/>
                <w:color w:val="auto"/>
              </w:rPr>
              <w:t>Repayment of loan</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from shareholder</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5"/>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24"/>
        </w:trPr>
        <w:tc>
          <w:tcPr>
            <w:tcW w:w="15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4"/>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5"/>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91"/>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As of June 30,</w:t>
            </w: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r>
        <w:trPr>
          <w:trHeight w:val="215"/>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500,000,000</w:t>
            </w:r>
          </w:p>
        </w:tc>
        <w:tc>
          <w:tcPr>
            <w:tcW w:w="8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11,849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10,555</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(15,518)</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6,871</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6,933</w:t>
            </w:r>
          </w:p>
        </w:tc>
      </w:tr>
      <w:tr>
        <w:trPr>
          <w:trHeight w:val="33"/>
        </w:trPr>
        <w:tc>
          <w:tcPr>
            <w:tcW w:w="1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42"/>
        </w:trPr>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11"/>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As of</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5"/>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531,845,744</w:t>
            </w:r>
          </w:p>
        </w:tc>
        <w:tc>
          <w:tcPr>
            <w:tcW w:w="8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23,487</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(15,469)</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7,975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8,033</w:t>
            </w:r>
          </w:p>
        </w:tc>
      </w:tr>
      <w:tr>
        <w:trPr>
          <w:trHeight w:val="33"/>
        </w:trPr>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3"/>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03"/>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equity</w:t>
            </w: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5"/>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8,296,241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23"/>
        </w:trPr>
        <w:tc>
          <w:tcPr>
            <w:tcW w:w="1500" w:type="dxa"/>
            <w:vAlign w:val="bottom"/>
          </w:tcPr>
          <w:p>
            <w:pPr>
              <w:ind w:left="20"/>
              <w:spacing w:after="0"/>
              <w:rPr>
                <w:sz w:val="20"/>
                <w:szCs w:val="20"/>
                <w:color w:val="auto"/>
              </w:rPr>
            </w:pPr>
            <w:r>
              <w:rPr>
                <w:rFonts w:ascii="Arial" w:cs="Arial" w:eastAsia="Arial" w:hAnsi="Arial"/>
                <w:sz w:val="16"/>
                <w:szCs w:val="16"/>
                <w:color w:val="auto"/>
              </w:rPr>
              <w:t>Share-based</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23"/>
        </w:trPr>
        <w:tc>
          <w:tcPr>
            <w:tcW w:w="1500" w:type="dxa"/>
            <w:vAlign w:val="bottom"/>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comprehensive</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1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1"/>
        </w:trPr>
        <w:tc>
          <w:tcPr>
            <w:tcW w:w="1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28"/>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540,141,985</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8,607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8,658</w:t>
            </w:r>
          </w:p>
        </w:tc>
      </w:tr>
      <w:tr>
        <w:trPr>
          <w:trHeight w:val="20"/>
        </w:trPr>
        <w:tc>
          <w:tcPr>
            <w:tcW w:w="1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2022 AND 2021</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20"/>
        </w:trPr>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33"/>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income taxes paid</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Finance expenses, net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deferred income from government grants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and other payables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1,454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582</w:t>
            </w: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(657)</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intangible assets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Advances and proceeds from sale of property, plant and equipment and intangible assets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investment in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w:t>
            </w:r>
          </w:p>
        </w:tc>
      </w:tr>
      <w:tr>
        <w:trPr>
          <w:trHeight w:val="250"/>
        </w:trPr>
        <w:tc>
          <w:tcPr>
            <w:tcW w:w="79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issuance of equity instruments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shareholder loan</w:t>
            </w: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finance lease obligations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2,474</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805</w:t>
            </w:r>
          </w:p>
        </w:tc>
      </w:tr>
      <w:tr>
        <w:trPr>
          <w:trHeight w:val="33"/>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Amounts payable for property, plant and equipment</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acquired through lease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Amounts payable for intangible assets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4" w:right="3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and Summary of Significant Accounting Policies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Statement of Compliance— </w:t>
      </w:r>
      <w:r>
        <w:rPr>
          <w:rFonts w:ascii="Arial" w:cs="Arial" w:eastAsia="Arial" w:hAnsi="Arial"/>
          <w:sz w:val="16"/>
          <w:szCs w:val="16"/>
          <w:color w:val="auto"/>
        </w:rPr>
        <w:t>The accompanying interim condensed consolidated financial statements have been prepared by management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rules and regulations of the International Financial Reporting Standards (“IFRS”) as issued by the International Accounting Standards Board (“IASB”). The interim condensed consolidated financial statements do not include all the information and disclosures required in the annual consolidated financial statements prepared in accordance with IFRS as issued by the IASB and should be read in conjunction with the Company’s annual consolidated financial statements, included in GLOBALFOUNDRIES' Annual Report on Form 20-F for the year ended December 31, 2021.</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interim condensed consolidated financial statements were authorized by the Audit, Risk and Compliance Committee of GLOBALFOUNDRIES’ Board of Directors on August 19, 2022, to be issued and subsequent events have been evaluated for their potential effect on the interim condensed consolidated financial statements through August 19, 2022.</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Significant Accounting Judgments, Estimates and Assumptions — </w:t>
      </w:r>
      <w:r>
        <w:rPr>
          <w:rFonts w:ascii="Arial" w:cs="Arial" w:eastAsia="Arial" w:hAnsi="Arial"/>
          <w:sz w:val="16"/>
          <w:szCs w:val="16"/>
          <w:color w:val="auto"/>
        </w:rPr>
        <w:t>The preparation of financial statements in accordance with International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(“IAS”) 34, Interim Financial Reporting, requires the use of certain critical accounting estimates. It also requires management to exercise judgment in applying the Company’s accounting policies. In the opinion of management, all adjustments, consisting solely of normal recurring adjustments necessary for a fair presentation of the financial information for the periods indicated, have been included. The results for the three and six month periods ended June 30, 2022, are not necessarily indicative of the results that may be expected for the year ending December 31, 2022.</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auto"/>
        </w:rPr>
        <w:t xml:space="preserve">Change in Presentation — </w:t>
      </w:r>
      <w:r>
        <w:rPr>
          <w:rFonts w:ascii="Arial" w:cs="Arial" w:eastAsia="Arial" w:hAnsi="Arial"/>
          <w:sz w:val="16"/>
          <w:szCs w:val="16"/>
          <w:color w:val="auto"/>
        </w:rPr>
        <w:t>After a review of the Company’s financial statements, certain format changes have been made to the statements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as of December 31, 2021. These format changes include the presentation of the Company’s current assets, noncurrent assets, current liability, noncurrent liability and equity based on degree of liquidity. IAS 1 does not mandate a specific order or classification of accounts on the statement of financial position. This change is not a change in estimate or a change in accounting policy. The format changes did not result in a change to the previously reported financial position.</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Significant Accounting Policies —</w:t>
      </w:r>
      <w:r>
        <w:rPr>
          <w:rFonts w:ascii="Arial" w:cs="Arial" w:eastAsia="Arial" w:hAnsi="Arial"/>
          <w:sz w:val="16"/>
          <w:szCs w:val="16"/>
          <w:color w:val="auto"/>
        </w:rPr>
        <w:t>The accounting policies (including accounting judgements, estimates and assumptions) adopted in the preparation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interim condensed consolidated financial statements are consistent with those followed in the preparation of the Company's annual audited consolidated financial statements contained in our Annual Report on Form 20-F for the year ended December 31, 2021.</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Adopted: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Amendments to IFRS 9, IAS 39, IFRS 7 and IFRS 16 Interest Rate Benchmark Reform (“IBOR reform”)</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Refer to the audited consolidated financial statements included in the Company's Annual Report on Form 20-F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an ongoing basis the Company reviews the categories that best depict how the nature, timing and uncertainty of revenue cash flows are affected by economic factors. The following table presents the Company’s revenue disaggregated based on revenue source and timing of revenue recognition for the three and six month periods ended June 30, 2022 and 2021. The Company believes these categories best depict how the nature, timing and uncertainty of revenue cash flows are affected by economic factors: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2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18"/>
                <w:szCs w:val="18"/>
                <w:color w:val="auto"/>
              </w:rPr>
            </w:pPr>
          </w:p>
        </w:tc>
        <w:tc>
          <w:tcPr>
            <w:tcW w:w="17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w w:val="95"/>
              </w:rPr>
              <w:t>2021</w:t>
            </w: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Type of goods and services:</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fabrication</w:t>
            </w:r>
          </w:p>
        </w:tc>
        <w:tc>
          <w:tcPr>
            <w:tcW w:w="222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1,884</w:t>
            </w:r>
          </w:p>
        </w:tc>
        <w:tc>
          <w:tcPr>
            <w:tcW w:w="8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3,709</w:t>
            </w:r>
          </w:p>
        </w:tc>
        <w:tc>
          <w:tcPr>
            <w:tcW w:w="8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2,855</w:t>
            </w:r>
          </w:p>
        </w:tc>
      </w:tr>
      <w:tr>
        <w:trPr>
          <w:trHeight w:val="33"/>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Engineering and other pre-fabrication services</w:t>
            </w:r>
          </w:p>
        </w:tc>
        <w:tc>
          <w:tcPr>
            <w:tcW w:w="1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7"/>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80" w:type="dxa"/>
            <w:vAlign w:val="bottom"/>
          </w:tcPr>
          <w:p>
            <w:pPr>
              <w:spacing w:after="0"/>
              <w:rPr>
                <w:sz w:val="18"/>
                <w:szCs w:val="18"/>
                <w:color w:val="auto"/>
              </w:rPr>
            </w:pP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1,620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3,933</w:t>
            </w: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3,038</w:t>
            </w: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Timing of revenue recognition:</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24"/>
        </w:trPr>
        <w:tc>
          <w:tcPr>
            <w:tcW w:w="2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3,700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2,867</w:t>
            </w:r>
          </w:p>
        </w:tc>
      </w:tr>
      <w:tr>
        <w:trPr>
          <w:trHeight w:val="3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1,993</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3,038</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Investment in Joint Ventures</w:t>
      </w:r>
    </w:p>
    <w:p>
      <w:pPr>
        <w:sectPr>
          <w:pgSz w:w="11900" w:h="16838" w:orient="portrait"/>
          <w:cols w:equalWidth="0" w:num="1">
            <w:col w:w="11240"/>
          </w:cols>
          <w:pgMar w:left="320" w:top="94" w:right="3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 in investment in joint ventures:</w:t>
      </w:r>
    </w:p>
    <w:p>
      <w:pPr>
        <w:spacing w:after="0" w:line="37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109220</wp:posOffset>
            </wp:positionV>
            <wp:extent cx="67722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2275" cy="171450"/>
                    </a:xfrm>
                    <a:prstGeom prst="rect">
                      <a:avLst/>
                    </a:prstGeom>
                    <a:noFill/>
                  </pic:spPr>
                </pic:pic>
              </a:graphicData>
            </a:graphic>
          </wp:anchor>
        </w:drawing>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Balance, beginning of period</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Share of profits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27940</wp:posOffset>
            </wp:positionV>
            <wp:extent cx="67722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5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Dividends declared during the period</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300" w:type="dxa"/>
            <w:vAlign w:val="bottom"/>
          </w:tcPr>
          <w:p>
            <w:pPr>
              <w:spacing w:after="0"/>
              <w:rPr>
                <w:sz w:val="18"/>
                <w:szCs w:val="18"/>
                <w:color w:val="auto"/>
              </w:rPr>
            </w:pPr>
          </w:p>
        </w:tc>
        <w:tc>
          <w:tcPr>
            <w:tcW w:w="13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33"/>
        </w:trPr>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6"/>
        </w:trPr>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33"/>
        </w:trPr>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600"/>
          </w:cols>
          <w:pgMar w:left="320" w:top="94" w:right="339" w:bottom="1440" w:gutter="0" w:footer="0" w:header="0"/>
          <w:type w:val="continuous"/>
        </w:sectPr>
      </w:pPr>
    </w:p>
    <w:p>
      <w:pPr>
        <w:spacing w:after="0" w:line="1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disposed of its Sensry GmBH joint ventures interest during the second quarter of 2022. The transaction was immaterial to our overall results of operations.</w:t>
      </w:r>
    </w:p>
    <w:p>
      <w:pPr>
        <w:spacing w:after="0" w:line="208"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Company's investment in joint ventures is included in Other noncurrent financial assets in the interim condensed consolidated statements of financial positions.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Income taxes</w:t>
      </w:r>
    </w:p>
    <w:p>
      <w:pPr>
        <w:spacing w:after="0" w:line="29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(provision) benefit for income taxes is due to the effect of the tax rates in the other jurisdictions in which the Company operates.</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effective tax rate for the six months ended June 30, 2022 and 2021 was 11.8% and (11.1)%, respectively. The increase for the six months ended June 30, 2022 compared to the prior year was primarily due to a higher mix of income in jurisdictions with higher tax rates than the Cayman statutory tax rate and incremental withholding taxes incurred.</w:t>
      </w:r>
    </w:p>
    <w:p>
      <w:pPr>
        <w:sectPr>
          <w:pgSz w:w="11900" w:h="16838" w:orient="portrait"/>
          <w:cols w:equalWidth="0" w:num="1">
            <w:col w:w="11240"/>
          </w:cols>
          <w:pgMar w:left="320" w:top="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Earnings (Loss) Per Share</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Basic earnings per share ("EPS") are based upon the weighted average number of common shares outstanding during the period. Diluted earnings per share are based upon the weighted average number of common shares outstanding during the period assuming the issuance of common shares for all potentially dilutive common shares outstanding.</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(loss)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7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jc w:val="right"/>
              <w:ind w:right="341"/>
              <w:spacing w:after="0"/>
              <w:rPr>
                <w:sz w:val="20"/>
                <w:szCs w:val="20"/>
                <w:color w:val="auto"/>
              </w:rPr>
            </w:pPr>
            <w:r>
              <w:rPr>
                <w:rFonts w:ascii="Arial" w:cs="Arial" w:eastAsia="Arial" w:hAnsi="Arial"/>
                <w:sz w:val="16"/>
                <w:szCs w:val="16"/>
                <w:b w:val="1"/>
                <w:bCs w:val="1"/>
                <w:color w:val="auto"/>
              </w:rPr>
              <w:t>Six Months Ended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100" w:type="dxa"/>
            <w:vAlign w:val="bottom"/>
          </w:tcPr>
          <w:p>
            <w:pPr>
              <w:spacing w:after="0"/>
              <w:rPr>
                <w:sz w:val="18"/>
                <w:szCs w:val="18"/>
                <w:color w:val="auto"/>
              </w:rPr>
            </w:pPr>
          </w:p>
        </w:tc>
        <w:tc>
          <w:tcPr>
            <w:tcW w:w="16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gridSpan w:val="4"/>
          </w:tcPr>
          <w:p>
            <w:pPr>
              <w:jc w:val="right"/>
              <w:ind w:right="681"/>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equity shareholders of the</w:t>
            </w: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160"/>
              <w:spacing w:after="0"/>
              <w:rPr>
                <w:sz w:val="20"/>
                <w:szCs w:val="20"/>
                <w:color w:val="auto"/>
              </w:rPr>
            </w:pPr>
            <w:r>
              <w:rPr>
                <w:rFonts w:ascii="Arial" w:cs="Arial" w:eastAsia="Arial" w:hAnsi="Arial"/>
                <w:sz w:val="16"/>
                <w:szCs w:val="16"/>
                <w:color w:val="auto"/>
              </w:rPr>
              <w:t>Basic</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20"/>
              <w:spacing w:after="0"/>
              <w:rPr>
                <w:sz w:val="20"/>
                <w:szCs w:val="20"/>
                <w:color w:val="auto"/>
              </w:rPr>
            </w:pPr>
            <w:r>
              <w:rPr>
                <w:rFonts w:ascii="Arial" w:cs="Arial" w:eastAsia="Arial" w:hAnsi="Arial"/>
                <w:sz w:val="16"/>
                <w:szCs w:val="16"/>
                <w:color w:val="auto"/>
              </w:rPr>
              <w:t>Basic</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676"/>
        </w:trPr>
        <w:tc>
          <w:tcPr>
            <w:tcW w:w="4540" w:type="dxa"/>
            <w:vAlign w:val="bottom"/>
          </w:tcPr>
          <w:p>
            <w:pPr>
              <w:spacing w:after="0"/>
              <w:rPr>
                <w:sz w:val="20"/>
                <w:szCs w:val="20"/>
                <w:color w:val="auto"/>
              </w:rPr>
            </w:pPr>
            <w:r>
              <w:rPr>
                <w:rFonts w:ascii="Arial" w:cs="Arial" w:eastAsia="Arial" w:hAnsi="Arial"/>
                <w:sz w:val="16"/>
                <w:szCs w:val="16"/>
                <w:b w:val="1"/>
                <w:bCs w:val="1"/>
                <w:color w:val="auto"/>
              </w:rPr>
              <w:t>Note 7. Receivables, Prepayments and Other Assets</w:t>
            </w:r>
          </w:p>
        </w:tc>
        <w:tc>
          <w:tcPr>
            <w:tcW w:w="1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45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Unbilled accounts receivable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1,191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1,208</w:t>
            </w: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Advances to suppliers </w:t>
            </w:r>
            <w:r>
              <w:rPr>
                <w:rFonts w:ascii="Arial" w:cs="Arial" w:eastAsia="Arial" w:hAnsi="Arial"/>
                <w:sz w:val="21"/>
                <w:szCs w:val="21"/>
                <w:color w:val="auto"/>
                <w:vertAlign w:val="superscript"/>
              </w:rPr>
              <w:t>(2)</w:t>
            </w:r>
          </w:p>
        </w:tc>
        <w:tc>
          <w:tcPr>
            <w:tcW w:w="1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40" w:type="dxa"/>
            <w:vAlign w:val="bottom"/>
            <w:shd w:val="clear" w:color="auto" w:fill="CCEEFF"/>
          </w:tcPr>
          <w:p>
            <w:pPr>
              <w:jc w:val="right"/>
              <w:ind w:right="88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Non-trade receivables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4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4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firstLine="8"/>
        <w:spacing w:after="0" w:line="260" w:lineRule="auto"/>
        <w:tabs>
          <w:tab w:leader="none" w:pos="251" w:val="left"/>
        </w:tabs>
        <w:numPr>
          <w:ilvl w:val="0"/>
          <w:numId w:val="1"/>
        </w:numPr>
        <w:rPr>
          <w:rFonts w:ascii="Arial" w:cs="Arial" w:eastAsia="Arial" w:hAnsi="Arial"/>
          <w:sz w:val="16"/>
          <w:szCs w:val="16"/>
          <w:color w:val="auto"/>
        </w:rPr>
      </w:pPr>
      <w:r>
        <w:rPr>
          <w:rFonts w:ascii="Arial" w:cs="Arial" w:eastAsia="Arial" w:hAnsi="Arial"/>
          <w:sz w:val="16"/>
          <w:szCs w:val="16"/>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35" w:lineRule="exact"/>
        <w:rPr>
          <w:rFonts w:ascii="Arial" w:cs="Arial" w:eastAsia="Arial" w:hAnsi="Arial"/>
          <w:sz w:val="16"/>
          <w:szCs w:val="16"/>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Primarily represents advances to suppliers to offset against future purchases.</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the activity in the Company’s unbilled accounts receivable for the six months ended June 30, 2022 and the twelve months ended December 31, 2021, respectively:</w:t>
      </w:r>
    </w:p>
    <w:p>
      <w:pPr>
        <w:spacing w:after="0" w:line="200" w:lineRule="exact"/>
        <w:rPr>
          <w:sz w:val="20"/>
          <w:szCs w:val="20"/>
          <w:color w:val="auto"/>
        </w:rPr>
      </w:pPr>
    </w:p>
    <w:p>
      <w:pPr>
        <w:spacing w:after="0" w:line="313" w:lineRule="exact"/>
        <w:rPr>
          <w:sz w:val="20"/>
          <w:szCs w:val="20"/>
          <w:color w:val="auto"/>
        </w:rPr>
      </w:pPr>
    </w:p>
    <w:tbl>
      <w:tblPr>
        <w:tblLayout w:type="fixed"/>
        <w:tblInd w:w="380" w:type="dxa"/>
        <w:tblCellMar>
          <w:top w:w="0" w:type="dxa"/>
          <w:left w:w="0" w:type="dxa"/>
          <w:bottom w:w="0" w:type="dxa"/>
          <w:right w:w="0" w:type="dxa"/>
        </w:tblCellMar>
      </w:tblPr>
      <w:tr>
        <w:trPr>
          <w:trHeight w:val="20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2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33"/>
        </w:trPr>
        <w:tc>
          <w:tcPr>
            <w:tcW w:w="7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3"/>
        </w:trPr>
        <w:tc>
          <w:tcPr>
            <w:tcW w:w="724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7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24"/>
        </w:trPr>
        <w:tc>
          <w:tcPr>
            <w:tcW w:w="7240" w:type="dxa"/>
            <w:vAlign w:val="bottom"/>
          </w:tcPr>
          <w:p>
            <w:pPr>
              <w:ind w:left="6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2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r>
      <w:tr>
        <w:trPr>
          <w:trHeight w:val="20"/>
        </w:trPr>
        <w:tc>
          <w:tcPr>
            <w:tcW w:w="7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Inventories</w:t>
      </w:r>
    </w:p>
    <w:p>
      <w:pPr>
        <w:spacing w:after="0" w:line="2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records inventories at the lower of cost or net realizable value for finished goods, work-in-progress, raw materials, and supplies. The Company makes inventory write-downs on an item-by-item basis, except where it may be appropriate to group similar or related items.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33"/>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Work in progress, net</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1,033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23"/>
        </w:trPr>
        <w:tc>
          <w:tcPr>
            <w:tcW w:w="7780" w:type="dxa"/>
            <w:vAlign w:val="bottom"/>
          </w:tcPr>
          <w:p>
            <w:pPr>
              <w:ind w:left="80"/>
              <w:spacing w:after="0"/>
              <w:rPr>
                <w:sz w:val="20"/>
                <w:szCs w:val="20"/>
                <w:color w:val="auto"/>
              </w:rPr>
            </w:pPr>
            <w:r>
              <w:rPr>
                <w:rFonts w:ascii="Arial" w:cs="Arial" w:eastAsia="Arial" w:hAnsi="Arial"/>
                <w:sz w:val="16"/>
                <w:szCs w:val="16"/>
                <w:color w:val="auto"/>
              </w:rPr>
              <w:t>Raw materials and supplies, net</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1,262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1,121</w:t>
            </w:r>
          </w:p>
        </w:tc>
      </w:tr>
      <w:tr>
        <w:trPr>
          <w:trHeight w:val="20"/>
        </w:trPr>
        <w:tc>
          <w:tcPr>
            <w:tcW w:w="77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Long Term Debt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amounts of the Company’s debt: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600" w:type="dxa"/>
            <w:vAlign w:val="bottom"/>
            <w:gridSpan w:val="2"/>
            <w:vMerge w:val="restart"/>
          </w:tcPr>
          <w:p>
            <w:pPr>
              <w:jc w:val="right"/>
              <w:ind w:right="739"/>
              <w:spacing w:after="0"/>
              <w:rPr>
                <w:sz w:val="20"/>
                <w:szCs w:val="20"/>
                <w:color w:val="auto"/>
              </w:rPr>
            </w:pPr>
            <w:r>
              <w:rPr>
                <w:rFonts w:ascii="Arial" w:cs="Arial" w:eastAsia="Arial" w:hAnsi="Arial"/>
                <w:sz w:val="16"/>
                <w:szCs w:val="16"/>
                <w:b w:val="1"/>
                <w:bCs w:val="1"/>
                <w:color w:val="auto"/>
              </w:rPr>
              <w:t>Year</w:t>
            </w:r>
          </w:p>
        </w:tc>
        <w:tc>
          <w:tcPr>
            <w:tcW w:w="1560" w:type="dxa"/>
            <w:vAlign w:val="bottom"/>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180" w:type="dxa"/>
            <w:vAlign w:val="bottom"/>
            <w:vMerge w:val="restart"/>
          </w:tcPr>
          <w:p>
            <w:pPr>
              <w:jc w:val="center"/>
              <w:ind w:left="79"/>
              <w:spacing w:after="0"/>
              <w:rPr>
                <w:sz w:val="20"/>
                <w:szCs w:val="20"/>
                <w:color w:val="auto"/>
              </w:rPr>
            </w:pPr>
            <w:r>
              <w:rPr>
                <w:rFonts w:ascii="Arial" w:cs="Arial" w:eastAsia="Arial" w:hAnsi="Arial"/>
                <w:sz w:val="16"/>
                <w:szCs w:val="16"/>
                <w:b w:val="1"/>
                <w:bCs w:val="1"/>
                <w:color w:val="auto"/>
                <w:w w:val="99"/>
              </w:rPr>
              <w:t>Currency</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Rate</w:t>
            </w:r>
          </w:p>
        </w:tc>
        <w:tc>
          <w:tcPr>
            <w:tcW w:w="160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of Maturity</w:t>
            </w: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4"/>
          </w:tcPr>
          <w:p>
            <w:pPr>
              <w:jc w:val="right"/>
              <w:ind w:right="14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 Tool Equipment Purchase and Lease</w:t>
            </w:r>
          </w:p>
        </w:tc>
        <w:tc>
          <w:tcPr>
            <w:tcW w:w="1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3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Financing</w:t>
            </w:r>
          </w:p>
        </w:tc>
        <w:tc>
          <w:tcPr>
            <w:tcW w:w="1180" w:type="dxa"/>
            <w:vAlign w:val="bottom"/>
            <w:vMerge w:val="restart"/>
            <w:shd w:val="clear" w:color="auto" w:fill="CCEEFF"/>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LIBOR + 1.60%</w:t>
            </w:r>
          </w:p>
        </w:tc>
        <w:tc>
          <w:tcPr>
            <w:tcW w:w="124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21"/>
        </w:trPr>
        <w:tc>
          <w:tcPr>
            <w:tcW w:w="3360" w:type="dxa"/>
            <w:vAlign w:val="bottom"/>
            <w:tcBorders>
              <w:bottom w:val="single" w:sz="8" w:color="CCEEFF"/>
            </w:tcBorders>
            <w:vMerge w:val="continue"/>
            <w:shd w:val="clear" w:color="auto" w:fill="CCEEFF"/>
          </w:tcPr>
          <w:p>
            <w:pPr>
              <w:spacing w:after="0"/>
              <w:rPr>
                <w:sz w:val="10"/>
                <w:szCs w:val="10"/>
                <w:color w:val="auto"/>
              </w:rPr>
            </w:pPr>
          </w:p>
        </w:tc>
        <w:tc>
          <w:tcPr>
            <w:tcW w:w="1180" w:type="dxa"/>
            <w:vAlign w:val="bottom"/>
            <w:tcBorders>
              <w:bottom w:val="single" w:sz="8" w:color="CCEEFF"/>
            </w:tcBorders>
            <w:vMerge w:val="continue"/>
            <w:shd w:val="clear" w:color="auto" w:fill="CCEEFF"/>
          </w:tcPr>
          <w:p>
            <w:pPr>
              <w:spacing w:after="0"/>
              <w:rPr>
                <w:sz w:val="10"/>
                <w:szCs w:val="10"/>
                <w:color w:val="auto"/>
              </w:rPr>
            </w:pPr>
          </w:p>
        </w:tc>
        <w:tc>
          <w:tcPr>
            <w:tcW w:w="1500" w:type="dxa"/>
            <w:vAlign w:val="bottom"/>
            <w:tcBorders>
              <w:bottom w:val="single" w:sz="8" w:color="CCEEFF"/>
            </w:tcBorders>
            <w:vMerge w:val="continue"/>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6"/>
                <w:szCs w:val="16"/>
                <w:color w:val="auto"/>
              </w:rPr>
              <w:t>2019 Tool Equipment Purchase and Lease</w:t>
            </w: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vMerge w:val="restart"/>
          </w:tcPr>
          <w:p>
            <w:pPr>
              <w:jc w:val="right"/>
              <w:ind w:right="359"/>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3360" w:type="dxa"/>
            <w:vAlign w:val="bottom"/>
            <w:vMerge w:val="restart"/>
          </w:tcPr>
          <w:p>
            <w:pPr>
              <w:ind w:left="20"/>
              <w:spacing w:after="0"/>
              <w:rPr>
                <w:sz w:val="20"/>
                <w:szCs w:val="20"/>
                <w:color w:val="auto"/>
              </w:rPr>
            </w:pPr>
            <w:r>
              <w:rPr>
                <w:rFonts w:ascii="Arial" w:cs="Arial" w:eastAsia="Arial" w:hAnsi="Arial"/>
                <w:sz w:val="16"/>
                <w:szCs w:val="16"/>
                <w:color w:val="auto"/>
              </w:rPr>
              <w:t>Financing</w:t>
            </w:r>
          </w:p>
        </w:tc>
        <w:tc>
          <w:tcPr>
            <w:tcW w:w="1180" w:type="dxa"/>
            <w:vAlign w:val="bottom"/>
            <w:vMerge w:val="restart"/>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rPr>
              <w:t>LIBOR + 1.75%</w:t>
            </w:r>
          </w:p>
        </w:tc>
        <w:tc>
          <w:tcPr>
            <w:tcW w:w="12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USD Dresden Equipment Financing</w:t>
            </w:r>
          </w:p>
        </w:tc>
        <w:tc>
          <w:tcPr>
            <w:tcW w:w="11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LIBOR + 1.75%</w:t>
            </w:r>
          </w:p>
        </w:tc>
        <w:tc>
          <w:tcPr>
            <w:tcW w:w="12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2024</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180" w:type="dxa"/>
            <w:vAlign w:val="bottom"/>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tcPr>
          <w:p>
            <w:pPr>
              <w:jc w:val="center"/>
              <w:spacing w:after="0"/>
              <w:rPr>
                <w:sz w:val="20"/>
                <w:szCs w:val="20"/>
                <w:color w:val="auto"/>
              </w:rPr>
            </w:pPr>
            <w:r>
              <w:rPr>
                <w:rFonts w:ascii="Arial" w:cs="Arial" w:eastAsia="Arial" w:hAnsi="Arial"/>
                <w:sz w:val="16"/>
                <w:szCs w:val="16"/>
                <w:color w:val="auto"/>
              </w:rPr>
              <w:t>LIBOR + 1.90%</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2025</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1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EURIBOR + 1.75%</w:t>
            </w:r>
          </w:p>
        </w:tc>
        <w:tc>
          <w:tcPr>
            <w:tcW w:w="12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2026</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6"/>
                <w:szCs w:val="16"/>
                <w:color w:val="auto"/>
              </w:rPr>
              <w:t>Various</w:t>
            </w:r>
          </w:p>
        </w:tc>
        <w:tc>
          <w:tcPr>
            <w:tcW w:w="1180" w:type="dxa"/>
            <w:vAlign w:val="bottom"/>
          </w:tcPr>
          <w:p>
            <w:pPr>
              <w:jc w:val="center"/>
              <w:ind w:left="79"/>
              <w:spacing w:after="0"/>
              <w:rPr>
                <w:sz w:val="20"/>
                <w:szCs w:val="20"/>
                <w:color w:val="auto"/>
              </w:rPr>
            </w:pPr>
            <w:r>
              <w:rPr>
                <w:rFonts w:ascii="Arial" w:cs="Arial" w:eastAsia="Arial" w:hAnsi="Arial"/>
                <w:sz w:val="16"/>
                <w:szCs w:val="16"/>
                <w:color w:val="auto"/>
              </w:rPr>
              <w:t>EUR, USD</w:t>
            </w:r>
          </w:p>
        </w:tc>
        <w:tc>
          <w:tcPr>
            <w:tcW w:w="1500" w:type="dxa"/>
            <w:vAlign w:val="bottom"/>
          </w:tcPr>
          <w:p>
            <w:pPr>
              <w:jc w:val="center"/>
              <w:spacing w:after="0"/>
              <w:rPr>
                <w:sz w:val="20"/>
                <w:szCs w:val="20"/>
                <w:color w:val="auto"/>
              </w:rPr>
            </w:pPr>
            <w:r>
              <w:rPr>
                <w:rFonts w:ascii="Arial" w:cs="Arial" w:eastAsia="Arial" w:hAnsi="Arial"/>
                <w:sz w:val="16"/>
                <w:szCs w:val="16"/>
                <w:color w:val="auto"/>
                <w:w w:val="95"/>
              </w:rPr>
              <w:t>Various</w:t>
            </w:r>
          </w:p>
        </w:tc>
        <w:tc>
          <w:tcPr>
            <w:tcW w:w="1240" w:type="dxa"/>
            <w:vAlign w:val="bottom"/>
          </w:tcPr>
          <w:p>
            <w:pPr>
              <w:jc w:val="right"/>
              <w:ind w:right="379"/>
              <w:spacing w:after="0"/>
              <w:rPr>
                <w:sz w:val="20"/>
                <w:szCs w:val="20"/>
                <w:color w:val="auto"/>
              </w:rPr>
            </w:pPr>
            <w:r>
              <w:rPr>
                <w:rFonts w:ascii="Arial" w:cs="Arial" w:eastAsia="Arial" w:hAnsi="Arial"/>
                <w:sz w:val="16"/>
                <w:szCs w:val="16"/>
                <w:color w:val="auto"/>
              </w:rPr>
              <w:t>2024,2026</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3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total</w:t>
            </w:r>
          </w:p>
        </w:tc>
        <w:tc>
          <w:tcPr>
            <w:tcW w:w="1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Tool Equipment Purchase and Lease</w:t>
            </w:r>
          </w:p>
        </w:tc>
        <w:tc>
          <w:tcPr>
            <w:tcW w:w="1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LIBOR + 1.75%</w:t>
            </w:r>
          </w:p>
        </w:tc>
        <w:tc>
          <w:tcPr>
            <w:tcW w:w="12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2024</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Financing</w:t>
            </w:r>
          </w:p>
        </w:tc>
        <w:tc>
          <w:tcPr>
            <w:tcW w:w="1180" w:type="dxa"/>
            <w:vAlign w:val="bottom"/>
            <w:vMerge w:val="restart"/>
            <w:shd w:val="clear" w:color="auto" w:fill="CCEEFF"/>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21"/>
        </w:trPr>
        <w:tc>
          <w:tcPr>
            <w:tcW w:w="3360" w:type="dxa"/>
            <w:vAlign w:val="bottom"/>
            <w:tcBorders>
              <w:bottom w:val="single" w:sz="8" w:color="CCEEFF"/>
            </w:tcBorders>
            <w:vMerge w:val="continue"/>
            <w:shd w:val="clear" w:color="auto" w:fill="CCEEFF"/>
          </w:tcPr>
          <w:p>
            <w:pPr>
              <w:spacing w:after="0"/>
              <w:rPr>
                <w:sz w:val="10"/>
                <w:szCs w:val="10"/>
                <w:color w:val="auto"/>
              </w:rPr>
            </w:pPr>
          </w:p>
        </w:tc>
        <w:tc>
          <w:tcPr>
            <w:tcW w:w="1180" w:type="dxa"/>
            <w:vAlign w:val="bottom"/>
            <w:tcBorders>
              <w:bottom w:val="single" w:sz="8" w:color="CCEEFF"/>
            </w:tcBorders>
            <w:vMerge w:val="continue"/>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5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6"/>
                <w:szCs w:val="16"/>
                <w:color w:val="auto"/>
              </w:rPr>
              <w:t>2019 USD Dresden Equipment Financing</w:t>
            </w:r>
          </w:p>
        </w:tc>
        <w:tc>
          <w:tcPr>
            <w:tcW w:w="1180" w:type="dxa"/>
            <w:vAlign w:val="bottom"/>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tcPr>
          <w:p>
            <w:pPr>
              <w:jc w:val="center"/>
              <w:spacing w:after="0"/>
              <w:rPr>
                <w:sz w:val="20"/>
                <w:szCs w:val="20"/>
                <w:color w:val="auto"/>
              </w:rPr>
            </w:pPr>
            <w:r>
              <w:rPr>
                <w:rFonts w:ascii="Arial" w:cs="Arial" w:eastAsia="Arial" w:hAnsi="Arial"/>
                <w:sz w:val="16"/>
                <w:szCs w:val="16"/>
                <w:color w:val="auto"/>
              </w:rPr>
              <w:t>LIBOR + 1.75%</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USD Equipment Financing</w:t>
            </w:r>
          </w:p>
        </w:tc>
        <w:tc>
          <w:tcPr>
            <w:tcW w:w="11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LIBOR + 1.90%</w:t>
            </w:r>
          </w:p>
        </w:tc>
        <w:tc>
          <w:tcPr>
            <w:tcW w:w="12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2025</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80" w:type="dxa"/>
            <w:vAlign w:val="bottom"/>
          </w:tcPr>
          <w:p>
            <w:pPr>
              <w:jc w:val="center"/>
              <w:ind w:left="79"/>
              <w:spacing w:after="0"/>
              <w:rPr>
                <w:sz w:val="20"/>
                <w:szCs w:val="20"/>
                <w:color w:val="auto"/>
              </w:rPr>
            </w:pPr>
            <w:r>
              <w:rPr>
                <w:rFonts w:ascii="Arial" w:cs="Arial" w:eastAsia="Arial" w:hAnsi="Arial"/>
                <w:sz w:val="16"/>
                <w:szCs w:val="16"/>
                <w:color w:val="auto"/>
              </w:rPr>
              <w:t>USD</w:t>
            </w:r>
          </w:p>
        </w:tc>
        <w:tc>
          <w:tcPr>
            <w:tcW w:w="1500" w:type="dxa"/>
            <w:vAlign w:val="bottom"/>
          </w:tcPr>
          <w:p>
            <w:pPr>
              <w:jc w:val="center"/>
              <w:spacing w:after="0"/>
              <w:rPr>
                <w:sz w:val="20"/>
                <w:szCs w:val="20"/>
                <w:color w:val="auto"/>
              </w:rPr>
            </w:pPr>
            <w:r>
              <w:rPr>
                <w:rFonts w:ascii="Arial" w:cs="Arial" w:eastAsia="Arial" w:hAnsi="Arial"/>
                <w:sz w:val="16"/>
                <w:szCs w:val="16"/>
                <w:color w:val="auto"/>
              </w:rPr>
              <w:t>LIBOR + 2.90%</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2025</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EUR Term Loan A</w:t>
            </w:r>
          </w:p>
        </w:tc>
        <w:tc>
          <w:tcPr>
            <w:tcW w:w="11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rPr>
              <w:t>EUR</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EURIBOR + 2.60%</w:t>
            </w:r>
          </w:p>
        </w:tc>
        <w:tc>
          <w:tcPr>
            <w:tcW w:w="12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2025</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6"/>
                <w:szCs w:val="16"/>
                <w:color w:val="auto"/>
              </w:rPr>
              <w:t>2019 EUR Dresden Equipment Financing</w:t>
            </w:r>
          </w:p>
        </w:tc>
        <w:tc>
          <w:tcPr>
            <w:tcW w:w="1180" w:type="dxa"/>
            <w:vAlign w:val="bottom"/>
          </w:tcPr>
          <w:p>
            <w:pPr>
              <w:jc w:val="center"/>
              <w:ind w:left="79"/>
              <w:spacing w:after="0"/>
              <w:rPr>
                <w:sz w:val="20"/>
                <w:szCs w:val="20"/>
                <w:color w:val="auto"/>
              </w:rPr>
            </w:pPr>
            <w:r>
              <w:rPr>
                <w:rFonts w:ascii="Arial" w:cs="Arial" w:eastAsia="Arial" w:hAnsi="Arial"/>
                <w:sz w:val="16"/>
                <w:szCs w:val="16"/>
                <w:color w:val="auto"/>
              </w:rPr>
              <w:t>EUR</w:t>
            </w:r>
          </w:p>
        </w:tc>
        <w:tc>
          <w:tcPr>
            <w:tcW w:w="1500" w:type="dxa"/>
            <w:vAlign w:val="bottom"/>
          </w:tcPr>
          <w:p>
            <w:pPr>
              <w:jc w:val="center"/>
              <w:spacing w:after="0"/>
              <w:rPr>
                <w:sz w:val="20"/>
                <w:szCs w:val="20"/>
                <w:color w:val="auto"/>
              </w:rPr>
            </w:pPr>
            <w:r>
              <w:rPr>
                <w:rFonts w:ascii="Arial" w:cs="Arial" w:eastAsia="Arial" w:hAnsi="Arial"/>
                <w:sz w:val="16"/>
                <w:szCs w:val="16"/>
                <w:color w:val="auto"/>
              </w:rPr>
              <w:t>EURIBOR + 1.75%</w:t>
            </w:r>
          </w:p>
        </w:tc>
        <w:tc>
          <w:tcPr>
            <w:tcW w:w="1240" w:type="dxa"/>
            <w:vAlign w:val="bottom"/>
          </w:tcPr>
          <w:p>
            <w:pPr>
              <w:jc w:val="right"/>
              <w:ind w:right="359"/>
              <w:spacing w:after="0"/>
              <w:rPr>
                <w:sz w:val="20"/>
                <w:szCs w:val="20"/>
                <w:color w:val="auto"/>
              </w:rPr>
            </w:pPr>
            <w:r>
              <w:rPr>
                <w:rFonts w:ascii="Arial" w:cs="Arial" w:eastAsia="Arial" w:hAnsi="Arial"/>
                <w:sz w:val="16"/>
                <w:szCs w:val="16"/>
                <w:color w:val="auto"/>
              </w:rPr>
              <w:t>2026</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 SGD EDB Loan</w:t>
            </w:r>
          </w:p>
        </w:tc>
        <w:tc>
          <w:tcPr>
            <w:tcW w:w="11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97"/>
              </w:rPr>
              <w:t>SGD</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1.40%</w:t>
            </w:r>
          </w:p>
        </w:tc>
        <w:tc>
          <w:tcPr>
            <w:tcW w:w="12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2041</w:t>
            </w: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180" w:type="dxa"/>
            <w:vAlign w:val="bottom"/>
          </w:tcPr>
          <w:p>
            <w:pPr>
              <w:jc w:val="center"/>
              <w:ind w:left="79"/>
              <w:spacing w:after="0"/>
              <w:rPr>
                <w:sz w:val="20"/>
                <w:szCs w:val="20"/>
                <w:color w:val="auto"/>
              </w:rPr>
            </w:pPr>
            <w:r>
              <w:rPr>
                <w:rFonts w:ascii="Arial" w:cs="Arial" w:eastAsia="Arial" w:hAnsi="Arial"/>
                <w:sz w:val="16"/>
                <w:szCs w:val="16"/>
                <w:color w:val="auto"/>
              </w:rPr>
              <w:t>EUR, USD,</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auto"/>
                <w:w w:val="95"/>
              </w:rPr>
              <w:t>Various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360" w:type="dxa"/>
            <w:vAlign w:val="bottom"/>
            <w:vMerge w:val="restart"/>
          </w:tcPr>
          <w:p>
            <w:pPr>
              <w:ind w:left="20"/>
              <w:spacing w:after="0"/>
              <w:rPr>
                <w:sz w:val="20"/>
                <w:szCs w:val="20"/>
                <w:color w:val="auto"/>
              </w:rPr>
            </w:pPr>
            <w:r>
              <w:rPr>
                <w:rFonts w:ascii="Arial" w:cs="Arial" w:eastAsia="Arial" w:hAnsi="Arial"/>
                <w:sz w:val="16"/>
                <w:szCs w:val="16"/>
                <w:color w:val="auto"/>
              </w:rPr>
              <w:t>Various</w:t>
            </w:r>
          </w:p>
        </w:tc>
        <w:tc>
          <w:tcPr>
            <w:tcW w:w="1180" w:type="dxa"/>
            <w:vAlign w:val="bottom"/>
            <w:vMerge w:val="restart"/>
          </w:tcPr>
          <w:p>
            <w:pPr>
              <w:jc w:val="center"/>
              <w:ind w:left="79"/>
              <w:spacing w:after="0"/>
              <w:rPr>
                <w:sz w:val="20"/>
                <w:szCs w:val="20"/>
                <w:color w:val="auto"/>
              </w:rPr>
            </w:pPr>
            <w:r>
              <w:rPr>
                <w:rFonts w:ascii="Arial" w:cs="Arial" w:eastAsia="Arial" w:hAnsi="Arial"/>
                <w:sz w:val="16"/>
                <w:szCs w:val="16"/>
                <w:color w:val="auto"/>
                <w:w w:val="97"/>
              </w:rPr>
              <w:t>SGD</w:t>
            </w:r>
          </w:p>
        </w:tc>
        <w:tc>
          <w:tcPr>
            <w:tcW w:w="1500" w:type="dxa"/>
            <w:vAlign w:val="bottom"/>
            <w:vMerge w:val="continue"/>
          </w:tcPr>
          <w:p>
            <w:pPr>
              <w:spacing w:after="0"/>
              <w:rPr>
                <w:sz w:val="8"/>
                <w:szCs w:val="8"/>
                <w:color w:val="auto"/>
              </w:rPr>
            </w:pPr>
          </w:p>
        </w:tc>
        <w:tc>
          <w:tcPr>
            <w:tcW w:w="1240" w:type="dxa"/>
            <w:vAlign w:val="bottom"/>
            <w:vMerge w:val="restart"/>
          </w:tcPr>
          <w:p>
            <w:pPr>
              <w:jc w:val="right"/>
              <w:ind w:right="359"/>
              <w:spacing w:after="0"/>
              <w:rPr>
                <w:sz w:val="20"/>
                <w:szCs w:val="20"/>
                <w:color w:val="auto"/>
              </w:rPr>
            </w:pPr>
            <w:r>
              <w:rPr>
                <w:rFonts w:ascii="Arial" w:cs="Arial" w:eastAsia="Arial" w:hAnsi="Arial"/>
                <w:sz w:val="16"/>
                <w:szCs w:val="16"/>
                <w:color w:val="auto"/>
              </w:rPr>
              <w:t>2024-2027</w:t>
            </w:r>
          </w:p>
        </w:tc>
        <w:tc>
          <w:tcPr>
            <w:tcW w:w="360" w:type="dxa"/>
            <w:vAlign w:val="bottom"/>
          </w:tcPr>
          <w:p>
            <w:pPr>
              <w:spacing w:after="0"/>
              <w:rPr>
                <w:sz w:val="8"/>
                <w:szCs w:val="8"/>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6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3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total</w:t>
            </w:r>
          </w:p>
        </w:tc>
        <w:tc>
          <w:tcPr>
            <w:tcW w:w="1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1,716</w:t>
            </w:r>
          </w:p>
        </w:tc>
        <w:tc>
          <w:tcPr>
            <w:tcW w:w="0" w:type="dxa"/>
            <w:vAlign w:val="bottom"/>
          </w:tcPr>
          <w:p>
            <w:pPr>
              <w:spacing w:after="0"/>
              <w:rPr>
                <w:sz w:val="1"/>
                <w:szCs w:val="1"/>
                <w:color w:val="auto"/>
              </w:rPr>
            </w:pPr>
          </w:p>
        </w:tc>
      </w:tr>
      <w:tr>
        <w:trPr>
          <w:trHeight w:val="217"/>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33"/>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7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SGD EDB Loan</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color w:val="auto"/>
              </w:rPr>
              <w:t>Citibank Revolving Credit Facility</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33"/>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Societe Generale Singapore Revolving Credit Facility</w:t>
            </w:r>
            <w:r>
              <w:rPr>
                <w:rFonts w:ascii="Arial" w:cs="Arial" w:eastAsia="Arial" w:hAnsi="Arial"/>
                <w:sz w:val="21"/>
                <w:szCs w:val="21"/>
                <w:color w:val="auto"/>
                <w:vertAlign w:val="superscript"/>
              </w:rPr>
              <w:t>(1)</w:t>
            </w:r>
          </w:p>
        </w:tc>
        <w:tc>
          <w:tcPr>
            <w:tcW w:w="1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4"/>
        </w:trPr>
        <w:tc>
          <w:tcPr>
            <w:tcW w:w="7920" w:type="dxa"/>
            <w:vAlign w:val="bottom"/>
          </w:tcPr>
          <w:p>
            <w:pPr>
              <w:ind w:left="20"/>
              <w:spacing w:after="0"/>
              <w:rPr>
                <w:sz w:val="20"/>
                <w:szCs w:val="20"/>
                <w:color w:val="auto"/>
              </w:rPr>
            </w:pPr>
            <w:r>
              <w:rPr>
                <w:rFonts w:ascii="Arial" w:cs="Arial" w:eastAsia="Arial" w:hAnsi="Arial"/>
                <w:sz w:val="16"/>
                <w:szCs w:val="16"/>
                <w:color w:val="auto"/>
              </w:rPr>
              <w:t>Societe Generale Singapore Factoring</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7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1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4"/>
              </w:rPr>
              <w:t>1,593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2,145</w:t>
            </w:r>
          </w:p>
        </w:tc>
      </w:tr>
      <w:tr>
        <w:trPr>
          <w:trHeight w:val="33"/>
        </w:trPr>
        <w:tc>
          <w:tcPr>
            <w:tcW w:w="7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(1) subject to lender approval before draw-down or being usable.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Related Party Disclosures</w:t>
      </w: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relates to Silicon Manufacturing Partners Pte Ltd. ("SMP"). SMP is a joint venture with LSI Technology (Singapore) Pte. Ltd. The Company holds a 49% interest in SMP and manages all aspects of its manufacturing operations. The total amounts of $9 million and $8 million due from related parties as of June 30, 2022 and December 31, 2021, respectively, have been included in receivables, prepayments and other assets (see Note 7). The $10 million and $9 million due to related parties balance as of June 30, 2022 and December 31, 2021, respectively, have been included in trade and other payables.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 and comprehensive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9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20" w:type="dxa"/>
            <w:vAlign w:val="bottom"/>
          </w:tcPr>
          <w:p>
            <w:pPr>
              <w:spacing w:after="0"/>
              <w:rPr>
                <w:sz w:val="17"/>
                <w:szCs w:val="17"/>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8"/>
                <w:szCs w:val="18"/>
                <w:color w:val="auto"/>
              </w:rPr>
            </w:pPr>
          </w:p>
        </w:tc>
        <w:tc>
          <w:tcPr>
            <w:tcW w:w="178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ind w:right="579"/>
              <w:spacing w:after="0"/>
              <w:rPr>
                <w:sz w:val="20"/>
                <w:szCs w:val="20"/>
                <w:color w:val="auto"/>
              </w:rPr>
            </w:pPr>
            <w:r>
              <w:rPr>
                <w:rFonts w:ascii="Arial" w:cs="Arial" w:eastAsia="Arial" w:hAnsi="Arial"/>
                <w:sz w:val="16"/>
                <w:szCs w:val="16"/>
                <w:b w:val="1"/>
                <w:bCs w:val="1"/>
                <w:color w:val="auto"/>
                <w:w w:val="95"/>
              </w:rPr>
              <w:t>2021</w:t>
            </w:r>
          </w:p>
        </w:tc>
      </w:tr>
      <w:tr>
        <w:trPr>
          <w:trHeight w:val="33"/>
        </w:trPr>
        <w:tc>
          <w:tcPr>
            <w:tcW w:w="43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4"/>
        </w:trPr>
        <w:tc>
          <w:tcPr>
            <w:tcW w:w="4360" w:type="dxa"/>
            <w:vAlign w:val="bottom"/>
          </w:tcPr>
          <w:p>
            <w:pPr>
              <w:ind w:left="20"/>
              <w:spacing w:after="0"/>
              <w:rPr>
                <w:sz w:val="20"/>
                <w:szCs w:val="20"/>
                <w:color w:val="auto"/>
              </w:rPr>
            </w:pPr>
            <w:r>
              <w:rPr>
                <w:rFonts w:ascii="Arial" w:cs="Arial" w:eastAsia="Arial" w:hAnsi="Arial"/>
                <w:sz w:val="16"/>
                <w:szCs w:val="16"/>
                <w:color w:val="auto"/>
              </w:rPr>
              <w:t>SMP</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0"/>
        </w:trPr>
        <w:tc>
          <w:tcPr>
            <w:tcW w:w="43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4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55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 of tools) $</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4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 Purchases from SMP were primarily comprised of wafer purchases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20"/>
                <w:szCs w:val="20"/>
                <w:color w:val="auto"/>
              </w:rPr>
            </w:pPr>
            <w:r>
              <w:rPr>
                <w:rFonts w:ascii="Arial" w:cs="Arial" w:eastAsia="Arial" w:hAnsi="Arial"/>
                <w:sz w:val="16"/>
                <w:szCs w:val="16"/>
                <w:b w:val="1"/>
                <w:bCs w:val="1"/>
                <w:color w:val="auto"/>
              </w:rPr>
              <w:t>Note 11. Commitments and Contingencies</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7660" w:type="dxa"/>
            <w:vAlign w:val="bottom"/>
          </w:tcPr>
          <w:p>
            <w:pPr>
              <w:spacing w:after="0"/>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Company’s unconditional purchase commitments are as follows: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07"/>
        </w:trPr>
        <w:tc>
          <w:tcPr>
            <w:tcW w:w="7660" w:type="dxa"/>
            <w:vAlign w:val="bottom"/>
            <w:vMerge w:val="continue"/>
          </w:tcPr>
          <w:p>
            <w:pPr>
              <w:spacing w:after="0"/>
              <w:rPr>
                <w:sz w:val="9"/>
                <w:szCs w:val="9"/>
                <w:color w:val="auto"/>
              </w:rPr>
            </w:pPr>
          </w:p>
        </w:tc>
        <w:tc>
          <w:tcPr>
            <w:tcW w:w="12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08"/>
        </w:trPr>
        <w:tc>
          <w:tcPr>
            <w:tcW w:w="76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Contracts for capital expenditures</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23"/>
        </w:trPr>
        <w:tc>
          <w:tcPr>
            <w:tcW w:w="7660" w:type="dxa"/>
            <w:vAlign w:val="bottom"/>
          </w:tcPr>
          <w:p>
            <w:pPr>
              <w:ind w:left="80"/>
              <w:spacing w:after="0"/>
              <w:rPr>
                <w:sz w:val="20"/>
                <w:szCs w:val="20"/>
                <w:color w:val="auto"/>
              </w:rPr>
            </w:pPr>
            <w:r>
              <w:rPr>
                <w:rFonts w:ascii="Arial" w:cs="Arial" w:eastAsia="Arial" w:hAnsi="Arial"/>
                <w:sz w:val="16"/>
                <w:szCs w:val="16"/>
                <w:color w:val="auto"/>
              </w:rPr>
              <w:t>Contracts for operating expenditures</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6,400</w:t>
            </w:r>
          </w:p>
        </w:tc>
        <w:tc>
          <w:tcPr>
            <w:tcW w:w="0" w:type="dxa"/>
            <w:vAlign w:val="bottom"/>
          </w:tcPr>
          <w:p>
            <w:pPr>
              <w:spacing w:after="0"/>
              <w:rPr>
                <w:sz w:val="1"/>
                <w:szCs w:val="1"/>
                <w:color w:val="auto"/>
              </w:rPr>
            </w:pPr>
          </w:p>
        </w:tc>
      </w:tr>
      <w:tr>
        <w:trPr>
          <w:trHeight w:val="217"/>
        </w:trPr>
        <w:tc>
          <w:tcPr>
            <w:tcW w:w="7660" w:type="dxa"/>
            <w:vAlign w:val="bottom"/>
          </w:tcPr>
          <w:p>
            <w:pPr>
              <w:ind w:left="80"/>
              <w:spacing w:after="0"/>
              <w:rPr>
                <w:sz w:val="20"/>
                <w:szCs w:val="20"/>
                <w:color w:val="auto"/>
              </w:rPr>
            </w:pPr>
            <w:r>
              <w:rPr>
                <w:rFonts w:ascii="Arial" w:cs="Arial" w:eastAsia="Arial" w:hAnsi="Arial"/>
                <w:sz w:val="16"/>
                <w:szCs w:val="16"/>
                <w:b w:val="1"/>
                <w:bCs w:val="1"/>
                <w:color w:val="auto"/>
              </w:rPr>
              <w:t>Due within the next 12 months</w:t>
            </w:r>
          </w:p>
        </w:tc>
        <w:tc>
          <w:tcPr>
            <w:tcW w:w="124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4,636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3,543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supplies and foreign statutory payroll related charges. The Company has available letters of credit of $20 million as of June 30, 2022 and December 31, 2021 and has drawn down bank guarantees of $3 million as of June 30, 2022 and December 31, 2021.</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April 28, 2021, International Business Machines (“IBM”) sent the Company a letter alleging that the Company did not fulfill the Company’s obligations under the contracts the Company entered into with IBM in 2014 associated with the Company’s acquisition of IBM’s Microelectronics business. IBM asserted that the Company engaged in fraudulent misrepresentations during the underlying negotiations, and claimed the Company owed them at least $2.5 billion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its fraud claim, and on April 7, 2022, the New York Appellate Division reversed the Court’s decision. The Company believes, based on discussions with legal counsel, that it has meritorious defenses against IBM’s claims. The Company disputes IBM’s claims and intends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Fair Value Measurements</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126"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5" w:lineRule="exact"/>
        <w:rPr>
          <w:rFonts w:ascii="Arial" w:cs="Arial" w:eastAsia="Arial" w:hAnsi="Arial"/>
          <w:sz w:val="16"/>
          <w:szCs w:val="16"/>
          <w:color w:val="auto"/>
        </w:rPr>
      </w:pPr>
    </w:p>
    <w:p>
      <w:pPr>
        <w:jc w:val="both"/>
        <w:ind w:left="660" w:hanging="328"/>
        <w:spacing w:after="0" w:line="25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ind w:left="660" w:hanging="328"/>
        <w:spacing w:after="0" w:line="26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inputs include U.S. Treasury Securities, U.S. Government Sponsored Enterprises, floating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 securities, money 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Quoted Prices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33"/>
        </w:trPr>
        <w:tc>
          <w:tcPr>
            <w:tcW w:w="4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June 30, 2022</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Marketable securities</w:t>
            </w:r>
            <w:r>
              <w:rPr>
                <w:rFonts w:ascii="Arial" w:cs="Arial" w:eastAsia="Arial" w:hAnsi="Arial"/>
                <w:sz w:val="21"/>
                <w:szCs w:val="21"/>
                <w:color w:val="auto"/>
                <w:vertAlign w:val="superscript"/>
              </w:rPr>
              <w:t>(4)</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on the Company’s interim condensed consolidated statements of financial position.</w:t>
      </w:r>
    </w:p>
    <w:p>
      <w:pPr>
        <w:spacing w:after="0" w:line="153" w:lineRule="exact"/>
        <w:rPr>
          <w:rFonts w:ascii="Arial" w:cs="Arial" w:eastAsia="Arial" w:hAnsi="Arial"/>
          <w:sz w:val="16"/>
          <w:szCs w:val="16"/>
          <w:color w:val="auto"/>
        </w:rPr>
      </w:pPr>
    </w:p>
    <w:p>
      <w:pPr>
        <w:ind w:firstLine="8"/>
        <w:spacing w:after="0" w:line="260" w:lineRule="auto"/>
        <w:tabs>
          <w:tab w:leader="none" w:pos="24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current and noncurrent receivables, prepayments and other assets on the Company’s interim condensed consolidated statements of financial position.</w:t>
      </w:r>
    </w:p>
    <w:p>
      <w:pPr>
        <w:spacing w:after="0" w:line="100" w:lineRule="exact"/>
        <w:rPr>
          <w:rFonts w:ascii="Arial" w:cs="Arial" w:eastAsia="Arial" w:hAnsi="Arial"/>
          <w:sz w:val="16"/>
          <w:szCs w:val="16"/>
          <w:color w:val="auto"/>
        </w:rPr>
      </w:pPr>
    </w:p>
    <w:p>
      <w:pPr>
        <w:ind w:firstLine="8"/>
        <w:spacing w:after="0" w:line="260" w:lineRule="auto"/>
        <w:tabs>
          <w:tab w:leader="none" w:pos="28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foreign currency forward contracts, interest rate swaps, cross currency swaps and commodity hedge. Included in other current and noncurrent financial assets on the Company’s interim condensed consolidated statements of financial position.</w:t>
      </w:r>
    </w:p>
    <w:p>
      <w:pPr>
        <w:spacing w:after="0" w:line="235" w:lineRule="exact"/>
        <w:rPr>
          <w:rFonts w:ascii="Arial" w:cs="Arial" w:eastAsia="Arial" w:hAnsi="Arial"/>
          <w:sz w:val="16"/>
          <w:szCs w:val="16"/>
          <w:color w:val="auto"/>
        </w:rPr>
      </w:pPr>
    </w:p>
    <w:p>
      <w:pPr>
        <w:ind w:firstLine="8"/>
        <w:spacing w:after="0" w:line="278"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current assets and receivables, prepayments and other assets within noncurrent assets on the Company’s interim condensed consolidated statements of financial position.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2022 and 2021, there were no transfers between Level 1, Level 2 or Level 3 fair value measurements.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 Recurring Basis</w:t>
      </w:r>
    </w:p>
    <w:p>
      <w:pPr>
        <w:spacing w:after="0" w:line="2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141"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carrying and fair values of the Company’s financial instruments not recorded at fair value on a recurring basis are presented in the following table, classified according to the categories of financial liabilities at amortized cost (“FLAC”):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2022</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2021</w:t>
            </w:r>
          </w:p>
        </w:tc>
      </w:tr>
      <w:tr>
        <w:trPr>
          <w:trHeight w:val="33"/>
        </w:trPr>
        <w:tc>
          <w:tcPr>
            <w:tcW w:w="25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22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Category</w:t>
            </w: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2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Long-term debt</w:t>
            </w:r>
          </w:p>
        </w:tc>
        <w:tc>
          <w:tcPr>
            <w:tcW w:w="2200" w:type="dxa"/>
            <w:vAlign w:val="bottom"/>
            <w:tcBorders>
              <w:top w:val="single" w:sz="8" w:color="auto"/>
            </w:tcBorders>
            <w:gridSpan w:val="2"/>
          </w:tcPr>
          <w:p>
            <w:pPr>
              <w:jc w:val="right"/>
              <w:ind w:right="739"/>
              <w:spacing w:after="0"/>
              <w:rPr>
                <w:sz w:val="20"/>
                <w:szCs w:val="20"/>
                <w:color w:val="auto"/>
              </w:rPr>
            </w:pPr>
            <w:r>
              <w:rPr>
                <w:rFonts w:ascii="Arial" w:cs="Arial" w:eastAsia="Arial" w:hAnsi="Arial"/>
                <w:sz w:val="16"/>
                <w:szCs w:val="16"/>
                <w:color w:val="auto"/>
              </w:rPr>
              <w:t>FLAC</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2,006</w:t>
            </w:r>
          </w:p>
        </w:tc>
      </w:tr>
      <w:tr>
        <w:trPr>
          <w:trHeight w:val="33"/>
        </w:trPr>
        <w:tc>
          <w:tcPr>
            <w:tcW w:w="25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2,006</w:t>
            </w:r>
          </w:p>
        </w:tc>
      </w:tr>
      <w:tr>
        <w:trPr>
          <w:trHeight w:val="20"/>
        </w:trPr>
        <w:tc>
          <w:tcPr>
            <w:tcW w:w="2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Share-Based Compensation</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We estimate the share option fair value at the date of grant using the Black-Scholes option pricing model, which requires management to make certain assumptions of future expectations based on historical and current data. The assumptions include the expected term of the share option, expected volatility, dividend yield, and risk-free interest rate. The expected term represents the amount of time that options granted are expected to be outstanding, based on forecasted exercise behavior. The risk-free rate is based on the rate at grant date of zero-coupon U.S. Treasury notes with a term comparable to the expected term of the option. We estimate expected volatility based on the historical volatility of comparable public entities’ share price from the same industry. We base our dividend yield on forecasted expected payments, which we expect to be zero for the immediate future. We recognize compensation expense over the vesting period of the award on a graded attribution basis, and we estimate forfeitures.</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and prior to the consummation of, the Company's initial public offering, the Company's board of</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directors adopted the GLOBALFOUNDRIES Inc. 2021 Employee Stock Purchase Plan (the “ESPP”). The ESPP is administered by the Company's board of directors or, as applicable, its delegate (the “ESPP Administrator”).</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equitable adjustments in connection with certain events affecting the outstanding ordinary shares</w:t>
      </w:r>
    </w:p>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reserved for issuance as awards, the maximum aggregate number of our ordinary shares that may be issued or transferred under the ESPP with respect to awards is 7,500,000 ordinary shares; provided that the share reserve under the ESPP will, unless otherwise determined by our board of directors, automatically increase on January 1 of each year for 8 years commencing on January 1, 2023 and ending on (and including) January 1, 2031 in an amount equal to 0.25% of the total number of ordinary shares outstanding on December 31 of the preceding year. In no event will the number of ordinary shares that may be issued or transferred pursuant to rights granted under the ESPP exceed 18,750,000, in the aggregate, subject to the adjustments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Stock Units</w:t>
      </w:r>
    </w:p>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the second quarter of 2022, the Company awarded Performance Stock Units (“PSUs”) to certain senior level employees, which will vest if certain financial performance objectives are achieved over a two to three year performance period and the grantee remains employed by the Company through that performance period. Each PSU represents a contingent right to receive shares of the Company’s stock if the Company meets certain performance measures over the requisite period. The PSU awards entitle recipients to receive, upon vesting, a number of shares that ranges from 0% to 200% of the number of PSUs awarded, depending on the level of achievement of the specified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40"/>
          </w:cols>
          <w:pgMar w:left="320" w:top="9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Management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the COVID-19 pandemic and supply chain disruptions due to the Russia/Ukraine conflict and actions taken in response to such events;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GLOBALFOUNDRIES’ Annual Report on Form 20-F for the year ended December 31, 2021, current reports on Form 6-K and other reports filed with the Securities and Exchange Commission (the “SEC”). Copies of our SEC filings are available on our Investor Relations website, investors.gf.com, or from the SEC website, www.sec.gov.</w:t>
      </w:r>
    </w:p>
    <w:p>
      <w:pPr>
        <w:sectPr>
          <w:pgSz w:w="11900" w:h="16838" w:orient="portrait"/>
          <w:cols w:equalWidth="0" w:num="1">
            <w:col w:w="11240"/>
          </w:cols>
          <w:pgMar w:left="320" w:top="1417" w:right="339" w:bottom="1440" w:gutter="0" w:footer="0" w:header="0"/>
        </w:sectPr>
      </w:pPr>
    </w:p>
    <w:bookmarkStart w:id="20" w:name="page21"/>
    <w:bookmarkEnd w:id="20"/>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feature-rich integrated circuits (“ICs”) that enable billions of electronic devices that are pervasive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long-term supply agreements, providing a high degree of revenue visibility and significant operating leverage, resulting in improved financial performance and bottom line growth. As of June 30, 2022, the aggregate lifetime revenue commitment reflected by these agreements amounted to $27 billion, including more than $10 billion during the period from 2022 through 2023 and more than $3.5 billion in advanced payments and capacity reservation fees.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35 customers as of June 30, 2022, many of whom are the global leaders in their field.</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generate the majority of our revenue from volume production and sales of semiconductor wafers, which are priced on a per-wafer basis for the applicable design. We also generate revenue from pre-fabrication services such as rendering of non-recurring engineering (“NRE”) services, mask production and post-fabrication services such as bump, test, and packaging. Pricing is typically agreed prior to production and then updated based on subsequent period negotiations.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We expect cost of revenue to grow at a pace lower than our revenue growth. As it pertains to inflation and inflationary-headwinds we are facing within our business, while we have experienced an increase in costs for materials and energy in the current period, we continue to estimate the impact of these inflationary costs to our current year financial results to not be material.</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We depreciate equipment on a straight-line basis over a two-to-ten-year period and buildings on a straight-line basis up to 26 years (or the remaining lease term of related land on which the buildings are erected, if shorter).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operating expenses consist of research and development ("R&amp;D") and selling, general and administrative expenses. Personnel costs are the most significant component of our operating expenses and consist of salaries, benefits, bonuses, share-based compensation, and commissions.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(“R&amp;D”)</w:t>
      </w:r>
    </w:p>
    <w:p>
      <w:pPr>
        <w:spacing w:after="0" w:line="2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R&amp;D efforts are focused on developing highly-differentiated process technologies and solutions. As part of our strategic repositioning, we focus our efforts on technologies where we can deliver a highly-differentiated solution. Our R&amp;D expense includes personnel costs, material costs, software license and intellectual property expenses, facility costs, supplies, professional and consulting fees, and depreciation on equipment used in R&amp;D activities. Our</w:t>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6"/>
          <w:szCs w:val="16"/>
          <w:color w:val="auto"/>
        </w:rPr>
        <w:t>development roadmap includes new platform investments, platform features and extensions, and investments in emerging technology capabilities and solutions. We expense R&amp;D costs as incurred and we believe that continued investment in our technology portfolio is important for our future growth and acquisition of new customers.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w:t>
      </w:r>
    </w:p>
    <w:p>
      <w:pPr>
        <w:spacing w:after="0" w:line="27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audit, accounting, information technology, legal, regulatory and tax compliance. Additionally, costs related to advertising, trade shows, corporate marketing and allocated overhead costs are also included in SG&amp;A expenses. We anticipate that we will incur increased audit, accounting, legal, information technology, regulatory, compliance, director and officer insurance costs as well as investor and public relations expenses associated with operating as a public company.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Finance Expenses, net</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Finance expenses, net consist primarily of interest on borrowings, amortization of debt issuance costs under our term loans, revolving credit facility, finance leases and the other credit facilities we maintain with various financial institutions, net of interest income related to investing activities.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of Profit from Joint Ventures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Share of profit from joint ventures relates to our portion of profit and loss in investments that we do not consolidate.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consists of one-time gains and losses and other miscellaneous income and expense items unrelated to our core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United States.</w:t>
      </w:r>
    </w:p>
    <w:p>
      <w:pPr>
        <w:spacing w:after="0" w:line="330"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following is a summary of certain interim condensed consolidated statement of operations data for the three and six months ended June 30, 2022 and 2021.</w:t>
      </w:r>
    </w:p>
    <w:p>
      <w:pPr>
        <w:sectPr>
          <w:pgSz w:w="11900" w:h="16838" w:orient="portrait"/>
          <w:cols w:equalWidth="0" w:num="1">
            <w:col w:w="11240"/>
          </w:cols>
          <w:pgMar w:left="320" w:top="1437" w:right="339" w:bottom="1440" w:gutter="0" w:footer="0" w:header="0"/>
        </w:sectPr>
      </w:pPr>
    </w:p>
    <w:bookmarkStart w:id="22" w:name="page23"/>
    <w:bookmarkEnd w:id="22"/>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statements of operations data for the periods indicated: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640" w:type="dxa"/>
            <w:vAlign w:val="bottom"/>
            <w:gridSpan w:val="7"/>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74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1,455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12"/>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0" w:type="dxa"/>
            <w:vAlign w:val="bottom"/>
          </w:tcPr>
          <w:p>
            <w:pPr>
              <w:spacing w:after="0"/>
              <w:rPr>
                <w:sz w:val="1"/>
                <w:szCs w:val="1"/>
                <w:color w:val="auto"/>
              </w:rPr>
            </w:pPr>
          </w:p>
        </w:tc>
      </w:tr>
      <w:tr>
        <w:trPr>
          <w:trHeight w:val="207"/>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expenses</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528</w:t>
            </w:r>
          </w:p>
        </w:tc>
        <w:tc>
          <w:tcPr>
            <w:tcW w:w="0" w:type="dxa"/>
            <w:vAlign w:val="bottom"/>
          </w:tcPr>
          <w:p>
            <w:pPr>
              <w:spacing w:after="0"/>
              <w:rPr>
                <w:sz w:val="1"/>
                <w:szCs w:val="1"/>
                <w:color w:val="auto"/>
              </w:rPr>
            </w:pP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1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Finance expenses, net</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 of profit of joint ventures and associates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(271)</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for the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w:t>
            </w:r>
          </w:p>
        </w:tc>
        <w:tc>
          <w:tcPr>
            <w:tcW w:w="0" w:type="dxa"/>
            <w:vAlign w:val="bottom"/>
          </w:tcPr>
          <w:p>
            <w:pPr>
              <w:spacing w:after="0"/>
              <w:rPr>
                <w:sz w:val="1"/>
                <w:szCs w:val="1"/>
                <w:color w:val="auto"/>
              </w:rPr>
            </w:pPr>
          </w:p>
        </w:tc>
      </w:tr>
      <w:tr>
        <w:trPr>
          <w:trHeight w:val="777"/>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Comparison of Three Months Ended June 30, 2022 and 2021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47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Revenue</w:t>
            </w: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6"/>
                <w:szCs w:val="16"/>
                <w:color w:val="auto"/>
              </w:rPr>
            </w:pPr>
          </w:p>
        </w:tc>
        <w:tc>
          <w:tcPr>
            <w:tcW w:w="2220" w:type="dxa"/>
            <w:vAlign w:val="bottom"/>
            <w:gridSpan w:val="8"/>
          </w:tcPr>
          <w:p>
            <w:pPr>
              <w:jc w:val="center"/>
              <w:spacing w:after="0"/>
              <w:rPr>
                <w:sz w:val="20"/>
                <w:szCs w:val="20"/>
                <w:color w:val="auto"/>
              </w:rPr>
            </w:pPr>
            <w:r>
              <w:rPr>
                <w:rFonts w:ascii="Arial" w:cs="Arial" w:eastAsia="Arial" w:hAnsi="Arial"/>
                <w:sz w:val="16"/>
                <w:szCs w:val="16"/>
                <w:b w:val="1"/>
                <w:bCs w:val="1"/>
                <w:color w:val="auto"/>
              </w:rPr>
              <w:t>Three Months Ended June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30,</w:t>
            </w: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revenue increased by $373 million, or 23.0%, for the three months ended June 30, 2022, compared to the three months ended June 30, 2021. The increase was primarily a result of higher wafer shipment volumes and average selling prices ("ASP"). For the three months ended June 30, 2022, wafer shipments were 630 thousand (300mm equivalent), a 6% increase from the prior year. ASP per wafer increased 16% for the three months ended June 30, 2022 compared to the three months ended June 30, 2021. The increase was driven by ramping long-term customer agreements with better pricing, and continued improvement in product mix.</w:t>
      </w:r>
    </w:p>
    <w:p>
      <w:pPr>
        <w:sectPr>
          <w:pgSz w:w="11900" w:h="16838" w:orient="portrait"/>
          <w:cols w:equalWidth="0" w:num="1">
            <w:col w:w="11240"/>
          </w:cols>
          <w:pgMar w:left="320" w:top="14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5"/>
                <w:szCs w:val="15"/>
                <w:color w:val="auto"/>
              </w:rPr>
            </w:pPr>
          </w:p>
        </w:tc>
        <w:tc>
          <w:tcPr>
            <w:tcW w:w="2260" w:type="dxa"/>
            <w:vAlign w:val="bottom"/>
            <w:gridSpan w:val="6"/>
          </w:tcPr>
          <w:p>
            <w:pPr>
              <w:jc w:val="center"/>
              <w:ind w:right="200"/>
              <w:spacing w:after="0" w:line="181" w:lineRule="exact"/>
              <w:rPr>
                <w:sz w:val="20"/>
                <w:szCs w:val="20"/>
                <w:color w:val="auto"/>
              </w:rPr>
            </w:pPr>
            <w:r>
              <w:rPr>
                <w:rFonts w:ascii="Arial" w:cs="Arial" w:eastAsia="Arial" w:hAnsi="Arial"/>
                <w:sz w:val="16"/>
                <w:szCs w:val="16"/>
                <w:b w:val="1"/>
                <w:bCs w:val="1"/>
                <w:color w:val="auto"/>
              </w:rPr>
              <w:t>Three Months Ended June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11"/>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i w:val="1"/>
                <w:iCs w:val="1"/>
                <w:color w:val="auto"/>
                <w:w w:val="98"/>
              </w:rPr>
              <w:t>+1270bps</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Cost of revenue increased by $66 million, or 4.8%, for the three months ended June 30, 2022, compared to the three months ended June 30, 2021. The increase was driven primarily by a 6% increase in wafer shipments offset by increased fixed cost absorption from higher factory utilization. The associated gross margin improvements for the three months ended June 30, 2022 were driven by better fixed cost absorption, higher ASPs, and improved product mix.</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 Expenses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24"/>
                <w:szCs w:val="24"/>
                <w:color w:val="auto"/>
              </w:rPr>
            </w:pPr>
          </w:p>
        </w:tc>
        <w:tc>
          <w:tcPr>
            <w:tcW w:w="226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rPr>
              <w:t>Three Months Ended June</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0"/>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Research and development expenses decreased by $12 million, or 9.1%, for the three months ended June 30, 2022, compared to the three months ended June 30, 2021. The decrease was driven by a $10 million reduction in R&amp;D pre-production costs.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5"/>
                <w:szCs w:val="15"/>
                <w:color w:val="auto"/>
              </w:rPr>
            </w:pPr>
          </w:p>
        </w:tc>
        <w:tc>
          <w:tcPr>
            <w:tcW w:w="2260" w:type="dxa"/>
            <w:vAlign w:val="bottom"/>
            <w:gridSpan w:val="6"/>
          </w:tcPr>
          <w:p>
            <w:pPr>
              <w:jc w:val="center"/>
              <w:ind w:right="200"/>
              <w:spacing w:after="0" w:line="181" w:lineRule="exact"/>
              <w:rPr>
                <w:sz w:val="20"/>
                <w:szCs w:val="20"/>
                <w:color w:val="auto"/>
              </w:rPr>
            </w:pPr>
            <w:r>
              <w:rPr>
                <w:rFonts w:ascii="Arial" w:cs="Arial" w:eastAsia="Arial" w:hAnsi="Arial"/>
                <w:sz w:val="16"/>
                <w:szCs w:val="16"/>
                <w:b w:val="1"/>
                <w:bCs w:val="1"/>
                <w:color w:val="auto"/>
              </w:rPr>
              <w:t>Three Months Ended June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0"/>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Selling, general and administrative expenses decreased by $81 million, or 40.1%, for the three months ended June 30, 2022 compared to the three months ended June 30, 2021. The decrease was primarily driven by $73 million reduction in share-based compensation expense from 2021 when an IPO was deemed probable and the Company recognized share-based compensation expense of $97 million. The decrease was also attributable to lower employee-related expenses of $13 million.</w:t>
      </w:r>
    </w:p>
    <w:p>
      <w:pPr>
        <w:sectPr>
          <w:pgSz w:w="11900" w:h="16838" w:orient="portrait"/>
          <w:cols w:equalWidth="0" w:num="1">
            <w:col w:w="11240"/>
          </w:cols>
          <w:pgMar w:left="320" w:top="141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b w:val="1"/>
                <w:bCs w:val="1"/>
                <w:i w:val="1"/>
                <w:iCs w:val="1"/>
                <w:color w:val="auto"/>
              </w:rPr>
              <w:t>Finance expense, net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 of dollars)</w:t>
            </w:r>
          </w:p>
        </w:tc>
        <w:tc>
          <w:tcPr>
            <w:tcW w:w="160" w:type="dxa"/>
            <w:vAlign w:val="bottom"/>
          </w:tcPr>
          <w:p>
            <w:pPr>
              <w:spacing w:after="0"/>
              <w:rPr>
                <w:sz w:val="15"/>
                <w:szCs w:val="15"/>
                <w:color w:val="auto"/>
              </w:rPr>
            </w:pPr>
          </w:p>
        </w:tc>
        <w:tc>
          <w:tcPr>
            <w:tcW w:w="1960" w:type="dxa"/>
            <w:vAlign w:val="bottom"/>
            <w:gridSpan w:val="5"/>
          </w:tcPr>
          <w:p>
            <w:pPr>
              <w:jc w:val="center"/>
              <w:ind w:right="240"/>
              <w:spacing w:after="0" w:line="181" w:lineRule="exact"/>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w w:val="99"/>
              </w:rPr>
              <w:t>June 30,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(19)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Finance expense, net decreased by $9 million, or 32.1%, for the three months ended June 30, 2022 compared to the three months ended June 30,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due to higher interest income generated from money market funds and investments in marketable securities.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160" w:type="dxa"/>
            <w:vAlign w:val="bottom"/>
            <w:gridSpan w:val="7"/>
          </w:tcPr>
          <w:p>
            <w:pPr>
              <w:ind w:left="40"/>
              <w:spacing w:after="0" w:line="181" w:lineRule="exact"/>
              <w:rPr>
                <w:sz w:val="20"/>
                <w:szCs w:val="20"/>
                <w:color w:val="auto"/>
              </w:rPr>
            </w:pPr>
            <w:r>
              <w:rPr>
                <w:rFonts w:ascii="Arial" w:cs="Arial" w:eastAsia="Arial" w:hAnsi="Arial"/>
                <w:sz w:val="16"/>
                <w:szCs w:val="16"/>
                <w:b w:val="1"/>
                <w:bCs w:val="1"/>
                <w:color w:val="auto"/>
              </w:rPr>
              <w:t>Three Months Ended June</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100" w:type="dxa"/>
            <w:vAlign w:val="bottom"/>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98"/>
              </w:rPr>
              <w:t>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1"/>
        </w:trPr>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Other income (expense), net increased by $39 million for the three months ended June 30, 2022 compared to the three months ended June 30, 2021. The increase was primarily driven by a $34 million provision for settlement with our previous joint venture in China in 2021.</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5"/>
                <w:szCs w:val="15"/>
                <w:color w:val="auto"/>
              </w:rPr>
            </w:pPr>
          </w:p>
        </w:tc>
        <w:tc>
          <w:tcPr>
            <w:tcW w:w="1960" w:type="dxa"/>
            <w:vAlign w:val="bottom"/>
            <w:gridSpan w:val="5"/>
          </w:tcPr>
          <w:p>
            <w:pPr>
              <w:jc w:val="center"/>
              <w:ind w:right="240"/>
              <w:spacing w:after="0" w:line="181" w:lineRule="exact"/>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w w:val="99"/>
              </w:rPr>
              <w:t>June 30,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0"/>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(30)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increased by $10 million, or 50.0%, for the three months ended June 30, 2022, compared to the three months ended June 30, 2021.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a higher mix of income in jurisdictions with higher tax rates and additional withholding tax accrued in the United States.</w:t>
      </w:r>
    </w:p>
    <w:p>
      <w:pPr>
        <w:sectPr>
          <w:pgSz w:w="11900" w:h="16838" w:orient="portrait"/>
          <w:cols w:equalWidth="0" w:num="1">
            <w:col w:w="11240"/>
          </w:cols>
          <w:pgMar w:left="320" w:top="141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Comparison of Six Months Ended June 30, 2022 and 2021</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47"/>
        </w:trPr>
        <w:tc>
          <w:tcPr>
            <w:tcW w:w="58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6"/>
        </w:trPr>
        <w:tc>
          <w:tcPr>
            <w:tcW w:w="58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3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9"/>
        </w:trPr>
        <w:tc>
          <w:tcPr>
            <w:tcW w:w="4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10"/>
        </w:trPr>
        <w:tc>
          <w:tcPr>
            <w:tcW w:w="4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29.5 %</w:t>
            </w:r>
          </w:p>
        </w:tc>
      </w:tr>
    </w:tbl>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revenue increased by $895 million, or 29.5%, for the six months ended June 30, 2022, compared to the six months ended June 30, 2021. The increase was primarily a result of higher wafer shipment volumes and ASP. For the six months ended June 30, 2022, wafer shipments were approximately 1.3 million (300mm equivalent), a 10% increase from the prior year. ASP per wafer increased 17% year over year, driven by ramping long-term customer agreements with better pricing, and improved mix.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81"/>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380" w:type="dxa"/>
            <w:vAlign w:val="bottom"/>
            <w:gridSpan w:val="6"/>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0"/>
        </w:trPr>
        <w:tc>
          <w:tcPr>
            <w:tcW w:w="5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311"/>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r>
      <w:tr>
        <w:trPr>
          <w:trHeight w:val="224"/>
        </w:trPr>
        <w:tc>
          <w:tcPr>
            <w:tcW w:w="58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i w:val="1"/>
                <w:iCs w:val="1"/>
                <w:color w:val="auto"/>
                <w:w w:val="98"/>
              </w:rPr>
              <w:t>+1470bps</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revenue increased by $218 million, or 8.1%, for the six months ended June 30, 2022 compared to the six months ended June 30, 2021. This increase was due to a 10% increase in wafer shipments offset by increased fixed cost absorption from higher factory utilization.The associated gross margin improvements for the six months ended June 30, 2022 were driven by higher ASPs, improved product mix and fixed cost absorption.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6"/>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380" w:type="dxa"/>
            <w:vAlign w:val="bottom"/>
            <w:gridSpan w:val="6"/>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20"/>
        </w:trPr>
        <w:tc>
          <w:tcPr>
            <w:tcW w:w="5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 %</w:t>
            </w:r>
          </w:p>
        </w:tc>
      </w:tr>
      <w:tr>
        <w:trPr>
          <w:trHeight w:val="310"/>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Research and development expenses increased by $13 million, or 5.5%, for the six months ended June 30, 2022, compared to the six months ended June 30, 2021. The increase was primarily due to a $9 million increase in R&amp;D technology portfolio investments and a $10 million increase in employee-related expenses, partially offset by a $9 million reduction in R&amp;D pre-production costs.</w:t>
      </w:r>
    </w:p>
    <w:p>
      <w:pPr>
        <w:sectPr>
          <w:pgSz w:w="11900" w:h="16838" w:orient="portrait"/>
          <w:cols w:equalWidth="0" w:num="1">
            <w:col w:w="11240"/>
          </w:cols>
          <w:pgMar w:left="320" w:top="1414"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5"/>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380" w:type="dxa"/>
            <w:vAlign w:val="bottom"/>
            <w:gridSpan w:val="6"/>
          </w:tcPr>
          <w:p>
            <w:pPr>
              <w:ind w:left="10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9"/>
        </w:trPr>
        <w:tc>
          <w:tcPr>
            <w:tcW w:w="5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 %</w:t>
            </w:r>
          </w:p>
        </w:tc>
      </w:tr>
      <w:tr>
        <w:trPr>
          <w:trHeight w:val="310"/>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5820" w:type="dxa"/>
            <w:vAlign w:val="bottom"/>
          </w:tcPr>
          <w:p>
            <w:pPr>
              <w:ind w:left="20"/>
              <w:spacing w:after="0"/>
              <w:rPr>
                <w:sz w:val="20"/>
                <w:szCs w:val="20"/>
                <w:color w:val="auto"/>
              </w:rPr>
            </w:pPr>
            <w:r>
              <w:rPr>
                <w:rFonts w:ascii="Arial" w:cs="Arial" w:eastAsia="Arial" w:hAnsi="Arial"/>
                <w:sz w:val="16"/>
                <w:szCs w:val="16"/>
                <w:color w:val="auto"/>
              </w:rPr>
              <w:t>As a % of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Selling, general and administrative expenses decreased by $56 million, or 19.1%, for the six months ended June 30, 2022, compared to the six months ended June 30, 2021. The period-over-period change was primarily attributable to a decrease in share-based compensation expense of $46 million and lower employee-related expenses of $35 million, offset by a $23 million increase in costs associated with operating as public company.</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b w:val="1"/>
                <w:bCs w:val="1"/>
                <w:i w:val="1"/>
                <w:iCs w:val="1"/>
                <w:color w:val="auto"/>
              </w:rPr>
              <w:t>Finance expenses, net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12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Six Months Ended June</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expenses,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Finance expenses, net decreased by $8 million, or 14.5%, for the six months ended June 30, 2022 compared to the six months ended June 30, 2021. The decrease was due to higher interest income generated from money market funds and investments in marketable securities.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16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Six Months Ended June</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100" w:type="dxa"/>
            <w:vAlign w:val="bottom"/>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98"/>
              </w:rPr>
              <w:t>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0"/>
        </w:trPr>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(expense), net increased by $44 million for the six months ended June 30, 2022 compared to the six months ended June 30, 2021. The increase was primarily driven by a $34 million provision for settlement with our previous joint venture in China in 2021.</w:t>
      </w:r>
    </w:p>
    <w:p>
      <w:pPr>
        <w:sectPr>
          <w:pgSz w:w="11900" w:h="16838" w:orient="portrait"/>
          <w:cols w:equalWidth="0" w:num="1">
            <w:col w:w="11240"/>
          </w:cols>
          <w:pgMar w:left="320" w:top="141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b w:val="1"/>
                <w:bCs w:val="1"/>
                <w:i w:val="1"/>
                <w:iCs w:val="1"/>
                <w:color w:val="auto"/>
              </w:rPr>
              <w:t>Income tax benefit (expense)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2120" w:type="dxa"/>
            <w:vAlign w:val="bottom"/>
            <w:gridSpan w:val="6"/>
          </w:tcPr>
          <w:p>
            <w:pPr>
              <w:jc w:val="center"/>
              <w:ind w:right="100"/>
              <w:spacing w:after="0" w:line="181" w:lineRule="exact"/>
              <w:rPr>
                <w:sz w:val="20"/>
                <w:szCs w:val="20"/>
                <w:color w:val="auto"/>
              </w:rPr>
            </w:pPr>
            <w:r>
              <w:rPr>
                <w:rFonts w:ascii="Arial" w:cs="Arial" w:eastAsia="Arial" w:hAnsi="Arial"/>
                <w:sz w:val="16"/>
                <w:szCs w:val="16"/>
                <w:b w:val="1"/>
                <w:bCs w:val="1"/>
                <w:color w:val="auto"/>
              </w:rPr>
              <w:t>Six Months Ended June</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310"/>
        </w:trPr>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Income tax expense increased by $29 million, or 96.7%, for the six months ended June 30, 2022, compared to the six months ended June 30, 2021. The increase was primarily due to a higher mix of income in jurisdictions with higher tax rates and additional withholding tax accrued in the United States.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financed operations primarily through cash and cash equivalents, marketable securities, as well as cash generated from our business operations, including customers' prepayments under long term agreements, debt and government funding. As of June 30, 2022, our cash, cash equivalent and marketable securities balances of $3,262 million included $2,474 million of cash and cash equivalent and $788 million of marketable securities.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June 30, 2022 and December 31, 2021, we had an undrawn revolving credit facility of $1,000 million. In addition to our available revolvers, which were undrawn as of June 30, 2022 and December 31, 2021, we had $2,170 million and $2,013 million of debt outstanding as of June 30, 2022 and December 31, 2021, respectively, which was primarily comprised of multiple term loans in various currencies. Our future capital requirements will depend on many factors, including our revenue growth rate, the timing and the amount we receive from customers, the timing and extent of spending to support development efforts, the introduction of new and enhanced products and solutions, and the continuing market adoption of our platform. We may from time to time seek to raise additional capital to support our growth. As of June 30, 2022, we believe that our existing cash, cash equivalents, investment in marketable securities, credit under our revolving credit facility, and expected cash generated from operations are sufficient to meet our capital requirements.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p>
      <w:pPr>
        <w:spacing w:after="0" w:line="172"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Six Months Ended</w:t>
      </w:r>
    </w:p>
    <w:p>
      <w:pPr>
        <w:ind w:left="93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10795</wp:posOffset>
            </wp:positionV>
            <wp:extent cx="1988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(2,243)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by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0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0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provided by operating activities was $1,454 million for the six months ended June 30, 2022, an increase of $872 million compared to $582 million for the six months ended June 30, 2021. The increase was primarily related to net income of $442 million, $819 million of depreciation and amortization and $104 million of share-based compensation expense. Favorable changes in working capital of $127 million included a decrease in receivables, prepayments and other of $212 million, which was driven principally by customer prepayments. This increase was partially offset by a $55 million increase in inventories.</w:t>
      </w:r>
    </w:p>
    <w:p>
      <w:pPr>
        <w:sectPr>
          <w:pgSz w:w="11900" w:h="16838" w:orient="portrait"/>
          <w:cols w:equalWidth="0" w:num="1">
            <w:col w:w="11240"/>
          </w:cols>
          <w:pgMar w:left="320" w:top="1417" w:right="339" w:bottom="1440" w:gutter="0" w:footer="0" w:header="0"/>
        </w:sectPr>
      </w:pPr>
    </w:p>
    <w:bookmarkStart w:id="28" w:name="page29"/>
    <w:bookmarkEnd w:id="28"/>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used in investing activities was $2,243 million for the six months ended June 30, 2022, an increase of $1,781 million from a use of $462 million for the six months ended June 30, 2021. The period-over-period change was primarily attributable to capital expenditures of $1,455 million, an increase of $730 million from prior period, principally associated with activities to expand capacity within certain of our fabrication facilities, as well as the purchase of marketable securities of $790 million.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Net cash provided by financing activities was $325 million for the six months ended June 30, 2022, an increase of $549 million from a use of $224 million for the six months ended June 30, 2021. The period-over-period change was primarily attributable to $443 million of proceeds from borrowings and $82 million of proceeds from the issuance of equity instruments from options exercised, partially offset by the shareholder loan and debt repayments compared to the prior year.</w:t>
      </w:r>
    </w:p>
    <w:p>
      <w:pPr>
        <w:sectPr>
          <w:pgSz w:w="11900" w:h="16838" w:orient="portrait"/>
          <w:cols w:equalWidth="0" w:num="1">
            <w:col w:w="11220"/>
          </w:cols>
          <w:pgMar w:left="320" w:top="1440"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Other Information</w:t>
      </w: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presented below updates, and should be read in conjunction with, the risks described under Item 3.D. “Key Information - Risk Factors,” in our Annual Report on From 20-F for the fiscal year ended December 31, 2021. Except as set forth below, there have been no material changes to the Company’s risk factors as disclosed in Item 3.D, “Key Information - Risk Factors,” in such Annual Report. These risks are not exclusive, and additional risks to which we are subject include, but are not limited to, the factors mentioned under “Forward-Looking Statements”.</w:t>
      </w:r>
    </w:p>
    <w:p>
      <w:pPr>
        <w:spacing w:after="0" w:line="200" w:lineRule="exact"/>
        <w:rPr>
          <w:sz w:val="20"/>
          <w:szCs w:val="20"/>
          <w:color w:val="auto"/>
        </w:rPr>
      </w:pPr>
    </w:p>
    <w:p>
      <w:pPr>
        <w:spacing w:after="0" w:line="2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If we are unable to obtain adequate supplies of raw materials in a timely manner and at commercially reasonable prices our revenue and profitability may decline.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production operations require that we obtain adequate supplies of raw materials, such as silicon wafers, gases, chemicals and photoresist, on a timely basis and at commercially reasonable prices, many of which are not commodities easily replaced with substitutions. In the past, shortages in the supply of some materials, whether by specific vendors or by the industry generally, have resulted in occasional industry-wide price adjustments and delivery delays. Moreover, major natural disasters, trade barriers and political or economic turmoil occurring within the country of origin of such raw materials may also significantly disrupt the availability of such raw materials or increase their prices. Further, since we procure some of our raw materials from sole-sourced suppliers, there is a risk that our need for such raw materials may not be met or that back-up supplies may not be readily available. In addition, recent trade tensions between the United States and China, and the conflict in Ukraine, have resulted in pricing pressure and reduced availability of raw materials, including rare earth metals used in our products. Furthermore, sanctions imposed on Russia as a result of the conflict in Ukraine, as well as geopolitical tensions, have resulted in the reduction of availability of natural gas to Germany, where we operate some of our fabs. Tariffs, export control or other non-tariff barriers, due to global or local economic conditions could also affect material cost and availability.</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raw materials and other inputs, such as electricity and water, necessary for our production operations may experience substantial price volatility. Hedging transactions for many of those raw materials and other inputs are not available to us, or are not available on terms we believe are commercially acceptable. Economic and financial hedges that we enter into with respect to certain inputs, such as electricity, or alternative energy supplies we may seek to secure, may not be effective to avoid disruptions to our manufacturing operations. Additionally, once our prices with a customer are negotiated, we are generally unable to revise pricing with that customer until our next regularly scheduled price adjustment. As a result, if market prices for essential components increase, we will often be unable to pass the price increases through to our customers for products purchased under an existing agreement. Consequently, we are exposed to the risks associated with the volatility of prices for these components and our cost of revenue could increase and our gross margins could decrease in the event of price increases. Recently, as a result of demand driven by the semiconductor supply shortage, the costs of raw wafers as well as certain other raw materials are relatively high. Failure to obtain adequate supplies could result in our being unable to meet commitments under our contracts with customers, which could expose us to substantial liquidated damages and other claims, which could materially and adversely affect our results of operations, financial condition, business and prospects.</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2022-08-19T16:04:19Z</dcterms:created>
  <dcterms:modified xsi:type="dcterms:W3CDTF">2022-08-19T16:04:19Z</dcterms:modified>
</cp:coreProperties>
</file>