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20"/>
        <w:spacing w:after="0"/>
        <w:rPr>
          <w:sz w:val="20"/>
          <w:szCs w:val="20"/>
          <w:color w:val="auto"/>
        </w:rPr>
      </w:pPr>
      <w:r>
        <w:rPr>
          <w:rFonts w:ascii="Georgia" w:cs="Georgia" w:eastAsia="Georgia" w:hAnsi="Georgia"/>
          <w:sz w:val="21"/>
          <w:szCs w:val="21"/>
          <w:b w:val="1"/>
          <w:bCs w:val="1"/>
          <w:color w:val="auto"/>
        </w:rPr>
        <w:t xml:space="preserve">REPORT OF FOREIGN PRIVATE ISSUER PURSUANT TO RULE 13a-16 OR </w:t>
      </w:r>
      <w:r>
        <w:rPr>
          <w:rFonts w:ascii="Times New Roman" w:cs="Times New Roman" w:eastAsia="Times New Roman" w:hAnsi="Times New Roman"/>
          <w:sz w:val="21"/>
          <w:szCs w:val="21"/>
          <w:b w:val="1"/>
          <w:bCs w:val="1"/>
          <w:color w:val="auto"/>
        </w:rPr>
        <w:t>15d-16 UNDER THE</w:t>
      </w:r>
    </w:p>
    <w:p>
      <w:pPr>
        <w:spacing w:after="0" w:line="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18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60" w:right="152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320" w:lineRule="exact"/>
        <w:rPr>
          <w:sz w:val="24"/>
          <w:szCs w:val="24"/>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Registrant on May 6, 2025.</w:t>
      </w:r>
    </w:p>
    <w:p>
      <w:pPr>
        <w:sectPr>
          <w:pgSz w:w="11900" w:h="16838" w:orient="portrait"/>
          <w:cols w:equalWidth="0" w:num="1">
            <w:col w:w="10700"/>
          </w:cols>
          <w:pgMar w:left="340" w:top="1440" w:right="85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94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70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1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180" w:type="dxa"/>
            <w:vAlign w:val="bottom"/>
          </w:tcPr>
          <w:p>
            <w:pPr>
              <w:spacing w:after="0"/>
              <w:rPr>
                <w:sz w:val="20"/>
                <w:szCs w:val="20"/>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180" w:type="dxa"/>
            <w:vAlign w:val="bottom"/>
          </w:tcPr>
          <w:p>
            <w:pPr>
              <w:spacing w:after="0"/>
              <w:rPr>
                <w:sz w:val="24"/>
                <w:szCs w:val="24"/>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Reports First Quarter 2025 Financial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56"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May 6, 2025 - GLOBALFOUNDRIES Inc. (GF) (Nasdaq: GFS) today announced preliminary financial results for the first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2025.</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First Quarter Financial Highlights</w:t>
      </w:r>
    </w:p>
    <w:p>
      <w:pPr>
        <w:spacing w:after="0" w:line="5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$1.585 billion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Gross margin of 22.4% and Non-IFRS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23.9%</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margin of 9.5% and Non-IFRS operating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13.4%</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income of $211 million and Non-IFRS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$189 million</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earnings per share of $0.38 and Non-IFRS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$0.34</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Non-IFRS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$558 million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Ending cash, cash equivalents and marketable securities of $3.7 billion</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cash provided by operating activities of $331 million and Non-IFRS adjusted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$165 million</w:t>
      </w: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first quarter, the GF team delivered strong financial results at the high end of the Non-IFRS guidance ranges for revenue, gross margin, and earnings per share,” said Tim Breen, CEO of GF. "A testament to our solid execution, operational excellence, and robust design wins, our Automotive, Communications Infrastructure and Datacenter, and Home and Industrial IoT end markets grew year over year in the first quarter. From autonomous vehicles to satellite communications to optical networking, GF continues to build momentum in critical applications with robust growth prospects."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316" w:lineRule="exact"/>
        <w:rPr>
          <w:sz w:val="20"/>
          <w:szCs w:val="20"/>
          <w:color w:val="auto"/>
        </w:rPr>
      </w:pPr>
    </w:p>
    <w:p>
      <w:pPr>
        <w:ind w:left="640" w:hanging="308"/>
        <w:spacing w:after="0"/>
        <w:tabs>
          <w:tab w:leader="none" w:pos="640" w:val="left"/>
        </w:tabs>
        <w:numPr>
          <w:ilvl w:val="1"/>
          <w:numId w:val="2"/>
        </w:numPr>
        <w:rPr>
          <w:rFonts w:ascii="Arial" w:cs="Arial" w:eastAsia="Arial" w:hAnsi="Arial"/>
          <w:sz w:val="16"/>
          <w:szCs w:val="16"/>
          <w:color w:val="auto"/>
        </w:rPr>
      </w:pPr>
      <w:r>
        <w:rPr>
          <w:rFonts w:ascii="Arial" w:cs="Arial" w:eastAsia="Arial" w:hAnsi="Arial"/>
          <w:sz w:val="16"/>
          <w:szCs w:val="16"/>
          <w:color w:val="auto"/>
        </w:rPr>
        <w:t>GF and indie Semiconductor announced a strategic partnership to develop high-performance radar systems-on-chip (SoC). Built on GF's</w:t>
      </w:r>
    </w:p>
    <w:p>
      <w:pPr>
        <w:spacing w:after="0" w:line="59" w:lineRule="exact"/>
        <w:rPr>
          <w:rFonts w:ascii="Arial" w:cs="Arial" w:eastAsia="Arial" w:hAnsi="Arial"/>
          <w:sz w:val="16"/>
          <w:szCs w:val="16"/>
          <w:color w:val="auto"/>
        </w:rPr>
      </w:pPr>
    </w:p>
    <w:p>
      <w:pPr>
        <w:ind w:left="660" w:right="20"/>
        <w:spacing w:after="0" w:line="281" w:lineRule="auto"/>
        <w:rPr>
          <w:rFonts w:ascii="Arial" w:cs="Arial" w:eastAsia="Arial" w:hAnsi="Arial"/>
          <w:sz w:val="16"/>
          <w:szCs w:val="16"/>
          <w:color w:val="auto"/>
        </w:rPr>
      </w:pPr>
      <w:r>
        <w:rPr>
          <w:rFonts w:ascii="Arial" w:cs="Arial" w:eastAsia="Arial" w:hAnsi="Arial"/>
          <w:sz w:val="16"/>
          <w:szCs w:val="16"/>
          <w:color w:val="auto"/>
        </w:rPr>
        <w:t>automotive-qualified 22FDX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platform, these solutions will target 77 GHz and 120 GHz radar applications to enable safety-critical advanced driver assistance systems with low cost, small footprint, and efficient power consumption.</w:t>
      </w:r>
    </w:p>
    <w:p>
      <w:pPr>
        <w:spacing w:after="0" w:line="244" w:lineRule="exact"/>
        <w:rPr>
          <w:rFonts w:ascii="Arial" w:cs="Arial" w:eastAsia="Arial" w:hAnsi="Arial"/>
          <w:sz w:val="16"/>
          <w:szCs w:val="16"/>
          <w:color w:val="auto"/>
        </w:rPr>
      </w:pPr>
    </w:p>
    <w:p>
      <w:pPr>
        <w:jc w:val="both"/>
        <w:ind w:left="660" w:hanging="328"/>
        <w:spacing w:after="0" w:line="345" w:lineRule="auto"/>
        <w:tabs>
          <w:tab w:leader="none" w:pos="649" w:val="left"/>
        </w:tabs>
        <w:numPr>
          <w:ilvl w:val="1"/>
          <w:numId w:val="2"/>
        </w:numPr>
        <w:rPr>
          <w:rFonts w:ascii="Arial" w:cs="Arial" w:eastAsia="Arial" w:hAnsi="Arial"/>
          <w:sz w:val="16"/>
          <w:szCs w:val="16"/>
          <w:color w:val="auto"/>
        </w:rPr>
      </w:pPr>
      <w:r>
        <w:rPr>
          <w:rFonts w:ascii="Arial" w:cs="Arial" w:eastAsia="Arial" w:hAnsi="Arial"/>
          <w:sz w:val="16"/>
          <w:szCs w:val="16"/>
          <w:color w:val="auto"/>
        </w:rPr>
        <w:t>Ayar Labs announced that the industry's first Universal Chiplet Interconnect Express (UCIe) optical interconnect chiplet will utilize GF's monolithic photonics platform. GF's technology uniquely enables Ayar Lab's solution to enhance AI infrastructure performance by driving high-speed data over long distances, while reducing latency and power consumption.</w:t>
      </w:r>
    </w:p>
    <w:p>
      <w:pPr>
        <w:spacing w:after="0" w:line="192" w:lineRule="exact"/>
        <w:rPr>
          <w:rFonts w:ascii="Arial" w:cs="Arial" w:eastAsia="Arial" w:hAnsi="Arial"/>
          <w:sz w:val="16"/>
          <w:szCs w:val="16"/>
          <w:color w:val="auto"/>
        </w:rPr>
      </w:pPr>
    </w:p>
    <w:p>
      <w:pPr>
        <w:jc w:val="both"/>
        <w:ind w:left="660" w:hanging="328"/>
        <w:spacing w:after="0" w:line="345" w:lineRule="auto"/>
        <w:tabs>
          <w:tab w:leader="none" w:pos="649" w:val="left"/>
        </w:tabs>
        <w:numPr>
          <w:ilvl w:val="1"/>
          <w:numId w:val="2"/>
        </w:numPr>
        <w:rPr>
          <w:rFonts w:ascii="Arial" w:cs="Arial" w:eastAsia="Arial" w:hAnsi="Arial"/>
          <w:sz w:val="16"/>
          <w:szCs w:val="16"/>
          <w:color w:val="auto"/>
        </w:rPr>
      </w:pPr>
      <w:r>
        <w:rPr>
          <w:rFonts w:ascii="Arial" w:cs="Arial" w:eastAsia="Arial" w:hAnsi="Arial"/>
          <w:sz w:val="16"/>
          <w:szCs w:val="16"/>
          <w:color w:val="auto"/>
        </w:rPr>
        <w:t>In April, Bosch announced at Auto Shanghai the launch of its next generation single chip radar sensor, which reliably, precisely, and quickly detects objects for assisted and automated driving. As previously announced, GF continues its partnership with Bosch, enabling this high-performance, high-efficiency automotive radar technology with GF's 22FDX platform.</w:t>
      </w:r>
    </w:p>
    <w:p>
      <w:pPr>
        <w:spacing w:after="0" w:line="174" w:lineRule="exact"/>
        <w:rPr>
          <w:rFonts w:ascii="Arial" w:cs="Arial" w:eastAsia="Arial" w:hAnsi="Arial"/>
          <w:sz w:val="16"/>
          <w:szCs w:val="16"/>
          <w:color w:val="auto"/>
        </w:rPr>
      </w:pPr>
    </w:p>
    <w:p>
      <w:pPr>
        <w:ind w:left="180" w:hanging="172"/>
        <w:spacing w:after="0" w:line="226" w:lineRule="auto"/>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10</w:t>
      </w:r>
    </w:p>
    <w:p>
      <w:pPr>
        <w:sectPr>
          <w:pgSz w:w="11900" w:h="16838" w:orient="portrait"/>
          <w:cols w:equalWidth="0" w:num="1">
            <w:col w:w="11240"/>
          </w:cols>
          <w:pgMar w:left="320" w:top="1313" w:right="339" w:bottom="1440" w:gutter="0" w:footer="0" w:header="0"/>
        </w:sectPr>
      </w:pPr>
    </w:p>
    <w:bookmarkStart w:id="3" w:name="page4"/>
    <w:bookmarkEnd w:id="3"/>
    <w:p>
      <w:pPr>
        <w:spacing w:after="0" w:line="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GLOBALFOUNDRIES Inc.</w:t>
      </w:r>
    </w:p>
    <w:p>
      <w:pPr>
        <w:spacing w:after="0" w:line="11"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Summary Quarterly Results</w:t>
      </w:r>
    </w:p>
    <w:p>
      <w:pPr>
        <w:jc w:val="center"/>
        <w:ind w:right="-11"/>
        <w:spacing w:after="0"/>
        <w:rPr>
          <w:sz w:val="20"/>
          <w:szCs w:val="20"/>
          <w:color w:val="auto"/>
        </w:rPr>
      </w:pPr>
      <w:r>
        <w:rPr>
          <w:rFonts w:ascii="Arial" w:cs="Arial" w:eastAsia="Arial" w:hAnsi="Arial"/>
          <w:sz w:val="14"/>
          <w:szCs w:val="14"/>
          <w:b w:val="1"/>
          <w:bCs w:val="1"/>
          <w:color w:val="auto"/>
        </w:rPr>
        <w:t>(Unaudited, in millions, except per share amounts and wafer shipments)</w:t>
      </w:r>
    </w:p>
    <w:p>
      <w:pPr>
        <w:spacing w:after="0" w:line="271" w:lineRule="exact"/>
        <w:rPr>
          <w:sz w:val="20"/>
          <w:szCs w:val="20"/>
          <w:color w:val="auto"/>
        </w:rPr>
      </w:pPr>
    </w:p>
    <w:tbl>
      <w:tblPr>
        <w:tblLayout w:type="fixed"/>
        <w:tblInd w:w="52" w:type="dxa"/>
        <w:tblCellMar>
          <w:top w:w="0" w:type="dxa"/>
          <w:left w:w="0" w:type="dxa"/>
          <w:bottom w:w="0" w:type="dxa"/>
          <w:right w:w="0" w:type="dxa"/>
        </w:tblCellMar>
      </w:tblPr>
      <w:tr>
        <w:trPr>
          <w:trHeight w:val="196"/>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w w:val="99"/>
              </w:rPr>
              <w:t>Year-over-year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Sequential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Q1'25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Q4'24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Q1'24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Q1'25 vs Q1'24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6"/>
          </w:tcPr>
          <w:p>
            <w:pPr>
              <w:jc w:val="center"/>
              <w:ind w:right="248"/>
              <w:spacing w:after="0"/>
              <w:rPr>
                <w:sz w:val="20"/>
                <w:szCs w:val="20"/>
                <w:color w:val="auto"/>
              </w:rPr>
            </w:pPr>
            <w:r>
              <w:rPr>
                <w:rFonts w:ascii="Arial" w:cs="Arial" w:eastAsia="Arial" w:hAnsi="Arial"/>
                <w:sz w:val="14"/>
                <w:szCs w:val="14"/>
                <w:b w:val="1"/>
                <w:bCs w:val="1"/>
                <w:color w:val="auto"/>
              </w:rPr>
              <w:t>Q1'25 vs Q4'24</w:t>
            </w:r>
          </w:p>
        </w:tc>
        <w:tc>
          <w:tcPr>
            <w:tcW w:w="0" w:type="dxa"/>
            <w:vAlign w:val="bottom"/>
          </w:tcPr>
          <w:p>
            <w:pPr>
              <w:spacing w:after="0"/>
              <w:rPr>
                <w:sz w:val="1"/>
                <w:szCs w:val="1"/>
                <w:color w:val="auto"/>
              </w:rPr>
            </w:pPr>
          </w:p>
        </w:tc>
      </w:tr>
      <w:tr>
        <w:trPr>
          <w:trHeight w:val="136"/>
        </w:trPr>
        <w:tc>
          <w:tcPr>
            <w:tcW w:w="3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80" w:type="dxa"/>
            <w:vAlign w:val="bottom"/>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1,585</w:t>
            </w:r>
          </w:p>
        </w:tc>
        <w:tc>
          <w:tcPr>
            <w:tcW w:w="10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1,549</w:t>
            </w:r>
          </w:p>
        </w:tc>
        <w:tc>
          <w:tcPr>
            <w:tcW w:w="100" w:type="dxa"/>
            <w:vAlign w:val="bottom"/>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2 %</w:t>
            </w:r>
          </w:p>
        </w:tc>
        <w:tc>
          <w:tcPr>
            <w:tcW w:w="80" w:type="dxa"/>
            <w:vAlign w:val="bottom"/>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8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449</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6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Gross margin</w:t>
            </w:r>
          </w:p>
        </w:tc>
        <w:tc>
          <w:tcPr>
            <w:tcW w:w="8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22.4 %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24.5 %</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25.4 %</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(300)bps</w:t>
            </w:r>
          </w:p>
        </w:tc>
        <w:tc>
          <w:tcPr>
            <w:tcW w:w="8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(210)bps</w:t>
            </w: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gross profit</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379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464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405</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gross margin</w:t>
            </w:r>
            <w:r>
              <w:rPr>
                <w:rFonts w:ascii="Arial" w:cs="Arial" w:eastAsia="Arial" w:hAnsi="Arial"/>
                <w:sz w:val="18"/>
                <w:szCs w:val="18"/>
                <w:i w:val="1"/>
                <w:iCs w:val="1"/>
                <w:color w:val="auto"/>
                <w:vertAlign w:val="superscript"/>
              </w:rPr>
              <w:t>(1)</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23.9 %</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25.4 %</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26.1 %</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(220)bps</w:t>
            </w:r>
          </w:p>
        </w:tc>
        <w:tc>
          <w:tcPr>
            <w:tcW w:w="8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(150)bps</w:t>
            </w: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8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(701)</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3 %</w:t>
            </w:r>
          </w:p>
        </w:tc>
        <w:tc>
          <w:tcPr>
            <w:tcW w:w="8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852</w:t>
            </w: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122 %</w:t>
            </w:r>
          </w:p>
        </w:tc>
        <w:tc>
          <w:tcPr>
            <w:tcW w:w="0" w:type="dxa"/>
            <w:vAlign w:val="bottom"/>
          </w:tcPr>
          <w:p>
            <w:pPr>
              <w:spacing w:after="0"/>
              <w:rPr>
                <w:sz w:val="1"/>
                <w:szCs w:val="1"/>
                <w:color w:val="auto"/>
              </w:rPr>
            </w:pPr>
          </w:p>
        </w:tc>
      </w:tr>
      <w:tr>
        <w:trPr>
          <w:trHeight w:val="26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Operating (loss) margin</w:t>
            </w:r>
          </w:p>
        </w:tc>
        <w:tc>
          <w:tcPr>
            <w:tcW w:w="8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9.5 %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(38.3)%</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9.5 %</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0bps</w:t>
            </w:r>
          </w:p>
        </w:tc>
        <w:tc>
          <w:tcPr>
            <w:tcW w:w="8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+4,780bps</w:t>
            </w: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operating profit</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285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14 %</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operating margin</w:t>
            </w:r>
            <w:r>
              <w:rPr>
                <w:rFonts w:ascii="Arial" w:cs="Arial" w:eastAsia="Arial" w:hAnsi="Arial"/>
                <w:sz w:val="18"/>
                <w:szCs w:val="18"/>
                <w:i w:val="1"/>
                <w:iCs w:val="1"/>
                <w:color w:val="auto"/>
                <w:vertAlign w:val="superscript"/>
              </w:rPr>
              <w:t>(1)</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13.4 %</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15.6 %</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12.1 %</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9"/>
              </w:rPr>
              <w:t>+130bps</w:t>
            </w:r>
          </w:p>
        </w:tc>
        <w:tc>
          <w:tcPr>
            <w:tcW w:w="8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(220)bps</w:t>
            </w: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8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211</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(729)</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57 %</w:t>
            </w:r>
          </w:p>
        </w:tc>
        <w:tc>
          <w:tcPr>
            <w:tcW w:w="8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940</w:t>
            </w: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129 %</w:t>
            </w:r>
          </w:p>
        </w:tc>
        <w:tc>
          <w:tcPr>
            <w:tcW w:w="0" w:type="dxa"/>
            <w:vAlign w:val="bottom"/>
          </w:tcPr>
          <w:p>
            <w:pPr>
              <w:spacing w:after="0"/>
              <w:rPr>
                <w:sz w:val="1"/>
                <w:szCs w:val="1"/>
                <w:color w:val="auto"/>
              </w:rPr>
            </w:pPr>
          </w:p>
        </w:tc>
      </w:tr>
      <w:tr>
        <w:trPr>
          <w:trHeight w:val="26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8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13.3 %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(39.8)%</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8.7 %</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w w:val="99"/>
              </w:rPr>
              <w:t>+460bps</w:t>
            </w:r>
          </w:p>
        </w:tc>
        <w:tc>
          <w:tcPr>
            <w:tcW w:w="8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+5,310bps</w:t>
            </w: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net income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189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256</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174</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9 %</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 xml:space="preserve">Non-IFRS net income margin </w:t>
            </w:r>
            <w:r>
              <w:rPr>
                <w:rFonts w:ascii="Arial" w:cs="Arial" w:eastAsia="Arial" w:hAnsi="Arial"/>
                <w:sz w:val="18"/>
                <w:szCs w:val="18"/>
                <w:i w:val="1"/>
                <w:iCs w:val="1"/>
                <w:color w:val="auto"/>
                <w:vertAlign w:val="superscript"/>
              </w:rPr>
              <w:t>(1)</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11.9 %</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14.0 %</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11.2 %</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+70bps</w:t>
            </w:r>
          </w:p>
        </w:tc>
        <w:tc>
          <w:tcPr>
            <w:tcW w:w="8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(210)bps</w:t>
            </w: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("EPS")</w:t>
            </w:r>
          </w:p>
        </w:tc>
        <w:tc>
          <w:tcPr>
            <w:tcW w:w="8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0.38</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0.24</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58 %</w:t>
            </w:r>
          </w:p>
        </w:tc>
        <w:tc>
          <w:tcPr>
            <w:tcW w:w="8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129 %</w:t>
            </w: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diluted EPS</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0.34</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0.46</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0.31</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0.03</w:t>
            </w:r>
          </w:p>
        </w:tc>
        <w:tc>
          <w:tcPr>
            <w:tcW w:w="100" w:type="dxa"/>
            <w:vAlign w:val="bottom"/>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10 %</w:t>
            </w:r>
          </w:p>
        </w:tc>
        <w:tc>
          <w:tcPr>
            <w:tcW w:w="8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661</w:t>
            </w:r>
          </w:p>
        </w:tc>
        <w:tc>
          <w:tcPr>
            <w:tcW w:w="10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577</w:t>
            </w: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69"/>
        </w:trPr>
        <w:tc>
          <w:tcPr>
            <w:tcW w:w="3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8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35.2 %</w:t>
            </w:r>
          </w:p>
        </w:tc>
        <w:tc>
          <w:tcPr>
            <w:tcW w:w="10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36.1 %</w:t>
            </w:r>
          </w:p>
        </w:tc>
        <w:tc>
          <w:tcPr>
            <w:tcW w:w="10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i w:val="1"/>
                <w:iCs w:val="1"/>
                <w:color w:val="auto"/>
              </w:rPr>
              <w:t>37.2 %</w:t>
            </w:r>
          </w:p>
        </w:tc>
        <w:tc>
          <w:tcPr>
            <w:tcW w:w="10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(200)bps</w:t>
            </w:r>
          </w:p>
        </w:tc>
        <w:tc>
          <w:tcPr>
            <w:tcW w:w="8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(90)bps</w:t>
            </w:r>
          </w:p>
        </w:tc>
        <w:tc>
          <w:tcPr>
            <w:tcW w:w="0" w:type="dxa"/>
            <w:vAlign w:val="bottom"/>
          </w:tcPr>
          <w:p>
            <w:pPr>
              <w:spacing w:after="0"/>
              <w:rPr>
                <w:sz w:val="1"/>
                <w:szCs w:val="1"/>
                <w:color w:val="auto"/>
              </w:rPr>
            </w:pPr>
          </w:p>
        </w:tc>
      </w:tr>
      <w:tr>
        <w:trPr>
          <w:trHeight w:val="201"/>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331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457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488</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89"/>
        </w:trPr>
        <w:tc>
          <w:tcPr>
            <w:tcW w:w="3020" w:type="dxa"/>
            <w:vAlign w:val="bottom"/>
            <w:tcBorders>
              <w:bottom w:val="single" w:sz="8" w:color="auto"/>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Wafer shipments (300mm equivalent)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543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463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80</w:t>
            </w: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17 %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172" w:hanging="172"/>
        <w:spacing w:after="0" w:line="226" w:lineRule="auto"/>
        <w:tabs>
          <w:tab w:leader="none" w:pos="145"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2 of 10</w:t>
      </w:r>
    </w:p>
    <w:p>
      <w:pPr>
        <w:sectPr>
          <w:pgSz w:w="11900" w:h="16838" w:orient="portrait"/>
          <w:cols w:equalWidth="0" w:num="1">
            <w:col w:w="11232"/>
          </w:cols>
          <w:pgMar w:left="328"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61"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Summary of Second Quarter 2025 Guidance</w:t>
      </w:r>
      <w:r>
        <w:rPr>
          <w:rFonts w:ascii="Arial" w:cs="Arial" w:eastAsia="Arial" w:hAnsi="Arial"/>
          <w:sz w:val="21"/>
          <w:szCs w:val="21"/>
          <w:b w:val="1"/>
          <w:bCs w:val="1"/>
          <w:color w:val="auto"/>
          <w:vertAlign w:val="superscript"/>
        </w:rPr>
        <w:t>(1)</w:t>
      </w:r>
    </w:p>
    <w:p>
      <w:pPr>
        <w:ind w:left="39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b w:val="1"/>
          <w:bCs w:val="1"/>
          <w:color w:val="auto"/>
        </w:rPr>
        <w:t>Unaudited, in millions, except per share amounts)</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29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IFRS</w:t>
            </w:r>
          </w:p>
        </w:tc>
        <w:tc>
          <w:tcPr>
            <w:tcW w:w="34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Share-based compensation</w:t>
            </w:r>
            <w:r>
              <w:rPr>
                <w:rFonts w:ascii="Arial" w:cs="Arial" w:eastAsia="Arial" w:hAnsi="Arial"/>
                <w:sz w:val="21"/>
                <w:szCs w:val="21"/>
                <w:b w:val="1"/>
                <w:bCs w:val="1"/>
                <w:color w:val="auto"/>
                <w:vertAlign w:val="superscript"/>
              </w:rPr>
              <w:t>(3)</w:t>
            </w:r>
          </w:p>
        </w:tc>
        <w:tc>
          <w:tcPr>
            <w:tcW w:w="20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Non-IFRS</w:t>
            </w:r>
            <w:r>
              <w:rPr>
                <w:rFonts w:ascii="Arial" w:cs="Arial" w:eastAsia="Arial" w:hAnsi="Arial"/>
                <w:sz w:val="21"/>
                <w:szCs w:val="21"/>
                <w:b w:val="1"/>
                <w:bCs w:val="1"/>
                <w:color w:val="auto"/>
                <w:vertAlign w:val="superscript"/>
              </w:rPr>
              <w:t>(2)</w:t>
            </w: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2780" w:type="dxa"/>
            <w:vAlign w:val="bottom"/>
            <w:shd w:val="clear" w:color="auto" w:fill="CCEEFF"/>
          </w:tcPr>
          <w:p>
            <w:pPr>
              <w:jc w:val="center"/>
              <w:ind w:left="467"/>
              <w:spacing w:after="0"/>
              <w:rPr>
                <w:sz w:val="20"/>
                <w:szCs w:val="20"/>
                <w:color w:val="auto"/>
              </w:rPr>
            </w:pPr>
            <w:r>
              <w:rPr>
                <w:rFonts w:ascii="Arial" w:cs="Arial" w:eastAsia="Arial" w:hAnsi="Arial"/>
                <w:sz w:val="14"/>
                <w:szCs w:val="14"/>
                <w:b w:val="1"/>
                <w:bCs w:val="1"/>
                <w:color w:val="auto"/>
              </w:rPr>
              <w:t>$1,675 ± $25</w:t>
            </w:r>
          </w:p>
        </w:tc>
        <w:tc>
          <w:tcPr>
            <w:tcW w:w="34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03"/>
        </w:trPr>
        <w:tc>
          <w:tcPr>
            <w:tcW w:w="2900" w:type="dxa"/>
            <w:vAlign w:val="bottom"/>
          </w:tcPr>
          <w:p>
            <w:pPr>
              <w:ind w:left="120"/>
              <w:spacing w:after="0" w:line="202" w:lineRule="exact"/>
              <w:rPr>
                <w:sz w:val="20"/>
                <w:szCs w:val="20"/>
                <w:color w:val="auto"/>
              </w:rPr>
            </w:pPr>
            <w:r>
              <w:rPr>
                <w:rFonts w:ascii="Arial" w:cs="Arial" w:eastAsia="Arial" w:hAnsi="Arial"/>
                <w:sz w:val="14"/>
                <w:szCs w:val="14"/>
                <w:i w:val="1"/>
                <w:iCs w:val="1"/>
                <w:color w:val="auto"/>
              </w:rPr>
              <w:t>Gross margin</w:t>
            </w:r>
            <w:r>
              <w:rPr>
                <w:rFonts w:ascii="Arial" w:cs="Arial" w:eastAsia="Arial" w:hAnsi="Arial"/>
                <w:sz w:val="18"/>
                <w:szCs w:val="18"/>
                <w:i w:val="1"/>
                <w:iCs w:val="1"/>
                <w:color w:val="auto"/>
                <w:vertAlign w:val="superscript"/>
              </w:rPr>
              <w:t>(2)</w:t>
            </w:r>
          </w:p>
        </w:tc>
        <w:tc>
          <w:tcPr>
            <w:tcW w:w="2780" w:type="dxa"/>
            <w:vAlign w:val="bottom"/>
          </w:tcPr>
          <w:p>
            <w:pPr>
              <w:jc w:val="center"/>
              <w:ind w:left="467"/>
              <w:spacing w:after="0"/>
              <w:rPr>
                <w:sz w:val="20"/>
                <w:szCs w:val="20"/>
                <w:color w:val="auto"/>
              </w:rPr>
            </w:pPr>
            <w:r>
              <w:rPr>
                <w:rFonts w:ascii="Arial" w:cs="Arial" w:eastAsia="Arial" w:hAnsi="Arial"/>
                <w:sz w:val="14"/>
                <w:szCs w:val="14"/>
                <w:i w:val="1"/>
                <w:iCs w:val="1"/>
                <w:color w:val="auto"/>
              </w:rPr>
              <w:t>24.1% ± 100bps</w:t>
            </w:r>
          </w:p>
        </w:tc>
        <w:tc>
          <w:tcPr>
            <w:tcW w:w="3420" w:type="dxa"/>
            <w:vAlign w:val="bottom"/>
          </w:tcPr>
          <w:p>
            <w:pPr>
              <w:jc w:val="center"/>
              <w:spacing w:after="0"/>
              <w:rPr>
                <w:sz w:val="20"/>
                <w:szCs w:val="20"/>
                <w:color w:val="auto"/>
              </w:rPr>
            </w:pPr>
            <w:r>
              <w:rPr>
                <w:rFonts w:ascii="Arial" w:cs="Arial" w:eastAsia="Arial" w:hAnsi="Arial"/>
                <w:sz w:val="14"/>
                <w:szCs w:val="14"/>
                <w:i w:val="1"/>
                <w:iCs w:val="1"/>
                <w:color w:val="auto"/>
              </w:rPr>
              <w:t>~90bps</w:t>
            </w:r>
          </w:p>
        </w:tc>
        <w:tc>
          <w:tcPr>
            <w:tcW w:w="2000" w:type="dxa"/>
            <w:vAlign w:val="bottom"/>
          </w:tcPr>
          <w:p>
            <w:pPr>
              <w:jc w:val="center"/>
              <w:ind w:left="126"/>
              <w:spacing w:after="0"/>
              <w:rPr>
                <w:sz w:val="20"/>
                <w:szCs w:val="20"/>
                <w:color w:val="auto"/>
              </w:rPr>
            </w:pPr>
            <w:r>
              <w:rPr>
                <w:rFonts w:ascii="Arial" w:cs="Arial" w:eastAsia="Arial" w:hAnsi="Arial"/>
                <w:sz w:val="14"/>
                <w:szCs w:val="14"/>
                <w:i w:val="1"/>
                <w:iCs w:val="1"/>
                <w:color w:val="auto"/>
              </w:rPr>
              <w:t>25.0% ± 100bps</w:t>
            </w: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2780" w:type="dxa"/>
            <w:vAlign w:val="bottom"/>
            <w:shd w:val="clear" w:color="auto" w:fill="CCEEFF"/>
          </w:tcPr>
          <w:p>
            <w:pPr>
              <w:jc w:val="center"/>
              <w:ind w:left="467"/>
              <w:spacing w:after="0"/>
              <w:rPr>
                <w:sz w:val="20"/>
                <w:szCs w:val="20"/>
                <w:color w:val="auto"/>
              </w:rPr>
            </w:pPr>
            <w:r>
              <w:rPr>
                <w:rFonts w:ascii="Arial" w:cs="Arial" w:eastAsia="Arial" w:hAnsi="Arial"/>
                <w:sz w:val="14"/>
                <w:szCs w:val="14"/>
                <w:b w:val="1"/>
                <w:bCs w:val="1"/>
                <w:color w:val="auto"/>
              </w:rPr>
              <w:t>$222 ± $10</w:t>
            </w:r>
          </w:p>
        </w:tc>
        <w:tc>
          <w:tcPr>
            <w:tcW w:w="3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~$37</w:t>
            </w:r>
          </w:p>
        </w:tc>
        <w:tc>
          <w:tcPr>
            <w:tcW w:w="2000" w:type="dxa"/>
            <w:vAlign w:val="bottom"/>
            <w:shd w:val="clear" w:color="auto" w:fill="CCEEFF"/>
          </w:tcPr>
          <w:p>
            <w:pPr>
              <w:jc w:val="center"/>
              <w:ind w:left="126"/>
              <w:spacing w:after="0"/>
              <w:rPr>
                <w:sz w:val="20"/>
                <w:szCs w:val="20"/>
                <w:color w:val="auto"/>
              </w:rPr>
            </w:pPr>
            <w:r>
              <w:rPr>
                <w:rFonts w:ascii="Arial" w:cs="Arial" w:eastAsia="Arial" w:hAnsi="Arial"/>
                <w:sz w:val="14"/>
                <w:szCs w:val="14"/>
                <w:b w:val="1"/>
                <w:bCs w:val="1"/>
                <w:color w:val="auto"/>
              </w:rPr>
              <w:t>$185 ± $10</w:t>
            </w:r>
          </w:p>
        </w:tc>
      </w:tr>
      <w:tr>
        <w:trPr>
          <w:trHeight w:val="203"/>
        </w:trPr>
        <w:tc>
          <w:tcPr>
            <w:tcW w:w="2900" w:type="dxa"/>
            <w:vAlign w:val="bottom"/>
          </w:tcPr>
          <w:p>
            <w:pPr>
              <w:ind w:left="120"/>
              <w:spacing w:after="0" w:line="202" w:lineRule="exact"/>
              <w:rPr>
                <w:sz w:val="20"/>
                <w:szCs w:val="20"/>
                <w:color w:val="auto"/>
              </w:rPr>
            </w:pPr>
            <w:r>
              <w:rPr>
                <w:rFonts w:ascii="Arial" w:cs="Arial" w:eastAsia="Arial" w:hAnsi="Arial"/>
                <w:sz w:val="14"/>
                <w:szCs w:val="14"/>
                <w:i w:val="1"/>
                <w:iCs w:val="1"/>
                <w:color w:val="auto"/>
              </w:rPr>
              <w:t>Operating margin</w:t>
            </w:r>
            <w:r>
              <w:rPr>
                <w:rFonts w:ascii="Arial" w:cs="Arial" w:eastAsia="Arial" w:hAnsi="Arial"/>
                <w:sz w:val="18"/>
                <w:szCs w:val="18"/>
                <w:i w:val="1"/>
                <w:iCs w:val="1"/>
                <w:color w:val="auto"/>
                <w:vertAlign w:val="superscript"/>
              </w:rPr>
              <w:t>(2)</w:t>
            </w:r>
          </w:p>
        </w:tc>
        <w:tc>
          <w:tcPr>
            <w:tcW w:w="2780" w:type="dxa"/>
            <w:vAlign w:val="bottom"/>
          </w:tcPr>
          <w:p>
            <w:pPr>
              <w:jc w:val="center"/>
              <w:ind w:left="467"/>
              <w:spacing w:after="0"/>
              <w:rPr>
                <w:sz w:val="20"/>
                <w:szCs w:val="20"/>
                <w:color w:val="auto"/>
              </w:rPr>
            </w:pPr>
            <w:r>
              <w:rPr>
                <w:rFonts w:ascii="Arial" w:cs="Arial" w:eastAsia="Arial" w:hAnsi="Arial"/>
                <w:sz w:val="14"/>
                <w:szCs w:val="14"/>
                <w:i w:val="1"/>
                <w:iCs w:val="1"/>
                <w:color w:val="auto"/>
              </w:rPr>
              <w:t>10.8% ± 180bps</w:t>
            </w:r>
          </w:p>
        </w:tc>
        <w:tc>
          <w:tcPr>
            <w:tcW w:w="3420" w:type="dxa"/>
            <w:vAlign w:val="bottom"/>
          </w:tcPr>
          <w:p>
            <w:pPr>
              <w:jc w:val="center"/>
              <w:spacing w:after="0"/>
              <w:rPr>
                <w:sz w:val="20"/>
                <w:szCs w:val="20"/>
                <w:color w:val="auto"/>
              </w:rPr>
            </w:pPr>
            <w:r>
              <w:rPr>
                <w:rFonts w:ascii="Arial" w:cs="Arial" w:eastAsia="Arial" w:hAnsi="Arial"/>
                <w:sz w:val="14"/>
                <w:szCs w:val="14"/>
                <w:i w:val="1"/>
                <w:iCs w:val="1"/>
                <w:color w:val="auto"/>
              </w:rPr>
              <w:t>~320bps</w:t>
            </w:r>
          </w:p>
        </w:tc>
        <w:tc>
          <w:tcPr>
            <w:tcW w:w="2000" w:type="dxa"/>
            <w:vAlign w:val="bottom"/>
          </w:tcPr>
          <w:p>
            <w:pPr>
              <w:jc w:val="center"/>
              <w:ind w:left="126"/>
              <w:spacing w:after="0"/>
              <w:rPr>
                <w:sz w:val="20"/>
                <w:szCs w:val="20"/>
                <w:color w:val="auto"/>
              </w:rPr>
            </w:pPr>
            <w:r>
              <w:rPr>
                <w:rFonts w:ascii="Arial" w:cs="Arial" w:eastAsia="Arial" w:hAnsi="Arial"/>
                <w:sz w:val="14"/>
                <w:szCs w:val="14"/>
                <w:i w:val="1"/>
                <w:iCs w:val="1"/>
                <w:color w:val="auto"/>
              </w:rPr>
              <w:t>14.0% ± 180bps</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Diluted EPS</w:t>
            </w:r>
            <w:r>
              <w:rPr>
                <w:rFonts w:ascii="Arial" w:cs="Arial" w:eastAsia="Arial" w:hAnsi="Arial"/>
                <w:sz w:val="18"/>
                <w:szCs w:val="18"/>
                <w:b w:val="1"/>
                <w:bCs w:val="1"/>
                <w:color w:val="auto"/>
                <w:vertAlign w:val="superscript"/>
              </w:rPr>
              <w:t>(2)</w:t>
            </w:r>
            <w:r>
              <w:rPr>
                <w:rFonts w:ascii="Arial" w:cs="Arial" w:eastAsia="Arial" w:hAnsi="Arial"/>
                <w:sz w:val="18"/>
                <w:szCs w:val="18"/>
                <w:b w:val="1"/>
                <w:bCs w:val="1"/>
                <w:i w:val="1"/>
                <w:iCs w:val="1"/>
                <w:color w:val="auto"/>
                <w:vertAlign w:val="superscript"/>
              </w:rPr>
              <w:t>(4)</w:t>
            </w:r>
          </w:p>
        </w:tc>
        <w:tc>
          <w:tcPr>
            <w:tcW w:w="2780" w:type="dxa"/>
            <w:vAlign w:val="bottom"/>
            <w:shd w:val="clear" w:color="auto" w:fill="CCEEFF"/>
          </w:tcPr>
          <w:p>
            <w:pPr>
              <w:jc w:val="center"/>
              <w:ind w:left="467"/>
              <w:spacing w:after="0"/>
              <w:rPr>
                <w:sz w:val="20"/>
                <w:szCs w:val="20"/>
                <w:color w:val="auto"/>
              </w:rPr>
            </w:pPr>
            <w:r>
              <w:rPr>
                <w:rFonts w:ascii="Arial" w:cs="Arial" w:eastAsia="Arial" w:hAnsi="Arial"/>
                <w:sz w:val="14"/>
                <w:szCs w:val="14"/>
                <w:b w:val="1"/>
                <w:bCs w:val="1"/>
                <w:color w:val="auto"/>
              </w:rPr>
              <w:t>$0.27 ± $0.06</w:t>
            </w:r>
          </w:p>
        </w:tc>
        <w:tc>
          <w:tcPr>
            <w:tcW w:w="3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~$0.09</w:t>
            </w:r>
          </w:p>
        </w:tc>
        <w:tc>
          <w:tcPr>
            <w:tcW w:w="2000" w:type="dxa"/>
            <w:vAlign w:val="bottom"/>
            <w:shd w:val="clear" w:color="auto" w:fill="CCEEFF"/>
          </w:tcPr>
          <w:p>
            <w:pPr>
              <w:jc w:val="center"/>
              <w:ind w:left="126"/>
              <w:spacing w:after="0"/>
              <w:rPr>
                <w:sz w:val="20"/>
                <w:szCs w:val="20"/>
                <w:color w:val="auto"/>
              </w:rPr>
            </w:pPr>
            <w:r>
              <w:rPr>
                <w:rFonts w:ascii="Arial" w:cs="Arial" w:eastAsia="Arial" w:hAnsi="Arial"/>
                <w:sz w:val="14"/>
                <w:szCs w:val="14"/>
                <w:b w:val="1"/>
                <w:bCs w:val="1"/>
                <w:color w:val="auto"/>
              </w:rPr>
              <w:t>$0.36 ± $0.05</w:t>
            </w:r>
          </w:p>
        </w:tc>
      </w:tr>
      <w:tr>
        <w:trPr>
          <w:trHeight w:val="200"/>
        </w:trPr>
        <w:tc>
          <w:tcPr>
            <w:tcW w:w="2900" w:type="dxa"/>
            <w:vAlign w:val="bottom"/>
          </w:tcPr>
          <w:p>
            <w:pPr>
              <w:spacing w:after="0"/>
              <w:rPr>
                <w:sz w:val="20"/>
                <w:szCs w:val="20"/>
                <w:color w:val="auto"/>
              </w:rPr>
            </w:pPr>
            <w:r>
              <w:rPr>
                <w:rFonts w:ascii="Arial" w:cs="Arial" w:eastAsia="Arial" w:hAnsi="Arial"/>
                <w:sz w:val="14"/>
                <w:szCs w:val="14"/>
                <w:b w:val="1"/>
                <w:bCs w:val="1"/>
                <w:color w:val="auto"/>
              </w:rPr>
              <w:t>Fully Diluted Share Count</w:t>
            </w:r>
          </w:p>
        </w:tc>
        <w:tc>
          <w:tcPr>
            <w:tcW w:w="2780" w:type="dxa"/>
            <w:vAlign w:val="bottom"/>
          </w:tcPr>
          <w:p>
            <w:pPr>
              <w:jc w:val="center"/>
              <w:ind w:left="467"/>
              <w:spacing w:after="0"/>
              <w:rPr>
                <w:sz w:val="20"/>
                <w:szCs w:val="20"/>
                <w:color w:val="auto"/>
              </w:rPr>
            </w:pPr>
            <w:r>
              <w:rPr>
                <w:rFonts w:ascii="Arial" w:cs="Arial" w:eastAsia="Arial" w:hAnsi="Arial"/>
                <w:sz w:val="14"/>
                <w:szCs w:val="14"/>
                <w:b w:val="1"/>
                <w:bCs w:val="1"/>
                <w:color w:val="auto"/>
              </w:rPr>
              <w:t>~560</w:t>
            </w:r>
          </w:p>
        </w:tc>
        <w:tc>
          <w:tcPr>
            <w:tcW w:w="342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322" w:lineRule="exact"/>
        <w:rPr>
          <w:sz w:val="20"/>
          <w:szCs w:val="20"/>
          <w:color w:val="auto"/>
        </w:rPr>
      </w:pPr>
    </w:p>
    <w:p>
      <w:pPr>
        <w:ind w:left="180" w:hanging="172"/>
        <w:spacing w:after="0" w:line="22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The Guidance provided contains forward-looking statements as defined in the U.S. Private Securities Litigation Act of 1995, and is subject to the safe harbors created therein. The Guidance includes management's beliefs and assumptions and is based on information that is available as of the date of this release.</w:t>
      </w:r>
    </w:p>
    <w:p>
      <w:pPr>
        <w:spacing w:after="0" w:line="90" w:lineRule="exact"/>
        <w:rPr>
          <w:rFonts w:ascii="Arial" w:cs="Arial" w:eastAsia="Arial" w:hAnsi="Arial"/>
          <w:sz w:val="16"/>
          <w:szCs w:val="16"/>
          <w:color w:val="auto"/>
          <w:vertAlign w:val="superscript"/>
        </w:rPr>
      </w:pPr>
    </w:p>
    <w:p>
      <w:pPr>
        <w:jc w:val="both"/>
        <w:ind w:left="180" w:hanging="172"/>
        <w:spacing w:after="0" w:line="230"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Non-IFRS gross margin, Non-IFRS operating margin, Non-IFRS operating expenses and Non-IFRS diluted EPS are Non-IFRS measures and, for purposes of the Guidance only, are defined as gross profit as a percent of revenue, operating profit as a percent of revenue, operating expenses and diluted EPS, all before share-based compensation, respectively. See "Financial Measures (Non-IFRS)" for further discussion on these Non-IFRS measures and why we believe they are useful.</w:t>
      </w:r>
    </w:p>
    <w:p>
      <w:pPr>
        <w:spacing w:after="0" w:line="104" w:lineRule="exact"/>
        <w:rPr>
          <w:rFonts w:ascii="Arial" w:cs="Arial" w:eastAsia="Arial" w:hAnsi="Arial"/>
          <w:sz w:val="16"/>
          <w:szCs w:val="16"/>
          <w:color w:val="auto"/>
          <w:vertAlign w:val="superscript"/>
        </w:rPr>
      </w:pPr>
    </w:p>
    <w:p>
      <w:pPr>
        <w:ind w:left="180" w:right="20" w:hanging="172"/>
        <w:spacing w:after="0" w:line="22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We expect share-based compensation of $15 million and $37 million in cost of revenue and operating expenses, respectively. The Non-IFRS margin impacts are calculated by dividing share-based compensation by net revenue, and the Non-IFRS diluted EPS impact is calculated by dividing share-based compensation by the fully diluted share count.</w:t>
      </w:r>
    </w:p>
    <w:p>
      <w:pPr>
        <w:spacing w:after="0" w:line="77" w:lineRule="exact"/>
        <w:rPr>
          <w:rFonts w:ascii="Arial" w:cs="Arial" w:eastAsia="Arial" w:hAnsi="Arial"/>
          <w:sz w:val="16"/>
          <w:szCs w:val="16"/>
          <w:color w:val="auto"/>
          <w:vertAlign w:val="superscript"/>
        </w:rPr>
      </w:pPr>
    </w:p>
    <w:p>
      <w:pPr>
        <w:ind w:left="180" w:hanging="172"/>
        <w:spacing w:after="0" w:line="20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Included in diluted EPS is net interest income (expense) and other income (expense) which we estimate will be between $3 million and $11 million for the second quarter 2025. Also included in diluted EPS is income tax expense which we estimate will be between $33 million and $47 million for the second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 of 10</w:t>
      </w:r>
    </w:p>
    <w:p>
      <w:pPr>
        <w:sectPr>
          <w:pgSz w:w="11900" w:h="16838" w:orient="portrait"/>
          <w:cols w:equalWidth="0" w:num="1">
            <w:col w:w="11240"/>
          </w:cols>
          <w:pgMar w:left="320" w:top="141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jc w:val="center"/>
        <w:ind w:right="20"/>
        <w:spacing w:after="0"/>
        <w:rPr>
          <w:sz w:val="20"/>
          <w:szCs w:val="20"/>
          <w:color w:val="auto"/>
        </w:rPr>
      </w:pPr>
      <w:r>
        <w:rPr>
          <w:rFonts w:ascii="Arial" w:cs="Arial" w:eastAsia="Arial" w:hAnsi="Arial"/>
          <w:sz w:val="14"/>
          <w:szCs w:val="14"/>
          <w:b w:val="1"/>
          <w:bCs w:val="1"/>
          <w:color w:val="auto"/>
        </w:rPr>
        <w:t>(Unaudited, in millions, except for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7"/>
                <w:szCs w:val="17"/>
                <w:color w:val="auto"/>
              </w:rPr>
            </w:pPr>
          </w:p>
        </w:tc>
      </w:tr>
      <w:tr>
        <w:trPr>
          <w:trHeight w:val="223"/>
        </w:trPr>
        <w:tc>
          <w:tcPr>
            <w:tcW w:w="6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 2025</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 2024</w:t>
            </w:r>
          </w:p>
        </w:tc>
        <w:tc>
          <w:tcPr>
            <w:tcW w:w="540" w:type="dxa"/>
            <w:vAlign w:val="bottom"/>
            <w:tcBorders>
              <w:bottom w:val="single" w:sz="8" w:color="auto"/>
            </w:tcBorders>
          </w:tcPr>
          <w:p>
            <w:pPr>
              <w:spacing w:after="0"/>
              <w:rPr>
                <w:sz w:val="19"/>
                <w:szCs w:val="19"/>
                <w:color w:val="auto"/>
              </w:rPr>
            </w:pPr>
          </w:p>
        </w:tc>
      </w:tr>
      <w:tr>
        <w:trPr>
          <w:trHeight w:val="257"/>
        </w:trPr>
        <w:tc>
          <w:tcPr>
            <w:tcW w:w="6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80" w:type="dxa"/>
            <w:vAlign w:val="bottom"/>
          </w:tcPr>
          <w:p>
            <w:pPr>
              <w:spacing w:after="0"/>
              <w:rPr>
                <w:sz w:val="17"/>
                <w:szCs w:val="17"/>
                <w:color w:val="auto"/>
              </w:rPr>
            </w:pPr>
          </w:p>
        </w:tc>
        <w:tc>
          <w:tcPr>
            <w:tcW w:w="1760" w:type="dxa"/>
            <w:vAlign w:val="bottom"/>
            <w:shd w:val="clear" w:color="auto" w:fill="CCEEFF"/>
          </w:tcPr>
          <w:p>
            <w:pPr>
              <w:jc w:val="right"/>
              <w:ind w:right="15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1,585</w:t>
            </w:r>
          </w:p>
        </w:tc>
        <w:tc>
          <w:tcPr>
            <w:tcW w:w="100" w:type="dxa"/>
            <w:vAlign w:val="bottom"/>
          </w:tcPr>
          <w:p>
            <w:pPr>
              <w:spacing w:after="0"/>
              <w:rPr>
                <w:sz w:val="17"/>
                <w:szCs w:val="17"/>
                <w:color w:val="auto"/>
              </w:rPr>
            </w:pPr>
          </w:p>
        </w:tc>
        <w:tc>
          <w:tcPr>
            <w:tcW w:w="1760" w:type="dxa"/>
            <w:vAlign w:val="bottom"/>
            <w:shd w:val="clear" w:color="auto" w:fill="CCEEFF"/>
          </w:tcPr>
          <w:p>
            <w:pPr>
              <w:jc w:val="right"/>
              <w:ind w:right="160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1,549</w:t>
            </w: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1,156</w:t>
            </w: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80" w:type="dxa"/>
            <w:vAlign w:val="bottom"/>
          </w:tcPr>
          <w:p>
            <w:pPr>
              <w:spacing w:after="0"/>
              <w:rPr>
                <w:sz w:val="17"/>
                <w:szCs w:val="17"/>
                <w:color w:val="auto"/>
              </w:rPr>
            </w:pPr>
          </w:p>
        </w:tc>
        <w:tc>
          <w:tcPr>
            <w:tcW w:w="1760" w:type="dxa"/>
            <w:vAlign w:val="bottom"/>
            <w:tcBorders>
              <w:bottom w:val="single" w:sz="8" w:color="auto"/>
            </w:tcBorders>
            <w:shd w:val="clear" w:color="auto" w:fill="CCEEFF"/>
          </w:tcPr>
          <w:p>
            <w:pPr>
              <w:jc w:val="right"/>
              <w:ind w:right="15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7"/>
                <w:szCs w:val="17"/>
                <w:color w:val="auto"/>
              </w:rPr>
            </w:pPr>
          </w:p>
        </w:tc>
        <w:tc>
          <w:tcPr>
            <w:tcW w:w="1760" w:type="dxa"/>
            <w:vAlign w:val="bottom"/>
            <w:tcBorders>
              <w:bottom w:val="single" w:sz="8" w:color="auto"/>
            </w:tcBorders>
            <w:shd w:val="clear" w:color="auto" w:fill="CCEEFF"/>
          </w:tcPr>
          <w:p>
            <w:pPr>
              <w:jc w:val="right"/>
              <w:ind w:right="160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393</w:t>
            </w:r>
          </w:p>
        </w:tc>
      </w:tr>
      <w:tr>
        <w:trPr>
          <w:trHeight w:val="178"/>
        </w:trPr>
        <w:tc>
          <w:tcPr>
            <w:tcW w:w="6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80" w:type="dxa"/>
            <w:vAlign w:val="bottom"/>
          </w:tcPr>
          <w:p>
            <w:pPr>
              <w:spacing w:after="0"/>
              <w:rPr>
                <w:sz w:val="17"/>
                <w:szCs w:val="17"/>
                <w:color w:val="auto"/>
              </w:rPr>
            </w:pPr>
          </w:p>
        </w:tc>
        <w:tc>
          <w:tcPr>
            <w:tcW w:w="1760" w:type="dxa"/>
            <w:vAlign w:val="bottom"/>
            <w:tcBorders>
              <w:bottom w:val="single" w:sz="8" w:color="auto"/>
            </w:tcBorders>
            <w:shd w:val="clear" w:color="auto" w:fill="CCEEFF"/>
          </w:tcPr>
          <w:p>
            <w:pPr>
              <w:jc w:val="right"/>
              <w:ind w:right="15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7"/>
                <w:szCs w:val="17"/>
                <w:color w:val="auto"/>
              </w:rPr>
            </w:pPr>
          </w:p>
        </w:tc>
        <w:tc>
          <w:tcPr>
            <w:tcW w:w="1760" w:type="dxa"/>
            <w:vAlign w:val="bottom"/>
            <w:tcBorders>
              <w:bottom w:val="single" w:sz="8" w:color="auto"/>
            </w:tcBorders>
            <w:shd w:val="clear" w:color="auto" w:fill="CCEEFF"/>
          </w:tcPr>
          <w:p>
            <w:pPr>
              <w:jc w:val="right"/>
              <w:ind w:right="160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246</w:t>
            </w:r>
          </w:p>
        </w:tc>
      </w:tr>
      <w:tr>
        <w:trPr>
          <w:trHeight w:val="195"/>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Operating profit</w:t>
            </w:r>
          </w:p>
        </w:tc>
        <w:tc>
          <w:tcPr>
            <w:tcW w:w="1840" w:type="dxa"/>
            <w:vAlign w:val="bottom"/>
            <w:gridSpan w:val="2"/>
          </w:tcPr>
          <w:p>
            <w:pPr>
              <w:jc w:val="right"/>
              <w:ind w:right="158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1860" w:type="dxa"/>
            <w:vAlign w:val="bottom"/>
            <w:gridSpan w:val="2"/>
          </w:tcPr>
          <w:p>
            <w:pPr>
              <w:jc w:val="right"/>
              <w:ind w:right="160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147</w:t>
            </w: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income (expense), net</w:t>
            </w:r>
          </w:p>
        </w:tc>
        <w:tc>
          <w:tcPr>
            <w:tcW w:w="8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r>
      <w:tr>
        <w:trPr>
          <w:trHeight w:val="198"/>
        </w:trPr>
        <w:tc>
          <w:tcPr>
            <w:tcW w:w="64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80" w:type="dxa"/>
            <w:vAlign w:val="bottom"/>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95"/>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840" w:type="dxa"/>
            <w:vAlign w:val="bottom"/>
            <w:gridSpan w:val="2"/>
          </w:tcPr>
          <w:p>
            <w:pPr>
              <w:jc w:val="right"/>
              <w:ind w:right="158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1860" w:type="dxa"/>
            <w:vAlign w:val="bottom"/>
            <w:gridSpan w:val="2"/>
          </w:tcPr>
          <w:p>
            <w:pPr>
              <w:jc w:val="right"/>
              <w:ind w:right="160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134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w:t>
            </w:r>
          </w:p>
        </w:tc>
        <w:tc>
          <w:tcPr>
            <w:tcW w:w="8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4"/>
                <w:szCs w:val="14"/>
                <w:color w:val="auto"/>
              </w:rPr>
              <w:t>Shareholders of GLOBALFOUNDRIES Inc.</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133</w:t>
            </w:r>
          </w:p>
        </w:tc>
      </w:tr>
      <w:tr>
        <w:trPr>
          <w:trHeight w:val="20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8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202"/>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EPS:</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7"/>
                <w:szCs w:val="17"/>
                <w:color w:val="auto"/>
              </w:rPr>
            </w:pPr>
          </w:p>
        </w:tc>
        <w:tc>
          <w:tcPr>
            <w:tcW w:w="1760" w:type="dxa"/>
            <w:vAlign w:val="bottom"/>
            <w:shd w:val="clear" w:color="auto" w:fill="CCEEFF"/>
          </w:tcPr>
          <w:p>
            <w:pPr>
              <w:jc w:val="right"/>
              <w:ind w:right="15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7"/>
                <w:szCs w:val="17"/>
                <w:color w:val="auto"/>
              </w:rPr>
            </w:pPr>
          </w:p>
        </w:tc>
        <w:tc>
          <w:tcPr>
            <w:tcW w:w="1760" w:type="dxa"/>
            <w:vAlign w:val="bottom"/>
            <w:shd w:val="clear" w:color="auto" w:fill="CCEEFF"/>
          </w:tcPr>
          <w:p>
            <w:pPr>
              <w:jc w:val="right"/>
              <w:ind w:right="160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0.24</w:t>
            </w:r>
          </w:p>
        </w:tc>
      </w:tr>
      <w:tr>
        <w:trPr>
          <w:trHeight w:val="199"/>
        </w:trPr>
        <w:tc>
          <w:tcPr>
            <w:tcW w:w="6400" w:type="dxa"/>
            <w:vAlign w:val="bottom"/>
          </w:tcPr>
          <w:p>
            <w:pPr>
              <w:ind w:left="20"/>
              <w:spacing w:after="0"/>
              <w:rPr>
                <w:sz w:val="20"/>
                <w:szCs w:val="20"/>
                <w:color w:val="auto"/>
              </w:rPr>
            </w:pPr>
            <w:r>
              <w:rPr>
                <w:rFonts w:ascii="Arial" w:cs="Arial" w:eastAsia="Arial" w:hAnsi="Arial"/>
                <w:sz w:val="14"/>
                <w:szCs w:val="14"/>
                <w:color w:val="auto"/>
              </w:rPr>
              <w:t>Diluted</w:t>
            </w:r>
          </w:p>
        </w:tc>
        <w:tc>
          <w:tcPr>
            <w:tcW w:w="1840" w:type="dxa"/>
            <w:vAlign w:val="bottom"/>
            <w:gridSpan w:val="2"/>
          </w:tcPr>
          <w:p>
            <w:pPr>
              <w:jc w:val="right"/>
              <w:ind w:right="15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0.38</w:t>
            </w:r>
          </w:p>
        </w:tc>
        <w:tc>
          <w:tcPr>
            <w:tcW w:w="1860" w:type="dxa"/>
            <w:vAlign w:val="bottom"/>
            <w:gridSpan w:val="2"/>
          </w:tcPr>
          <w:p>
            <w:pPr>
              <w:jc w:val="right"/>
              <w:ind w:right="16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0.24</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EPS calculation:</w:t>
            </w:r>
          </w:p>
        </w:tc>
        <w:tc>
          <w:tcPr>
            <w:tcW w:w="8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555</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4 of 10</w:t>
      </w:r>
    </w:p>
    <w:p>
      <w:pPr>
        <w:sectPr>
          <w:pgSz w:w="11900" w:h="16838" w:orient="portrait"/>
          <w:cols w:equalWidth="0" w:num="1">
            <w:col w:w="11180"/>
          </w:cols>
          <w:pgMar w:left="360" w:top="1417"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Financial Position</w:t>
      </w:r>
    </w:p>
    <w:p>
      <w:pPr>
        <w:jc w:val="center"/>
        <w:ind w:right="20"/>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2025</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December 31, 2024</w:t>
            </w:r>
          </w:p>
        </w:tc>
      </w:tr>
      <w:tr>
        <w:trPr>
          <w:trHeight w:val="458"/>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7"/>
                <w:szCs w:val="17"/>
                <w:color w:val="auto"/>
              </w:rPr>
            </w:pPr>
          </w:p>
        </w:tc>
        <w:tc>
          <w:tcPr>
            <w:tcW w:w="1680" w:type="dxa"/>
            <w:vAlign w:val="bottom"/>
            <w:shd w:val="clear" w:color="auto" w:fill="CCEEFF"/>
          </w:tcPr>
          <w:p>
            <w:pPr>
              <w:jc w:val="right"/>
              <w:ind w:right="15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2,192</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1,194</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prepayments and other</w:t>
            </w:r>
          </w:p>
        </w:tc>
        <w:tc>
          <w:tcPr>
            <w:tcW w:w="10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1,406</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1,624</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7"/>
                <w:szCs w:val="17"/>
                <w:color w:val="auto"/>
              </w:rPr>
            </w:pPr>
          </w:p>
        </w:tc>
        <w:tc>
          <w:tcPr>
            <w:tcW w:w="1680" w:type="dxa"/>
            <w:vAlign w:val="bottom"/>
            <w:tcBorders>
              <w:bottom w:val="single" w:sz="8" w:color="auto"/>
            </w:tcBorders>
            <w:shd w:val="clear" w:color="auto" w:fill="CCEEFF"/>
          </w:tcPr>
          <w:p>
            <w:pPr>
              <w:jc w:val="right"/>
              <w:ind w:right="152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6,105</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6,416</w:t>
            </w:r>
          </w:p>
        </w:tc>
      </w:tr>
      <w:tr>
        <w:trPr>
          <w:trHeight w:val="192"/>
        </w:trPr>
        <w:tc>
          <w:tcPr>
            <w:tcW w:w="63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780" w:type="dxa"/>
            <w:vAlign w:val="bottom"/>
            <w:gridSpan w:val="2"/>
          </w:tcPr>
          <w:p>
            <w:pPr>
              <w:jc w:val="right"/>
              <w:ind w:right="15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7,626</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7,762</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839</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498</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1,096</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100" w:type="dxa"/>
            <w:vAlign w:val="bottom"/>
          </w:tcPr>
          <w:p>
            <w:pPr>
              <w:spacing w:after="0"/>
              <w:rPr>
                <w:sz w:val="17"/>
                <w:szCs w:val="17"/>
                <w:color w:val="auto"/>
              </w:rPr>
            </w:pPr>
          </w:p>
        </w:tc>
        <w:tc>
          <w:tcPr>
            <w:tcW w:w="1680" w:type="dxa"/>
            <w:vAlign w:val="bottom"/>
            <w:tcBorders>
              <w:bottom w:val="single" w:sz="8" w:color="auto"/>
            </w:tcBorders>
            <w:shd w:val="clear" w:color="auto" w:fill="CCEEFF"/>
          </w:tcPr>
          <w:p>
            <w:pPr>
              <w:jc w:val="right"/>
              <w:ind w:right="152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10,374</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10,383</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780" w:type="dxa"/>
            <w:vAlign w:val="bottom"/>
            <w:gridSpan w:val="2"/>
          </w:tcPr>
          <w:p>
            <w:pPr>
              <w:jc w:val="right"/>
              <w:ind w:right="15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16,479</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b w:val="1"/>
                <w:bCs w:val="1"/>
                <w:color w:val="auto"/>
              </w:rPr>
              <w:t>16,799</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1780" w:type="dxa"/>
            <w:vAlign w:val="bottom"/>
            <w:gridSpan w:val="2"/>
          </w:tcPr>
          <w:p>
            <w:pPr>
              <w:jc w:val="right"/>
              <w:ind w:right="15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753</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2,291</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780" w:type="dxa"/>
            <w:vAlign w:val="bottom"/>
            <w:gridSpan w:val="2"/>
          </w:tcPr>
          <w:p>
            <w:pPr>
              <w:jc w:val="right"/>
              <w:ind w:right="15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2,428</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b w:val="1"/>
                <w:bCs w:val="1"/>
                <w:color w:val="auto"/>
              </w:rPr>
              <w:t>3,044</w:t>
            </w: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portion of long-term debt</w:t>
            </w:r>
          </w:p>
        </w:tc>
        <w:tc>
          <w:tcPr>
            <w:tcW w:w="10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jc w:val="right"/>
              <w:ind w:right="15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1,053</w:t>
            </w:r>
          </w:p>
        </w:tc>
      </w:tr>
      <w:tr>
        <w:trPr>
          <w:trHeight w:val="199"/>
        </w:trPr>
        <w:tc>
          <w:tcPr>
            <w:tcW w:w="6380" w:type="dxa"/>
            <w:vAlign w:val="bottom"/>
          </w:tcPr>
          <w:p>
            <w:pPr>
              <w:ind w:left="20"/>
              <w:spacing w:after="0"/>
              <w:rPr>
                <w:sz w:val="20"/>
                <w:szCs w:val="20"/>
                <w:color w:val="auto"/>
              </w:rPr>
            </w:pPr>
            <w:r>
              <w:rPr>
                <w:rFonts w:ascii="Arial" w:cs="Arial" w:eastAsia="Arial" w:hAnsi="Arial"/>
                <w:sz w:val="14"/>
                <w:szCs w:val="14"/>
                <w:color w:val="auto"/>
              </w:rPr>
              <w:t>Non-current portion of lease obligations</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424</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1,454</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780" w:type="dxa"/>
            <w:vAlign w:val="bottom"/>
            <w:gridSpan w:val="2"/>
          </w:tcPr>
          <w:p>
            <w:pPr>
              <w:jc w:val="right"/>
              <w:ind w:right="15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2,947</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b w:val="1"/>
                <w:bCs w:val="1"/>
                <w:color w:val="auto"/>
              </w:rPr>
              <w:t>2,931</w:t>
            </w: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ind w:right="152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5,375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5,975</w:t>
            </w: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 additional paid-in capital</w:t>
            </w:r>
          </w:p>
        </w:tc>
        <w:tc>
          <w:tcPr>
            <w:tcW w:w="100" w:type="dxa"/>
            <w:vAlign w:val="bottom"/>
          </w:tcPr>
          <w:p>
            <w:pPr>
              <w:spacing w:after="0"/>
              <w:rPr>
                <w:sz w:val="17"/>
                <w:szCs w:val="17"/>
                <w:color w:val="auto"/>
              </w:rPr>
            </w:pPr>
          </w:p>
        </w:tc>
        <w:tc>
          <w:tcPr>
            <w:tcW w:w="1680" w:type="dxa"/>
            <w:vAlign w:val="bottom"/>
            <w:shd w:val="clear" w:color="auto" w:fill="CCEEFF"/>
          </w:tcPr>
          <w:p>
            <w:pPr>
              <w:jc w:val="right"/>
              <w:ind w:right="15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24,057</w:t>
            </w:r>
          </w:p>
        </w:tc>
        <w:tc>
          <w:tcPr>
            <w:tcW w:w="10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24,025</w:t>
            </w:r>
          </w:p>
        </w:tc>
      </w:tr>
      <w:tr>
        <w:trPr>
          <w:trHeight w:val="199"/>
        </w:trPr>
        <w:tc>
          <w:tcPr>
            <w:tcW w:w="63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(13,266)</w:t>
            </w:r>
          </w:p>
        </w:tc>
      </w:tr>
      <w:tr>
        <w:trPr>
          <w:trHeight w:val="20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10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r>
      <w:tr>
        <w:trPr>
          <w:trHeight w:val="22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2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16,479</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16,799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5 of 10</w:t>
      </w:r>
    </w:p>
    <w:p>
      <w:pPr>
        <w:sectPr>
          <w:pgSz w:w="11900" w:h="16838" w:orient="portrait"/>
          <w:cols w:equalWidth="0" w:num="1">
            <w:col w:w="11180"/>
          </w:cols>
          <w:pgMar w:left="360" w:top="1417" w:right="35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ind w:right="20"/>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bottom w:val="single" w:sz="8" w:color="auto"/>
            </w:tcBorders>
          </w:tcPr>
          <w:p>
            <w:pPr>
              <w:spacing w:after="0"/>
              <w:rPr>
                <w:sz w:val="17"/>
                <w:szCs w:val="17"/>
                <w:color w:val="auto"/>
              </w:rPr>
            </w:pPr>
          </w:p>
        </w:tc>
      </w:tr>
      <w:tr>
        <w:trPr>
          <w:trHeight w:val="148"/>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tcPr>
          <w:p>
            <w:pPr>
              <w:jc w:val="right"/>
              <w:ind w:right="768"/>
              <w:spacing w:after="0" w:line="149" w:lineRule="exact"/>
              <w:rPr>
                <w:sz w:val="20"/>
                <w:szCs w:val="20"/>
                <w:color w:val="auto"/>
              </w:rPr>
            </w:pPr>
            <w:r>
              <w:rPr>
                <w:rFonts w:ascii="Arial" w:cs="Arial" w:eastAsia="Arial" w:hAnsi="Arial"/>
                <w:sz w:val="14"/>
                <w:szCs w:val="14"/>
                <w:b w:val="1"/>
                <w:bCs w:val="1"/>
                <w:color w:val="auto"/>
              </w:rPr>
              <w:t>March 31,</w:t>
            </w:r>
          </w:p>
        </w:tc>
      </w:tr>
      <w:tr>
        <w:trPr>
          <w:trHeight w:val="196"/>
        </w:trPr>
        <w:tc>
          <w:tcPr>
            <w:tcW w:w="6380" w:type="dxa"/>
            <w:vAlign w:val="bottom"/>
          </w:tcPr>
          <w:p>
            <w:pPr>
              <w:spacing w:after="0"/>
              <w:rPr>
                <w:sz w:val="17"/>
                <w:szCs w:val="17"/>
                <w:color w:val="auto"/>
              </w:rPr>
            </w:pPr>
          </w:p>
        </w:tc>
        <w:tc>
          <w:tcPr>
            <w:tcW w:w="16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jc w:val="right"/>
              <w:ind w:right="928"/>
              <w:spacing w:after="0"/>
              <w:rPr>
                <w:sz w:val="20"/>
                <w:szCs w:val="20"/>
                <w:color w:val="auto"/>
              </w:rPr>
            </w:pPr>
            <w:r>
              <w:rPr>
                <w:rFonts w:ascii="Arial" w:cs="Arial" w:eastAsia="Arial" w:hAnsi="Arial"/>
                <w:sz w:val="14"/>
                <w:szCs w:val="14"/>
                <w:b w:val="1"/>
                <w:bCs w:val="1"/>
                <w:color w:val="auto"/>
              </w:rPr>
              <w:t>2024</w:t>
            </w:r>
          </w:p>
        </w:tc>
      </w:tr>
      <w:tr>
        <w:trPr>
          <w:trHeight w:val="135"/>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1"/>
        </w:trPr>
        <w:tc>
          <w:tcPr>
            <w:tcW w:w="6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40" w:type="dxa"/>
            <w:vAlign w:val="bottom"/>
            <w:gridSpan w:val="2"/>
          </w:tcPr>
          <w:p>
            <w:pPr>
              <w:jc w:val="right"/>
              <w:ind w:right="138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b w:val="1"/>
                <w:bCs w:val="1"/>
                <w:color w:val="auto"/>
              </w:rPr>
              <w:t>134</w:t>
            </w:r>
          </w:p>
        </w:tc>
      </w:tr>
      <w:tr>
        <w:trPr>
          <w:trHeight w:val="20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392</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Finance (income) expense, net and other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working capital</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non-cash operating activities</w:t>
            </w:r>
          </w:p>
        </w:tc>
        <w:tc>
          <w:tcPr>
            <w:tcW w:w="1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r>
      <w:tr>
        <w:trPr>
          <w:trHeight w:val="19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Pr>
          <w:p>
            <w:pPr>
              <w:spacing w:after="0"/>
              <w:rPr>
                <w:sz w:val="17"/>
                <w:szCs w:val="17"/>
                <w:color w:val="auto"/>
              </w:rPr>
            </w:pPr>
          </w:p>
        </w:tc>
        <w:tc>
          <w:tcPr>
            <w:tcW w:w="1540" w:type="dxa"/>
            <w:vAlign w:val="bottom"/>
            <w:tcBorders>
              <w:bottom w:val="single" w:sz="8" w:color="auto"/>
            </w:tcBorders>
            <w:shd w:val="clear" w:color="auto" w:fill="CCEEFF"/>
          </w:tcPr>
          <w:p>
            <w:pPr>
              <w:jc w:val="right"/>
              <w:ind w:right="13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w:t>
            </w: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488</w:t>
            </w:r>
          </w:p>
        </w:tc>
      </w:tr>
      <w:tr>
        <w:trPr>
          <w:trHeight w:val="251"/>
        </w:trPr>
        <w:tc>
          <w:tcPr>
            <w:tcW w:w="6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 and intangible assets</w:t>
            </w:r>
          </w:p>
        </w:tc>
        <w:tc>
          <w:tcPr>
            <w:tcW w:w="1640" w:type="dxa"/>
            <w:vAlign w:val="bottom"/>
            <w:gridSpan w:val="2"/>
          </w:tcPr>
          <w:p>
            <w:pPr>
              <w:jc w:val="right"/>
              <w:ind w:right="13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joint venture interest, net of cash acquired</w:t>
            </w:r>
          </w:p>
        </w:tc>
        <w:tc>
          <w:tcPr>
            <w:tcW w:w="10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6380" w:type="dxa"/>
            <w:vAlign w:val="bottom"/>
          </w:tcPr>
          <w:p>
            <w:pPr>
              <w:ind w:left="20"/>
              <w:spacing w:after="0"/>
              <w:rPr>
                <w:sz w:val="20"/>
                <w:szCs w:val="20"/>
                <w:color w:val="auto"/>
              </w:rPr>
            </w:pPr>
            <w:r>
              <w:rPr>
                <w:rFonts w:ascii="Arial" w:cs="Arial" w:eastAsia="Arial" w:hAnsi="Arial"/>
                <w:sz w:val="14"/>
                <w:szCs w:val="14"/>
                <w:color w:val="auto"/>
              </w:rPr>
              <w:t>Net purchases of marketable securities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investing activities</w:t>
            </w:r>
          </w:p>
        </w:tc>
        <w:tc>
          <w:tcPr>
            <w:tcW w:w="100" w:type="dxa"/>
            <w:vAlign w:val="bottom"/>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640" w:type="dxa"/>
            <w:vAlign w:val="bottom"/>
            <w:gridSpan w:val="2"/>
          </w:tcPr>
          <w:p>
            <w:pPr>
              <w:jc w:val="right"/>
              <w:ind w:right="138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(600)</w:t>
            </w:r>
          </w:p>
        </w:tc>
      </w:tr>
      <w:tr>
        <w:trPr>
          <w:trHeight w:val="251"/>
        </w:trPr>
        <w:tc>
          <w:tcPr>
            <w:tcW w:w="6380" w:type="dxa"/>
            <w:vAlign w:val="bottom"/>
            <w:tcBorders>
              <w:top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r>
      <w:tr>
        <w:trPr>
          <w:trHeight w:val="201"/>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equity instruments</w:t>
            </w:r>
          </w:p>
        </w:tc>
        <w:tc>
          <w:tcPr>
            <w:tcW w:w="100" w:type="dxa"/>
            <w:vAlign w:val="bottom"/>
          </w:tcPr>
          <w:p>
            <w:pPr>
              <w:spacing w:after="0"/>
              <w:rPr>
                <w:sz w:val="17"/>
                <w:szCs w:val="17"/>
                <w:color w:val="auto"/>
              </w:rPr>
            </w:pPr>
          </w:p>
        </w:tc>
        <w:tc>
          <w:tcPr>
            <w:tcW w:w="1540" w:type="dxa"/>
            <w:vAlign w:val="bottom"/>
            <w:shd w:val="clear" w:color="auto" w:fill="CCEEFF"/>
          </w:tcPr>
          <w:p>
            <w:pPr>
              <w:jc w:val="right"/>
              <w:ind w:right="13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r>
      <w:tr>
        <w:trPr>
          <w:trHeight w:val="19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(repayment) of debt, net</w:t>
            </w:r>
          </w:p>
        </w:tc>
        <w:tc>
          <w:tcPr>
            <w:tcW w:w="1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0" w:type="dxa"/>
            <w:vAlign w:val="bottom"/>
          </w:tcPr>
          <w:p>
            <w:pPr>
              <w:spacing w:after="0"/>
              <w:rPr>
                <w:sz w:val="17"/>
                <w:szCs w:val="17"/>
                <w:color w:val="auto"/>
              </w:rPr>
            </w:pPr>
          </w:p>
        </w:tc>
        <w:tc>
          <w:tcPr>
            <w:tcW w:w="1540" w:type="dxa"/>
            <w:vAlign w:val="bottom"/>
            <w:tcBorders>
              <w:bottom w:val="single" w:sz="8" w:color="auto"/>
            </w:tcBorders>
            <w:shd w:val="clear" w:color="auto" w:fill="CCEEFF"/>
          </w:tcPr>
          <w:p>
            <w:pPr>
              <w:jc w:val="right"/>
              <w:ind w:right="13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(717)</w:t>
            </w: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r>
      <w:tr>
        <w:trPr>
          <w:trHeight w:val="19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w:t>
            </w:r>
          </w:p>
        </w:tc>
        <w:tc>
          <w:tcPr>
            <w:tcW w:w="1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 w:type="dxa"/>
            <w:vAlign w:val="bottom"/>
          </w:tcPr>
          <w:p>
            <w:pPr>
              <w:spacing w:after="0"/>
              <w:rPr>
                <w:sz w:val="17"/>
                <w:szCs w:val="17"/>
                <w:color w:val="auto"/>
              </w:rPr>
            </w:pPr>
          </w:p>
        </w:tc>
        <w:tc>
          <w:tcPr>
            <w:tcW w:w="1540" w:type="dxa"/>
            <w:vAlign w:val="bottom"/>
            <w:shd w:val="clear" w:color="auto" w:fill="CCEEFF"/>
          </w:tcPr>
          <w:p>
            <w:pPr>
              <w:jc w:val="right"/>
              <w:ind w:right="138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(596)</w:t>
            </w:r>
          </w:p>
        </w:tc>
        <w:tc>
          <w:tcPr>
            <w:tcW w:w="100" w:type="dxa"/>
            <w:vAlign w:val="bottom"/>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r>
      <w:tr>
        <w:trPr>
          <w:trHeight w:val="19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1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2,192</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2,387</w:t>
            </w:r>
          </w:p>
        </w:tc>
      </w:tr>
      <w:tr>
        <w:trPr>
          <w:trHeight w:val="19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00" w:type="dxa"/>
            <w:vAlign w:val="bottom"/>
          </w:tcPr>
          <w:p>
            <w:pPr>
              <w:spacing w:after="0"/>
              <w:rPr>
                <w:sz w:val="17"/>
                <w:szCs w:val="17"/>
                <w:color w:val="auto"/>
              </w:rPr>
            </w:pPr>
          </w:p>
        </w:tc>
        <w:tc>
          <w:tcPr>
            <w:tcW w:w="1540" w:type="dxa"/>
            <w:vAlign w:val="bottom"/>
            <w:tcBorders>
              <w:bottom w:val="single" w:sz="8" w:color="auto"/>
            </w:tcBorders>
            <w:shd w:val="clear" w:color="auto" w:fill="CCEEFF"/>
          </w:tcPr>
          <w:p>
            <w:pPr>
              <w:jc w:val="right"/>
              <w:ind w:right="138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1,596</w:t>
            </w: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6 of 10</w:t>
      </w:r>
    </w:p>
    <w:p>
      <w:pPr>
        <w:sectPr>
          <w:pgSz w:w="11900" w:h="16838" w:orient="portrait"/>
          <w:cols w:equalWidth="0" w:num="1">
            <w:col w:w="11180"/>
          </w:cols>
          <w:pgMar w:left="360" w:top="1417" w:right="359" w:bottom="1440" w:gutter="0" w:footer="0" w:header="0"/>
        </w:sectPr>
      </w:pPr>
    </w:p>
    <w:bookmarkStart w:id="8" w:name="page9"/>
    <w:bookmarkEnd w:id="8"/>
    <w:p>
      <w:pPr>
        <w:ind w:left="4860"/>
        <w:spacing w:after="0"/>
        <w:rPr>
          <w:sz w:val="20"/>
          <w:szCs w:val="20"/>
          <w:color w:val="auto"/>
        </w:rPr>
      </w:pPr>
      <w:r>
        <w:rPr>
          <w:rFonts w:ascii="Arial" w:cs="Arial" w:eastAsia="Arial" w:hAnsi="Arial"/>
          <w:sz w:val="18"/>
          <w:szCs w:val="18"/>
          <w:b w:val="1"/>
          <w:bCs w:val="1"/>
          <w:color w:val="auto"/>
        </w:rPr>
        <w:t>GLOBALFOUNDRIES Inc.</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Reconciliation of IFRS to Non-IFRS</w:t>
      </w:r>
    </w:p>
    <w:p>
      <w:pPr>
        <w:ind w:left="3780"/>
        <w:spacing w:after="0"/>
        <w:rPr>
          <w:sz w:val="20"/>
          <w:szCs w:val="20"/>
          <w:color w:val="auto"/>
        </w:rPr>
      </w:pPr>
      <w:r>
        <w:rPr>
          <w:rFonts w:ascii="Arial" w:cs="Arial" w:eastAsia="Arial" w:hAnsi="Arial"/>
          <w:sz w:val="14"/>
          <w:szCs w:val="14"/>
          <w:b w:val="1"/>
          <w:bCs w:val="1"/>
          <w:color w:val="auto"/>
        </w:rPr>
        <w:t>(Unaudited, in millions, except for per share amounts)</w:t>
      </w:r>
    </w:p>
    <w:p>
      <w:pPr>
        <w:spacing w:after="0" w:line="136"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Three Months Ended March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Research &amp;</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rPr>
              <w:t>Income tax</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rPr>
              <w:t>(expense)</w:t>
            </w: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Administrative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355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20" w:type="dxa"/>
            <w:vAlign w:val="bottom"/>
            <w:tcBorders>
              <w:bottom w:val="single" w:sz="8" w:color="auto"/>
              <w:right w:val="single" w:sz="8" w:color="CCEEFF"/>
            </w:tcBorders>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151</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211</w:t>
            </w:r>
          </w:p>
        </w:tc>
        <w:tc>
          <w:tcPr>
            <w:tcW w:w="140" w:type="dxa"/>
            <w:vAlign w:val="bottom"/>
            <w:tcBorders>
              <w:bottom w:val="single" w:sz="8" w:color="auto"/>
              <w:right w:val="single" w:sz="8" w:color="CCEEFF"/>
            </w:tcBorders>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0.38</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22.4 %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9.5 %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13.3 %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CCEEFF"/>
            </w:tcBorders>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3"/>
              </w:rPr>
              <w:t>(2)</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140" w:type="dxa"/>
            <w:vAlign w:val="bottom"/>
            <w:tcBorders>
              <w:righ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w w:val="93"/>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CCEEFF"/>
            </w:tcBorders>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40" w:type="dxa"/>
            <w:vAlign w:val="bottom"/>
            <w:tcBorders>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80" w:type="dxa"/>
            <w:vAlign w:val="bottom"/>
          </w:tcPr>
          <w:p>
            <w:pPr>
              <w:ind w:left="20"/>
              <w:spacing w:after="0" w:line="136" w:lineRule="exact"/>
              <w:rPr>
                <w:sz w:val="20"/>
                <w:szCs w:val="20"/>
                <w:color w:val="auto"/>
              </w:rPr>
            </w:pPr>
            <w:r>
              <w:rPr>
                <w:rFonts w:ascii="Arial" w:cs="Arial" w:eastAsia="Arial" w:hAnsi="Arial"/>
                <w:sz w:val="13"/>
                <w:szCs w:val="13"/>
                <w:color w:val="auto"/>
              </w:rPr>
              <w:t>Revaluation of 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ind w:left="60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13"/>
        </w:trPr>
        <w:tc>
          <w:tcPr>
            <w:tcW w:w="1880" w:type="dxa"/>
            <w:vAlign w:val="bottom"/>
            <w:vMerge w:val="restart"/>
          </w:tcPr>
          <w:p>
            <w:pPr>
              <w:ind w:left="20"/>
              <w:spacing w:after="0"/>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matters</w:t>
            </w:r>
            <w:r>
              <w:rPr>
                <w:rFonts w:ascii="Arial" w:cs="Arial" w:eastAsia="Arial" w:hAnsi="Arial"/>
                <w:sz w:val="17"/>
                <w:szCs w:val="17"/>
                <w:color w:val="auto"/>
                <w:vertAlign w:val="superscript"/>
              </w:rPr>
              <w:t>(3)</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40" w:type="dxa"/>
            <w:vAlign w:val="bottom"/>
            <w:tcBorders>
              <w:right w:val="single" w:sz="8" w:color="CCEEFF"/>
            </w:tcBorders>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b w:val="1"/>
                <w:bCs w:val="1"/>
                <w:color w:val="auto"/>
              </w:rPr>
              <w:t>379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213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ind w:left="600"/>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189</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0.34</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23.9 %</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13.4 %</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11.9 %</w:t>
            </w:r>
          </w:p>
        </w:tc>
        <w:tc>
          <w:tcPr>
            <w:tcW w:w="140" w:type="dxa"/>
            <w:vAlign w:val="bottom"/>
            <w:tcBorders>
              <w:righ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ind w:left="269"/>
              <w:spacing w:after="0"/>
              <w:rPr>
                <w:sz w:val="20"/>
                <w:szCs w:val="20"/>
                <w:color w:val="auto"/>
              </w:rPr>
            </w:pPr>
            <w:r>
              <w:rPr>
                <w:rFonts w:ascii="Arial" w:cs="Arial" w:eastAsia="Arial" w:hAnsi="Arial"/>
                <w:sz w:val="14"/>
                <w:szCs w:val="14"/>
                <w:b w:val="1"/>
                <w:bCs w:val="1"/>
                <w:color w:val="auto"/>
              </w:rPr>
              <w:t>Three Months Ended December 31, 2024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Research &amp;</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Income tax</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rPr>
              <w:t>(expense)</w:t>
            </w:r>
          </w:p>
        </w:tc>
        <w:tc>
          <w:tcPr>
            <w:tcW w:w="1060" w:type="dxa"/>
            <w:vAlign w:val="bottom"/>
            <w:gridSpan w:val="3"/>
            <w:vMerge w:val="restart"/>
          </w:tcPr>
          <w:p>
            <w:pPr>
              <w:ind w:left="100"/>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Administrative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449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Borders>
              <w:bottom w:val="single" w:sz="8" w:color="auto"/>
              <w:right w:val="single" w:sz="8" w:color="CCEEFF"/>
            </w:tcBorders>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(701)</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Borders>
              <w:bottom w:val="single" w:sz="8" w:color="auto"/>
              <w:righ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(729)</w:t>
            </w:r>
          </w:p>
        </w:tc>
        <w:tc>
          <w:tcPr>
            <w:tcW w:w="140" w:type="dxa"/>
            <w:vAlign w:val="bottom"/>
            <w:tcBorders>
              <w:left w:val="single" w:sz="8" w:color="CCEEFF"/>
              <w:bottom w:val="single" w:sz="8" w:color="auto"/>
              <w:right w:val="single" w:sz="8" w:color="CCEEFF"/>
            </w:tcBorders>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24.5 %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(38.3)%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(39.8)%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CCEEFF"/>
            </w:tcBorders>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w:t>
            </w:r>
          </w:p>
        </w:tc>
        <w:tc>
          <w:tcPr>
            <w:tcW w:w="140" w:type="dxa"/>
            <w:vAlign w:val="bottom"/>
            <w:tcBorders>
              <w:left w:val="single" w:sz="8" w:color="CCEEFF"/>
              <w:right w:val="single" w:sz="8" w:color="CCEEFF"/>
            </w:tcBorders>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3"/>
                <w:szCs w:val="13"/>
                <w:color w:val="auto"/>
              </w:rPr>
              <w:t>Structural optimization</w:t>
            </w:r>
            <w:r>
              <w:rPr>
                <w:rFonts w:ascii="Arial" w:cs="Arial" w:eastAsia="Arial" w:hAnsi="Arial"/>
                <w:sz w:val="17"/>
                <w:szCs w:val="17"/>
                <w:color w:val="auto"/>
                <w:vertAlign w:val="superscript"/>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Amortization of acquired</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CCEEFF"/>
            </w:tcBorders>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40" w:type="dxa"/>
            <w:vAlign w:val="bottom"/>
            <w:tcBorders>
              <w:left w:val="single" w:sz="8" w:color="CCEEFF"/>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intangibles and other</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40" w:type="dxa"/>
            <w:vAlign w:val="bottom"/>
            <w:tcBorders>
              <w:left w:val="single" w:sz="8" w:color="CCEEFF"/>
              <w:right w:val="single" w:sz="8" w:color="CCEEFF"/>
            </w:tcBorders>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charges</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80" w:type="dxa"/>
            <w:vAlign w:val="bottom"/>
          </w:tcPr>
          <w:p>
            <w:pPr>
              <w:ind w:left="20"/>
              <w:spacing w:after="0" w:line="136" w:lineRule="exact"/>
              <w:rPr>
                <w:sz w:val="20"/>
                <w:szCs w:val="20"/>
                <w:color w:val="auto"/>
              </w:rPr>
            </w:pPr>
            <w:r>
              <w:rPr>
                <w:rFonts w:ascii="Arial" w:cs="Arial" w:eastAsia="Arial" w:hAnsi="Arial"/>
                <w:sz w:val="13"/>
                <w:szCs w:val="13"/>
                <w:color w:val="auto"/>
              </w:rPr>
              <w:t>Impairment of long-lived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935</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13"/>
        </w:trPr>
        <w:tc>
          <w:tcPr>
            <w:tcW w:w="1880" w:type="dxa"/>
            <w:vAlign w:val="bottom"/>
            <w:vMerge w:val="restart"/>
          </w:tcPr>
          <w:p>
            <w:pPr>
              <w:ind w:left="20"/>
              <w:spacing w:after="0"/>
              <w:rPr>
                <w:sz w:val="20"/>
                <w:szCs w:val="20"/>
                <w:color w:val="auto"/>
              </w:rPr>
            </w:pPr>
            <w:r>
              <w:rPr>
                <w:rFonts w:ascii="Arial" w:cs="Arial" w:eastAsia="Arial" w:hAnsi="Arial"/>
                <w:sz w:val="13"/>
                <w:szCs w:val="13"/>
                <w:color w:val="auto"/>
              </w:rPr>
              <w:t>assets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CCEEFF"/>
            </w:tcBorders>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40" w:type="dxa"/>
            <w:vAlign w:val="bottom"/>
            <w:tcBorders>
              <w:left w:val="single" w:sz="8" w:color="CCEEFF"/>
              <w:right w:val="single" w:sz="8" w:color="CCEEFF"/>
            </w:tcBorders>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b w:val="1"/>
                <w:bCs w:val="1"/>
                <w:color w:val="auto"/>
              </w:rPr>
              <w:t>464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285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256</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0.46</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25.4 %</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15.6 %</w:t>
            </w: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14.0 %</w:t>
            </w:r>
          </w:p>
        </w:tc>
        <w:tc>
          <w:tcPr>
            <w:tcW w:w="140" w:type="dxa"/>
            <w:vAlign w:val="bottom"/>
            <w:tcBorders>
              <w:left w:val="single" w:sz="8" w:color="CCEEFF"/>
              <w:righ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ind w:left="269"/>
              <w:spacing w:after="0"/>
              <w:rPr>
                <w:sz w:val="20"/>
                <w:szCs w:val="20"/>
                <w:color w:val="auto"/>
              </w:rPr>
            </w:pPr>
            <w:r>
              <w:rPr>
                <w:rFonts w:ascii="Arial" w:cs="Arial" w:eastAsia="Arial" w:hAnsi="Arial"/>
                <w:sz w:val="14"/>
                <w:szCs w:val="14"/>
                <w:b w:val="1"/>
                <w:bCs w:val="1"/>
                <w:color w:val="auto"/>
              </w:rPr>
              <w:t>Three Months Ended March 31, 2024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Selling, General &amp;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Research &amp;</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Income tax</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rPr>
              <w:t>Gross profit</w:t>
            </w: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Operating profit</w:t>
            </w: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940" w:type="dxa"/>
            <w:vAlign w:val="bottom"/>
            <w:gridSpan w:val="2"/>
            <w:vMerge w:val="restart"/>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840" w:type="dxa"/>
            <w:vAlign w:val="bottom"/>
            <w:gridSpan w:val="2"/>
            <w:vMerge w:val="restart"/>
          </w:tcPr>
          <w:p>
            <w:pPr>
              <w:jc w:val="right"/>
              <w:spacing w:after="0" w:line="135" w:lineRule="exact"/>
              <w:rPr>
                <w:sz w:val="20"/>
                <w:szCs w:val="20"/>
                <w:color w:val="auto"/>
              </w:rPr>
            </w:pPr>
            <w:r>
              <w:rPr>
                <w:rFonts w:ascii="Arial" w:cs="Arial" w:eastAsia="Arial" w:hAnsi="Arial"/>
                <w:sz w:val="13"/>
                <w:szCs w:val="13"/>
                <w:b w:val="1"/>
                <w:bCs w:val="1"/>
                <w:color w:val="auto"/>
              </w:rPr>
              <w:t>Diluted EPS</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Administrative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Development</w:t>
            </w: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393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120" w:type="dxa"/>
            <w:vAlign w:val="bottom"/>
            <w:tcBorders>
              <w:left w:val="single" w:sz="8" w:color="CCEEFF"/>
              <w:bottom w:val="single" w:sz="8" w:color="auto"/>
            </w:tcBorders>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147</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w:t>
            </w:r>
          </w:p>
        </w:tc>
        <w:tc>
          <w:tcPr>
            <w:tcW w:w="140" w:type="dxa"/>
            <w:vAlign w:val="bottom"/>
            <w:tcBorders>
              <w:left w:val="single" w:sz="8" w:color="CCEEFF"/>
              <w:bottom w:val="single" w:sz="8" w:color="auto"/>
            </w:tcBorders>
          </w:tcPr>
          <w:p>
            <w:pPr>
              <w:spacing w:after="0"/>
              <w:rPr>
                <w:sz w:val="17"/>
                <w:szCs w:val="17"/>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0.24</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i w:val="1"/>
                <w:iCs w:val="1"/>
                <w:color w:val="auto"/>
              </w:rPr>
              <w:t>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25.4 %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9.5 %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8.7 %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compensation</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left w:val="single" w:sz="8" w:color="CCEEFF"/>
            </w:tcBorders>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bottom w:val="single" w:sz="8" w:color="auto"/>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140" w:type="dxa"/>
            <w:vAlign w:val="bottom"/>
            <w:tcBorders>
              <w:left w:val="single" w:sz="8" w:color="CCEEFF"/>
            </w:tcBorders>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Non-IFRS measures</w:t>
            </w:r>
            <w:r>
              <w:rPr>
                <w:rFonts w:ascii="Arial" w:cs="Arial" w:eastAsia="Arial" w:hAnsi="Arial"/>
                <w:sz w:val="17"/>
                <w:szCs w:val="17"/>
                <w:b w:val="1"/>
                <w:bCs w:val="1"/>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b w:val="1"/>
                <w:bCs w:val="1"/>
                <w:color w:val="auto"/>
              </w:rPr>
              <w:t>405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187</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174</w:t>
            </w:r>
          </w:p>
        </w:tc>
        <w:tc>
          <w:tcPr>
            <w:tcW w:w="14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0.31</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Non-IFRS margins</w:t>
            </w:r>
            <w:r>
              <w:rPr>
                <w:rFonts w:ascii="Arial" w:cs="Arial" w:eastAsia="Arial" w:hAnsi="Arial"/>
                <w:sz w:val="17"/>
                <w:szCs w:val="17"/>
                <w:i w:val="1"/>
                <w:iCs w:val="1"/>
                <w:color w:val="auto"/>
                <w:vertAlign w:val="superscript"/>
              </w:rPr>
              <w:t>(1)</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26.1 %</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12.1 %</w:t>
            </w: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11.2 %</w:t>
            </w:r>
          </w:p>
        </w:tc>
        <w:tc>
          <w:tcPr>
            <w:tcW w:w="140" w:type="dxa"/>
            <w:vAlign w:val="bottom"/>
            <w:tcBorders>
              <w:left w:val="single" w:sz="8" w:color="CCEEFF"/>
            </w:tcBorders>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these Non-IFRS measures and why we believe they are useful.</w:t>
      </w:r>
    </w:p>
    <w:p>
      <w:pPr>
        <w:spacing w:after="0" w:line="7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Structural optimization represents costs associated with employee workforce reduction and manufacturing footprint alignment.</w:t>
      </w:r>
    </w:p>
    <w:p>
      <w:pPr>
        <w:spacing w:after="0" w:line="5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Comprised of net deferred tax asset recognition and foreign exchange rate impact.</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Page 7 of 10</w:t>
      </w:r>
    </w:p>
    <w:p>
      <w:pPr>
        <w:sectPr>
          <w:pgSz w:w="11900" w:h="16838" w:orient="portrait"/>
          <w:cols w:equalWidth="0" w:num="1">
            <w:col w:w="11080"/>
          </w:cols>
          <w:pgMar w:left="320" w:top="850" w:right="499" w:bottom="1440" w:gutter="0" w:footer="0" w:header="0"/>
        </w:sectPr>
      </w:pPr>
    </w:p>
    <w:bookmarkStart w:id="9" w:name="page10"/>
    <w:bookmarkEnd w:id="9"/>
    <w:p>
      <w:pPr>
        <w:jc w:val="center"/>
        <w:ind w:right="-11"/>
        <w:spacing w:after="0"/>
        <w:rPr>
          <w:sz w:val="20"/>
          <w:szCs w:val="20"/>
          <w:color w:val="auto"/>
        </w:rPr>
      </w:pPr>
      <w:r>
        <w:rPr>
          <w:rFonts w:ascii="Arial" w:cs="Arial" w:eastAsia="Arial" w:hAnsi="Arial"/>
          <w:sz w:val="18"/>
          <w:szCs w:val="18"/>
          <w:b w:val="1"/>
          <w:bCs w:val="1"/>
          <w:color w:val="auto"/>
        </w:rPr>
        <w:t>GLOBALFOUNDRIES Inc.</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Reconciliation of IFRS to Non-IFRS</w:t>
      </w:r>
    </w:p>
    <w:p>
      <w:pPr>
        <w:jc w:val="center"/>
        <w:ind w:right="-11"/>
        <w:spacing w:after="0" w:line="180" w:lineRule="auto"/>
        <w:rPr>
          <w:sz w:val="20"/>
          <w:szCs w:val="20"/>
          <w:color w:val="auto"/>
        </w:rPr>
      </w:pPr>
      <w:r>
        <w:rPr>
          <w:rFonts w:ascii="Arial" w:cs="Arial" w:eastAsia="Arial" w:hAnsi="Arial"/>
          <w:sz w:val="15"/>
          <w:szCs w:val="15"/>
          <w:b w:val="1"/>
          <w:bCs w:val="1"/>
          <w:color w:val="auto"/>
        </w:rPr>
        <w:t>Non-IFRS Adjusted Free Cash Flow</w:t>
      </w:r>
      <w:r>
        <w:rPr>
          <w:rFonts w:ascii="Arial" w:cs="Arial" w:eastAsia="Arial" w:hAnsi="Arial"/>
          <w:sz w:val="19"/>
          <w:szCs w:val="19"/>
          <w:b w:val="1"/>
          <w:bCs w:val="1"/>
          <w:color w:val="auto"/>
          <w:vertAlign w:val="superscript"/>
        </w:rPr>
        <w:t>(1)</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(Unaudited, in millions</w:t>
      </w:r>
      <w:r>
        <w:rPr>
          <w:rFonts w:ascii="Arial" w:cs="Arial" w:eastAsia="Arial" w:hAnsi="Arial"/>
          <w:sz w:val="16"/>
          <w:szCs w:val="16"/>
          <w:b w:val="1"/>
          <w:bCs w:val="1"/>
          <w:color w:val="auto"/>
        </w:rPr>
        <w:t>)</w:t>
      </w:r>
    </w:p>
    <w:p>
      <w:pPr>
        <w:spacing w:after="0" w:line="264" w:lineRule="exact"/>
        <w:rPr>
          <w:sz w:val="20"/>
          <w:szCs w:val="20"/>
          <w:color w:val="auto"/>
        </w:rPr>
      </w:pPr>
    </w:p>
    <w:tbl>
      <w:tblPr>
        <w:tblLayout w:type="fixed"/>
        <w:tblInd w:w="32"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15"/>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77"/>
        </w:trPr>
        <w:tc>
          <w:tcPr>
            <w:tcW w:w="5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331</w:t>
            </w:r>
          </w:p>
        </w:tc>
        <w:tc>
          <w:tcPr>
            <w:tcW w:w="10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457</w:t>
            </w:r>
          </w:p>
        </w:tc>
        <w:tc>
          <w:tcPr>
            <w:tcW w:w="100" w:type="dxa"/>
            <w:vAlign w:val="bottom"/>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488</w:t>
            </w:r>
          </w:p>
        </w:tc>
        <w:tc>
          <w:tcPr>
            <w:tcW w:w="0" w:type="dxa"/>
            <w:vAlign w:val="bottom"/>
          </w:tcPr>
          <w:p>
            <w:pPr>
              <w:spacing w:after="0"/>
              <w:rPr>
                <w:sz w:val="1"/>
                <w:szCs w:val="1"/>
                <w:color w:val="auto"/>
              </w:rPr>
            </w:pPr>
          </w:p>
        </w:tc>
      </w:tr>
      <w:tr>
        <w:trPr>
          <w:trHeight w:val="198"/>
        </w:trPr>
        <w:tc>
          <w:tcPr>
            <w:tcW w:w="5780" w:type="dxa"/>
            <w:vAlign w:val="bottom"/>
          </w:tcPr>
          <w:p>
            <w:pPr>
              <w:spacing w:after="0"/>
              <w:rPr>
                <w:sz w:val="20"/>
                <w:szCs w:val="20"/>
                <w:color w:val="auto"/>
              </w:rPr>
            </w:pPr>
            <w:r>
              <w:rPr>
                <w:rFonts w:ascii="Arial" w:cs="Arial" w:eastAsia="Arial" w:hAnsi="Arial"/>
                <w:sz w:val="14"/>
                <w:szCs w:val="14"/>
                <w:color w:val="auto"/>
              </w:rPr>
              <w:t>Less: Purchases of property, plant and equipment and intangible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Add: Proceeds from government grants</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4"/>
                <w:szCs w:val="14"/>
                <w:b w:val="1"/>
                <w:bCs w:val="1"/>
                <w:color w:val="auto"/>
              </w:rPr>
              <w:t>Non-IFRS adjusted free cash flow</w:t>
            </w:r>
            <w:r>
              <w:rPr>
                <w:rFonts w:ascii="Arial" w:cs="Arial" w:eastAsia="Arial" w:hAnsi="Arial"/>
                <w:sz w:val="18"/>
                <w:szCs w:val="18"/>
                <w:b w:val="1"/>
                <w:bCs w:val="1"/>
                <w:color w:val="auto"/>
                <w:vertAlign w:val="superscript"/>
              </w:rPr>
              <w:t>(1)</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328</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261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32" w:hanging="132"/>
        <w:spacing w:after="0"/>
        <w:tabs>
          <w:tab w:leader="none" w:pos="132"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this Non-IFRS measure and why we believe it is useful.</w:t>
      </w:r>
    </w:p>
    <w:p>
      <w:pPr>
        <w:spacing w:after="0" w:line="200" w:lineRule="exact"/>
        <w:rPr>
          <w:sz w:val="20"/>
          <w:szCs w:val="20"/>
          <w:color w:val="auto"/>
        </w:rPr>
      </w:pP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Reconciliation of IFRS to Non-IFRS</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Non-IFRS Adjusted EBITDA</w:t>
      </w:r>
      <w:r>
        <w:rPr>
          <w:rFonts w:ascii="Arial" w:cs="Arial" w:eastAsia="Arial" w:hAnsi="Arial"/>
          <w:sz w:val="21"/>
          <w:szCs w:val="21"/>
          <w:b w:val="1"/>
          <w:bCs w:val="1"/>
          <w:color w:val="auto"/>
          <w:vertAlign w:val="superscript"/>
        </w:rPr>
        <w:t>(1)</w:t>
      </w:r>
    </w:p>
    <w:p>
      <w:pPr>
        <w:jc w:val="center"/>
        <w:ind w:right="-11"/>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32"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20"/>
        </w:trPr>
        <w:tc>
          <w:tcPr>
            <w:tcW w:w="5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5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1,585</w:t>
            </w:r>
          </w:p>
        </w:tc>
        <w:tc>
          <w:tcPr>
            <w:tcW w:w="100" w:type="dxa"/>
            <w:vAlign w:val="bottom"/>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6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1,830</w:t>
            </w:r>
          </w:p>
        </w:tc>
        <w:tc>
          <w:tcPr>
            <w:tcW w:w="80" w:type="dxa"/>
            <w:vAlign w:val="bottom"/>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1,549</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(729)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Net income (loss) margin</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13.3 %</w:t>
            </w: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(39.8)%</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8.7 %</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378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Finance expense</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20"/>
                <w:szCs w:val="20"/>
                <w:color w:val="auto"/>
              </w:rPr>
            </w:pPr>
            <w:r>
              <w:rPr>
                <w:rFonts w:ascii="Arial" w:cs="Arial" w:eastAsia="Arial" w:hAnsi="Arial"/>
                <w:sz w:val="14"/>
                <w:szCs w:val="14"/>
                <w:color w:val="auto"/>
              </w:rPr>
              <w:t>Finance income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20"/>
                <w:szCs w:val="20"/>
                <w:color w:val="auto"/>
              </w:rPr>
            </w:pPr>
            <w:r>
              <w:rPr>
                <w:rFonts w:ascii="Arial" w:cs="Arial" w:eastAsia="Arial" w:hAnsi="Arial"/>
                <w:sz w:val="14"/>
                <w:szCs w:val="14"/>
                <w:color w:val="auto"/>
              </w:rPr>
              <w:t>Impairment of long-lived assets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Structural optimization</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20"/>
                <w:szCs w:val="20"/>
                <w:color w:val="auto"/>
              </w:rPr>
            </w:pPr>
            <w:r>
              <w:rPr>
                <w:rFonts w:ascii="Arial" w:cs="Arial" w:eastAsia="Arial" w:hAnsi="Arial"/>
                <w:sz w:val="14"/>
                <w:szCs w:val="14"/>
                <w:color w:val="auto"/>
              </w:rPr>
              <w:t>Revaluation of equity investments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Other acquisition related charges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i w:val="1"/>
                <w:iCs w:val="1"/>
                <w:color w:val="auto"/>
                <w:vertAlign w:val="superscript"/>
              </w:rPr>
              <w:t>(1)</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558</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128"/>
              <w:spacing w:after="0"/>
              <w:rPr>
                <w:sz w:val="20"/>
                <w:szCs w:val="20"/>
                <w:color w:val="auto"/>
              </w:rPr>
            </w:pPr>
            <w:r>
              <w:rPr>
                <w:rFonts w:ascii="Arial" w:cs="Arial" w:eastAsia="Arial" w:hAnsi="Arial"/>
                <w:sz w:val="14"/>
                <w:szCs w:val="14"/>
                <w:b w:val="1"/>
                <w:bCs w:val="1"/>
                <w:color w:val="auto"/>
              </w:rPr>
              <w:t>661</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577</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5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35.2 %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36.1 %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37.2 %</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32" w:hanging="132"/>
        <w:spacing w:after="0"/>
        <w:tabs>
          <w:tab w:leader="none" w:pos="132"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See "Financial Measures (Non-IFRS)" for further discussion on this Non-IFRS measure and why we believe it is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8 of 10</w:t>
      </w:r>
    </w:p>
    <w:p>
      <w:pPr>
        <w:sectPr>
          <w:pgSz w:w="11900" w:h="16838" w:orient="portrait"/>
          <w:cols w:equalWidth="0" w:num="1">
            <w:col w:w="11212"/>
          </w:cols>
          <w:pgMar w:left="328" w:top="1255"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Measures (Non-IFRS)</w:t>
      </w:r>
    </w:p>
    <w:p>
      <w:pPr>
        <w:spacing w:after="0" w:line="22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In addition to the financial information presented in accordance with International Financial Reporting Standards ("IFRS"), this press release includes the following Non-IFRS financial measures: Non-IFRS gross profit, Non-IFRS operating profit, Non-IFRS operating expense, Non-IFRS net income, Non-IFRS selling, general and administrative, Non-IFRS research and development, Non-IFRS other income (expense), Non-IFRS income tax benefit (expense), Non-IFRS diluted earnings per share (“EPS”), Non-IFRS adjusted EBITDA, Non-IFRS adjusted free cash flow and any related margins. We define each of Non-IFRS gross profit, Non-IFRS selling, general and administrative, Non-IFRS research and development, Non-IFRS operating profit, Non-IFRS other income (expense), Non-IFRS income tax benefit (expense) and Non-IFRS net income as gross profit, selling, general and administrative, research and development, operating profit, other income (expense), income tax benefit (expense), and net income, respectively, adjusted for share-based compensation, structural optimization, amortization of acquired intangibles and other acquisition related charges, impairment of long-lived assets, revaluation of equity investments, restructuring charges, tax matters, and any associated income tax effects. We define Non-IFRS operating expense as Non-IFRS gross profit minus Non-IFRS operating profit. We define Non-IFRS diluted EPS as Non-IFRS net income divided by the diluted shares outstanding. We define Non-IFRS adjusted free cash flow as cash flow provided by (used in) operating activities less purchases of property, plant and equipment and intangible assets plus proceeds from government grants related to capital expenditures. We define Non-IFRS adjusted EBITDA as net income adjusted for the impact of finance expense, finance income, income tax expense (benefit), depreciation and amortization, share-based compensation, restructuring charges, impairment of long-lived assets; revaluation of equity investments, structural optimization and acquisition related charges. We define each of Non-IFRS gross margin, Non-IFRS operating margin, Non-IFRS net income margin and Non-IFRS adjusted EBITDA margin as Non-IFRS gross profit, Non-IFRS operating profit, Non-IFRS net income and Non-IFRS adjusted EBITDA, respectively, divided by net revenue. Any adjustments described above that are zero for a given period are excluded from the “Reconciliation of IFRS to Non-IFRS” table. See "Reconciliation of IFRS to Non-IFRS" section for a detailed reconciliation of Non-IFRS financial measures to the most directly comparable IFRS measure.</w:t>
      </w:r>
    </w:p>
    <w:p>
      <w:pPr>
        <w:spacing w:after="0" w:line="192"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We believe that in addition to our results determined in accordance with IFRS, these Non-IFRS financial measures provide useful information to both management and investors in measuring our financial performance and highlight trends in our business that may not otherwise be apparent when relying solely on IFRS measures. These Non-IFRS financial measures provide supplemental information regarding our operating performance that excludes certain gains, losses and non-cash charges that occur relatively infrequently and/or that we consider to be unrelated to our core operations. Management believes that Non-IFRS adjusted free cash flow as a Non-IFRS measure is helpful to investors as it provides insights into the nature and amount of cash the Company generates in the period.</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comparative measures.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GF will host a conference call with the financial community on Tuesday, May 6, 2025 at 8:30 a.m. U.S. Eastern Time (ET) to review the </w:t>
      </w:r>
      <w:r>
        <w:rPr>
          <w:rFonts w:ascii="Arial" w:cs="Arial" w:eastAsia="Arial" w:hAnsi="Arial"/>
          <w:sz w:val="17"/>
          <w:szCs w:val="17"/>
          <w:color w:val="auto"/>
        </w:rPr>
        <w:t>first</w:t>
      </w:r>
      <w:r>
        <w:rPr>
          <w:rFonts w:ascii="Arial" w:cs="Arial" w:eastAsia="Arial" w:hAnsi="Arial"/>
          <w:sz w:val="16"/>
          <w:szCs w:val="16"/>
          <w:color w:val="auto"/>
        </w:rPr>
        <w:t xml:space="preserve"> quarter 2025 results in detail. Interested parties may join the scheduled conference call by registering at https://edge.media-server.com/mmc/p/jgpem5gd/.</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 and Third Party Data</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 of 10</w:t>
      </w:r>
    </w:p>
    <w:p>
      <w:pPr>
        <w:sectPr>
          <w:pgSz w:w="11900" w:h="16838" w:orient="portrait"/>
          <w:cols w:equalWidth="0" w:num="1">
            <w:col w:w="11240"/>
          </w:cols>
          <w:pgMar w:left="320" w:top="1282" w:right="339" w:bottom="1440" w:gutter="0" w:footer="0" w:header="0"/>
        </w:sectPr>
      </w:pPr>
    </w:p>
    <w:bookmarkStart w:id="11" w:name="page12"/>
    <w:bookmarkEnd w:id="11"/>
    <w:p>
      <w:pPr>
        <w:jc w:val="both"/>
        <w:spacing w:after="0" w:line="212" w:lineRule="auto"/>
        <w:rPr>
          <w:sz w:val="20"/>
          <w:szCs w:val="20"/>
          <w:color w:val="auto"/>
        </w:rPr>
      </w:pPr>
      <w:r>
        <w:rPr>
          <w:rFonts w:ascii="Arial" w:cs="Arial" w:eastAsia="Arial" w:hAnsi="Arial"/>
          <w:sz w:val="16"/>
          <w:szCs w:val="16"/>
          <w:color w:val="auto"/>
        </w:rPr>
        <w:t>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Ukraine and Israel; political developments following the change in the U.S. administration; the imposition of trade controls, tariffs and counter-tariffs between the United States and its trade partners;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6"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2024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10 of 10</w:t>
      </w:r>
    </w:p>
    <w:sectPr>
      <w:pgSz w:w="11900" w:h="16838" w:orient="portrait"/>
      <w:cols w:equalWidth="0" w:num="1">
        <w:col w:w="11240"/>
      </w:cols>
      <w:pgMar w:left="320" w:top="12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lvl>
    <w:lvl w:ilvl="1">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2025-05-06T06:14:51Z</dcterms:created>
  <dcterms:modified xsi:type="dcterms:W3CDTF">2025-05-06T06:14:51Z</dcterms:modified>
</cp:coreProperties>
</file>