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4934.xml.htm"/>
      <w:bookmarkStart w:id="1" w:name="kswkform4_17907149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Raman Pradheepa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STONE BREAK ROAD EXTENSION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GLOBALFOUNDRIES Inc.</w:t>
              </w:r>
            </w:hyperlink>
            <w:r>
              <w:rPr/>
              <w:t xml:space="preserve"> [ </w:t>
            </w:r>
            <w:r>
              <w:rPr>
                <w:rFonts w:ascii="Times;serif" w:hAnsi="Times;serif"/>
                <w:color w:val="0000FF"/>
                <w:sz w:val="24"/>
                <w:shd w:fill="FFFFFF" w:val="clear"/>
              </w:rPr>
              <w:t>GFS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5"/>
        <w:gridCol w:w="774"/>
        <w:gridCol w:w="601"/>
        <w:gridCol w:w="348"/>
        <w:gridCol w:w="888"/>
        <w:gridCol w:w="453"/>
        <w:gridCol w:w="755"/>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61,952</w:t>
            </w:r>
            <w:r>
              <w:rPr>
                <w:rFonts w:ascii="Times;serif" w:hAnsi="Times;serif"/>
                <w:color w:val="008000"/>
                <w:position w:val="7"/>
                <w:sz w:val="16"/>
                <w:sz w:val="20"/>
                <w:shd w:fill="FFFFFF" w:val="clear"/>
              </w:rPr>
              <w:t>(1)(2)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2,222</w:t>
            </w:r>
            <w:r>
              <w:rPr>
                <w:rFonts w:ascii="Times;serif" w:hAnsi="Times;serif"/>
                <w:color w:val="008000"/>
                <w:position w:val="7"/>
                <w:sz w:val="16"/>
                <w:sz w:val="20"/>
                <w:shd w:fill="FFFFFF" w:val="clear"/>
              </w:rPr>
              <w:t>(3)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2,145</w:t>
            </w:r>
            <w:r>
              <w:rPr>
                <w:rFonts w:ascii="Times;serif" w:hAnsi="Times;serif"/>
                <w:color w:val="008000"/>
                <w:position w:val="7"/>
                <w:sz w:val="16"/>
                <w:sz w:val="20"/>
                <w:shd w:fill="FFFFFF" w:val="clear"/>
              </w:rPr>
              <w:t>(1)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2,145</w:t>
            </w:r>
            <w:r>
              <w:rPr>
                <w:rFonts w:ascii="Times;serif" w:hAnsi="Times;serif"/>
                <w:color w:val="008000"/>
                <w:position w:val="7"/>
                <w:sz w:val="16"/>
                <w:sz w:val="20"/>
                <w:shd w:fill="FFFFFF" w:val="clear"/>
              </w:rPr>
              <w:t>(4)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and settlement of restricted stock units (RSUs) into 4,367 ordinary shares on September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32,895 of which vest in equal installments on March 1, 2027, 2028 and 2029, 22,826 of which vest in equal installments on March 1, 2027 and 2028, and 6,231 of which vest on February 27, 2027, subject to the reporting person's continuous service through each such vesting date. Each RSU represents a contingent right to receive one share of the issuer's ordinary shares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withholding of shares by the issuer to satisfy the reporting person's tax withholding obligations in connection with the vesting and settlement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reported in this Form 4 was effected pursuant to a Rule 10b5-1 trading plan adopted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Corsilles,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2738" TargetMode="External"/><Relationship Id="rId5" Type="http://schemas.openxmlformats.org/officeDocument/2006/relationships/hyperlink" Target="http://www.sec.gov/cgi-bin/browse-edgar?action=getcompany&amp;CIK=00017090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3868</Characters>
  <CharactersWithSpaces>4502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