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1"/>
          <w:szCs w:val="21"/>
          <w:b w:val="1"/>
          <w:bCs w:val="1"/>
          <w:color w:val="auto"/>
        </w:rPr>
        <w:t xml:space="preserve">REPORT OF FOREIGN PRIVATE ISSUER PURSUANT TO RULE 13a-16 OR </w:t>
      </w:r>
      <w:r>
        <w:rPr>
          <w:rFonts w:ascii="Times New Roman" w:cs="Times New Roman" w:eastAsia="Times New Roman" w:hAnsi="Times New Roman"/>
          <w:sz w:val="21"/>
          <w:szCs w:val="21"/>
          <w:b w:val="1"/>
          <w:bCs w:val="1"/>
          <w:color w:val="auto"/>
        </w:rPr>
        <w:t>15d-16 UNDER THE</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18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60" w:right="152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320" w:lineRule="exact"/>
        <w:rPr>
          <w:sz w:val="24"/>
          <w:szCs w:val="24"/>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August 5, 2025.</w:t>
      </w:r>
    </w:p>
    <w:p>
      <w:pPr>
        <w:sectPr>
          <w:pgSz w:w="11900" w:h="16838" w:orient="portrait"/>
          <w:cols w:equalWidth="0" w:num="1">
            <w:col w:w="10700"/>
          </w:cols>
          <w:pgMar w:left="340" w:top="1440" w:right="85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Reports Second Quarter 2025 Financial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August 5, 2025 - GLOBALFOUNDRIES Inc. (GF) (Nasdaq: GFS) today announced preliminary financial results for the second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ended June 30, 2025.</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Second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$1.688 billion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24.2%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25.2%</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margin of 11.6% and Non-IFRS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15.3%</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of $228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$234 million</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share of $0.41 and Non-IFRS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$0.42</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$585 million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Ending cash, cash equivalents and marketable securities of $3.9 billion</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cash provided by operating activities of $431 million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$277 million</w:t>
      </w:r>
    </w:p>
    <w:p>
      <w:pPr>
        <w:spacing w:after="0" w:line="245"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"In the second quarter, the GF team delivered strong financial results above the midpoints of the Non-IFRS guidance ranges for revenue and gross margin, and earnings per share exceeded the high end of the guidance range,” said Tim Breen, CEO of GF. "Continued momentum across our Automotive and Communications Infrastructure and Datacenter end markets, enabled double digit percent year-over-year revenue growth in the second quarter for both businesses. As we await a return to meaningful growth across the consumer-driven end markets, I am pleased with the steps GF is taking to broaden the long term value proposition to our customers, through the expected acquisition of MIPS, as well as establishing our China for China foundry partnership."</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02" w:lineRule="exact"/>
        <w:rPr>
          <w:sz w:val="20"/>
          <w:szCs w:val="20"/>
          <w:color w:val="auto"/>
        </w:rPr>
      </w:pPr>
    </w:p>
    <w:p>
      <w:pPr>
        <w:jc w:val="both"/>
        <w:ind w:left="660" w:hanging="328"/>
        <w:spacing w:after="0" w:line="345" w:lineRule="auto"/>
        <w:tabs>
          <w:tab w:leader="none" w:pos="649" w:val="left"/>
        </w:tabs>
        <w:numPr>
          <w:ilvl w:val="1"/>
          <w:numId w:val="2"/>
        </w:numPr>
        <w:rPr>
          <w:rFonts w:ascii="Arial" w:cs="Arial" w:eastAsia="Arial" w:hAnsi="Arial"/>
          <w:sz w:val="16"/>
          <w:szCs w:val="16"/>
          <w:color w:val="auto"/>
        </w:rPr>
      </w:pPr>
      <w:r>
        <w:rPr>
          <w:rFonts w:ascii="Arial" w:cs="Arial" w:eastAsia="Arial" w:hAnsi="Arial"/>
          <w:sz w:val="16"/>
          <w:szCs w:val="16"/>
          <w:color w:val="auto"/>
        </w:rPr>
        <w:t>In June, GF was announced as the exclusive manufacturing partner for Continental's newly established Advanced Electronics &amp; Semiconductor Solutions (AESS) organization to help meet the growing demand for safe, connected autonomous vehicles. GF will serve as a trusted foundry partner to Continental, offering its manufacturing expertise, diversified global footprint, and automotive-qualified portfolio of process technologies.</w:t>
      </w:r>
    </w:p>
    <w:p>
      <w:pPr>
        <w:spacing w:after="0" w:line="192"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1"/>
          <w:numId w:val="2"/>
        </w:numPr>
        <w:rPr>
          <w:rFonts w:ascii="Arial" w:cs="Arial" w:eastAsia="Arial" w:hAnsi="Arial"/>
          <w:sz w:val="16"/>
          <w:szCs w:val="16"/>
          <w:color w:val="auto"/>
        </w:rPr>
      </w:pPr>
      <w:r>
        <w:rPr>
          <w:rFonts w:ascii="Arial" w:cs="Arial" w:eastAsia="Arial" w:hAnsi="Arial"/>
          <w:sz w:val="16"/>
          <w:szCs w:val="16"/>
          <w:color w:val="auto"/>
        </w:rPr>
        <w:t>In July, GF announced a definitive agreement to acquire MIPS, a leading supplier of AI and processor IP. This acquisition will broaden GF's portfolio with advanced RISC-V processor IP and software tools tailored for real-time computing in automotive, industrial, and data center infrastructure applications. The acquisition will offer customers deeper and closer collaboration with GF, as well as enhanced opportunities for chip customization.</w:t>
      </w:r>
    </w:p>
    <w:p>
      <w:pPr>
        <w:spacing w:after="0" w:line="205"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1"/>
          <w:numId w:val="2"/>
        </w:numPr>
        <w:rPr>
          <w:rFonts w:ascii="Arial" w:cs="Arial" w:eastAsia="Arial" w:hAnsi="Arial"/>
          <w:sz w:val="16"/>
          <w:szCs w:val="16"/>
          <w:color w:val="auto"/>
        </w:rPr>
      </w:pPr>
      <w:r>
        <w:rPr>
          <w:rFonts w:ascii="Arial" w:cs="Arial" w:eastAsia="Arial" w:hAnsi="Arial"/>
          <w:sz w:val="16"/>
          <w:szCs w:val="16"/>
          <w:color w:val="auto"/>
        </w:rPr>
        <w:t>GF advanced its China-for-China strategy by entering into a definitive agreement with a local Chinese foundry to support GF's customers with reliable supply in mainland China. Customers will benefit from GF's automotive grade process technologies and manufacturing expertise, to serve their domestic Chinese demand.</w:t>
      </w:r>
    </w:p>
    <w:p>
      <w:pPr>
        <w:spacing w:after="0" w:line="161" w:lineRule="exact"/>
        <w:rPr>
          <w:rFonts w:ascii="Arial" w:cs="Arial" w:eastAsia="Arial" w:hAnsi="Arial"/>
          <w:sz w:val="16"/>
          <w:szCs w:val="16"/>
          <w:color w:val="auto"/>
        </w:rPr>
      </w:pPr>
    </w:p>
    <w:p>
      <w:pPr>
        <w:ind w:left="180" w:hanging="172"/>
        <w:spacing w:after="0" w:line="226" w:lineRule="auto"/>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10</w:t>
      </w:r>
    </w:p>
    <w:p>
      <w:pPr>
        <w:sectPr>
          <w:pgSz w:w="11900" w:h="16838" w:orient="portrait"/>
          <w:cols w:equalWidth="0" w:num="1">
            <w:col w:w="11240"/>
          </w:cols>
          <w:pgMar w:left="320" w:top="1313" w:right="339" w:bottom="1440" w:gutter="0" w:footer="0" w:header="0"/>
        </w:sectPr>
      </w:pPr>
    </w:p>
    <w:bookmarkStart w:id="3" w:name="page4"/>
    <w:bookmarkEnd w:id="3"/>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Summary Quarterly Results</w:t>
      </w:r>
    </w:p>
    <w:p>
      <w:pPr>
        <w:jc w:val="center"/>
        <w:ind w:right="-11"/>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52"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Year-over-year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Sequential</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Q2'25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Q1'25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Q2'24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Q2'25 vs Q2'24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Q2'25 vs Q1'25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1,688</w:t>
            </w:r>
          </w:p>
        </w:tc>
        <w:tc>
          <w:tcPr>
            <w:tcW w:w="80" w:type="dxa"/>
            <w:vAlign w:val="bottom"/>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1,585</w:t>
            </w:r>
          </w:p>
        </w:tc>
        <w:tc>
          <w:tcPr>
            <w:tcW w:w="10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1,632</w:t>
            </w:r>
          </w:p>
        </w:tc>
        <w:tc>
          <w:tcPr>
            <w:tcW w:w="8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3 %</w:t>
            </w:r>
          </w:p>
        </w:tc>
        <w:tc>
          <w:tcPr>
            <w:tcW w:w="10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408</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395</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3 %</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Gross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24.2 %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22.4 %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24.2 %</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0bps</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+180bps</w:t>
            </w: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425</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379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411</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3 %</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25.2 %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23.9 %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25.2 %</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0bps</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+130bps</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196</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26 %</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30 %</w:t>
            </w: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Operating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11.6 %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9.5 %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9.5 %</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+210bps</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+210bps</w:t>
            </w: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212</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22 %</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21 %</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15.3 %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13.4 %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13.0 %</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+230bps</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+190bps</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228</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Net income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13.5 %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13.3 %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9.5 %</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+400bps</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+20bps</w:t>
            </w: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234</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211</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24 %</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 xml:space="preserve">Non-IFRS net income margin </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13.9 %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12.9 %</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+100bps</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+200bps</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 ("EPS")</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0.41</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0.28</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46 %</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0.42</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0.34</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0.38</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0.04</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24 %</w:t>
            </w: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585</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610</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34.7 %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35.2 %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37.4 %</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(270)bps</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(50)bps</w:t>
            </w:r>
          </w:p>
        </w:tc>
        <w:tc>
          <w:tcPr>
            <w:tcW w:w="0" w:type="dxa"/>
            <w:vAlign w:val="bottom"/>
          </w:tcPr>
          <w:p>
            <w:pPr>
              <w:spacing w:after="0"/>
              <w:rPr>
                <w:sz w:val="1"/>
                <w:szCs w:val="1"/>
                <w:color w:val="auto"/>
              </w:rPr>
            </w:pPr>
          </w:p>
        </w:tc>
      </w:tr>
      <w:tr>
        <w:trPr>
          <w:trHeight w:val="201"/>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431</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402</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7 %</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30 %</w:t>
            </w:r>
          </w:p>
        </w:tc>
        <w:tc>
          <w:tcPr>
            <w:tcW w:w="0" w:type="dxa"/>
            <w:vAlign w:val="bottom"/>
          </w:tcPr>
          <w:p>
            <w:pPr>
              <w:spacing w:after="0"/>
              <w:rPr>
                <w:sz w:val="1"/>
                <w:szCs w:val="1"/>
                <w:color w:val="auto"/>
              </w:rPr>
            </w:pPr>
          </w:p>
        </w:tc>
      </w:tr>
      <w:tr>
        <w:trPr>
          <w:trHeight w:val="89"/>
        </w:trPr>
        <w:tc>
          <w:tcPr>
            <w:tcW w:w="308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Wafer shipments (300mm equivalent)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581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517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12 %</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7 %</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72" w:hanging="172"/>
        <w:spacing w:after="0" w:line="236" w:lineRule="auto"/>
        <w:tabs>
          <w:tab w:leader="none" w:pos="145"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2 of 10</w:t>
      </w:r>
    </w:p>
    <w:p>
      <w:pPr>
        <w:sectPr>
          <w:pgSz w:w="11900" w:h="16838" w:orient="portrait"/>
          <w:cols w:equalWidth="0" w:num="1">
            <w:col w:w="11232"/>
          </w:cols>
          <w:pgMar w:left="328"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of Third Quarter 2025 Guidance</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Unaudited, in millions, except per share amounts)</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29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IFRS</w:t>
            </w:r>
          </w:p>
        </w:tc>
        <w:tc>
          <w:tcPr>
            <w:tcW w:w="34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Share-based compensation</w:t>
            </w:r>
            <w:r>
              <w:rPr>
                <w:rFonts w:ascii="Arial" w:cs="Arial" w:eastAsia="Arial" w:hAnsi="Arial"/>
                <w:sz w:val="21"/>
                <w:szCs w:val="21"/>
                <w:b w:val="1"/>
                <w:bCs w:val="1"/>
                <w:color w:val="auto"/>
                <w:vertAlign w:val="superscript"/>
              </w:rPr>
              <w:t>(3)</w:t>
            </w:r>
          </w:p>
        </w:tc>
        <w:tc>
          <w:tcPr>
            <w:tcW w:w="20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Non-IFRS</w:t>
            </w:r>
            <w:r>
              <w:rPr>
                <w:rFonts w:ascii="Arial" w:cs="Arial" w:eastAsia="Arial" w:hAnsi="Arial"/>
                <w:sz w:val="21"/>
                <w:szCs w:val="21"/>
                <w:b w:val="1"/>
                <w:bCs w:val="1"/>
                <w:color w:val="auto"/>
                <w:vertAlign w:val="superscript"/>
              </w:rPr>
              <w:t>(2)</w:t>
            </w: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$1,675 ± $25</w:t>
            </w:r>
          </w:p>
        </w:tc>
        <w:tc>
          <w:tcPr>
            <w:tcW w:w="34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03"/>
        </w:trPr>
        <w:tc>
          <w:tcPr>
            <w:tcW w:w="290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Gross margin</w:t>
            </w:r>
            <w:r>
              <w:rPr>
                <w:rFonts w:ascii="Arial" w:cs="Arial" w:eastAsia="Arial" w:hAnsi="Arial"/>
                <w:sz w:val="18"/>
                <w:szCs w:val="18"/>
                <w:i w:val="1"/>
                <w:iCs w:val="1"/>
                <w:color w:val="auto"/>
                <w:vertAlign w:val="superscript"/>
              </w:rPr>
              <w:t>(2)</w:t>
            </w:r>
          </w:p>
        </w:tc>
        <w:tc>
          <w:tcPr>
            <w:tcW w:w="2780" w:type="dxa"/>
            <w:vAlign w:val="bottom"/>
          </w:tcPr>
          <w:p>
            <w:pPr>
              <w:jc w:val="center"/>
              <w:ind w:left="467"/>
              <w:spacing w:after="0"/>
              <w:rPr>
                <w:sz w:val="20"/>
                <w:szCs w:val="20"/>
                <w:color w:val="auto"/>
              </w:rPr>
            </w:pPr>
            <w:r>
              <w:rPr>
                <w:rFonts w:ascii="Arial" w:cs="Arial" w:eastAsia="Arial" w:hAnsi="Arial"/>
                <w:sz w:val="14"/>
                <w:szCs w:val="14"/>
                <w:i w:val="1"/>
                <w:iCs w:val="1"/>
                <w:color w:val="auto"/>
              </w:rPr>
              <w:t>24.4% ± 100bps</w:t>
            </w:r>
          </w:p>
        </w:tc>
        <w:tc>
          <w:tcPr>
            <w:tcW w:w="3420" w:type="dxa"/>
            <w:vAlign w:val="bottom"/>
          </w:tcPr>
          <w:p>
            <w:pPr>
              <w:jc w:val="center"/>
              <w:spacing w:after="0"/>
              <w:rPr>
                <w:sz w:val="20"/>
                <w:szCs w:val="20"/>
                <w:color w:val="auto"/>
              </w:rPr>
            </w:pPr>
            <w:r>
              <w:rPr>
                <w:rFonts w:ascii="Arial" w:cs="Arial" w:eastAsia="Arial" w:hAnsi="Arial"/>
                <w:sz w:val="14"/>
                <w:szCs w:val="14"/>
                <w:i w:val="1"/>
                <w:iCs w:val="1"/>
                <w:color w:val="auto"/>
                <w:w w:val="99"/>
              </w:rPr>
              <w:t>~110bps</w:t>
            </w:r>
          </w:p>
        </w:tc>
        <w:tc>
          <w:tcPr>
            <w:tcW w:w="2000" w:type="dxa"/>
            <w:vAlign w:val="bottom"/>
          </w:tcPr>
          <w:p>
            <w:pPr>
              <w:jc w:val="center"/>
              <w:ind w:left="126"/>
              <w:spacing w:after="0"/>
              <w:rPr>
                <w:sz w:val="20"/>
                <w:szCs w:val="20"/>
                <w:color w:val="auto"/>
              </w:rPr>
            </w:pPr>
            <w:r>
              <w:rPr>
                <w:rFonts w:ascii="Arial" w:cs="Arial" w:eastAsia="Arial" w:hAnsi="Arial"/>
                <w:sz w:val="14"/>
                <w:szCs w:val="14"/>
                <w:i w:val="1"/>
                <w:iCs w:val="1"/>
                <w:color w:val="auto"/>
              </w:rPr>
              <w:t>25.5% ± 100bps</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Operating expenses</w:t>
            </w:r>
            <w:r>
              <w:rPr>
                <w:rFonts w:ascii="Arial" w:cs="Arial" w:eastAsia="Arial" w:hAnsi="Arial"/>
                <w:sz w:val="18"/>
                <w:szCs w:val="18"/>
                <w:b w:val="1"/>
                <w:bCs w:val="1"/>
                <w:color w:val="auto"/>
                <w:vertAlign w:val="superscript"/>
              </w:rPr>
              <w:t>(2)</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$228 ± $10</w:t>
            </w:r>
          </w:p>
        </w:tc>
        <w:tc>
          <w:tcPr>
            <w:tcW w:w="3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~$38</w:t>
            </w:r>
          </w:p>
        </w:tc>
        <w:tc>
          <w:tcPr>
            <w:tcW w:w="2000" w:type="dxa"/>
            <w:vAlign w:val="bottom"/>
            <w:shd w:val="clear" w:color="auto" w:fill="CCEEFF"/>
          </w:tcPr>
          <w:p>
            <w:pPr>
              <w:jc w:val="center"/>
              <w:ind w:left="126"/>
              <w:spacing w:after="0"/>
              <w:rPr>
                <w:sz w:val="20"/>
                <w:szCs w:val="20"/>
                <w:color w:val="auto"/>
              </w:rPr>
            </w:pPr>
            <w:r>
              <w:rPr>
                <w:rFonts w:ascii="Arial" w:cs="Arial" w:eastAsia="Arial" w:hAnsi="Arial"/>
                <w:sz w:val="14"/>
                <w:szCs w:val="14"/>
                <w:b w:val="1"/>
                <w:bCs w:val="1"/>
                <w:color w:val="auto"/>
              </w:rPr>
              <w:t>$190 ± $10</w:t>
            </w:r>
          </w:p>
        </w:tc>
      </w:tr>
      <w:tr>
        <w:trPr>
          <w:trHeight w:val="203"/>
        </w:trPr>
        <w:tc>
          <w:tcPr>
            <w:tcW w:w="290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Operating margin</w:t>
            </w:r>
            <w:r>
              <w:rPr>
                <w:rFonts w:ascii="Arial" w:cs="Arial" w:eastAsia="Arial" w:hAnsi="Arial"/>
                <w:sz w:val="18"/>
                <w:szCs w:val="18"/>
                <w:i w:val="1"/>
                <w:iCs w:val="1"/>
                <w:color w:val="auto"/>
                <w:vertAlign w:val="superscript"/>
              </w:rPr>
              <w:t>(2)</w:t>
            </w:r>
          </w:p>
        </w:tc>
        <w:tc>
          <w:tcPr>
            <w:tcW w:w="2780" w:type="dxa"/>
            <w:vAlign w:val="bottom"/>
          </w:tcPr>
          <w:p>
            <w:pPr>
              <w:jc w:val="center"/>
              <w:ind w:left="467"/>
              <w:spacing w:after="0"/>
              <w:rPr>
                <w:sz w:val="20"/>
                <w:szCs w:val="20"/>
                <w:color w:val="auto"/>
              </w:rPr>
            </w:pPr>
            <w:r>
              <w:rPr>
                <w:rFonts w:ascii="Arial" w:cs="Arial" w:eastAsia="Arial" w:hAnsi="Arial"/>
                <w:sz w:val="14"/>
                <w:szCs w:val="14"/>
                <w:i w:val="1"/>
                <w:iCs w:val="1"/>
                <w:color w:val="auto"/>
              </w:rPr>
              <w:t>10.8% ± 180bps</w:t>
            </w:r>
          </w:p>
        </w:tc>
        <w:tc>
          <w:tcPr>
            <w:tcW w:w="3420" w:type="dxa"/>
            <w:vAlign w:val="bottom"/>
          </w:tcPr>
          <w:p>
            <w:pPr>
              <w:jc w:val="center"/>
              <w:spacing w:after="0"/>
              <w:rPr>
                <w:sz w:val="20"/>
                <w:szCs w:val="20"/>
                <w:color w:val="auto"/>
              </w:rPr>
            </w:pPr>
            <w:r>
              <w:rPr>
                <w:rFonts w:ascii="Arial" w:cs="Arial" w:eastAsia="Arial" w:hAnsi="Arial"/>
                <w:sz w:val="14"/>
                <w:szCs w:val="14"/>
                <w:i w:val="1"/>
                <w:iCs w:val="1"/>
                <w:color w:val="auto"/>
              </w:rPr>
              <w:t>~340bps</w:t>
            </w:r>
          </w:p>
        </w:tc>
        <w:tc>
          <w:tcPr>
            <w:tcW w:w="2000" w:type="dxa"/>
            <w:vAlign w:val="bottom"/>
          </w:tcPr>
          <w:p>
            <w:pPr>
              <w:jc w:val="center"/>
              <w:ind w:left="126"/>
              <w:spacing w:after="0"/>
              <w:rPr>
                <w:sz w:val="20"/>
                <w:szCs w:val="20"/>
                <w:color w:val="auto"/>
              </w:rPr>
            </w:pPr>
            <w:r>
              <w:rPr>
                <w:rFonts w:ascii="Arial" w:cs="Arial" w:eastAsia="Arial" w:hAnsi="Arial"/>
                <w:sz w:val="14"/>
                <w:szCs w:val="14"/>
                <w:i w:val="1"/>
                <w:iCs w:val="1"/>
                <w:color w:val="auto"/>
              </w:rPr>
              <w:t>14.2% ± 180bps</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(2)</w:t>
            </w:r>
            <w:r>
              <w:rPr>
                <w:rFonts w:ascii="Arial" w:cs="Arial" w:eastAsia="Arial" w:hAnsi="Arial"/>
                <w:sz w:val="18"/>
                <w:szCs w:val="18"/>
                <w:b w:val="1"/>
                <w:bCs w:val="1"/>
                <w:i w:val="1"/>
                <w:iCs w:val="1"/>
                <w:color w:val="auto"/>
                <w:vertAlign w:val="superscript"/>
              </w:rPr>
              <w:t>(4)</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$0.28 ± $0.05</w:t>
            </w:r>
          </w:p>
        </w:tc>
        <w:tc>
          <w:tcPr>
            <w:tcW w:w="3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~$0.10</w:t>
            </w:r>
          </w:p>
        </w:tc>
        <w:tc>
          <w:tcPr>
            <w:tcW w:w="2000" w:type="dxa"/>
            <w:vAlign w:val="bottom"/>
            <w:shd w:val="clear" w:color="auto" w:fill="CCEEFF"/>
          </w:tcPr>
          <w:p>
            <w:pPr>
              <w:jc w:val="center"/>
              <w:ind w:left="126"/>
              <w:spacing w:after="0"/>
              <w:rPr>
                <w:sz w:val="20"/>
                <w:szCs w:val="20"/>
                <w:color w:val="auto"/>
              </w:rPr>
            </w:pPr>
            <w:r>
              <w:rPr>
                <w:rFonts w:ascii="Arial" w:cs="Arial" w:eastAsia="Arial" w:hAnsi="Arial"/>
                <w:sz w:val="14"/>
                <w:szCs w:val="14"/>
                <w:b w:val="1"/>
                <w:bCs w:val="1"/>
                <w:color w:val="auto"/>
              </w:rPr>
              <w:t>$0.38 ± $0.05</w:t>
            </w:r>
          </w:p>
        </w:tc>
      </w:tr>
      <w:tr>
        <w:trPr>
          <w:trHeight w:val="200"/>
        </w:trPr>
        <w:tc>
          <w:tcPr>
            <w:tcW w:w="2900" w:type="dxa"/>
            <w:vAlign w:val="bottom"/>
          </w:tcPr>
          <w:p>
            <w:pPr>
              <w:spacing w:after="0"/>
              <w:rPr>
                <w:sz w:val="20"/>
                <w:szCs w:val="20"/>
                <w:color w:val="auto"/>
              </w:rPr>
            </w:pPr>
            <w:r>
              <w:rPr>
                <w:rFonts w:ascii="Arial" w:cs="Arial" w:eastAsia="Arial" w:hAnsi="Arial"/>
                <w:sz w:val="14"/>
                <w:szCs w:val="14"/>
                <w:b w:val="1"/>
                <w:bCs w:val="1"/>
                <w:color w:val="auto"/>
              </w:rPr>
              <w:t>Fully Diluted Share Count</w:t>
            </w:r>
          </w:p>
        </w:tc>
        <w:tc>
          <w:tcPr>
            <w:tcW w:w="2780" w:type="dxa"/>
            <w:vAlign w:val="bottom"/>
          </w:tcPr>
          <w:p>
            <w:pPr>
              <w:jc w:val="center"/>
              <w:ind w:left="467"/>
              <w:spacing w:after="0"/>
              <w:rPr>
                <w:sz w:val="20"/>
                <w:szCs w:val="20"/>
                <w:color w:val="auto"/>
              </w:rPr>
            </w:pPr>
            <w:r>
              <w:rPr>
                <w:rFonts w:ascii="Arial" w:cs="Arial" w:eastAsia="Arial" w:hAnsi="Arial"/>
                <w:sz w:val="14"/>
                <w:szCs w:val="14"/>
                <w:b w:val="1"/>
                <w:bCs w:val="1"/>
                <w:color w:val="auto"/>
              </w:rPr>
              <w:t>~560</w:t>
            </w:r>
          </w:p>
        </w:tc>
        <w:tc>
          <w:tcPr>
            <w:tcW w:w="34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322" w:lineRule="exact"/>
        <w:rPr>
          <w:sz w:val="20"/>
          <w:szCs w:val="20"/>
          <w:color w:val="auto"/>
        </w:rPr>
      </w:pPr>
    </w:p>
    <w:p>
      <w:pPr>
        <w:ind w:left="180" w:hanging="172"/>
        <w:spacing w:after="0" w:line="22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Guidance provided contains forward-looking statements as defined in the U.S. Private Securities Litigation Act of 1995, and is subject to the safe harbors created therein. The Guidance includes management's beliefs and assumptions and is based on information that is available as of the date of this release.</w:t>
      </w:r>
    </w:p>
    <w:p>
      <w:pPr>
        <w:spacing w:after="0" w:line="90" w:lineRule="exact"/>
        <w:rPr>
          <w:rFonts w:ascii="Arial" w:cs="Arial" w:eastAsia="Arial" w:hAnsi="Arial"/>
          <w:sz w:val="16"/>
          <w:szCs w:val="16"/>
          <w:color w:val="auto"/>
          <w:vertAlign w:val="superscript"/>
        </w:rPr>
      </w:pPr>
    </w:p>
    <w:p>
      <w:pPr>
        <w:jc w:val="both"/>
        <w:ind w:left="180" w:hanging="172"/>
        <w:spacing w:after="0" w:line="230"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Non-IFRS gross margin, Non-IFRS operating expenses, Non-IFRS operating margin and Non-IFRS diluted EPS are Non-IFRS measures and, for purposes of the Guidance only, are defined as gross profit as a percent of revenue, operating profit as a percent of revenue, operating expenses and diluted EPS, all before share-based compensation, respectively. See "Financial Measures (Non-IFRS)" for further discussion on these Non-IFRS measures and why we believe they are useful.</w:t>
      </w:r>
    </w:p>
    <w:p>
      <w:pPr>
        <w:spacing w:after="0" w:line="104" w:lineRule="exact"/>
        <w:rPr>
          <w:rFonts w:ascii="Arial" w:cs="Arial" w:eastAsia="Arial" w:hAnsi="Arial"/>
          <w:sz w:val="16"/>
          <w:szCs w:val="16"/>
          <w:color w:val="auto"/>
          <w:vertAlign w:val="superscript"/>
        </w:rPr>
      </w:pPr>
    </w:p>
    <w:p>
      <w:pPr>
        <w:ind w:left="180" w:right="20" w:hanging="172"/>
        <w:spacing w:after="0" w:line="22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We expect share-based compensation of $18 million and $38 million in cost of revenue and operating expenses, respectively. The Non-IFRS margin impacts are calculated by dividing share-based compensation by net revenue, and the Non-IFRS diluted EPS impact is calculated by dividing share-based compensation by the fully diluted share count.</w:t>
      </w:r>
    </w:p>
    <w:p>
      <w:pPr>
        <w:spacing w:after="0" w:line="77" w:lineRule="exact"/>
        <w:rPr>
          <w:rFonts w:ascii="Arial" w:cs="Arial" w:eastAsia="Arial" w:hAnsi="Arial"/>
          <w:sz w:val="16"/>
          <w:szCs w:val="16"/>
          <w:color w:val="auto"/>
          <w:vertAlign w:val="superscript"/>
        </w:rPr>
      </w:pPr>
    </w:p>
    <w:p>
      <w:pPr>
        <w:ind w:left="180" w:hanging="172"/>
        <w:spacing w:after="0" w:line="20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Included in diluted EPS is net interest income (expense) and other income (expense) which we estimate will be between $4 million and $12 million for the third quarter 2025. Also included in diluted EPS is income tax expense which we estimate will be between $26 million and $40 million for the third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10</w:t>
      </w:r>
    </w:p>
    <w:p>
      <w:pPr>
        <w:sectPr>
          <w:pgSz w:w="11900" w:h="16838" w:orient="portrait"/>
          <w:cols w:equalWidth="0" w:num="1">
            <w:col w:w="11240"/>
          </w:cols>
          <w:pgMar w:left="320" w:top="141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20"/>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2025</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80" w:type="dxa"/>
            <w:vAlign w:val="bottom"/>
          </w:tcPr>
          <w:p>
            <w:pPr>
              <w:spacing w:after="0"/>
              <w:rPr>
                <w:sz w:val="17"/>
                <w:szCs w:val="17"/>
                <w:color w:val="auto"/>
              </w:rPr>
            </w:pP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1,688</w:t>
            </w:r>
          </w:p>
        </w:tc>
        <w:tc>
          <w:tcPr>
            <w:tcW w:w="100" w:type="dxa"/>
            <w:vAlign w:val="bottom"/>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1,632</w:t>
            </w:r>
          </w:p>
        </w:tc>
        <w:tc>
          <w:tcPr>
            <w:tcW w:w="0" w:type="dxa"/>
            <w:vAlign w:val="bottom"/>
          </w:tcPr>
          <w:p>
            <w:pPr>
              <w:spacing w:after="0"/>
              <w:rPr>
                <w:sz w:val="1"/>
                <w:szCs w:val="1"/>
                <w:color w:val="auto"/>
              </w:rPr>
            </w:pP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Pr>
          <w:p>
            <w:pPr>
              <w:spacing w:after="0"/>
              <w:rPr>
                <w:sz w:val="17"/>
                <w:szCs w:val="17"/>
                <w:color w:val="auto"/>
              </w:rPr>
            </w:pPr>
          </w:p>
        </w:tc>
        <w:tc>
          <w:tcPr>
            <w:tcW w:w="1620" w:type="dxa"/>
            <w:vAlign w:val="bottom"/>
            <w:tcBorders>
              <w:bottom w:val="single" w:sz="8" w:color="auto"/>
            </w:tcBorders>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w:t>
            </w:r>
          </w:p>
        </w:tc>
        <w:tc>
          <w:tcPr>
            <w:tcW w:w="100" w:type="dxa"/>
            <w:vAlign w:val="bottom"/>
          </w:tcPr>
          <w:p>
            <w:pPr>
              <w:spacing w:after="0"/>
              <w:rPr>
                <w:sz w:val="17"/>
                <w:szCs w:val="17"/>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178"/>
        </w:trPr>
        <w:tc>
          <w:tcPr>
            <w:tcW w:w="6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80" w:type="dxa"/>
            <w:vAlign w:val="bottom"/>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700" w:type="dxa"/>
            <w:vAlign w:val="bottom"/>
            <w:gridSpan w:val="2"/>
          </w:tcPr>
          <w:p>
            <w:pPr>
              <w:jc w:val="right"/>
              <w:ind w:right="144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7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8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tcPr>
          <w:p>
            <w:pPr>
              <w:spacing w:after="0"/>
              <w:rPr>
                <w:sz w:val="17"/>
                <w:szCs w:val="17"/>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Finance income (expense), net</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8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19"/>
                <w:szCs w:val="19"/>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Attributable to:</w:t>
            </w:r>
          </w:p>
        </w:tc>
        <w:tc>
          <w:tcPr>
            <w:tcW w:w="80" w:type="dxa"/>
            <w:vAlign w:val="bottom"/>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of GLOBALFOUNDRIES Inc.</w:t>
            </w:r>
          </w:p>
        </w:tc>
        <w:tc>
          <w:tcPr>
            <w:tcW w:w="8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rPr>
                <w:sz w:val="20"/>
                <w:szCs w:val="20"/>
                <w:color w:val="auto"/>
              </w:rPr>
            </w:pPr>
            <w:r>
              <w:rPr>
                <w:rFonts w:ascii="Arial" w:cs="Arial" w:eastAsia="Arial" w:hAnsi="Arial"/>
                <w:sz w:val="14"/>
                <w:szCs w:val="14"/>
                <w:color w:val="auto"/>
              </w:rPr>
              <w:t>Basic</w:t>
            </w:r>
          </w:p>
        </w:tc>
        <w:tc>
          <w:tcPr>
            <w:tcW w:w="1700" w:type="dxa"/>
            <w:vAlign w:val="bottom"/>
            <w:gridSpan w:val="2"/>
          </w:tcPr>
          <w:p>
            <w:pPr>
              <w:jc w:val="right"/>
              <w:ind w:right="14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0.41</w:t>
            </w:r>
          </w:p>
        </w:tc>
        <w:tc>
          <w:tcPr>
            <w:tcW w:w="76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7"/>
                <w:szCs w:val="17"/>
                <w:color w:val="auto"/>
              </w:rPr>
            </w:pP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Shares used in EPS calculation:</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4"/>
        </w:trPr>
        <w:tc>
          <w:tcPr>
            <w:tcW w:w="6400" w:type="dxa"/>
            <w:vAlign w:val="bottom"/>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4 of 10</w:t>
      </w:r>
    </w:p>
    <w:p>
      <w:pPr>
        <w:sectPr>
          <w:pgSz w:w="11900" w:h="16838" w:orient="portrait"/>
          <w:cols w:equalWidth="0" w:num="1">
            <w:col w:w="11180"/>
          </w:cols>
          <w:pgMar w:left="360" w:top="1417"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Financial Position</w:t>
      </w:r>
    </w:p>
    <w:p>
      <w:pPr>
        <w:jc w:val="center"/>
        <w:ind w:right="2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2000" w:type="dxa"/>
            <w:vAlign w:val="bottom"/>
          </w:tcPr>
          <w:p>
            <w:pPr>
              <w:spacing w:after="0"/>
              <w:rPr>
                <w:sz w:val="17"/>
                <w:szCs w:val="17"/>
                <w:color w:val="auto"/>
              </w:rPr>
            </w:pPr>
          </w:p>
        </w:tc>
      </w:tr>
      <w:tr>
        <w:trPr>
          <w:trHeight w:val="212"/>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December 31, 2024</w:t>
            </w:r>
          </w:p>
        </w:tc>
      </w:tr>
      <w:tr>
        <w:trPr>
          <w:trHeight w:val="45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7"/>
                <w:szCs w:val="17"/>
                <w:color w:val="auto"/>
              </w:rPr>
            </w:pPr>
          </w:p>
        </w:tc>
        <w:tc>
          <w:tcPr>
            <w:tcW w:w="1660" w:type="dxa"/>
            <w:vAlign w:val="bottom"/>
            <w:shd w:val="clear" w:color="auto" w:fill="CCEEFF"/>
          </w:tcPr>
          <w:p>
            <w:pPr>
              <w:jc w:val="right"/>
              <w:ind w:right="15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2,192</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1,194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10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1,624</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7"/>
                <w:szCs w:val="17"/>
                <w:color w:val="auto"/>
              </w:rPr>
            </w:pPr>
          </w:p>
        </w:tc>
        <w:tc>
          <w:tcPr>
            <w:tcW w:w="1660" w:type="dxa"/>
            <w:vAlign w:val="bottom"/>
            <w:tcBorders>
              <w:bottom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6,356</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6,416</w:t>
            </w:r>
          </w:p>
        </w:tc>
      </w:tr>
      <w:tr>
        <w:trPr>
          <w:trHeight w:val="192"/>
        </w:trPr>
        <w:tc>
          <w:tcPr>
            <w:tcW w:w="63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760" w:type="dxa"/>
            <w:vAlign w:val="bottom"/>
            <w:gridSpan w:val="2"/>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7,505</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7,762</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498</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1,096</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00" w:type="dxa"/>
            <w:vAlign w:val="bottom"/>
          </w:tcPr>
          <w:p>
            <w:pPr>
              <w:spacing w:after="0"/>
              <w:rPr>
                <w:sz w:val="17"/>
                <w:szCs w:val="17"/>
                <w:color w:val="auto"/>
              </w:rPr>
            </w:pPr>
          </w:p>
        </w:tc>
        <w:tc>
          <w:tcPr>
            <w:tcW w:w="1660" w:type="dxa"/>
            <w:vAlign w:val="bottom"/>
            <w:tcBorders>
              <w:bottom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10,447</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10,383</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7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16,803</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1760" w:type="dxa"/>
            <w:vAlign w:val="bottom"/>
            <w:gridSpan w:val="2"/>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753</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2,291</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7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2,414</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3,044</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100" w:type="dxa"/>
            <w:vAlign w:val="bottom"/>
          </w:tcPr>
          <w:p>
            <w:pPr>
              <w:spacing w:after="0"/>
              <w:rPr>
                <w:sz w:val="17"/>
                <w:szCs w:val="17"/>
                <w:color w:val="auto"/>
              </w:rPr>
            </w:pPr>
          </w:p>
        </w:tc>
        <w:tc>
          <w:tcPr>
            <w:tcW w:w="1660" w:type="dxa"/>
            <w:vAlign w:val="bottom"/>
            <w:tcBorders>
              <w:top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Non-current portion of lease obligations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424</w:t>
            </w:r>
          </w:p>
        </w:tc>
      </w:tr>
      <w:tr>
        <w:trPr>
          <w:trHeight w:val="20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1,454</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7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2,921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2,931</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5,975</w:t>
            </w: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 additional paid-in capital</w:t>
            </w:r>
          </w:p>
        </w:tc>
        <w:tc>
          <w:tcPr>
            <w:tcW w:w="100" w:type="dxa"/>
            <w:vAlign w:val="bottom"/>
          </w:tcPr>
          <w:p>
            <w:pPr>
              <w:spacing w:after="0"/>
              <w:rPr>
                <w:sz w:val="17"/>
                <w:szCs w:val="17"/>
                <w:color w:val="auto"/>
              </w:rPr>
            </w:pPr>
          </w:p>
        </w:tc>
        <w:tc>
          <w:tcPr>
            <w:tcW w:w="1660" w:type="dxa"/>
            <w:vAlign w:val="bottom"/>
            <w:shd w:val="clear" w:color="auto" w:fill="CCEEFF"/>
          </w:tcPr>
          <w:p>
            <w:pPr>
              <w:jc w:val="right"/>
              <w:ind w:right="15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24,107</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24,025</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(13,266)</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r>
      <w:tr>
        <w:trPr>
          <w:trHeight w:val="22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16,803</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10</w:t>
      </w:r>
    </w:p>
    <w:p>
      <w:pPr>
        <w:sectPr>
          <w:pgSz w:w="11900" w:h="16838" w:orient="portrait"/>
          <w:cols w:equalWidth="0" w:num="1">
            <w:col w:w="11180"/>
          </w:cols>
          <w:pgMar w:left="360" w:top="1417" w:right="35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2017395</wp:posOffset>
            </wp:positionV>
            <wp:extent cx="40462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462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04622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462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(income) expense, net and other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change in working capital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non-cash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0462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462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40462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6220" cy="128905"/>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3580"/>
        <w:spacing w:after="0"/>
        <w:rPr>
          <w:sz w:val="20"/>
          <w:szCs w:val="20"/>
          <w:color w:val="auto"/>
        </w:rPr>
      </w:pPr>
      <w:r>
        <w:rPr>
          <w:rFonts w:ascii="Arial" w:cs="Arial" w:eastAsia="Arial" w:hAnsi="Arial"/>
          <w:sz w:val="16"/>
          <w:szCs w:val="16"/>
          <w:b w:val="1"/>
          <w:bCs w:val="1"/>
          <w:color w:val="auto"/>
        </w:rPr>
        <w:t>Condensed Consolidated Statements of Cash Flows</w:t>
      </w:r>
    </w:p>
    <w:p>
      <w:pPr>
        <w:ind w:left="120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2900" w:type="dxa"/>
        <w:tblCellMar>
          <w:top w:w="0" w:type="dxa"/>
          <w:left w:w="0" w:type="dxa"/>
          <w:bottom w:w="0" w:type="dxa"/>
          <w:right w:w="0" w:type="dxa"/>
        </w:tblCellMar>
      </w:tblPr>
      <w:tr>
        <w:trPr>
          <w:trHeight w:val="218"/>
        </w:trPr>
        <w:tc>
          <w:tcPr>
            <w:tcW w:w="38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June 30, 2024</w:t>
            </w:r>
          </w:p>
        </w:tc>
      </w:tr>
      <w:tr>
        <w:trPr>
          <w:trHeight w:val="135"/>
        </w:trPr>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203"/>
        </w:trPr>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2"/>
        </w:trPr>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155</w:t>
            </w:r>
          </w:p>
        </w:tc>
      </w:tr>
      <w:tr>
        <w:trPr>
          <w:trHeight w:val="203"/>
        </w:trPr>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r>
      <w:tr>
        <w:trPr>
          <w:trHeight w:val="194"/>
        </w:trPr>
        <w:tc>
          <w:tcPr>
            <w:tcW w:w="3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1"/>
        </w:trPr>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98"/>
        </w:trPr>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r>
      <w:tr>
        <w:trPr>
          <w:trHeight w:val="199"/>
        </w:trPr>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402</w:t>
            </w:r>
          </w:p>
        </w:tc>
      </w:tr>
      <w:tr>
        <w:trPr>
          <w:trHeight w:val="251"/>
        </w:trPr>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03"/>
        </w:trPr>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-693420</wp:posOffset>
            </wp:positionV>
            <wp:extent cx="556323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3235" cy="12890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860" w:space="720"/>
            <w:col w:w="7600"/>
          </w:cols>
          <w:pgMar w:left="360" w:top="1440" w:right="359" w:bottom="1440" w:gutter="0" w:footer="0" w:header="0"/>
        </w:sectPr>
      </w:pPr>
    </w:p>
    <w:tbl>
      <w:tblPr>
        <w:tblLayout w:type="fixed"/>
        <w:tblInd w:w="0" w:type="dxa"/>
        <w:tblCellMar>
          <w:top w:w="0" w:type="dxa"/>
          <w:left w:w="0" w:type="dxa"/>
          <w:bottom w:w="0" w:type="dxa"/>
          <w:right w:w="0" w:type="dxa"/>
        </w:tblCellMar>
      </w:tblPr>
      <w:tr>
        <w:trPr>
          <w:trHeight w:val="194"/>
        </w:trPr>
        <w:tc>
          <w:tcPr>
            <w:tcW w:w="63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 and intangible assets</w:t>
            </w:r>
          </w:p>
        </w:tc>
        <w:tc>
          <w:tcPr>
            <w:tcW w:w="108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(159)</w:t>
            </w:r>
          </w:p>
        </w:tc>
        <w:tc>
          <w:tcPr>
            <w:tcW w:w="10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purchases of marketable securities</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r>
      <w:tr>
        <w:trPr>
          <w:trHeight w:val="251"/>
        </w:trPr>
        <w:tc>
          <w:tcPr>
            <w:tcW w:w="6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Proceeds from issuance of equity instruments</w:t>
            </w:r>
          </w:p>
        </w:tc>
        <w:tc>
          <w:tcPr>
            <w:tcW w:w="108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10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(repayment) of debt, net</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(294)</w:t>
            </w:r>
          </w:p>
        </w:tc>
      </w:tr>
      <w:tr>
        <w:trPr>
          <w:trHeight w:val="19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 w:type="dxa"/>
            <w:vAlign w:val="bottom"/>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spacing w:after="0"/>
              <w:rPr>
                <w:sz w:val="17"/>
                <w:szCs w:val="17"/>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2,247</w:t>
            </w: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1,790</w:t>
            </w:r>
          </w:p>
        </w:tc>
        <w:tc>
          <w:tcPr>
            <w:tcW w:w="100" w:type="dxa"/>
            <w:vAlign w:val="bottom"/>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10</w:t>
      </w:r>
    </w:p>
    <w:p>
      <w:pPr>
        <w:sectPr>
          <w:pgSz w:w="11900" w:h="16838" w:orient="portrait"/>
          <w:cols w:equalWidth="0" w:num="1">
            <w:col w:w="11180"/>
          </w:cols>
          <w:pgMar w:left="360" w:top="1440" w:right="359" w:bottom="1440" w:gutter="0" w:footer="0" w:header="0"/>
          <w:type w:val="continuous"/>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Reconciliation of IFRS to Non-IFRS</w:t>
      </w:r>
    </w:p>
    <w:p>
      <w:pPr>
        <w:ind w:left="3780"/>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136"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Three Months Ended June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rPr>
              <w:t>Income tax</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rPr>
              <w:t>(expense)</w:t>
            </w: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408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bottom w:val="single" w:sz="8" w:color="auto"/>
              <w:right w:val="single" w:sz="8" w:color="CCEEFF"/>
            </w:tcBorders>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auto"/>
              <w:right w:val="single" w:sz="8" w:color="CCEEFF"/>
            </w:tcBorders>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228</w:t>
            </w:r>
          </w:p>
        </w:tc>
        <w:tc>
          <w:tcPr>
            <w:tcW w:w="140" w:type="dxa"/>
            <w:vAlign w:val="bottom"/>
            <w:tcBorders>
              <w:bottom w:val="single" w:sz="8" w:color="auto"/>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0.41</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24.2 %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13.5 %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w:t>
            </w:r>
          </w:p>
        </w:tc>
        <w:tc>
          <w:tcPr>
            <w:tcW w:w="140" w:type="dxa"/>
            <w:vAlign w:val="bottom"/>
            <w:tcBorders>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center"/>
              <w:ind w:left="8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rPr>
                <w:sz w:val="20"/>
                <w:szCs w:val="20"/>
                <w:color w:val="auto"/>
              </w:rPr>
            </w:pPr>
            <w:r>
              <w:rPr>
                <w:rFonts w:ascii="Arial" w:cs="Arial" w:eastAsia="Arial" w:hAnsi="Arial"/>
                <w:sz w:val="13"/>
                <w:szCs w:val="13"/>
                <w:color w:val="auto"/>
              </w:rPr>
              <w:t>Litigation claims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tcBorders>
              <w:right w:val="single" w:sz="8" w:color="CCEEFF"/>
            </w:tcBorders>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40" w:type="dxa"/>
            <w:vAlign w:val="bottom"/>
            <w:tcBorders>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b w:val="1"/>
                <w:bCs w:val="1"/>
                <w:color w:val="auto"/>
              </w:rPr>
              <w:t>425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234</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center"/>
              <w:ind w:left="108"/>
              <w:spacing w:after="0"/>
              <w:rPr>
                <w:sz w:val="20"/>
                <w:szCs w:val="20"/>
                <w:color w:val="auto"/>
              </w:rPr>
            </w:pPr>
            <w:r>
              <w:rPr>
                <w:rFonts w:ascii="Arial" w:cs="Arial" w:eastAsia="Arial" w:hAnsi="Arial"/>
                <w:sz w:val="14"/>
                <w:szCs w:val="14"/>
                <w:b w:val="1"/>
                <w:bCs w:val="1"/>
                <w:color w:val="auto"/>
              </w:rPr>
              <w:t>0.42</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25.2 %</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15.3 %</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13.9 %</w:t>
            </w:r>
          </w:p>
        </w:tc>
        <w:tc>
          <w:tcPr>
            <w:tcW w:w="140" w:type="dxa"/>
            <w:vAlign w:val="bottom"/>
            <w:tcBorders>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269"/>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Income tax</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rPr>
              <w:t>(expense)</w:t>
            </w:r>
          </w:p>
        </w:tc>
        <w:tc>
          <w:tcPr>
            <w:tcW w:w="80" w:type="dxa"/>
            <w:vAlign w:val="bottom"/>
          </w:tcPr>
          <w:p>
            <w:pPr>
              <w:spacing w:after="0"/>
              <w:rPr>
                <w:sz w:val="5"/>
                <w:szCs w:val="5"/>
                <w:color w:val="auto"/>
              </w:rPr>
            </w:pPr>
          </w:p>
        </w:tc>
        <w:tc>
          <w:tcPr>
            <w:tcW w:w="960" w:type="dxa"/>
            <w:vAlign w:val="bottom"/>
            <w:gridSpan w:val="2"/>
            <w:vMerge w:val="restart"/>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rPr>
              <w:t>Administrative</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355</w:t>
            </w:r>
          </w:p>
        </w:tc>
        <w:tc>
          <w:tcPr>
            <w:tcW w:w="100" w:type="dxa"/>
            <w:vAlign w:val="bottom"/>
            <w:tcBorders>
              <w:left w:val="single" w:sz="8" w:color="CCEEFF"/>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151</w:t>
            </w:r>
          </w:p>
        </w:tc>
        <w:tc>
          <w:tcPr>
            <w:tcW w:w="120" w:type="dxa"/>
            <w:vAlign w:val="bottom"/>
            <w:tcBorders>
              <w:left w:val="single" w:sz="8" w:color="CCEEFF"/>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40" w:type="dxa"/>
            <w:vAlign w:val="bottom"/>
            <w:tcBorders>
              <w:bottom w:val="single" w:sz="8" w:color="auto"/>
              <w:right w:val="single" w:sz="8" w:color="CCEEFF"/>
            </w:tcBorders>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211</w:t>
            </w:r>
          </w:p>
        </w:tc>
        <w:tc>
          <w:tcPr>
            <w:tcW w:w="140" w:type="dxa"/>
            <w:vAlign w:val="bottom"/>
            <w:tcBorders>
              <w:left w:val="single" w:sz="8" w:color="CCEEFF"/>
              <w:bottom w:val="single" w:sz="8" w:color="auto"/>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0.38</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22.4 %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13.3 %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10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Borders>
              <w:left w:val="single" w:sz="8" w:color="CCEEFF"/>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left w:val="single" w:sz="8" w:color="CCEEFF"/>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right w:val="single" w:sz="8" w:color="CCEEFF"/>
            </w:tcBorders>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center"/>
              <w:ind w:left="8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tcBorders>
              <w:left w:val="single" w:sz="8" w:color="CCEEFF"/>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Revaluation of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center"/>
              <w:ind w:left="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auto"/>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auto"/>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auto"/>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right w:val="single" w:sz="8" w:color="CCEEFF"/>
            </w:tcBorders>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40" w:type="dxa"/>
            <w:vAlign w:val="bottom"/>
            <w:tcBorders>
              <w:left w:val="single" w:sz="8" w:color="CCEEFF"/>
              <w:right w:val="single" w:sz="8" w:color="CCEEFF"/>
            </w:tcBorders>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379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213</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189</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center"/>
              <w:ind w:left="108"/>
              <w:spacing w:after="0"/>
              <w:rPr>
                <w:sz w:val="20"/>
                <w:szCs w:val="20"/>
                <w:color w:val="auto"/>
              </w:rPr>
            </w:pPr>
            <w:r>
              <w:rPr>
                <w:rFonts w:ascii="Arial" w:cs="Arial" w:eastAsia="Arial" w:hAnsi="Arial"/>
                <w:sz w:val="14"/>
                <w:szCs w:val="14"/>
                <w:b w:val="1"/>
                <w:bCs w:val="1"/>
                <w:color w:val="auto"/>
              </w:rPr>
              <w:t>0.34</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23.9 %</w:t>
            </w:r>
          </w:p>
        </w:tc>
        <w:tc>
          <w:tcPr>
            <w:tcW w:w="100" w:type="dxa"/>
            <w:vAlign w:val="bottom"/>
            <w:tcBorders>
              <w:left w:val="single" w:sz="8" w:color="CCEEFF"/>
            </w:tcBorders>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13.4 %</w:t>
            </w:r>
          </w:p>
        </w:tc>
        <w:tc>
          <w:tcPr>
            <w:tcW w:w="120" w:type="dxa"/>
            <w:vAlign w:val="bottom"/>
            <w:tcBorders>
              <w:left w:val="single" w:sz="8" w:color="CCEEFF"/>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11.9 %</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269"/>
              <w:spacing w:after="0"/>
              <w:rPr>
                <w:sz w:val="20"/>
                <w:szCs w:val="20"/>
                <w:color w:val="auto"/>
              </w:rPr>
            </w:pPr>
            <w:r>
              <w:rPr>
                <w:rFonts w:ascii="Arial" w:cs="Arial" w:eastAsia="Arial" w:hAnsi="Arial"/>
                <w:sz w:val="14"/>
                <w:szCs w:val="14"/>
                <w:b w:val="1"/>
                <w:bCs w:val="1"/>
                <w:color w:val="auto"/>
              </w:rPr>
              <w:t>Three Months Ended June 30,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Income tax</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(expense)</w:t>
            </w:r>
          </w:p>
        </w:tc>
        <w:tc>
          <w:tcPr>
            <w:tcW w:w="80" w:type="dxa"/>
            <w:vAlign w:val="bottom"/>
          </w:tcPr>
          <w:p>
            <w:pPr>
              <w:spacing w:after="0"/>
              <w:rPr>
                <w:sz w:val="5"/>
                <w:szCs w:val="5"/>
                <w:color w:val="auto"/>
              </w:rPr>
            </w:pPr>
          </w:p>
        </w:tc>
        <w:tc>
          <w:tcPr>
            <w:tcW w:w="96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395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Borders>
              <w:left w:val="single" w:sz="8" w:color="CCEEFF"/>
              <w:bottom w:val="single" w:sz="8" w:color="auto"/>
            </w:tcBorders>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155</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40" w:type="dxa"/>
            <w:vAlign w:val="bottom"/>
            <w:tcBorders>
              <w:left w:val="single" w:sz="8" w:color="CCEEFF"/>
              <w:bottom w:val="single" w:sz="8" w:color="auto"/>
            </w:tcBorders>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155</w:t>
            </w:r>
          </w:p>
        </w:tc>
        <w:tc>
          <w:tcPr>
            <w:tcW w:w="140" w:type="dxa"/>
            <w:vAlign w:val="bottom"/>
            <w:tcBorders>
              <w:left w:val="single" w:sz="8" w:color="CCEEFF"/>
              <w:bottom w:val="single" w:sz="8" w:color="auto"/>
            </w:tcBorders>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0.28</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24.2 %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9.5 %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lef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0"/>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411</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left w:val="single" w:sz="8" w:color="CCEEFF"/>
            </w:tcBorders>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212</w:t>
            </w:r>
          </w:p>
        </w:tc>
        <w:tc>
          <w:tcPr>
            <w:tcW w:w="12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40" w:type="dxa"/>
            <w:vAlign w:val="bottom"/>
            <w:tcBorders>
              <w:left w:val="single" w:sz="8" w:color="CCEEFF"/>
            </w:tcBorders>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211</w:t>
            </w:r>
          </w:p>
        </w:tc>
        <w:tc>
          <w:tcPr>
            <w:tcW w:w="140" w:type="dxa"/>
            <w:vAlign w:val="bottom"/>
            <w:tcBorders>
              <w:lef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0.38</w:t>
            </w:r>
          </w:p>
        </w:tc>
        <w:tc>
          <w:tcPr>
            <w:tcW w:w="0" w:type="dxa"/>
            <w:vAlign w:val="bottom"/>
          </w:tcPr>
          <w:p>
            <w:pPr>
              <w:spacing w:after="0"/>
              <w:rPr>
                <w:sz w:val="1"/>
                <w:szCs w:val="1"/>
                <w:color w:val="auto"/>
              </w:rPr>
            </w:pPr>
          </w:p>
        </w:tc>
      </w:tr>
      <w:tr>
        <w:trPr>
          <w:trHeight w:val="235"/>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25.2 %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13.0 %</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12.9 %</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these Non-IFRS measures and why we believe they are useful.</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Structural optimization represents costs associated with employee workforce reductions, manufacturing footprint alignment and liquidation charges.</w:t>
      </w:r>
    </w:p>
    <w:p>
      <w:pPr>
        <w:spacing w:after="0" w:line="5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Comprised of net deferred tax asset recognition and foreign exchange rate impact.</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Page 7 of 10</w:t>
      </w:r>
    </w:p>
    <w:p>
      <w:pPr>
        <w:sectPr>
          <w:pgSz w:w="11900" w:h="16838" w:orient="portrait"/>
          <w:cols w:equalWidth="0" w:num="1">
            <w:col w:w="11080"/>
          </w:cols>
          <w:pgMar w:left="320" w:top="850" w:right="49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Reconciliation of IFRS to Non-IFRS</w:t>
      </w:r>
    </w:p>
    <w:p>
      <w:pPr>
        <w:jc w:val="center"/>
        <w:ind w:right="-11"/>
        <w:spacing w:after="0" w:line="180" w:lineRule="auto"/>
        <w:rPr>
          <w:sz w:val="20"/>
          <w:szCs w:val="20"/>
          <w:color w:val="auto"/>
        </w:rPr>
      </w:pPr>
      <w:r>
        <w:rPr>
          <w:rFonts w:ascii="Arial" w:cs="Arial" w:eastAsia="Arial" w:hAnsi="Arial"/>
          <w:sz w:val="15"/>
          <w:szCs w:val="15"/>
          <w:b w:val="1"/>
          <w:bCs w:val="1"/>
          <w:color w:val="auto"/>
        </w:rPr>
        <w:t>Non-IFRS Adjusted Free Cash Flow</w:t>
      </w:r>
      <w:r>
        <w:rPr>
          <w:rFonts w:ascii="Arial" w:cs="Arial" w:eastAsia="Arial" w:hAnsi="Arial"/>
          <w:sz w:val="19"/>
          <w:szCs w:val="19"/>
          <w:b w:val="1"/>
          <w:bCs w:val="1"/>
          <w:color w:val="auto"/>
          <w:vertAlign w:val="superscript"/>
        </w:rPr>
        <w:t>(1)</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(Unaudited, in millions</w:t>
      </w:r>
      <w:r>
        <w:rPr>
          <w:rFonts w:ascii="Arial" w:cs="Arial" w:eastAsia="Arial" w:hAnsi="Arial"/>
          <w:sz w:val="16"/>
          <w:szCs w:val="16"/>
          <w:b w:val="1"/>
          <w:bCs w:val="1"/>
          <w:color w:val="auto"/>
        </w:rPr>
        <w:t>)</w:t>
      </w:r>
    </w:p>
    <w:p>
      <w:pPr>
        <w:spacing w:after="0" w:line="264" w:lineRule="exact"/>
        <w:rPr>
          <w:sz w:val="20"/>
          <w:szCs w:val="20"/>
          <w:color w:val="auto"/>
        </w:rPr>
      </w:pPr>
    </w:p>
    <w:tbl>
      <w:tblPr>
        <w:tblLayout w:type="fixed"/>
        <w:tblInd w:w="12" w:type="dxa"/>
        <w:tblCellMar>
          <w:top w:w="0" w:type="dxa"/>
          <w:left w:w="0" w:type="dxa"/>
          <w:bottom w:w="0" w:type="dxa"/>
          <w:right w:w="0" w:type="dxa"/>
        </w:tblCellMar>
      </w:tblPr>
      <w:tr>
        <w:trPr>
          <w:trHeight w:val="205"/>
        </w:trPr>
        <w:tc>
          <w:tcPr>
            <w:tcW w:w="5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431</w:t>
            </w:r>
          </w:p>
        </w:tc>
        <w:tc>
          <w:tcPr>
            <w:tcW w:w="8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402</w:t>
            </w:r>
          </w:p>
        </w:tc>
        <w:tc>
          <w:tcPr>
            <w:tcW w:w="0" w:type="dxa"/>
            <w:vAlign w:val="bottom"/>
          </w:tcPr>
          <w:p>
            <w:pPr>
              <w:spacing w:after="0"/>
              <w:rPr>
                <w:sz w:val="1"/>
                <w:szCs w:val="1"/>
                <w:color w:val="auto"/>
              </w:rPr>
            </w:pPr>
          </w:p>
        </w:tc>
      </w:tr>
      <w:tr>
        <w:trPr>
          <w:trHeight w:val="198"/>
        </w:trPr>
        <w:tc>
          <w:tcPr>
            <w:tcW w:w="5600" w:type="dxa"/>
            <w:vAlign w:val="bottom"/>
          </w:tcPr>
          <w:p>
            <w:pPr>
              <w:ind w:left="20"/>
              <w:spacing w:after="0"/>
              <w:rPr>
                <w:sz w:val="20"/>
                <w:szCs w:val="20"/>
                <w:color w:val="auto"/>
              </w:rPr>
            </w:pPr>
            <w:r>
              <w:rPr>
                <w:rFonts w:ascii="Arial" w:cs="Arial" w:eastAsia="Arial" w:hAnsi="Arial"/>
                <w:sz w:val="14"/>
                <w:szCs w:val="14"/>
                <w:color w:val="auto"/>
              </w:rPr>
              <w:t>Less: Purchases of property, plant and equipment and intangible assets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government grants</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Arial" w:cs="Arial" w:eastAsia="Arial" w:hAnsi="Arial"/>
                <w:sz w:val="14"/>
                <w:szCs w:val="14"/>
                <w:color w:val="auto"/>
              </w:rPr>
              <w:t>Total capital expenditure net of proceeds from government grants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Non-IFRS adjusted free cash flow</w:t>
            </w:r>
            <w:r>
              <w:rPr>
                <w:rFonts w:ascii="Arial" w:cs="Arial" w:eastAsia="Arial" w:hAnsi="Arial"/>
                <w:sz w:val="18"/>
                <w:szCs w:val="18"/>
                <w:b w:val="1"/>
                <w:bCs w:val="1"/>
                <w:color w:val="auto"/>
                <w:vertAlign w:val="superscript"/>
              </w:rPr>
              <w:t>(1)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277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Non-IFRS adjusted free cash flow margins</w:t>
            </w:r>
            <w:r>
              <w:rPr>
                <w:rFonts w:ascii="Arial" w:cs="Arial" w:eastAsia="Arial" w:hAnsi="Arial"/>
                <w:sz w:val="18"/>
                <w:szCs w:val="18"/>
                <w:i w:val="1"/>
                <w:iCs w:val="1"/>
                <w:color w:val="auto"/>
                <w:vertAlign w:val="superscript"/>
              </w:rPr>
              <w:t>(1)</w:t>
            </w: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i w:val="1"/>
                <w:iCs w:val="1"/>
                <w:color w:val="auto"/>
              </w:rPr>
              <w:t>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i w:val="1"/>
                <w:iCs w:val="1"/>
                <w:color w:val="auto"/>
              </w:rPr>
              <w:t>10 %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i w:val="1"/>
                <w:iCs w:val="1"/>
                <w:color w:val="auto"/>
              </w:rPr>
              <w:t>19 %</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32" w:hanging="132"/>
        <w:spacing w:after="0"/>
        <w:tabs>
          <w:tab w:leader="none" w:pos="132"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Reconciliation of IFRS to Non-IFRS</w:t>
      </w:r>
    </w:p>
    <w:p>
      <w:pPr>
        <w:jc w:val="center"/>
        <w:ind w:right="-11"/>
        <w:spacing w:after="0" w:line="184" w:lineRule="auto"/>
        <w:rPr>
          <w:sz w:val="20"/>
          <w:szCs w:val="20"/>
          <w:color w:val="auto"/>
        </w:rPr>
      </w:pPr>
      <w:r>
        <w:rPr>
          <w:rFonts w:ascii="Arial" w:cs="Arial" w:eastAsia="Arial" w:hAnsi="Arial"/>
          <w:sz w:val="15"/>
          <w:szCs w:val="15"/>
          <w:b w:val="1"/>
          <w:bCs w:val="1"/>
          <w:color w:val="auto"/>
        </w:rPr>
        <w:t>Non-IFRS Adjusted EBITDA</w:t>
      </w:r>
      <w:r>
        <w:rPr>
          <w:rFonts w:ascii="Arial" w:cs="Arial" w:eastAsia="Arial" w:hAnsi="Arial"/>
          <w:sz w:val="19"/>
          <w:szCs w:val="19"/>
          <w:b w:val="1"/>
          <w:bCs w:val="1"/>
          <w:color w:val="auto"/>
          <w:vertAlign w:val="superscript"/>
        </w:rPr>
        <w:t>(1)</w:t>
      </w:r>
    </w:p>
    <w:p>
      <w:pPr>
        <w:jc w:val="center"/>
        <w:ind w:right="-11"/>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12"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1,688</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1,585</w:t>
            </w:r>
          </w:p>
        </w:tc>
        <w:tc>
          <w:tcPr>
            <w:tcW w:w="8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1,632</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income margin</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13.5 %</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13.3 %</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9.5 %</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4"/>
                <w:szCs w:val="14"/>
                <w:color w:val="auto"/>
              </w:rPr>
              <w:t>Structural optimization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Revaluation of equity investments</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4"/>
                <w:szCs w:val="14"/>
                <w:color w:val="auto"/>
              </w:rPr>
              <w:t>Litigation claims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acquisition related charges</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i w:val="1"/>
                <w:iCs w:val="1"/>
                <w:color w:val="auto"/>
                <w:vertAlign w:val="superscript"/>
              </w:rPr>
              <w:t>(1)</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585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558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108"/>
              <w:spacing w:after="0"/>
              <w:rPr>
                <w:sz w:val="20"/>
                <w:szCs w:val="20"/>
                <w:color w:val="auto"/>
              </w:rPr>
            </w:pPr>
            <w:r>
              <w:rPr>
                <w:rFonts w:ascii="Arial" w:cs="Arial" w:eastAsia="Arial" w:hAnsi="Arial"/>
                <w:sz w:val="14"/>
                <w:szCs w:val="14"/>
                <w:b w:val="1"/>
                <w:bCs w:val="1"/>
                <w:color w:val="auto"/>
              </w:rPr>
              <w:t>610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5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34.7 %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35.2 %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i w:val="1"/>
                <w:iCs w:val="1"/>
                <w:color w:val="auto"/>
              </w:rPr>
              <w:t>37.4 %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32" w:hanging="132"/>
        <w:spacing w:after="0"/>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8 of 10</w:t>
      </w:r>
    </w:p>
    <w:p>
      <w:pPr>
        <w:sectPr>
          <w:pgSz w:w="11900" w:h="16838" w:orient="portrait"/>
          <w:cols w:equalWidth="0" w:num="1">
            <w:col w:w="11212"/>
          </w:cols>
          <w:pgMar w:left="328" w:top="1255"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Measures (Non-IFRS)</w:t>
      </w:r>
    </w:p>
    <w:p>
      <w:pPr>
        <w:spacing w:after="0" w:line="221"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In addition to the financial information presented in accordance with International Financial Reporting Standards ("IFRS"), this press release includes the following Non-IFRS financial measures: Non-IFRS gross profit, Non-IFRS operating profit, Non-IFRS operating expense, Non-IFRS net income, Non-IFRS selling, general and administrative, Non-IFRS research and development, Non-IFRS other income (expense), Non-IFRS income tax benefit (expense), Non-IFRS diluted earnings per share (“EPS”), Non-IFRS adjusted EBITDA, Non-IFRS adjusted free cash flow and any related margins. We define each of Non-IFRS gross profit, Non-IFRS selling, general and administrative, Non-IFRS research and development, Non-IFRS operating profit, Non-IFRS other income (expense), Non-IFRS income tax benefit (expense) and Non-IFRS net income as gross profit, selling, general and administrative, research and development, operating profit, other income (expense), income tax benefit (expense), and net income, respectively, adjusted for share-based compensation, structural optimization, amortization of acquired intangibles and other acquisition related charges, impairment of long-lived assets, revaluation of equity investments, restructuring charges, tax matters, and any associated income tax effects. We define Non-IFRS operating expense as Non-IFRS gross profit minus Non-IFRS operating profit. We define Non-IFRS diluted EPS as Non-IFRS net income divided by the diluted shares outstanding. We define Non-IFRS adjusted free cash flow as cash flow provided by (used in) operating activities less purchases of property, plant and equipment and intangible assets plus proceeds from government grants related to capital expenditures. We define Non-IFRS adjusted EBITDA as net income adjusted for the impact of finance expense, finance income, income tax expense (benefit), depreciation and amortization, share-based compensation, restructuring charges, impairment of long-lived assets, revaluation of equity investments, structural optimization, litigation claims and acquisition related charges. We define each of Non-IFRS gross margin, Non-IFRS operating margin, Non-IFRS net income margin, Non-IFRS adjusted free cash flow margin and Non-IFRS adjusted EBITDA margin as Non-IFRS gross profit, Non-IFRS operating profit, Non-IFRS net income, Non-IFRS adjusted free cash flow and Non-IFRS adjusted EBITDA, respectively, divided by net revenue. Any adjustments described above that are zero for a given period are excluded from the “Reconciliation of IFRS to Non-IFRS” table. See "Reconciliation of IFRS to Non-IFRS" section for a detailed reconciliation of Non-IFRS financial measures to the most directly comparable IFRS measure.</w:t>
      </w:r>
    </w:p>
    <w:p>
      <w:pPr>
        <w:spacing w:after="0" w:line="202"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We believe that in addition to our results determined in accordance with IFRS, these Non-IFRS financial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Non-IFRS adjusted free cash flow as a Non-IFRS measure is helpful to investors as it provides insights into the nature and amount of cash the Company generates in the period.</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comparative measures.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GF will host a conference call with the financial community on Tuesday, August 5, 2025 at 8:30 a.m. U.S. Eastern Time (ET) to review the second quarter 2025 results in detail. Interested parties may join the scheduled conference call by registering at https://edge.media-server.com/mmc/p/jgpem5gd/.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 and Third Party Data</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10</w:t>
      </w:r>
    </w:p>
    <w:p>
      <w:pPr>
        <w:sectPr>
          <w:pgSz w:w="11900" w:h="16838" w:orient="portrait"/>
          <w:cols w:equalWidth="0" w:num="1">
            <w:col w:w="11240"/>
          </w:cols>
          <w:pgMar w:left="320" w:top="1282" w:right="339" w:bottom="1440" w:gutter="0" w:footer="0" w:header="0"/>
        </w:sectPr>
      </w:pPr>
    </w:p>
    <w:bookmarkStart w:id="11" w:name="page12"/>
    <w:bookmarkEnd w:id="11"/>
    <w:p>
      <w:pPr>
        <w:jc w:val="both"/>
        <w:spacing w:after="0" w:line="225" w:lineRule="auto"/>
        <w:rPr>
          <w:sz w:val="20"/>
          <w:szCs w:val="20"/>
          <w:color w:val="auto"/>
        </w:rPr>
      </w:pPr>
      <w:r>
        <w:rPr>
          <w:rFonts w:ascii="Arial" w:cs="Arial" w:eastAsia="Arial" w:hAnsi="Arial"/>
          <w:sz w:val="16"/>
          <w:szCs w:val="16"/>
          <w:color w:val="auto"/>
        </w:rPr>
        <w:t>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ongoing political developments in the United States, and in particular, any political and policy-related changes that may impact our industry and the market generally; the imposition of trade controls, tariffs and counter-tariffs between the United States and its trade partners;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 of 10</w:t>
      </w:r>
    </w:p>
    <w:sectPr>
      <w:pgSz w:w="11900" w:h="16838" w:orient="portrait"/>
      <w:cols w:equalWidth="0" w:num="1">
        <w:col w:w="11240"/>
      </w:cols>
      <w:pgMar w:left="320" w:top="12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2025-08-05T06:40:31Z</dcterms:created>
  <dcterms:modified xsi:type="dcterms:W3CDTF">2025-08-05T06:40:31Z</dcterms:modified>
</cp:coreProperties>
</file>