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_________________________</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20-F</w:t>
      </w:r>
    </w:p>
    <w:p>
      <w:pPr>
        <w:spacing w:after="0" w:line="23"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_________________________</w:t>
      </w:r>
    </w:p>
    <w:p>
      <w:pPr>
        <w:spacing w:after="0" w:line="37" w:lineRule="exact"/>
        <w:rPr>
          <w:sz w:val="24"/>
          <w:szCs w:val="24"/>
          <w:color w:val="auto"/>
        </w:rPr>
      </w:pPr>
    </w:p>
    <w:p>
      <w:pPr>
        <w:ind w:left="480" w:hanging="461"/>
        <w:spacing w:after="0"/>
        <w:tabs>
          <w:tab w:leader="none" w:pos="480" w:val="left"/>
        </w:tabs>
        <w:numPr>
          <w:ilvl w:val="0"/>
          <w:numId w:val="1"/>
        </w:numPr>
        <w:rPr>
          <w:rFonts w:ascii="Wingdings" w:cs="Wingdings" w:eastAsia="Wingdings" w:hAnsi="Wingdings"/>
          <w:sz w:val="14"/>
          <w:szCs w:val="14"/>
          <w:b w:val="1"/>
          <w:bCs w:val="1"/>
          <w:color w:val="auto"/>
          <w:highlight w:val="black"/>
        </w:rPr>
      </w:pPr>
      <w:r>
        <w:rPr>
          <w:rFonts w:ascii="Arial" w:cs="Arial" w:eastAsia="Arial" w:hAnsi="Arial"/>
          <w:sz w:val="14"/>
          <w:szCs w:val="14"/>
          <w:b w:val="1"/>
          <w:bCs w:val="1"/>
          <w:color w:val="auto"/>
        </w:rPr>
        <w:t>REGISTRATION STATEMENT PURSUANT TO SECTION 12(b) OR 12(g) OF THE SECURITIES EXCHANGE ACT OF 1934</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94" w:lineRule="exact"/>
        <w:rPr>
          <w:sz w:val="24"/>
          <w:szCs w:val="24"/>
          <w:color w:val="auto"/>
        </w:rPr>
      </w:pPr>
    </w:p>
    <w:p>
      <w:pPr>
        <w:ind w:left="480" w:hanging="461"/>
        <w:spacing w:after="0"/>
        <w:tabs>
          <w:tab w:leader="none" w:pos="4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For the fiscal year ended </w:t>
      </w:r>
      <w:r>
        <w:rPr>
          <w:rFonts w:ascii="Arial" w:cs="Arial" w:eastAsia="Arial" w:hAnsi="Arial"/>
          <w:sz w:val="12"/>
          <w:szCs w:val="12"/>
          <w:b w:val="1"/>
          <w:bCs w:val="1"/>
          <w:color w:val="auto"/>
        </w:rPr>
        <w:t>December 31, 2023</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94" w:lineRule="exact"/>
        <w:rPr>
          <w:sz w:val="24"/>
          <w:szCs w:val="24"/>
          <w:color w:val="auto"/>
        </w:rPr>
      </w:pPr>
    </w:p>
    <w:p>
      <w:pPr>
        <w:ind w:left="480" w:hanging="461"/>
        <w:spacing w:after="0"/>
        <w:tabs>
          <w:tab w:leader="none" w:pos="480" w:val="left"/>
        </w:tabs>
        <w:numPr>
          <w:ilvl w:val="0"/>
          <w:numId w:val="3"/>
        </w:numPr>
        <w:rPr>
          <w:rFonts w:ascii="Wingdings" w:cs="Wingdings" w:eastAsia="Wingdings" w:hAnsi="Wingdings"/>
          <w:sz w:val="14"/>
          <w:szCs w:val="14"/>
          <w:b w:val="1"/>
          <w:bCs w:val="1"/>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94" w:lineRule="exact"/>
        <w:rPr>
          <w:sz w:val="24"/>
          <w:szCs w:val="24"/>
          <w:color w:val="auto"/>
        </w:rPr>
      </w:pPr>
    </w:p>
    <w:p>
      <w:pPr>
        <w:ind w:left="480" w:hanging="461"/>
        <w:spacing w:after="0"/>
        <w:tabs>
          <w:tab w:leader="none" w:pos="480" w:val="left"/>
        </w:tabs>
        <w:numPr>
          <w:ilvl w:val="0"/>
          <w:numId w:val="4"/>
        </w:numPr>
        <w:rPr>
          <w:rFonts w:ascii="Wingdings" w:cs="Wingdings" w:eastAsia="Wingdings" w:hAnsi="Wingdings"/>
          <w:sz w:val="14"/>
          <w:szCs w:val="14"/>
          <w:b w:val="1"/>
          <w:bCs w:val="1"/>
          <w:color w:val="auto"/>
          <w:highlight w:val="black"/>
        </w:rPr>
      </w:pPr>
      <w:r>
        <w:rPr>
          <w:rFonts w:ascii="Arial" w:cs="Arial" w:eastAsia="Arial" w:hAnsi="Arial"/>
          <w:sz w:val="14"/>
          <w:szCs w:val="14"/>
          <w:b w:val="1"/>
          <w:bCs w:val="1"/>
          <w:color w:val="auto"/>
        </w:rPr>
        <w:t>SHELL COMPANY REPORT PURSUANT TO SECTION 13 OR 15(d) OF THE SECURITIES EXCHANGE ACT OF 1934</w:t>
      </w:r>
    </w:p>
    <w:p>
      <w:pPr>
        <w:spacing w:after="0" w:line="136"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Date of event requiring this shell company report</w:t>
      </w:r>
    </w:p>
    <w:p>
      <w:pPr>
        <w:spacing w:after="0" w:line="51" w:lineRule="exact"/>
        <w:rPr>
          <w:sz w:val="24"/>
          <w:szCs w:val="24"/>
          <w:color w:val="auto"/>
        </w:rPr>
      </w:pPr>
    </w:p>
    <w:p>
      <w:pPr>
        <w:ind w:left="3960"/>
        <w:spacing w:after="0"/>
        <w:tabs>
          <w:tab w:leader="none" w:pos="6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1"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Commission file number 001-40974</w:t>
      </w:r>
    </w:p>
    <w:p>
      <w:pPr>
        <w:spacing w:after="0" w:line="51"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_________________________</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GLOBALFOUNDRIES Inc.</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1"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_________________________</w:t>
      </w:r>
    </w:p>
    <w:p>
      <w:pPr>
        <w:sectPr>
          <w:pgSz w:w="11900" w:h="16838" w:orient="portrait"/>
          <w:cols w:equalWidth="0" w:num="1">
            <w:col w:w="11280"/>
          </w:cols>
          <w:pgMar w:left="300" w:top="1005" w:right="319" w:bottom="0" w:gutter="0" w:footer="0" w:header="0"/>
        </w:sectPr>
      </w:pPr>
    </w:p>
    <w:p>
      <w:pPr>
        <w:spacing w:after="0" w:line="94" w:lineRule="exact"/>
        <w:rPr>
          <w:sz w:val="24"/>
          <w:szCs w:val="24"/>
          <w:color w:val="auto"/>
        </w:rPr>
      </w:pPr>
    </w:p>
    <w:p>
      <w:pPr>
        <w:jc w:val="center"/>
        <w:ind w:right="540"/>
        <w:spacing w:after="0"/>
        <w:rPr>
          <w:sz w:val="20"/>
          <w:szCs w:val="20"/>
          <w:color w:val="auto"/>
        </w:rPr>
      </w:pPr>
      <w:r>
        <w:rPr>
          <w:rFonts w:ascii="Arial" w:cs="Arial" w:eastAsia="Arial" w:hAnsi="Arial"/>
          <w:sz w:val="14"/>
          <w:szCs w:val="14"/>
          <w:b w:val="1"/>
          <w:bCs w:val="1"/>
          <w:color w:val="auto"/>
        </w:rPr>
        <w:t>N/A</w:t>
      </w:r>
    </w:p>
    <w:p>
      <w:pPr>
        <w:spacing w:after="0" w:line="51" w:lineRule="exact"/>
        <w:rPr>
          <w:sz w:val="24"/>
          <w:szCs w:val="24"/>
          <w:color w:val="auto"/>
        </w:rPr>
      </w:pPr>
    </w:p>
    <w:p>
      <w:pPr>
        <w:jc w:val="center"/>
        <w:ind w:right="540"/>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jc w:val="center"/>
        <w:ind w:right="1260"/>
        <w:spacing w:after="0"/>
        <w:rPr>
          <w:sz w:val="20"/>
          <w:szCs w:val="20"/>
          <w:color w:val="auto"/>
        </w:rPr>
      </w:pPr>
      <w:r>
        <w:rPr>
          <w:rFonts w:ascii="Arial" w:cs="Arial" w:eastAsia="Arial" w:hAnsi="Arial"/>
          <w:sz w:val="14"/>
          <w:szCs w:val="14"/>
          <w:b w:val="1"/>
          <w:bCs w:val="1"/>
          <w:color w:val="auto"/>
        </w:rPr>
        <w:t>Cayman Islands</w:t>
      </w:r>
    </w:p>
    <w:p>
      <w:pPr>
        <w:spacing w:after="0" w:line="51" w:lineRule="exact"/>
        <w:rPr>
          <w:sz w:val="24"/>
          <w:szCs w:val="24"/>
          <w:color w:val="auto"/>
        </w:rPr>
      </w:pPr>
    </w:p>
    <w:p>
      <w:pPr>
        <w:jc w:val="center"/>
        <w:ind w:right="1260"/>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47" w:lineRule="exact"/>
        <w:rPr>
          <w:sz w:val="24"/>
          <w:szCs w:val="24"/>
          <w:color w:val="auto"/>
        </w:rPr>
      </w:pPr>
    </w:p>
    <w:p>
      <w:pPr>
        <w:sectPr>
          <w:pgSz w:w="11900" w:h="16838" w:orient="portrait"/>
          <w:cols w:equalWidth="0" w:num="2">
            <w:col w:w="6200" w:space="720"/>
            <w:col w:w="4360"/>
          </w:cols>
          <w:pgMar w:left="300" w:top="1005" w:right="319" w:bottom="0" w:gutter="0" w:footer="0" w:header="0"/>
          <w:type w:val="continuous"/>
        </w:sectPr>
      </w:pPr>
    </w:p>
    <w:p>
      <w:pPr>
        <w:jc w:val="both"/>
        <w:ind w:left="5100" w:right="5100" w:firstLine="21"/>
        <w:spacing w:after="0" w:line="316" w:lineRule="auto"/>
        <w:tabs>
          <w:tab w:leader="none" w:pos="5387"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Stonebreak Road Extension Malta, NY 12020</w:t>
      </w:r>
    </w:p>
    <w:p>
      <w:pPr>
        <w:ind w:left="5520" w:hanging="360"/>
        <w:spacing w:after="0"/>
        <w:tabs>
          <w:tab w:leader="none" w:pos="5520" w:val="left"/>
        </w:tabs>
        <w:numPr>
          <w:ilvl w:val="1"/>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305-9013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5520" w:hanging="360"/>
        <w:spacing w:after="0"/>
        <w:tabs>
          <w:tab w:leader="none" w:pos="552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305-9013</w:t>
      </w:r>
    </w:p>
    <w:p>
      <w:pPr>
        <w:spacing w:after="0" w:line="51" w:lineRule="exact"/>
        <w:rPr>
          <w:rFonts w:ascii="Arial" w:cs="Arial" w:eastAsia="Arial" w:hAnsi="Arial"/>
          <w:sz w:val="14"/>
          <w:szCs w:val="14"/>
          <w:b w:val="1"/>
          <w:bCs w:val="1"/>
          <w:color w:val="auto"/>
        </w:rPr>
      </w:pPr>
    </w:p>
    <w:p>
      <w:pPr>
        <w:ind w:left="504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E-mail: ir@gf.com</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128" w:lineRule="exact"/>
        <w:rPr>
          <w:sz w:val="24"/>
          <w:szCs w:val="24"/>
          <w:color w:val="auto"/>
        </w:rPr>
      </w:pPr>
    </w:p>
    <w:tbl>
      <w:tblPr>
        <w:tblLayout w:type="fixed"/>
        <w:tblInd w:w="32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34"/>
        </w:trPr>
        <w:tc>
          <w:tcPr>
            <w:tcW w:w="386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rPr>
              <w:t>Ordinary shares, par value US$0.02 per share</w:t>
            </w:r>
          </w:p>
        </w:tc>
        <w:tc>
          <w:tcPr>
            <w:tcW w:w="820" w:type="dxa"/>
            <w:vAlign w:val="bottom"/>
          </w:tcPr>
          <w:p>
            <w:pPr>
              <w:spacing w:after="0"/>
              <w:rPr>
                <w:sz w:val="20"/>
                <w:szCs w:val="20"/>
                <w:color w:val="auto"/>
              </w:rPr>
            </w:pPr>
          </w:p>
        </w:tc>
        <w:tc>
          <w:tcPr>
            <w:tcW w:w="20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7"/>
              </w:rPr>
              <w:t>GFS</w:t>
            </w:r>
          </w:p>
        </w:tc>
        <w:tc>
          <w:tcPr>
            <w:tcW w:w="80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Select Market</w:t>
            </w:r>
          </w:p>
        </w:tc>
      </w:tr>
    </w:tbl>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or to be registered pursuant to Section 12(g) of the Act:</w:t>
      </w:r>
    </w:p>
    <w:p>
      <w:pPr>
        <w:spacing w:after="0" w:line="51"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_________________________</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None</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w:t>
      </w:r>
    </w:p>
    <w:p>
      <w:pPr>
        <w:spacing w:after="0" w:line="51" w:lineRule="exact"/>
        <w:rPr>
          <w:sz w:val="24"/>
          <w:szCs w:val="24"/>
          <w:color w:val="auto"/>
        </w:rPr>
      </w:pPr>
    </w:p>
    <w:p>
      <w:pPr>
        <w:ind w:left="5100"/>
        <w:spacing w:after="0"/>
        <w:rPr>
          <w:sz w:val="20"/>
          <w:szCs w:val="20"/>
          <w:color w:val="auto"/>
        </w:rPr>
      </w:pPr>
      <w:r>
        <w:rPr>
          <w:rFonts w:ascii="Arial" w:cs="Arial" w:eastAsia="Arial" w:hAnsi="Arial"/>
          <w:sz w:val="14"/>
          <w:szCs w:val="14"/>
          <w:b w:val="1"/>
          <w:bCs w:val="1"/>
          <w:color w:val="auto"/>
        </w:rPr>
        <w:t>______________</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 None</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w:t>
      </w:r>
    </w:p>
    <w:p>
      <w:pPr>
        <w:spacing w:after="0" w:line="23" w:lineRule="exact"/>
        <w:rPr>
          <w:sz w:val="24"/>
          <w:szCs w:val="24"/>
          <w:color w:val="auto"/>
        </w:rPr>
      </w:pPr>
    </w:p>
    <w:p>
      <w:pPr>
        <w:ind w:left="5100"/>
        <w:spacing w:after="0"/>
        <w:rPr>
          <w:sz w:val="20"/>
          <w:szCs w:val="20"/>
          <w:color w:val="auto"/>
        </w:rPr>
      </w:pPr>
      <w:r>
        <w:rPr>
          <w:rFonts w:ascii="Arial" w:cs="Arial" w:eastAsia="Arial" w:hAnsi="Arial"/>
          <w:sz w:val="14"/>
          <w:szCs w:val="14"/>
          <w:b w:val="1"/>
          <w:bCs w:val="1"/>
          <w:color w:val="auto"/>
        </w:rPr>
        <w:t>______________</w:t>
      </w:r>
    </w:p>
    <w:p>
      <w:pPr>
        <w:spacing w:after="0" w:line="41" w:lineRule="exact"/>
        <w:rPr>
          <w:sz w:val="24"/>
          <w:szCs w:val="24"/>
          <w:color w:val="auto"/>
        </w:rPr>
      </w:pPr>
    </w:p>
    <w:p>
      <w:pPr>
        <w:ind w:left="260"/>
        <w:spacing w:after="0"/>
        <w:rPr>
          <w:sz w:val="20"/>
          <w:szCs w:val="20"/>
          <w:color w:val="auto"/>
        </w:rPr>
      </w:pPr>
      <w:r>
        <w:rPr>
          <w:rFonts w:ascii="Arial" w:cs="Arial" w:eastAsia="Arial" w:hAnsi="Arial"/>
          <w:sz w:val="13"/>
          <w:szCs w:val="13"/>
          <w:color w:val="auto"/>
        </w:rPr>
        <w:t>Indicate the number of outstanding shares of each of the issuer’s classes of capital or common stock as of the close of the period covered by the annual report.</w:t>
      </w:r>
    </w:p>
    <w:p>
      <w:pPr>
        <w:spacing w:after="0" w:line="95" w:lineRule="exact"/>
        <w:rPr>
          <w:sz w:val="24"/>
          <w:szCs w:val="24"/>
          <w:color w:val="auto"/>
        </w:rPr>
      </w:pPr>
    </w:p>
    <w:p>
      <w:pPr>
        <w:ind w:left="260"/>
        <w:spacing w:after="0"/>
        <w:rPr>
          <w:sz w:val="20"/>
          <w:szCs w:val="20"/>
          <w:color w:val="auto"/>
        </w:rPr>
      </w:pPr>
      <w:r>
        <w:rPr>
          <w:rFonts w:ascii="Arial" w:cs="Arial" w:eastAsia="Arial" w:hAnsi="Arial"/>
          <w:sz w:val="13"/>
          <w:szCs w:val="13"/>
          <w:color w:val="auto"/>
        </w:rPr>
        <w:t>As of December 31, 2023, 553,548,190 ordinary shares, par value US$0.02 per share, were outstanding.</w:t>
      </w:r>
    </w:p>
    <w:p>
      <w:pPr>
        <w:spacing w:after="0" w:line="55" w:lineRule="exact"/>
        <w:rPr>
          <w:sz w:val="24"/>
          <w:szCs w:val="24"/>
          <w:color w:val="auto"/>
        </w:rPr>
      </w:pPr>
    </w:p>
    <w:p>
      <w:pPr>
        <w:ind w:left="260"/>
        <w:spacing w:after="0" w:line="150" w:lineRule="exact"/>
        <w:tabs>
          <w:tab w:leader="none" w:pos="7180" w:val="left"/>
        </w:tabs>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r>
        <w:rPr>
          <w:rFonts w:ascii="MS PGothic" w:cs="MS PGothic" w:eastAsia="MS PGothic" w:hAnsi="MS PGothic"/>
          <w:sz w:val="13"/>
          <w:szCs w:val="13"/>
          <w:color w:val="auto"/>
        </w:rPr>
        <w:t xml:space="preserve">  ☐</w:t>
      </w:r>
    </w:p>
    <w:p>
      <w:pPr>
        <w:spacing w:after="0" w:line="95" w:lineRule="exact"/>
        <w:rPr>
          <w:sz w:val="24"/>
          <w:szCs w:val="24"/>
          <w:color w:val="auto"/>
        </w:rPr>
      </w:pPr>
    </w:p>
    <w:p>
      <w:pPr>
        <w:ind w:right="80" w:firstLine="255"/>
        <w:spacing w:after="0" w:line="182" w:lineRule="exact"/>
        <w:rPr>
          <w:sz w:val="20"/>
          <w:szCs w:val="20"/>
          <w:color w:val="auto"/>
        </w:rPr>
      </w:pPr>
      <w:r>
        <w:rPr>
          <w:rFonts w:ascii="Arial" w:cs="Arial" w:eastAsia="Arial" w:hAnsi="Arial"/>
          <w:sz w:val="13"/>
          <w:szCs w:val="13"/>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8" w:lineRule="exact"/>
        <w:rPr>
          <w:sz w:val="24"/>
          <w:szCs w:val="24"/>
          <w:color w:val="auto"/>
        </w:rPr>
      </w:pPr>
    </w:p>
    <w:p>
      <w:pPr>
        <w:ind w:firstLine="255"/>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9" w:lineRule="exact"/>
        <w:rPr>
          <w:sz w:val="24"/>
          <w:szCs w:val="24"/>
          <w:color w:val="auto"/>
        </w:rPr>
      </w:pPr>
    </w:p>
    <w:p>
      <w:pPr>
        <w:ind w:right="200" w:firstLine="255"/>
        <w:spacing w:after="0" w:line="17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9" w:lineRule="exact"/>
        <w:rPr>
          <w:sz w:val="24"/>
          <w:szCs w:val="24"/>
          <w:color w:val="auto"/>
        </w:rPr>
      </w:pPr>
    </w:p>
    <w:p>
      <w:pPr>
        <w:ind w:right="300" w:firstLine="255"/>
        <w:spacing w:after="0" w:line="26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75" w:lineRule="exact"/>
        <w:rPr>
          <w:sz w:val="24"/>
          <w:szCs w:val="24"/>
          <w:color w:val="auto"/>
        </w:rPr>
      </w:pPr>
    </w:p>
    <w:p>
      <w:pPr>
        <w:ind w:left="280"/>
        <w:spacing w:after="0" w:line="150" w:lineRule="exact"/>
        <w:tabs>
          <w:tab w:leader="none" w:pos="2520" w:val="left"/>
          <w:tab w:leader="none" w:pos="2880" w:val="left"/>
          <w:tab w:leader="none" w:pos="5100" w:val="left"/>
          <w:tab w:leader="none" w:pos="5480" w:val="left"/>
          <w:tab w:leader="none" w:pos="7700" w:val="left"/>
          <w:tab w:leader="none" w:pos="8040" w:val="left"/>
          <w:tab w:leader="none" w:pos="1098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98" w:lineRule="exact"/>
        <w:rPr>
          <w:sz w:val="24"/>
          <w:szCs w:val="24"/>
          <w:color w:val="auto"/>
        </w:rPr>
      </w:pPr>
    </w:p>
    <w:p>
      <w:pPr>
        <w:ind w:right="140" w:firstLine="255"/>
        <w:spacing w:after="0" w:line="172"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9" w:lineRule="exact"/>
        <w:rPr>
          <w:sz w:val="24"/>
          <w:szCs w:val="24"/>
          <w:color w:val="auto"/>
        </w:rPr>
      </w:pPr>
    </w:p>
    <w:p>
      <w:pPr>
        <w:ind w:left="260"/>
        <w:spacing w:after="0"/>
        <w:rPr>
          <w:sz w:val="20"/>
          <w:szCs w:val="20"/>
          <w:color w:val="auto"/>
        </w:rPr>
      </w:pPr>
      <w:r>
        <w:rPr>
          <w:rFonts w:ascii="Arial" w:cs="Arial" w:eastAsia="Arial" w:hAnsi="Arial"/>
          <w:sz w:val="13"/>
          <w:szCs w:val="13"/>
          <w:color w:val="auto"/>
        </w:rPr>
        <w:t>†The term “new or revised financial accounting standard” refers to any update issued by the Financial Accounting Standards Board to its Accounting Standards Codification after April 5, 2012.</w:t>
      </w:r>
    </w:p>
    <w:p>
      <w:pPr>
        <w:spacing w:after="0" w:line="95" w:lineRule="exact"/>
        <w:rPr>
          <w:sz w:val="24"/>
          <w:szCs w:val="24"/>
          <w:color w:val="auto"/>
        </w:rPr>
      </w:pPr>
    </w:p>
    <w:p>
      <w:pPr>
        <w:ind w:right="80" w:firstLine="255"/>
        <w:spacing w:after="0" w:line="16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9" w:lineRule="exact"/>
        <w:rPr>
          <w:sz w:val="24"/>
          <w:szCs w:val="24"/>
          <w:color w:val="auto"/>
        </w:rPr>
      </w:pPr>
    </w:p>
    <w:p>
      <w:pPr>
        <w:ind w:right="260" w:firstLine="255"/>
        <w:spacing w:after="0" w:line="172" w:lineRule="exact"/>
        <w:rPr>
          <w:sz w:val="20"/>
          <w:szCs w:val="20"/>
          <w:color w:val="auto"/>
        </w:rPr>
      </w:pPr>
      <w:r>
        <w:rPr>
          <w:rFonts w:ascii="Arial" w:cs="Arial" w:eastAsia="Arial" w:hAnsi="Arial"/>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3"/>
          <w:szCs w:val="13"/>
          <w:color w:val="auto"/>
        </w:rPr>
        <w:t>☐</w:t>
      </w:r>
    </w:p>
    <w:p>
      <w:pPr>
        <w:spacing w:after="0" w:line="49" w:lineRule="exact"/>
        <w:rPr>
          <w:sz w:val="24"/>
          <w:szCs w:val="24"/>
          <w:color w:val="auto"/>
        </w:rPr>
      </w:pPr>
    </w:p>
    <w:p>
      <w:pPr>
        <w:ind w:right="260" w:firstLine="255"/>
        <w:spacing w:after="0" w:line="167"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MS PGothic" w:cs="MS PGothic" w:eastAsia="MS PGothic" w:hAnsi="MS PGothic"/>
          <w:sz w:val="13"/>
          <w:szCs w:val="13"/>
          <w:color w:val="auto"/>
        </w:rPr>
        <w:t>☐</w:t>
      </w:r>
    </w:p>
    <w:p>
      <w:pPr>
        <w:spacing w:after="0" w:line="60" w:lineRule="exact"/>
        <w:rPr>
          <w:sz w:val="24"/>
          <w:szCs w:val="24"/>
          <w:color w:val="auto"/>
        </w:rPr>
      </w:pPr>
    </w:p>
    <w:p>
      <w:pPr>
        <w:ind w:left="260"/>
        <w:spacing w:after="0"/>
        <w:rPr>
          <w:sz w:val="20"/>
          <w:szCs w:val="20"/>
          <w:color w:val="auto"/>
        </w:rPr>
      </w:pPr>
      <w:r>
        <w:rPr>
          <w:rFonts w:ascii="Arial" w:cs="Arial" w:eastAsia="Arial" w:hAnsi="Arial"/>
          <w:sz w:val="13"/>
          <w:szCs w:val="13"/>
          <w:color w:val="auto"/>
        </w:rPr>
        <w:t>Indicate by check mark which basis of accounting the registrant has used to prepare the financial statements included in this filing:</w:t>
      </w:r>
    </w:p>
    <w:p>
      <w:pPr>
        <w:sectPr>
          <w:pgSz w:w="11900" w:h="16838" w:orient="portrait"/>
          <w:cols w:equalWidth="0" w:num="1">
            <w:col w:w="11280"/>
          </w:cols>
          <w:pgMar w:left="300" w:top="1005" w:right="319" w:bottom="0" w:gutter="0" w:footer="0" w:header="0"/>
          <w:type w:val="continuous"/>
        </w:sectPr>
      </w:pPr>
    </w:p>
    <w:p>
      <w:pPr>
        <w:spacing w:after="0" w:line="182" w:lineRule="exact"/>
        <w:rPr>
          <w:sz w:val="24"/>
          <w:szCs w:val="24"/>
          <w:color w:val="auto"/>
        </w:rPr>
      </w:pPr>
    </w:p>
    <w:p>
      <w:pPr>
        <w:ind w:left="1760"/>
        <w:spacing w:after="0" w:line="138" w:lineRule="exact"/>
        <w:rPr>
          <w:sz w:val="20"/>
          <w:szCs w:val="20"/>
          <w:color w:val="auto"/>
        </w:rPr>
      </w:pPr>
      <w:r>
        <w:rPr>
          <w:rFonts w:ascii="Arial" w:cs="Arial" w:eastAsia="Arial" w:hAnsi="Arial"/>
          <w:sz w:val="12"/>
          <w:szCs w:val="12"/>
          <w:color w:val="auto"/>
        </w:rPr>
        <w:t xml:space="preserve">U.S. GAAP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260"/>
        <w:spacing w:after="0"/>
        <w:rPr>
          <w:sz w:val="20"/>
          <w:szCs w:val="20"/>
          <w:color w:val="auto"/>
        </w:rPr>
      </w:pPr>
      <w:r>
        <w:rPr>
          <w:rFonts w:ascii="Arial" w:cs="Arial" w:eastAsia="Arial" w:hAnsi="Arial"/>
          <w:sz w:val="12"/>
          <w:szCs w:val="12"/>
          <w:color w:val="auto"/>
        </w:rPr>
        <w:t>International Financial Reporting Standards as issued by the International Accounting</w:t>
      </w:r>
    </w:p>
    <w:p>
      <w:pPr>
        <w:spacing w:after="0" w:line="29" w:lineRule="exact"/>
        <w:rPr>
          <w:sz w:val="24"/>
          <w:szCs w:val="24"/>
          <w:color w:val="auto"/>
        </w:rPr>
      </w:pPr>
    </w:p>
    <w:p>
      <w:pPr>
        <w:jc w:val="center"/>
        <w:ind w:right="420"/>
        <w:spacing w:after="0"/>
        <w:rPr>
          <w:sz w:val="20"/>
          <w:szCs w:val="20"/>
          <w:color w:val="auto"/>
        </w:rPr>
      </w:pPr>
      <w:r>
        <w:rPr>
          <w:rFonts w:ascii="Arial" w:cs="Arial" w:eastAsia="Arial" w:hAnsi="Arial"/>
          <w:sz w:val="13"/>
          <w:szCs w:val="13"/>
          <w:color w:val="auto"/>
        </w:rPr>
        <w:t>Standards Board</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Other </w:t>
      </w:r>
      <w:r>
        <w:rPr>
          <w:rFonts w:ascii="MS PGothic" w:cs="MS PGothic" w:eastAsia="MS PGothic" w:hAnsi="MS PGothic"/>
          <w:sz w:val="12"/>
          <w:szCs w:val="12"/>
          <w:color w:val="auto"/>
        </w:rPr>
        <w:t>☐</w:t>
      </w:r>
    </w:p>
    <w:p>
      <w:pPr>
        <w:sectPr>
          <w:pgSz w:w="11900" w:h="16838" w:orient="portrait"/>
          <w:cols w:equalWidth="0" w:num="3">
            <w:col w:w="2660" w:space="720"/>
            <w:col w:w="5060" w:space="720"/>
            <w:col w:w="2120"/>
          </w:cols>
          <w:pgMar w:left="300" w:top="1005" w:right="31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color w:val="auto"/>
        </w:rPr>
        <w:t>If “Other” has been checked in response to the previous question, indicate by check mark which financial statement item the registrant has elected to follow.</w:t>
      </w:r>
    </w:p>
    <w:p>
      <w:pPr>
        <w:spacing w:after="0" w:line="66"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 xml:space="preserve">Item 17 </w:t>
      </w:r>
      <w:r>
        <w:rPr>
          <w:rFonts w:ascii="MS PGothic" w:cs="MS PGothic" w:eastAsia="MS PGothic" w:hAnsi="MS PGothic"/>
          <w:sz w:val="13"/>
          <w:szCs w:val="13"/>
          <w:color w:val="auto"/>
        </w:rPr>
        <w:t>☐</w:t>
      </w:r>
      <w:r>
        <w:rPr>
          <w:rFonts w:ascii="Arial" w:cs="Arial" w:eastAsia="Arial" w:hAnsi="Arial"/>
          <w:sz w:val="13"/>
          <w:szCs w:val="13"/>
          <w:color w:val="auto"/>
        </w:rPr>
        <w:t xml:space="preserve"> Item 18 </w:t>
      </w:r>
      <w:r>
        <w:rPr>
          <w:rFonts w:ascii="MS PGothic" w:cs="MS PGothic" w:eastAsia="MS PGothic" w:hAnsi="MS PGothic"/>
          <w:sz w:val="13"/>
          <w:szCs w:val="13"/>
          <w:color w:val="auto"/>
        </w:rPr>
        <w:t>☐</w:t>
      </w:r>
    </w:p>
    <w:p>
      <w:pPr>
        <w:spacing w:after="0" w:line="95"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631825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-161290</wp:posOffset>
            </wp:positionH>
            <wp:positionV relativeFrom="paragraph">
              <wp:posOffset>112395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-161290</wp:posOffset>
            </wp:positionH>
            <wp:positionV relativeFrom="paragraph">
              <wp:posOffset>132715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9899"/>
          </w:cols>
          <w:pgMar w:left="560" w:top="12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3"/>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700" w:type="dxa"/>
            <w:vAlign w:val="bottom"/>
            <w:gridSpan w:val="13"/>
          </w:tcPr>
          <w:p>
            <w:pPr>
              <w:jc w:val="center"/>
              <w:ind w:right="3780"/>
              <w:spacing w:after="0"/>
              <w:rPr>
                <w:sz w:val="20"/>
                <w:szCs w:val="20"/>
                <w:color w:val="auto"/>
              </w:rPr>
            </w:pPr>
            <w:r>
              <w:rPr>
                <w:rFonts w:ascii="Arial" w:cs="Arial" w:eastAsia="Arial" w:hAnsi="Arial"/>
                <w:sz w:val="13"/>
                <w:szCs w:val="13"/>
                <w:b w:val="1"/>
                <w:bCs w:val="1"/>
                <w:color w:val="auto"/>
                <w:w w:val="97"/>
              </w:rPr>
              <w:t>TABLE OF CONTENTS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gridSpan w:val="11"/>
          </w:tcPr>
          <w:p>
            <w:pPr>
              <w:jc w:val="center"/>
              <w:ind w:right="4080"/>
              <w:spacing w:after="0"/>
              <w:rPr>
                <w:sz w:val="20"/>
                <w:szCs w:val="20"/>
                <w:color w:val="auto"/>
              </w:rPr>
            </w:pPr>
            <w:r>
              <w:rPr>
                <w:rFonts w:ascii="Arial" w:cs="Arial" w:eastAsia="Arial" w:hAnsi="Arial"/>
                <w:sz w:val="13"/>
                <w:szCs w:val="13"/>
                <w:b w:val="1"/>
                <w:bCs w:val="1"/>
                <w:color w:val="auto"/>
                <w:w w:val="97"/>
              </w:rPr>
              <w:t>GlobalFoundries Inc.</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60" w:type="dxa"/>
            <w:vAlign w:val="bottom"/>
            <w:gridSpan w:val="21"/>
            <w:vMerge w:val="restart"/>
          </w:tcPr>
          <w:p>
            <w:pPr>
              <w:spacing w:after="0"/>
              <w:rPr>
                <w:sz w:val="20"/>
                <w:szCs w:val="20"/>
                <w:color w:val="auto"/>
              </w:rPr>
            </w:pPr>
            <w:r>
              <w:rPr>
                <w:rFonts w:ascii="Arial" w:cs="Arial" w:eastAsia="Arial" w:hAnsi="Arial"/>
                <w:sz w:val="13"/>
                <w:szCs w:val="13"/>
                <w:color w:val="0000FF"/>
                <w:w w:val="96"/>
              </w:rPr>
              <w:t>CAUTIONARY STATEMENT REGARDING FORWARD-LOOKING INFORMATION</w:t>
            </w: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90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color w:val="auto"/>
              </w:rPr>
              <w:t>Page</w:t>
            </w:r>
          </w:p>
        </w:tc>
        <w:tc>
          <w:tcPr>
            <w:tcW w:w="0" w:type="dxa"/>
            <w:vAlign w:val="bottom"/>
          </w:tcPr>
          <w:p>
            <w:pPr>
              <w:spacing w:after="0"/>
              <w:rPr>
                <w:sz w:val="1"/>
                <w:szCs w:val="1"/>
                <w:color w:val="auto"/>
              </w:rPr>
            </w:pPr>
          </w:p>
        </w:tc>
      </w:tr>
      <w:tr>
        <w:trPr>
          <w:trHeight w:val="115"/>
        </w:trPr>
        <w:tc>
          <w:tcPr>
            <w:tcW w:w="4660" w:type="dxa"/>
            <w:vAlign w:val="bottom"/>
            <w:tcBorders>
              <w:bottom w:val="single" w:sz="8" w:color="0000FF"/>
            </w:tcBorders>
            <w:gridSpan w:val="21"/>
            <w:vMerge w:val="continue"/>
          </w:tcPr>
          <w:p>
            <w:pPr>
              <w:spacing w:after="0"/>
              <w:rPr>
                <w:sz w:val="9"/>
                <w:szCs w:val="9"/>
                <w:color w:val="auto"/>
              </w:rPr>
            </w:pPr>
          </w:p>
        </w:tc>
        <w:tc>
          <w:tcPr>
            <w:tcW w:w="30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32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38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68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500" w:type="dxa"/>
            <w:vAlign w:val="bottom"/>
            <w:vMerge w:val="restart"/>
          </w:tcPr>
          <w:p>
            <w:pPr>
              <w:spacing w:after="0"/>
              <w:rPr>
                <w:sz w:val="9"/>
                <w:szCs w:val="9"/>
                <w:color w:val="auto"/>
              </w:rPr>
            </w:pPr>
          </w:p>
        </w:tc>
        <w:tc>
          <w:tcPr>
            <w:tcW w:w="3000" w:type="dxa"/>
            <w:vAlign w:val="bottom"/>
            <w:vMerge w:val="restart"/>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30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2"/>
        </w:trPr>
        <w:tc>
          <w:tcPr>
            <w:tcW w:w="1580" w:type="dxa"/>
            <w:vAlign w:val="bottom"/>
            <w:gridSpan w:val="4"/>
          </w:tcPr>
          <w:p>
            <w:pPr>
              <w:spacing w:after="0" w:line="122" w:lineRule="exact"/>
              <w:rPr>
                <w:sz w:val="20"/>
                <w:szCs w:val="20"/>
                <w:color w:val="auto"/>
              </w:rPr>
            </w:pPr>
            <w:r>
              <w:rPr>
                <w:rFonts w:ascii="Arial" w:cs="Arial" w:eastAsia="Arial" w:hAnsi="Arial"/>
                <w:sz w:val="13"/>
                <w:szCs w:val="13"/>
                <w:color w:val="0000FF"/>
              </w:rPr>
              <w:t>PART I</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line="20" w:lineRule="exact"/>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w:t>
            </w:r>
          </w:p>
        </w:tc>
        <w:tc>
          <w:tcPr>
            <w:tcW w:w="4080" w:type="dxa"/>
            <w:vAlign w:val="bottom"/>
            <w:tcBorders>
              <w:bottom w:val="single" w:sz="8" w:color="0000FF"/>
            </w:tcBorders>
            <w:gridSpan w:val="24"/>
          </w:tcPr>
          <w:p>
            <w:pPr>
              <w:spacing w:after="0"/>
              <w:rPr>
                <w:sz w:val="20"/>
                <w:szCs w:val="20"/>
                <w:color w:val="auto"/>
              </w:rPr>
            </w:pPr>
            <w:r>
              <w:rPr>
                <w:rFonts w:ascii="Arial" w:cs="Arial" w:eastAsia="Arial" w:hAnsi="Arial"/>
                <w:sz w:val="13"/>
                <w:szCs w:val="13"/>
                <w:color w:val="0000FF"/>
                <w:w w:val="97"/>
              </w:rPr>
              <w:t>IDENTITY OF DIRECTORS, SENIOR MANAGEMENT AND ADVISORS</w:t>
            </w:r>
          </w:p>
        </w:tc>
        <w:tc>
          <w:tcPr>
            <w:tcW w:w="4700" w:type="dxa"/>
            <w:vAlign w:val="bottom"/>
            <w:gridSpan w:val="6"/>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2.</w:t>
            </w:r>
          </w:p>
        </w:tc>
        <w:tc>
          <w:tcPr>
            <w:tcW w:w="8780" w:type="dxa"/>
            <w:vAlign w:val="bottom"/>
            <w:gridSpan w:val="30"/>
          </w:tcPr>
          <w:p>
            <w:pPr>
              <w:spacing w:after="0"/>
              <w:rPr>
                <w:sz w:val="20"/>
                <w:szCs w:val="20"/>
                <w:color w:val="auto"/>
              </w:rPr>
            </w:pPr>
            <w:r>
              <w:rPr>
                <w:rFonts w:ascii="Arial" w:cs="Arial" w:eastAsia="Arial" w:hAnsi="Arial"/>
                <w:sz w:val="13"/>
                <w:szCs w:val="13"/>
                <w:color w:val="0000FF"/>
              </w:rPr>
              <w:t>OFFER STATISTICS AND EXPECTED TIMETABLE</w:t>
            </w: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3.</w:t>
            </w:r>
          </w:p>
        </w:tc>
        <w:tc>
          <w:tcPr>
            <w:tcW w:w="11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3"/>
                <w:szCs w:val="13"/>
                <w:color w:val="0000FF"/>
                <w:w w:val="96"/>
              </w:rPr>
              <w:t>KEY INFORMATION</w:t>
            </w:r>
          </w:p>
        </w:tc>
        <w:tc>
          <w:tcPr>
            <w:tcW w:w="1760" w:type="dxa"/>
            <w:vAlign w:val="bottom"/>
            <w:tcBorders>
              <w:top w:val="single" w:sz="8" w:color="0000FF"/>
            </w:tcBorders>
            <w:gridSpan w:val="13"/>
          </w:tcPr>
          <w:p>
            <w:pPr>
              <w:spacing w:after="0"/>
              <w:rPr>
                <w:sz w:val="13"/>
                <w:szCs w:val="13"/>
                <w:color w:val="auto"/>
              </w:rPr>
            </w:pPr>
          </w:p>
        </w:tc>
        <w:tc>
          <w:tcPr>
            <w:tcW w:w="5840" w:type="dxa"/>
            <w:vAlign w:val="bottom"/>
            <w:gridSpan w:val="14"/>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4.</w:t>
            </w:r>
          </w:p>
        </w:tc>
        <w:tc>
          <w:tcPr>
            <w:tcW w:w="8780" w:type="dxa"/>
            <w:vAlign w:val="bottom"/>
            <w:gridSpan w:val="30"/>
          </w:tcPr>
          <w:p>
            <w:pPr>
              <w:spacing w:after="0"/>
              <w:rPr>
                <w:sz w:val="20"/>
                <w:szCs w:val="20"/>
                <w:color w:val="auto"/>
              </w:rPr>
            </w:pPr>
            <w:r>
              <w:rPr>
                <w:rFonts w:ascii="Arial" w:cs="Arial" w:eastAsia="Arial" w:hAnsi="Arial"/>
                <w:sz w:val="13"/>
                <w:szCs w:val="13"/>
                <w:color w:val="0000FF"/>
              </w:rPr>
              <w:t>INFORMATION ON THE COMPANY</w:t>
            </w: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line="20" w:lineRule="exact"/>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4A.</w:t>
            </w:r>
          </w:p>
        </w:tc>
        <w:tc>
          <w:tcPr>
            <w:tcW w:w="2080" w:type="dxa"/>
            <w:vAlign w:val="bottom"/>
            <w:tcBorders>
              <w:bottom w:val="single" w:sz="8" w:color="0000FF"/>
            </w:tcBorders>
            <w:gridSpan w:val="13"/>
          </w:tcPr>
          <w:p>
            <w:pPr>
              <w:spacing w:after="0"/>
              <w:rPr>
                <w:sz w:val="20"/>
                <w:szCs w:val="20"/>
                <w:color w:val="auto"/>
              </w:rPr>
            </w:pPr>
            <w:r>
              <w:rPr>
                <w:rFonts w:ascii="Arial" w:cs="Arial" w:eastAsia="Arial" w:hAnsi="Arial"/>
                <w:sz w:val="13"/>
                <w:szCs w:val="13"/>
                <w:color w:val="0000FF"/>
                <w:w w:val="96"/>
              </w:rPr>
              <w:t>UNRESOLVED STAFF COMMENTS</w:t>
            </w:r>
          </w:p>
        </w:tc>
        <w:tc>
          <w:tcPr>
            <w:tcW w:w="6700" w:type="dxa"/>
            <w:vAlign w:val="bottom"/>
            <w:gridSpan w:val="17"/>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5.</w:t>
            </w:r>
          </w:p>
        </w:tc>
        <w:tc>
          <w:tcPr>
            <w:tcW w:w="3500" w:type="dxa"/>
            <w:vAlign w:val="bottom"/>
            <w:tcBorders>
              <w:bottom w:val="single" w:sz="8" w:color="0000FF"/>
            </w:tcBorders>
            <w:gridSpan w:val="20"/>
          </w:tcPr>
          <w:p>
            <w:pPr>
              <w:spacing w:after="0"/>
              <w:rPr>
                <w:sz w:val="20"/>
                <w:szCs w:val="20"/>
                <w:color w:val="auto"/>
              </w:rPr>
            </w:pPr>
            <w:r>
              <w:rPr>
                <w:rFonts w:ascii="Arial" w:cs="Arial" w:eastAsia="Arial" w:hAnsi="Arial"/>
                <w:sz w:val="13"/>
                <w:szCs w:val="13"/>
                <w:color w:val="0000FF"/>
                <w:w w:val="97"/>
              </w:rPr>
              <w:t>OPERATING AND FINANCIAL REVIEWS AND PROSPECTS</w:t>
            </w:r>
          </w:p>
        </w:tc>
        <w:tc>
          <w:tcPr>
            <w:tcW w:w="5280" w:type="dxa"/>
            <w:vAlign w:val="bottom"/>
            <w:gridSpan w:val="10"/>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6.</w:t>
            </w:r>
          </w:p>
        </w:tc>
        <w:tc>
          <w:tcPr>
            <w:tcW w:w="3380" w:type="dxa"/>
            <w:vAlign w:val="bottom"/>
            <w:tcBorders>
              <w:bottom w:val="single" w:sz="8" w:color="0000FF"/>
            </w:tcBorders>
            <w:gridSpan w:val="18"/>
          </w:tcPr>
          <w:p>
            <w:pPr>
              <w:spacing w:after="0"/>
              <w:rPr>
                <w:sz w:val="20"/>
                <w:szCs w:val="20"/>
                <w:color w:val="auto"/>
              </w:rPr>
            </w:pPr>
            <w:r>
              <w:rPr>
                <w:rFonts w:ascii="Arial" w:cs="Arial" w:eastAsia="Arial" w:hAnsi="Arial"/>
                <w:sz w:val="13"/>
                <w:szCs w:val="13"/>
                <w:color w:val="0000FF"/>
                <w:w w:val="97"/>
              </w:rPr>
              <w:t>DIRECTORS, SENIOR MANAGEMENT AND EMPLOYEES</w:t>
            </w: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7.</w:t>
            </w:r>
          </w:p>
        </w:tc>
        <w:tc>
          <w:tcPr>
            <w:tcW w:w="3940" w:type="dxa"/>
            <w:vAlign w:val="bottom"/>
            <w:tcBorders>
              <w:bottom w:val="single" w:sz="8" w:color="0000FF"/>
            </w:tcBorders>
            <w:gridSpan w:val="22"/>
          </w:tcPr>
          <w:p>
            <w:pPr>
              <w:spacing w:after="0"/>
              <w:rPr>
                <w:sz w:val="20"/>
                <w:szCs w:val="20"/>
                <w:color w:val="auto"/>
              </w:rPr>
            </w:pPr>
            <w:r>
              <w:rPr>
                <w:rFonts w:ascii="Arial" w:cs="Arial" w:eastAsia="Arial" w:hAnsi="Arial"/>
                <w:sz w:val="13"/>
                <w:szCs w:val="13"/>
                <w:color w:val="0000FF"/>
                <w:w w:val="97"/>
              </w:rPr>
              <w:t>MAJOR SHAREHOLDERS AND RELATED PARTY TRANSACTIONS</w:t>
            </w:r>
          </w:p>
        </w:tc>
        <w:tc>
          <w:tcPr>
            <w:tcW w:w="4840" w:type="dxa"/>
            <w:vAlign w:val="bottom"/>
            <w:gridSpan w:val="8"/>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8.</w:t>
            </w:r>
          </w:p>
        </w:tc>
        <w:tc>
          <w:tcPr>
            <w:tcW w:w="1600" w:type="dxa"/>
            <w:vAlign w:val="bottom"/>
            <w:tcBorders>
              <w:bottom w:val="single" w:sz="8" w:color="0000FF"/>
            </w:tcBorders>
            <w:gridSpan w:val="7"/>
          </w:tcPr>
          <w:p>
            <w:pPr>
              <w:spacing w:after="0"/>
              <w:rPr>
                <w:sz w:val="20"/>
                <w:szCs w:val="20"/>
                <w:color w:val="auto"/>
              </w:rPr>
            </w:pPr>
            <w:r>
              <w:rPr>
                <w:rFonts w:ascii="Arial" w:cs="Arial" w:eastAsia="Arial" w:hAnsi="Arial"/>
                <w:sz w:val="13"/>
                <w:szCs w:val="13"/>
                <w:color w:val="0000FF"/>
                <w:w w:val="97"/>
              </w:rPr>
              <w:t>FINANCIAL INFORMATION</w:t>
            </w:r>
          </w:p>
        </w:tc>
        <w:tc>
          <w:tcPr>
            <w:tcW w:w="7180" w:type="dxa"/>
            <w:vAlign w:val="bottom"/>
            <w:gridSpan w:val="23"/>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9.</w:t>
            </w:r>
          </w:p>
        </w:tc>
        <w:tc>
          <w:tcPr>
            <w:tcW w:w="158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98"/>
              </w:rPr>
              <w:t>THE OFFER AND LISTING</w:t>
            </w:r>
          </w:p>
        </w:tc>
        <w:tc>
          <w:tcPr>
            <w:tcW w:w="7200" w:type="dxa"/>
            <w:vAlign w:val="bottom"/>
            <w:gridSpan w:val="24"/>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10.</w:t>
            </w:r>
          </w:p>
        </w:tc>
        <w:tc>
          <w:tcPr>
            <w:tcW w:w="8780" w:type="dxa"/>
            <w:vAlign w:val="bottom"/>
            <w:gridSpan w:val="30"/>
          </w:tcPr>
          <w:p>
            <w:pPr>
              <w:spacing w:after="0"/>
              <w:rPr>
                <w:sz w:val="20"/>
                <w:szCs w:val="20"/>
                <w:color w:val="auto"/>
              </w:rPr>
            </w:pPr>
            <w:r>
              <w:rPr>
                <w:rFonts w:ascii="Arial" w:cs="Arial" w:eastAsia="Arial" w:hAnsi="Arial"/>
                <w:sz w:val="13"/>
                <w:szCs w:val="13"/>
                <w:color w:val="0000FF"/>
              </w:rPr>
              <w:t>ADDITIONAL INFORMATION</w:t>
            </w: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line="20" w:lineRule="exact"/>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11.</w:t>
            </w:r>
          </w:p>
        </w:tc>
        <w:tc>
          <w:tcPr>
            <w:tcW w:w="8780" w:type="dxa"/>
            <w:vAlign w:val="bottom"/>
            <w:gridSpan w:val="30"/>
          </w:tcPr>
          <w:p>
            <w:pPr>
              <w:spacing w:after="0"/>
              <w:rPr>
                <w:sz w:val="20"/>
                <w:szCs w:val="20"/>
                <w:color w:val="auto"/>
              </w:rPr>
            </w:pPr>
            <w:r>
              <w:rPr>
                <w:rFonts w:ascii="Arial" w:cs="Arial" w:eastAsia="Arial" w:hAnsi="Arial"/>
                <w:sz w:val="13"/>
                <w:szCs w:val="13"/>
                <w:color w:val="0000FF"/>
              </w:rPr>
              <w:t>QUANTITATIVE AND QUALITATIVE DISCLOSURES ABOUT MARKET RISKS</w:t>
            </w: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12.</w:t>
            </w:r>
          </w:p>
        </w:tc>
        <w:tc>
          <w:tcPr>
            <w:tcW w:w="4460" w:type="dxa"/>
            <w:vAlign w:val="bottom"/>
            <w:tcBorders>
              <w:top w:val="single" w:sz="8" w:color="0000FF"/>
            </w:tcBorders>
            <w:gridSpan w:val="25"/>
          </w:tcPr>
          <w:p>
            <w:pPr>
              <w:spacing w:after="0"/>
              <w:rPr>
                <w:sz w:val="20"/>
                <w:szCs w:val="20"/>
                <w:color w:val="auto"/>
              </w:rPr>
            </w:pPr>
            <w:r>
              <w:rPr>
                <w:rFonts w:ascii="Arial" w:cs="Arial" w:eastAsia="Arial" w:hAnsi="Arial"/>
                <w:sz w:val="13"/>
                <w:szCs w:val="13"/>
                <w:color w:val="0000FF"/>
              </w:rPr>
              <w:t>DESCRIPTION OF SECURITIES OTHER THAN EQUITY SECURITIES</w:t>
            </w:r>
          </w:p>
        </w:tc>
        <w:tc>
          <w:tcPr>
            <w:tcW w:w="4320" w:type="dxa"/>
            <w:vAlign w:val="bottom"/>
            <w:gridSpan w:val="5"/>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60"/>
        </w:trPr>
        <w:tc>
          <w:tcPr>
            <w:tcW w:w="1580" w:type="dxa"/>
            <w:vAlign w:val="bottom"/>
            <w:gridSpan w:val="4"/>
          </w:tcPr>
          <w:p>
            <w:pPr>
              <w:spacing w:after="0" w:line="141" w:lineRule="exact"/>
              <w:rPr>
                <w:sz w:val="20"/>
                <w:szCs w:val="20"/>
                <w:color w:val="auto"/>
              </w:rPr>
            </w:pPr>
            <w:r>
              <w:rPr>
                <w:rFonts w:ascii="Arial" w:cs="Arial" w:eastAsia="Arial" w:hAnsi="Arial"/>
                <w:sz w:val="13"/>
                <w:szCs w:val="13"/>
                <w:color w:val="0000FF"/>
              </w:rPr>
              <w:t>PART II</w:t>
            </w:r>
          </w:p>
        </w:tc>
        <w:tc>
          <w:tcPr>
            <w:tcW w:w="5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line="20" w:lineRule="exact"/>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13.</w:t>
            </w:r>
          </w:p>
        </w:tc>
        <w:tc>
          <w:tcPr>
            <w:tcW w:w="8780" w:type="dxa"/>
            <w:vAlign w:val="bottom"/>
            <w:gridSpan w:val="30"/>
          </w:tcPr>
          <w:p>
            <w:pPr>
              <w:spacing w:after="0"/>
              <w:rPr>
                <w:sz w:val="20"/>
                <w:szCs w:val="20"/>
                <w:color w:val="auto"/>
              </w:rPr>
            </w:pPr>
            <w:r>
              <w:rPr>
                <w:rFonts w:ascii="Arial" w:cs="Arial" w:eastAsia="Arial" w:hAnsi="Arial"/>
                <w:sz w:val="13"/>
                <w:szCs w:val="13"/>
                <w:color w:val="0000FF"/>
              </w:rPr>
              <w:t>DEFAULTS, DIVIDEND ARREARAGES AND DELINQUENCIES</w:t>
            </w: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line="20" w:lineRule="exact"/>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14.</w:t>
            </w:r>
          </w:p>
        </w:tc>
        <w:tc>
          <w:tcPr>
            <w:tcW w:w="8780" w:type="dxa"/>
            <w:vAlign w:val="bottom"/>
            <w:gridSpan w:val="30"/>
          </w:tcPr>
          <w:p>
            <w:pPr>
              <w:spacing w:after="0"/>
              <w:rPr>
                <w:sz w:val="20"/>
                <w:szCs w:val="20"/>
                <w:color w:val="auto"/>
              </w:rPr>
            </w:pPr>
            <w:r>
              <w:rPr>
                <w:rFonts w:ascii="Arial" w:cs="Arial" w:eastAsia="Arial" w:hAnsi="Arial"/>
                <w:sz w:val="13"/>
                <w:szCs w:val="13"/>
                <w:color w:val="0000FF"/>
              </w:rPr>
              <w:t>MATERIAL MODIFICATIONS TO THE RIGHTS OF SECURITY HOLDERS AND USE OF PROCEEDS</w:t>
            </w: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15.</w:t>
            </w:r>
          </w:p>
        </w:tc>
        <w:tc>
          <w:tcPr>
            <w:tcW w:w="5780" w:type="dxa"/>
            <w:vAlign w:val="bottom"/>
            <w:tcBorders>
              <w:top w:val="single" w:sz="8" w:color="0000FF"/>
            </w:tcBorders>
            <w:gridSpan w:val="29"/>
          </w:tcPr>
          <w:p>
            <w:pPr>
              <w:spacing w:after="0"/>
              <w:rPr>
                <w:sz w:val="20"/>
                <w:szCs w:val="20"/>
                <w:color w:val="auto"/>
              </w:rPr>
            </w:pPr>
            <w:r>
              <w:rPr>
                <w:rFonts w:ascii="Arial" w:cs="Arial" w:eastAsia="Arial" w:hAnsi="Arial"/>
                <w:sz w:val="13"/>
                <w:szCs w:val="13"/>
                <w:color w:val="0000FF"/>
              </w:rPr>
              <w:t>CONTROLS AND PROCEDURES</w:t>
            </w:r>
          </w:p>
        </w:tc>
        <w:tc>
          <w:tcPr>
            <w:tcW w:w="3000" w:type="dxa"/>
            <w:vAlign w:val="bottom"/>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
        </w:trPr>
        <w:tc>
          <w:tcPr>
            <w:tcW w:w="4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line="20" w:lineRule="exact"/>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16A.</w:t>
            </w:r>
          </w:p>
        </w:tc>
        <w:tc>
          <w:tcPr>
            <w:tcW w:w="8780" w:type="dxa"/>
            <w:vAlign w:val="bottom"/>
            <w:gridSpan w:val="30"/>
          </w:tcPr>
          <w:p>
            <w:pPr>
              <w:spacing w:after="0"/>
              <w:rPr>
                <w:sz w:val="20"/>
                <w:szCs w:val="20"/>
                <w:color w:val="auto"/>
              </w:rPr>
            </w:pPr>
            <w:r>
              <w:rPr>
                <w:rFonts w:ascii="Arial" w:cs="Arial" w:eastAsia="Arial" w:hAnsi="Arial"/>
                <w:sz w:val="13"/>
                <w:szCs w:val="13"/>
                <w:color w:val="0000FF"/>
              </w:rPr>
              <w:t>AUDIT COMMITTEE FINANCIAL EXPERT</w:t>
            </w: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16B.</w:t>
            </w:r>
          </w:p>
        </w:tc>
        <w:tc>
          <w:tcPr>
            <w:tcW w:w="2420" w:type="dxa"/>
            <w:vAlign w:val="bottom"/>
            <w:tcBorders>
              <w:top w:val="single" w:sz="8" w:color="0000FF"/>
            </w:tcBorders>
            <w:gridSpan w:val="14"/>
          </w:tcPr>
          <w:p>
            <w:pPr>
              <w:spacing w:after="0"/>
              <w:rPr>
                <w:sz w:val="20"/>
                <w:szCs w:val="20"/>
                <w:color w:val="auto"/>
              </w:rPr>
            </w:pPr>
            <w:r>
              <w:rPr>
                <w:rFonts w:ascii="Arial" w:cs="Arial" w:eastAsia="Arial" w:hAnsi="Arial"/>
                <w:sz w:val="13"/>
                <w:szCs w:val="13"/>
                <w:color w:val="0000FF"/>
              </w:rPr>
              <w:t>CODE OF ETHICS</w:t>
            </w:r>
          </w:p>
        </w:tc>
        <w:tc>
          <w:tcPr>
            <w:tcW w:w="6360" w:type="dxa"/>
            <w:vAlign w:val="bottom"/>
            <w:gridSpan w:val="16"/>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
        </w:trPr>
        <w:tc>
          <w:tcPr>
            <w:tcW w:w="4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line="20" w:lineRule="exact"/>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16C.</w:t>
            </w:r>
          </w:p>
        </w:tc>
        <w:tc>
          <w:tcPr>
            <w:tcW w:w="8780" w:type="dxa"/>
            <w:vAlign w:val="bottom"/>
            <w:gridSpan w:val="30"/>
          </w:tcPr>
          <w:p>
            <w:pPr>
              <w:spacing w:after="0"/>
              <w:rPr>
                <w:sz w:val="20"/>
                <w:szCs w:val="20"/>
                <w:color w:val="auto"/>
              </w:rPr>
            </w:pPr>
            <w:r>
              <w:rPr>
                <w:rFonts w:ascii="Arial" w:cs="Arial" w:eastAsia="Arial" w:hAnsi="Arial"/>
                <w:sz w:val="13"/>
                <w:szCs w:val="13"/>
                <w:color w:val="0000FF"/>
              </w:rPr>
              <w:t>PRINCIPAL ACCOUNTANT FEES AND SERVICES</w:t>
            </w: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line="20" w:lineRule="exact"/>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16D.</w:t>
            </w:r>
          </w:p>
        </w:tc>
        <w:tc>
          <w:tcPr>
            <w:tcW w:w="8780" w:type="dxa"/>
            <w:vAlign w:val="bottom"/>
            <w:gridSpan w:val="30"/>
          </w:tcPr>
          <w:p>
            <w:pPr>
              <w:spacing w:after="0"/>
              <w:rPr>
                <w:sz w:val="20"/>
                <w:szCs w:val="20"/>
                <w:color w:val="auto"/>
              </w:rPr>
            </w:pPr>
            <w:r>
              <w:rPr>
                <w:rFonts w:ascii="Arial" w:cs="Arial" w:eastAsia="Arial" w:hAnsi="Arial"/>
                <w:sz w:val="13"/>
                <w:szCs w:val="13"/>
                <w:color w:val="0000FF"/>
              </w:rPr>
              <w:t>EXEMPTIONS FROM THE LISTING STANDARDS FOR AUDIT COMMITTEES</w:t>
            </w: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gridSpan w:val="9"/>
            <w:shd w:val="clear" w:color="auto" w:fill="0000FF"/>
          </w:tcPr>
          <w:p>
            <w:pPr>
              <w:spacing w:after="0" w:line="20" w:lineRule="exact"/>
              <w:rPr>
                <w:sz w:val="1"/>
                <w:szCs w:val="1"/>
                <w:color w:val="auto"/>
              </w:rPr>
            </w:pPr>
          </w:p>
        </w:tc>
        <w:tc>
          <w:tcPr>
            <w:tcW w:w="1080" w:type="dxa"/>
            <w:vAlign w:val="bottom"/>
            <w:gridSpan w:val="7"/>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line="20" w:lineRule="exact"/>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16E.</w:t>
            </w:r>
          </w:p>
        </w:tc>
        <w:tc>
          <w:tcPr>
            <w:tcW w:w="8780" w:type="dxa"/>
            <w:vAlign w:val="bottom"/>
            <w:gridSpan w:val="30"/>
          </w:tcPr>
          <w:p>
            <w:pPr>
              <w:spacing w:after="0"/>
              <w:rPr>
                <w:sz w:val="20"/>
                <w:szCs w:val="20"/>
                <w:color w:val="auto"/>
              </w:rPr>
            </w:pPr>
            <w:r>
              <w:rPr>
                <w:rFonts w:ascii="Arial" w:cs="Arial" w:eastAsia="Arial" w:hAnsi="Arial"/>
                <w:sz w:val="13"/>
                <w:szCs w:val="13"/>
                <w:color w:val="0000FF"/>
              </w:rPr>
              <w:t>PURCHASES OF EQUITY SECURITIES BY THE ISSUER AND AFFILIATED PURCHASERS</w:t>
            </w: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16F.</w:t>
            </w:r>
          </w:p>
        </w:tc>
        <w:tc>
          <w:tcPr>
            <w:tcW w:w="3400" w:type="dxa"/>
            <w:vAlign w:val="bottom"/>
            <w:tcBorders>
              <w:top w:val="single" w:sz="8" w:color="0000FF"/>
              <w:bottom w:val="single" w:sz="8" w:color="0000FF"/>
            </w:tcBorders>
            <w:gridSpan w:val="19"/>
          </w:tcPr>
          <w:p>
            <w:pPr>
              <w:spacing w:after="0"/>
              <w:rPr>
                <w:sz w:val="20"/>
                <w:szCs w:val="20"/>
                <w:color w:val="auto"/>
              </w:rPr>
            </w:pPr>
            <w:r>
              <w:rPr>
                <w:rFonts w:ascii="Arial" w:cs="Arial" w:eastAsia="Arial" w:hAnsi="Arial"/>
                <w:sz w:val="13"/>
                <w:szCs w:val="13"/>
                <w:color w:val="0000FF"/>
                <w:w w:val="97"/>
              </w:rPr>
              <w:t>CHANGE IN REGISTRANT’S CERTIFYING ACCOUNTANT</w:t>
            </w:r>
          </w:p>
        </w:tc>
        <w:tc>
          <w:tcPr>
            <w:tcW w:w="1880" w:type="dxa"/>
            <w:vAlign w:val="bottom"/>
            <w:tcBorders>
              <w:top w:val="single" w:sz="8" w:color="0000FF"/>
            </w:tcBorders>
            <w:gridSpan w:val="9"/>
          </w:tcPr>
          <w:p>
            <w:pPr>
              <w:spacing w:after="0"/>
              <w:rPr>
                <w:sz w:val="13"/>
                <w:szCs w:val="13"/>
                <w:color w:val="auto"/>
              </w:rPr>
            </w:pPr>
          </w:p>
        </w:tc>
        <w:tc>
          <w:tcPr>
            <w:tcW w:w="3500" w:type="dxa"/>
            <w:vAlign w:val="bottom"/>
            <w:gridSpan w:val="2"/>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16G.</w:t>
            </w:r>
          </w:p>
        </w:tc>
        <w:tc>
          <w:tcPr>
            <w:tcW w:w="1740" w:type="dxa"/>
            <w:vAlign w:val="bottom"/>
            <w:tcBorders>
              <w:bottom w:val="single" w:sz="8" w:color="0000FF"/>
            </w:tcBorders>
            <w:gridSpan w:val="10"/>
          </w:tcPr>
          <w:p>
            <w:pPr>
              <w:spacing w:after="0"/>
              <w:rPr>
                <w:sz w:val="20"/>
                <w:szCs w:val="20"/>
                <w:color w:val="auto"/>
              </w:rPr>
            </w:pPr>
            <w:r>
              <w:rPr>
                <w:rFonts w:ascii="Arial" w:cs="Arial" w:eastAsia="Arial" w:hAnsi="Arial"/>
                <w:sz w:val="13"/>
                <w:szCs w:val="13"/>
                <w:color w:val="0000FF"/>
                <w:w w:val="96"/>
              </w:rPr>
              <w:t>CORPORATE GOVERNANCE</w:t>
            </w:r>
          </w:p>
        </w:tc>
        <w:tc>
          <w:tcPr>
            <w:tcW w:w="7040" w:type="dxa"/>
            <w:vAlign w:val="bottom"/>
            <w:gridSpan w:val="20"/>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16H.</w:t>
            </w:r>
          </w:p>
        </w:tc>
        <w:tc>
          <w:tcPr>
            <w:tcW w:w="1720" w:type="dxa"/>
            <w:vAlign w:val="bottom"/>
            <w:tcBorders>
              <w:bottom w:val="single" w:sz="8" w:color="0000FF"/>
            </w:tcBorders>
            <w:gridSpan w:val="9"/>
          </w:tcPr>
          <w:p>
            <w:pPr>
              <w:spacing w:after="0"/>
              <w:rPr>
                <w:sz w:val="20"/>
                <w:szCs w:val="20"/>
                <w:color w:val="auto"/>
              </w:rPr>
            </w:pPr>
            <w:r>
              <w:rPr>
                <w:rFonts w:ascii="Arial" w:cs="Arial" w:eastAsia="Arial" w:hAnsi="Arial"/>
                <w:sz w:val="13"/>
                <w:szCs w:val="13"/>
                <w:color w:val="0000FF"/>
                <w:w w:val="97"/>
              </w:rPr>
              <w:t>MINE SAFETY DISCLOSURE</w:t>
            </w:r>
          </w:p>
        </w:tc>
        <w:tc>
          <w:tcPr>
            <w:tcW w:w="7060" w:type="dxa"/>
            <w:vAlign w:val="bottom"/>
            <w:gridSpan w:val="21"/>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60"/>
        </w:trPr>
        <w:tc>
          <w:tcPr>
            <w:tcW w:w="1580" w:type="dxa"/>
            <w:vAlign w:val="bottom"/>
            <w:gridSpan w:val="4"/>
          </w:tcPr>
          <w:p>
            <w:pPr>
              <w:ind w:left="200"/>
              <w:spacing w:after="0"/>
              <w:rPr>
                <w:sz w:val="20"/>
                <w:szCs w:val="20"/>
                <w:color w:val="auto"/>
              </w:rPr>
            </w:pPr>
            <w:r>
              <w:rPr>
                <w:rFonts w:ascii="Arial" w:cs="Arial" w:eastAsia="Arial" w:hAnsi="Arial"/>
                <w:sz w:val="13"/>
                <w:szCs w:val="13"/>
                <w:color w:val="auto"/>
              </w:rPr>
              <w:t>ITEM 16I.</w:t>
            </w:r>
          </w:p>
        </w:tc>
        <w:tc>
          <w:tcPr>
            <w:tcW w:w="5160" w:type="dxa"/>
            <w:vAlign w:val="bottom"/>
            <w:tcBorders>
              <w:bottom w:val="single" w:sz="8" w:color="0000FF"/>
            </w:tcBorders>
            <w:gridSpan w:val="27"/>
          </w:tcPr>
          <w:p>
            <w:pPr>
              <w:spacing w:after="0"/>
              <w:rPr>
                <w:sz w:val="20"/>
                <w:szCs w:val="20"/>
                <w:color w:val="auto"/>
              </w:rPr>
            </w:pPr>
            <w:r>
              <w:rPr>
                <w:rFonts w:ascii="Arial" w:cs="Arial" w:eastAsia="Arial" w:hAnsi="Arial"/>
                <w:sz w:val="13"/>
                <w:szCs w:val="13"/>
                <w:color w:val="0000FF"/>
                <w:w w:val="97"/>
              </w:rPr>
              <w:t>DISCLOSURE REGARDING FOREIGN JURISDICTIONS THAT PREVENT INSPECTIONS</w:t>
            </w:r>
          </w:p>
        </w:tc>
        <w:tc>
          <w:tcPr>
            <w:tcW w:w="3620" w:type="dxa"/>
            <w:vAlign w:val="bottom"/>
            <w:gridSpan w:val="3"/>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16J</w:t>
            </w:r>
          </w:p>
        </w:tc>
        <w:tc>
          <w:tcPr>
            <w:tcW w:w="8780" w:type="dxa"/>
            <w:vAlign w:val="bottom"/>
            <w:gridSpan w:val="30"/>
          </w:tcPr>
          <w:p>
            <w:pPr>
              <w:spacing w:after="0"/>
              <w:rPr>
                <w:sz w:val="20"/>
                <w:szCs w:val="20"/>
                <w:color w:val="auto"/>
              </w:rPr>
            </w:pPr>
            <w:r>
              <w:rPr>
                <w:rFonts w:ascii="Arial" w:cs="Arial" w:eastAsia="Arial" w:hAnsi="Arial"/>
                <w:sz w:val="13"/>
                <w:szCs w:val="13"/>
                <w:color w:val="0000FF"/>
              </w:rPr>
              <w:t>INSIDER TRADING POLICIES</w:t>
            </w: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16K</w:t>
            </w:r>
          </w:p>
        </w:tc>
        <w:tc>
          <w:tcPr>
            <w:tcW w:w="1740" w:type="dxa"/>
            <w:vAlign w:val="bottom"/>
            <w:tcBorders>
              <w:top w:val="single" w:sz="8" w:color="0000FF"/>
            </w:tcBorders>
            <w:gridSpan w:val="10"/>
          </w:tcPr>
          <w:p>
            <w:pPr>
              <w:spacing w:after="0"/>
              <w:rPr>
                <w:sz w:val="20"/>
                <w:szCs w:val="20"/>
                <w:color w:val="auto"/>
              </w:rPr>
            </w:pPr>
            <w:r>
              <w:rPr>
                <w:rFonts w:ascii="Arial" w:cs="Arial" w:eastAsia="Arial" w:hAnsi="Arial"/>
                <w:sz w:val="13"/>
                <w:szCs w:val="13"/>
                <w:color w:val="0000FF"/>
              </w:rPr>
              <w:t>CYBERSECURITY</w:t>
            </w:r>
          </w:p>
        </w:tc>
        <w:tc>
          <w:tcPr>
            <w:tcW w:w="7040" w:type="dxa"/>
            <w:vAlign w:val="bottom"/>
            <w:gridSpan w:val="20"/>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60"/>
        </w:trPr>
        <w:tc>
          <w:tcPr>
            <w:tcW w:w="480" w:type="dxa"/>
            <w:vAlign w:val="bottom"/>
            <w:tcBorders>
              <w:bottom w:val="single" w:sz="8" w:color="0000FF"/>
            </w:tcBorders>
            <w:gridSpan w:val="3"/>
          </w:tcPr>
          <w:p>
            <w:pPr>
              <w:spacing w:after="0" w:line="141" w:lineRule="exact"/>
              <w:rPr>
                <w:sz w:val="20"/>
                <w:szCs w:val="20"/>
                <w:color w:val="auto"/>
              </w:rPr>
            </w:pPr>
            <w:r>
              <w:rPr>
                <w:rFonts w:ascii="Arial" w:cs="Arial" w:eastAsia="Arial" w:hAnsi="Arial"/>
                <w:sz w:val="13"/>
                <w:szCs w:val="13"/>
                <w:color w:val="0000FF"/>
                <w:w w:val="93"/>
              </w:rPr>
              <w:t>PART III</w:t>
            </w:r>
          </w:p>
        </w:tc>
        <w:tc>
          <w:tcPr>
            <w:tcW w:w="1100" w:type="dxa"/>
            <w:vAlign w:val="bottom"/>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17.</w:t>
            </w:r>
          </w:p>
        </w:tc>
        <w:tc>
          <w:tcPr>
            <w:tcW w:w="156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96"/>
              </w:rPr>
              <w:t>FINANCIAL STATEMENTS</w:t>
            </w:r>
          </w:p>
        </w:tc>
        <w:tc>
          <w:tcPr>
            <w:tcW w:w="7220" w:type="dxa"/>
            <w:vAlign w:val="bottom"/>
            <w:gridSpan w:val="25"/>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18.</w:t>
            </w:r>
          </w:p>
        </w:tc>
        <w:tc>
          <w:tcPr>
            <w:tcW w:w="1540" w:type="dxa"/>
            <w:vAlign w:val="bottom"/>
            <w:tcBorders>
              <w:bottom w:val="single" w:sz="8" w:color="0000FF"/>
            </w:tcBorders>
            <w:gridSpan w:val="4"/>
          </w:tcPr>
          <w:p>
            <w:pPr>
              <w:spacing w:after="0"/>
              <w:rPr>
                <w:sz w:val="20"/>
                <w:szCs w:val="20"/>
                <w:color w:val="auto"/>
              </w:rPr>
            </w:pPr>
            <w:r>
              <w:rPr>
                <w:rFonts w:ascii="Arial" w:cs="Arial" w:eastAsia="Arial" w:hAnsi="Arial"/>
                <w:sz w:val="13"/>
                <w:szCs w:val="13"/>
                <w:color w:val="0000FF"/>
                <w:w w:val="95"/>
              </w:rPr>
              <w:t>FINANCIAL STATEMENTS</w:t>
            </w:r>
          </w:p>
        </w:tc>
        <w:tc>
          <w:tcPr>
            <w:tcW w:w="7240" w:type="dxa"/>
            <w:vAlign w:val="bottom"/>
            <w:gridSpan w:val="26"/>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19.</w:t>
            </w:r>
          </w:p>
        </w:tc>
        <w:tc>
          <w:tcPr>
            <w:tcW w:w="58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4"/>
              </w:rPr>
              <w:t>EXHIBITS</w:t>
            </w:r>
          </w:p>
        </w:tc>
        <w:tc>
          <w:tcPr>
            <w:tcW w:w="8200" w:type="dxa"/>
            <w:vAlign w:val="bottom"/>
            <w:gridSpan w:val="29"/>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46990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3"/>
          <w:szCs w:val="13"/>
          <w:b w:val="1"/>
          <w:bCs w:val="1"/>
          <w:color w:val="auto"/>
        </w:rPr>
        <w:t>CAUTIONARY STATEMENT REGARDING FORWARD-LOOKING INFORMATION</w:t>
      </w:r>
    </w:p>
    <w:p>
      <w:pPr>
        <w:spacing w:after="0" w:line="84"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Certain statements in this Annual Report on Form 20-F (the “Annual Report”) are, or may be deemed to be, “forward-looking statements” within the meaning of U.S. securities laws. These forward-looking statements are based on current expectations, estimates, forecasts, and projections. These forward-looking statements appear in a number of places throughout this Annual Report including, but not limited to “Risk Factors,” “Business Overview,” and “Results of Operations.” Words such as “expect,” “anticipate,” “should,” “believe,” “hope,” “target,” “project,” “goals,” “estimate,” “potential,” “predict,” “may,” “will,” “might,” “could,” “intend,” “shall” and variations of these terms and similar expressions are intended to identify these forward-looking statements, although not all forward-looking statements contain these identifying words. Forward-looking statements are based on our management’s beliefs and assumptions and on information currently available to our management.</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By their nature, forward-looking statements involve risks and uncertainties because they relate to events and depend on circumstances that may or may not occur in the future. Forward-looking statements are not guarantees of future performance and our actual results of operations, financial condition and liquidity, and the development of the industries in which we operate may differ materially from those made in or suggested by the forward-looking statements contained in this Annual Report. Important factors that could cause those differences include, but are not limited to:</w:t>
      </w:r>
    </w:p>
    <w:p>
      <w:pPr>
        <w:spacing w:after="0" w:line="64" w:lineRule="exact"/>
        <w:rPr>
          <w:sz w:val="20"/>
          <w:szCs w:val="20"/>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general global economic and geopolitical conditions;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manage reduced demand and average selling prices (“ASPs”) in a prolonged inflationary environment;</w:t>
      </w:r>
    </w:p>
    <w:p>
      <w:pPr>
        <w:spacing w:after="0" w:line="83" w:lineRule="exact"/>
        <w:rPr>
          <w:rFonts w:ascii="Arial" w:cs="Arial" w:eastAsia="Arial" w:hAnsi="Arial"/>
          <w:sz w:val="13"/>
          <w:szCs w:val="13"/>
          <w:color w:val="auto"/>
        </w:rPr>
      </w:pPr>
    </w:p>
    <w:p>
      <w:pPr>
        <w:ind w:left="540" w:hanging="280"/>
        <w:spacing w:after="0"/>
        <w:tabs>
          <w:tab w:leader="none" w:pos="54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cyclical nature, volatility and seasonality of the semiconductor and microelectronics industry;</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secure and maintain design wins, particularly single-source design wins, and manage our long-term supply agreements (“LTAs”);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business and operating strategies and plans for the development of existing and new businesses, ability to implement such strategies and plans and expected time;</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reliance on a small number of customers;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future business development, financial condition, and results of operations;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expected changes in our revenue, costs or expenditures;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assumptions and estimates regarding design wins;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expectations regarding demand for and market acceptance of our products and services;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expectations regarding our relationships with customers, contract manufacturers, component suppliers, third-party service providers, strategic partners and other stakeholders;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expectations regarding our capacity to develop, manufacture and deliver semiconductor products in fulfillment of our contractual commitments;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conduct our manufacturing operations without disruptions;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manage our capacity and production facilities effectively;</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develop new technologies successfully and remain a technological leader;</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maintain control over expansion and facility modifications;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generate growth or profitable growth;</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maintain and protect our intellectual property;</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hire and maintain qualified personnel;</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effective tax rate or tax liability;</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dividend policy;</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acquire required equipment and supplies necessary to meet customer demand;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increased competition from other companies and our ability to retain and increase our market share;</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developments in, or changes to, laws, regulations, governmental policies, incentives and taxation affecting our operations relating to our industry;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assumptions underlying or related to any of the foregoing.</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We caution you that the foregoing list does not contain all of the forward-looking statements made in this Annual Report.</w:t>
      </w:r>
    </w:p>
    <w:p>
      <w:pPr>
        <w:spacing w:after="0" w:line="9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Forward-looking statements include, but are not limited to, statements regarding our strategy and future plans, future business condition and financial results, our capital expenditure plans, our capacity management plans, expectations as to the commercial production using more advanced technologies, technological upgrades, investment in research and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 w:name="page5"/>
    <w:bookmarkEnd w:id="4"/>
    <w:p>
      <w:pPr>
        <w:jc w:val="both"/>
        <w:spacing w:after="0" w:line="253" w:lineRule="auto"/>
        <w:rPr>
          <w:sz w:val="20"/>
          <w:szCs w:val="20"/>
          <w:color w:val="auto"/>
        </w:rPr>
      </w:pPr>
      <w:r>
        <w:rPr>
          <w:rFonts w:ascii="Arial" w:cs="Arial" w:eastAsia="Arial" w:hAnsi="Arial"/>
          <w:sz w:val="13"/>
          <w:szCs w:val="13"/>
          <w:color w:val="auto"/>
        </w:rPr>
        <w:t>development, future market demand, future regulatory or other developments in our industry, business expansion plans or new investments as well as business acquisitions and financing plans. Please see “Item 3. Key Information—D. Risk Factors” for a further discussion of certain factors that may cause actual results to differ materially from those indicated by our forward-looking statements. Accordingly, you should not place undue reliance on these forward-looking statements. In any event, these statements speak only as of their dates, and we undertake no obligation to update or revise any of them, whether as a result of new information, future events or otherwise.</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You should carefully consider the “Risk Factors” and subsequent public statements, or reports filed with or furnished to the SEC, before making any investment decision with respect to our securities.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As used in this Annual Report, all references to “we”, “us”, “our”, the “Company” and "GF” are to GlobalFoundries Inc. and its consolidated subsidiaries.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3"/>
          <w:szCs w:val="13"/>
          <w:b w:val="1"/>
          <w:bCs w:val="1"/>
          <w:color w:val="auto"/>
        </w:rPr>
        <w:t>PART I</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color w:val="auto"/>
        </w:rPr>
        <w:t>IDENTITY OF DIRECTORS, SENIOR MANAGEMENT AND ADVISORS</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Not applicable.</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color w:val="auto"/>
        </w:rPr>
        <w:t>OFFER STATISTICS AND EXPECTED TIMETABLE</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Not applicable.</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color w:val="auto"/>
        </w:rPr>
        <w:t>KEY INFORMATION</w:t>
      </w:r>
    </w:p>
    <w:p>
      <w:pPr>
        <w:spacing w:after="0" w:line="126" w:lineRule="exact"/>
        <w:rPr>
          <w:sz w:val="20"/>
          <w:szCs w:val="20"/>
          <w:color w:val="auto"/>
        </w:rPr>
      </w:pPr>
    </w:p>
    <w:p>
      <w:pPr>
        <w:ind w:left="260" w:hanging="255"/>
        <w:spacing w:after="0"/>
        <w:tabs>
          <w:tab w:leader="none" w:pos="26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Reserved.</w:t>
      </w:r>
    </w:p>
    <w:p>
      <w:pPr>
        <w:spacing w:after="0" w:line="179" w:lineRule="exact"/>
        <w:rPr>
          <w:rFonts w:ascii="Arial" w:cs="Arial" w:eastAsia="Arial" w:hAnsi="Arial"/>
          <w:sz w:val="13"/>
          <w:szCs w:val="13"/>
          <w:b w:val="1"/>
          <w:bCs w:val="1"/>
          <w:color w:val="auto"/>
        </w:rPr>
      </w:pPr>
    </w:p>
    <w:p>
      <w:pPr>
        <w:ind w:left="260" w:right="9080" w:hanging="255"/>
        <w:spacing w:after="0" w:line="403" w:lineRule="auto"/>
        <w:tabs>
          <w:tab w:leader="none" w:pos="26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Capitalization and Indebtedness </w:t>
      </w:r>
      <w:r>
        <w:rPr>
          <w:rFonts w:ascii="Arial" w:cs="Arial" w:eastAsia="Arial" w:hAnsi="Arial"/>
          <w:sz w:val="13"/>
          <w:szCs w:val="13"/>
          <w:color w:val="auto"/>
        </w:rPr>
        <w:t>Not applicable.</w:t>
      </w:r>
    </w:p>
    <w:p>
      <w:pPr>
        <w:spacing w:after="0" w:line="60" w:lineRule="exact"/>
        <w:rPr>
          <w:rFonts w:ascii="Arial" w:cs="Arial" w:eastAsia="Arial" w:hAnsi="Arial"/>
          <w:sz w:val="13"/>
          <w:szCs w:val="13"/>
          <w:b w:val="1"/>
          <w:bCs w:val="1"/>
          <w:color w:val="auto"/>
        </w:rPr>
      </w:pPr>
    </w:p>
    <w:p>
      <w:pPr>
        <w:ind w:left="260" w:right="8420" w:hanging="255"/>
        <w:spacing w:after="0" w:line="403" w:lineRule="auto"/>
        <w:tabs>
          <w:tab w:leader="none" w:pos="26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Reasons for the Offer and Use of Proceeds </w:t>
      </w:r>
      <w:r>
        <w:rPr>
          <w:rFonts w:ascii="Arial" w:cs="Arial" w:eastAsia="Arial" w:hAnsi="Arial"/>
          <w:sz w:val="13"/>
          <w:szCs w:val="13"/>
          <w:color w:val="auto"/>
        </w:rPr>
        <w:t>Not applicable.</w:t>
      </w:r>
    </w:p>
    <w:p>
      <w:pPr>
        <w:spacing w:after="0" w:line="49" w:lineRule="exact"/>
        <w:rPr>
          <w:rFonts w:ascii="Arial" w:cs="Arial" w:eastAsia="Arial" w:hAnsi="Arial"/>
          <w:sz w:val="13"/>
          <w:szCs w:val="13"/>
          <w:b w:val="1"/>
          <w:bCs w:val="1"/>
          <w:color w:val="auto"/>
        </w:rPr>
      </w:pPr>
    </w:p>
    <w:p>
      <w:pPr>
        <w:ind w:left="260" w:hanging="255"/>
        <w:spacing w:after="0"/>
        <w:tabs>
          <w:tab w:leader="none" w:pos="26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Risk Factors</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following important factors, and those factors described in other reports submitted to, or filed with, the U.S. Securities and Exchange Commission (“SEC”), among other factors, could affect our actual results and could cause our actual results to differ materially from those expressed in any forward-looking statements made by us or on our behalf, and such factors may adversely affect our business and financial status and therefore the value of your investment:</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 Factors Summary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Risks Related to our Business and Industry</w:t>
      </w:r>
    </w:p>
    <w:p>
      <w:pPr>
        <w:spacing w:after="0" w:line="93" w:lineRule="exact"/>
        <w:rPr>
          <w:sz w:val="20"/>
          <w:szCs w:val="20"/>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General global economic and geopolitical conditions could materially and adversely affect our results of operations, financial condition, business and prospects.</w:t>
      </w:r>
    </w:p>
    <w:p>
      <w:pPr>
        <w:spacing w:after="0" w:line="83"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Reductions in demand and ASPs for our customers’ end products (e.g., consumer electronics) and a prolonged inflationary environment may decrease demand for our products and services, and could materially and adversely affect our results of operations, financial condition, business and prospects.</w:t>
      </w:r>
    </w:p>
    <w:p>
      <w:pPr>
        <w:spacing w:after="0" w:line="61"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cyclical nature and seasonality of the semiconductor industry and periodic overcapacity make us vulnerable to significant and sometimes prolonged economic downturns.</w:t>
      </w:r>
    </w:p>
    <w:p>
      <w:pPr>
        <w:spacing w:after="0" w:line="83"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Securing and maintaining design wins, in particular single-sourced awards, and managing our long term agreement (“LTAs”) may present challenges to our business in differing demand environments.</w:t>
      </w:r>
    </w:p>
    <w:p>
      <w:pPr>
        <w:spacing w:after="0" w:line="40"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depend on a small number of customers for a significant portion of our revenue and any loss of this or our other key customers, including potentially through further customer consolidation, could result in significant declines in our revenue.</w:t>
      </w:r>
    </w:p>
    <w:p>
      <w:pPr>
        <w:spacing w:after="0" w:line="61"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rely on a complex silicon supply chain and breakdowns in that chain could affect our ability to produce our products and could materially and adversely affect our results of operations, financial condition, business and prospects.</w:t>
      </w:r>
    </w:p>
    <w:p>
      <w:pPr>
        <w:spacing w:after="0" w:line="61"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If we are unable to attract customers with our technology, respond to fast-changing semiconductor market dynamics or maintain our leadership in product quality, we will become less competitive.</w:t>
      </w:r>
    </w:p>
    <w:p>
      <w:pPr>
        <w:spacing w:after="0" w:line="50"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Overcapacity in the semiconductor industry may reduce our revenue, earnings and margins.</w:t>
      </w:r>
    </w:p>
    <w:p>
      <w:pPr>
        <w:spacing w:after="0" w:line="94"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If we are unable to compete effectively with other sophisticated players in the highly competitive foundry segment of the semiconductor industry, we may lose customers and our profit margins and earnings may decrease.</w:t>
      </w:r>
    </w:p>
    <w:p>
      <w:pPr>
        <w:spacing w:after="0" w:line="61"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competitors and Integrated Device Manufacturers (“IDMs”) have announced expansions and may continue to expand in the United States and Europe, which could materially and adversely affect our competitive position.</w:t>
      </w:r>
    </w:p>
    <w:p>
      <w:pPr>
        <w:spacing w:after="0" w:line="50"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semiconductor industry is capital-intensive and, if we are unable to invest the necessary capital to operate and grow our business, we may not remain competitive.</w:t>
      </w:r>
    </w:p>
    <w:p>
      <w:pPr>
        <w:spacing w:after="0" w:line="94"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receive subsidies and grants in certain countries and regions in which we operate, and a reduction in the amount of governmental funding available to us or demands for repayment could increase our costs and affect our results of operations.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6" w:name="page7"/>
    <w:bookmarkEnd w:id="6"/>
    <w:p>
      <w:pPr>
        <w:ind w:left="520" w:hanging="260"/>
        <w:spacing w:after="0" w:line="266"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color w:val="auto"/>
        </w:rPr>
        <w:t>Strong government support in China for capacity expansion, combined with strained economic relations with that country, could lead to underutilization or significant average selling price erosion for our fabrication facilities (“fabs”).</w:t>
      </w:r>
    </w:p>
    <w:p>
      <w:pPr>
        <w:spacing w:after="0" w:line="61"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may not be able to implement our planned growth and development or maintain the differentiation of our solutions if we are unable to recruit and retain skilled technical personnel, key executives and managers.</w:t>
      </w:r>
    </w:p>
    <w:p>
      <w:pPr>
        <w:spacing w:after="0" w:line="61"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color w:val="auto"/>
        </w:rPr>
        <w:t>Sales to government entities and highly regulated organizations are subject to a number of challenges and added risks, and our failure to comply with these heightened compliance requirements, or effectively manage these challenges or risks, could impact our operations and financial results.</w:t>
      </w:r>
    </w:p>
    <w:p>
      <w:pPr>
        <w:spacing w:after="0" w:line="50"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implementation of our restructuring plan is ongoing, and it is possible that we may not achieve all of the plan’s expected benefits and, if we do not, the plan may have a material adverse effect on our business, operations, financial condition and results of operations.</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Risks Related to Manufacturing, Operations and Expansion</w:t>
      </w:r>
    </w:p>
    <w:p>
      <w:pPr>
        <w:spacing w:after="0" w:line="93" w:lineRule="exact"/>
        <w:rPr>
          <w:sz w:val="20"/>
          <w:szCs w:val="20"/>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If we are unable to manage our capacity and production facilities effectively, our competitiveness may be weakened.</w:t>
      </w:r>
    </w:p>
    <w:p>
      <w:pPr>
        <w:spacing w:after="0" w:line="83"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manufacturing processes are highly complex, costly and potentially vulnerable to impurities and other disruptions and cost increases that can significantly increase our costs and delay product shipments to our customers.</w:t>
      </w:r>
    </w:p>
    <w:p>
      <w:pPr>
        <w:spacing w:after="0" w:line="61"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are subject to risks associated with the development and implementation of new manufacturing technologies.</w:t>
      </w:r>
    </w:p>
    <w:p>
      <w:pPr>
        <w:spacing w:after="0" w:line="83"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profit margin may substantially decline if we are unable to continually improve our manufacturing yields, maintain high shipment utilization or fail to optimize the process technology mix of our wafer production.</w:t>
      </w:r>
    </w:p>
    <w:p>
      <w:pPr>
        <w:spacing w:after="0" w:line="61"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11"/>
        </w:numPr>
        <w:rPr>
          <w:rFonts w:ascii="Arial" w:cs="Arial" w:eastAsia="Arial" w:hAnsi="Arial"/>
          <w:sz w:val="13"/>
          <w:szCs w:val="13"/>
          <w:color w:val="auto"/>
        </w:rPr>
      </w:pPr>
      <w:r>
        <w:rPr>
          <w:rFonts w:ascii="Arial" w:cs="Arial" w:eastAsia="Arial" w:hAnsi="Arial"/>
          <w:sz w:val="13"/>
          <w:szCs w:val="13"/>
          <w:color w:val="auto"/>
        </w:rPr>
        <w:t>Failure to adjust our supply chain volume due to changing market conditions or failure to estimate our customers’ demand could adversely affect our sales and/or our gross margin and could result in additional charges for obsolete or excess inventories or non-cancelable purchase commitments.</w:t>
      </w:r>
    </w:p>
    <w:p>
      <w:pPr>
        <w:spacing w:after="0" w:line="61"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If we are unable to obtain adequate supplies of raw materials in a timely manner and at commercially reasonable prices, our revenue and profitability may decline.</w:t>
      </w:r>
    </w:p>
    <w:p>
      <w:pPr>
        <w:spacing w:after="0" w:line="83" w:lineRule="exact"/>
        <w:rPr>
          <w:rFonts w:ascii="Arial" w:cs="Arial" w:eastAsia="Arial" w:hAnsi="Arial"/>
          <w:sz w:val="13"/>
          <w:szCs w:val="13"/>
          <w:color w:val="auto"/>
        </w:rPr>
      </w:pPr>
    </w:p>
    <w:p>
      <w:pPr>
        <w:jc w:val="both"/>
        <w:ind w:left="520" w:hanging="260"/>
        <w:spacing w:after="0" w:line="261" w:lineRule="auto"/>
        <w:tabs>
          <w:tab w:leader="none" w:pos="511"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risk of cyberattacks and other data security breaches requires us to incur significant costs to maintain the security of our networks and data, and, in the event of such breaches, may expose us to liability, adversely affect our operations, damage our reputation, and affect our net revenue and profitability, and our efforts to combat breach and misuse of our systems and unauthorized access to our data may not be successful.</w:t>
      </w:r>
    </w:p>
    <w:p>
      <w:pPr>
        <w:spacing w:after="0" w:line="53"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Aging infrastructure and power grids and risks to the supply of natural gas, electricity or fresh water could interrupt production.</w:t>
      </w:r>
    </w:p>
    <w:p>
      <w:pPr>
        <w:spacing w:after="0" w:line="94" w:lineRule="exact"/>
        <w:rPr>
          <w:rFonts w:ascii="Arial" w:cs="Arial" w:eastAsia="Arial" w:hAnsi="Arial"/>
          <w:sz w:val="13"/>
          <w:szCs w:val="13"/>
          <w:color w:val="auto"/>
        </w:rPr>
      </w:pPr>
    </w:p>
    <w:p>
      <w:pPr>
        <w:jc w:val="both"/>
        <w:ind w:left="520" w:hanging="260"/>
        <w:spacing w:after="0" w:line="252" w:lineRule="auto"/>
        <w:tabs>
          <w:tab w:leader="none" w:pos="511" w:val="left"/>
        </w:tabs>
        <w:numPr>
          <w:ilvl w:val="0"/>
          <w:numId w:val="11"/>
        </w:numPr>
        <w:rPr>
          <w:rFonts w:ascii="Arial" w:cs="Arial" w:eastAsia="Arial" w:hAnsi="Arial"/>
          <w:sz w:val="13"/>
          <w:szCs w:val="13"/>
          <w:color w:val="auto"/>
        </w:rPr>
      </w:pPr>
      <w:r>
        <w:rPr>
          <w:rFonts w:ascii="Arial" w:cs="Arial" w:eastAsia="Arial" w:hAnsi="Arial"/>
          <w:sz w:val="13"/>
          <w:szCs w:val="13"/>
          <w:color w:val="auto"/>
        </w:rPr>
        <w:t>If we are unable to successfully deploy artificial intelligence and machine learning (“AI/ML”) across our products and services and our business operations and adequately anticipate and account for legal, regulatory and social developments in the AI/ML space, we may become less competitive against our peers and we may incur significant costs that do not provide us with commensurate returns.</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Risks Related to Intellectual Property</w:t>
      </w:r>
    </w:p>
    <w:p>
      <w:pPr>
        <w:spacing w:after="0" w:line="82" w:lineRule="exact"/>
        <w:rPr>
          <w:sz w:val="20"/>
          <w:szCs w:val="20"/>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Any failure to obtain, maintain, protect or enforce our intellectual property and proprietary rights could impair our ability to protect our proprietary technology and our brand.</w:t>
      </w:r>
    </w:p>
    <w:p>
      <w:pPr>
        <w:spacing w:after="0" w:line="94"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There is a risk that our trade secrets, know-how and other proprietary information will be stolen, used in an unauthorized manner, or compromised, which could materially and adversely affect our results of operations, financial condition, business and prospects.</w:t>
      </w:r>
    </w:p>
    <w:p>
      <w:pPr>
        <w:spacing w:after="0" w:line="50"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laws of some foreign countries may not be as protective of intellectual property rights as those in the United States, and mechanisms for enforcement of intellectual property rights may be inadequate.</w:t>
      </w:r>
    </w:p>
    <w:p>
      <w:pPr>
        <w:spacing w:after="0" w:line="40" w:lineRule="exact"/>
        <w:rPr>
          <w:rFonts w:ascii="Arial" w:cs="Arial" w:eastAsia="Arial" w:hAnsi="Arial"/>
          <w:sz w:val="13"/>
          <w:szCs w:val="13"/>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We have been, and may continue to be, subject to intellectual property disputes, which are costly and may subject us to significant liability and increased costs of doing business.</w:t>
      </w:r>
    </w:p>
    <w:p>
      <w:pPr>
        <w:spacing w:after="0" w:line="94"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success depends, in part, on our ability to develop and commercialize our technology without infringing, misappropriating or otherwise violating the intellectual property rights of third parties and we may not be aware of such infringements, misappropriations or violations.</w:t>
      </w:r>
    </w:p>
    <w:p>
      <w:pPr>
        <w:spacing w:after="0" w:line="50" w:lineRule="exact"/>
        <w:rPr>
          <w:rFonts w:ascii="Arial" w:cs="Arial" w:eastAsia="Arial" w:hAnsi="Arial"/>
          <w:sz w:val="13"/>
          <w:szCs w:val="13"/>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We may be unable to provide technology to our customers if we lose the support of our technology partners.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Political, Regulatory and Legal Risks</w:t>
      </w:r>
    </w:p>
    <w:p>
      <w:pPr>
        <w:spacing w:after="0" w:line="82" w:lineRule="exact"/>
        <w:rPr>
          <w:sz w:val="20"/>
          <w:szCs w:val="20"/>
          <w:color w:val="auto"/>
        </w:rPr>
      </w:pPr>
    </w:p>
    <w:p>
      <w:pPr>
        <w:ind w:left="500" w:hanging="240"/>
        <w:spacing w:after="0"/>
        <w:tabs>
          <w:tab w:leader="none" w:pos="5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We are subject to governmental export and customs compliance requirements that could impair our ability to compete in international markets or subject us to liability if we violate the controls.</w:t>
      </w:r>
    </w:p>
    <w:p>
      <w:pPr>
        <w:spacing w:after="0" w:line="200" w:lineRule="exact"/>
        <w:rPr>
          <w:rFonts w:ascii="Arial" w:cs="Arial" w:eastAsia="Arial" w:hAnsi="Arial"/>
          <w:sz w:val="12"/>
          <w:szCs w:val="12"/>
          <w:color w:val="auto"/>
        </w:rPr>
      </w:pPr>
    </w:p>
    <w:p>
      <w:pPr>
        <w:spacing w:after="0" w:line="298" w:lineRule="exact"/>
        <w:rPr>
          <w:rFonts w:ascii="Arial" w:cs="Arial" w:eastAsia="Arial" w:hAnsi="Arial"/>
          <w:sz w:val="12"/>
          <w:szCs w:val="12"/>
          <w:color w:val="auto"/>
        </w:rPr>
      </w:pPr>
    </w:p>
    <w:p>
      <w:pPr>
        <w:ind w:left="5600"/>
        <w:spacing w:after="0"/>
        <w:rPr>
          <w:rFonts w:ascii="Arial" w:cs="Arial" w:eastAsia="Arial" w:hAnsi="Arial"/>
          <w:sz w:val="12"/>
          <w:szCs w:val="12"/>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7" w:name="page8"/>
    <w:bookmarkEnd w:id="7"/>
    <w:p>
      <w:pPr>
        <w:ind w:left="520" w:hanging="260"/>
        <w:spacing w:after="0" w:line="266" w:lineRule="auto"/>
        <w:tabs>
          <w:tab w:leader="none" w:pos="511"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currently are, and may in the future continue to be, subject to litigation that could result in substantial costs, divert or continue to divert management’s attention and resources, and materially and adversely affect our results of operations, financial condition, business and prospects.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Risks Related to Our Status as a Controlled Company and Foreign Private Issuer</w:t>
      </w:r>
    </w:p>
    <w:p>
      <w:pPr>
        <w:spacing w:after="0" w:line="82" w:lineRule="exact"/>
        <w:rPr>
          <w:sz w:val="20"/>
          <w:szCs w:val="20"/>
          <w:color w:val="auto"/>
        </w:rPr>
      </w:pPr>
    </w:p>
    <w:p>
      <w:pPr>
        <w:ind w:left="520" w:hanging="260"/>
        <w:spacing w:after="0" w:line="283"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Mubadala Investment Company PJSC (“Mubadala”) will continue to have substantial control over the Company, which could limit our ability to influence the outcome of key transactions, including a change of control, and otherwise affect the prevailing market price of our ordinary shares.</w:t>
      </w:r>
    </w:p>
    <w:p>
      <w:pPr>
        <w:spacing w:after="0" w:line="40"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are a foreign private issuer and, as a result, are not subject to U.S. proxy rules but are subject to reporting obligations that, to some extent, are more lenient and less frequent than those of a U.S. issuer.</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Risks Related to Operating as a Public Company</w:t>
      </w:r>
    </w:p>
    <w:p>
      <w:pPr>
        <w:spacing w:after="0" w:line="82" w:lineRule="exact"/>
        <w:rPr>
          <w:sz w:val="20"/>
          <w:szCs w:val="20"/>
          <w:color w:val="auto"/>
        </w:rPr>
      </w:pPr>
    </w:p>
    <w:p>
      <w:pPr>
        <w:ind w:left="520" w:hanging="260"/>
        <w:spacing w:after="0" w:line="283" w:lineRule="auto"/>
        <w:tabs>
          <w:tab w:leader="none" w:pos="511"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management has identified material weaknesses in our internal control over financial reporting (“ICFR”) and has concluded that our ICFR was not effective as of December 31, 2023, which may have a material adverse result on our results of operation and financial condition for future periods.</w:t>
      </w: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 Factors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Business and Industry</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General global economic and geopolitical conditions could materially and adversely affect our results of operations, financial condition, business and prospects.</w:t>
      </w:r>
    </w:p>
    <w:p>
      <w:pPr>
        <w:spacing w:after="0" w:line="84"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semiconductor industry relies on a global supply chain and is considered strategically important by major trading countries, including the United States, China, and countries in the European Union (“EU”). Political, economic and financial crises have in the past negatively affected and in the future could negatively affect the semiconductor industry and its end markets. Our business may also be materially affected by the impact of geopolitical tensions and related actions. Recently, there have been political and trade tensions among and between a number of the world’s major economies, most notably in our industry between the United States and China, with Taiwan implicated in the tensions, the possible spillover hostilities between Russia and other nearby member nations of the North American Treaty Organization and, more recently, the tensions in the Middle East, as well as others. These tensions have resulted in the implementation of trade barriers, including the use of economic sanctions and export control restrictions against certain countries and individual companies. For example, in 2022, the United States significantly increased U.S. export controls on semiconductor manufacturing equipment, artificial intelligence and advanced computing products. In 2023, the United States added to the restrictions in all three areas and also worked with Japan and the Netherlands to align on additional restrictions on semiconductor manufacturing equipment. During this time, the United States has increasingly added Chinese companies to prohibited/entity lists. In response, China has restricted U.S. access to certain minerals and has blocked certain companies that provide products to Taiwan's military from selling products in China. China has imposed tariffs or scrutiny on the importation of foreign chips, particularly in sensitive sectors like telecommunications and national security. Recently China banned operators of key domestic infrastructure from purchasing products from U.S. memory chip producer Micron Technology, noting that Micron’s chips pose “serious network security risks.” China has also announced it’s intention to phase out use of Intel and AMD processors from Chinese government computers and servers. In addition to these national security related measures, China has implemented measures to promote domestic chip production and reduce reliance on foreign technology, including pursuant to initiatives such as the "Made in China 2025" program, by providing significant support to domestic semiconductor companies, including foundries and IDMs. Failure to clear Chinese regulatory hurdles has also caused a number of merger and acquisition transactions to collapse, including the proposed Intel-Tower Semiconductor transaction.</w:t>
      </w:r>
    </w:p>
    <w:p>
      <w:pPr>
        <w:spacing w:after="0" w:line="6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Violations of these economic sanctions and export control restrictions can result in significant civil and criminal penalties. These trade barriers have had a particular impact on the semiconductor industry and related markets. Prolonged or increased use of trade barriers may result in a decrease in the growth of the global economy and semiconductor industry and could cause turmoil in global markets, which in turn often results in declines in our customers’ electronic products sales and could decrease demand for our products and services. Also, any increase in the use of economic sanctions, export control restrictions or retaliatory state actions to target certain countries, industries and/or companies could impact our ability to continue supplying products and services to customers and our customers’ demand for our products and services, and could disrupt semiconductor supply chains. The ongoing conflict between Russia and Ukraine has created uncertainty regarding supply of materials needed for our operations (including natural gas), particularly in Europe where we have operations in both Germany and Bulgaria, as well as our customers’ potential sales of electronic products and components to customers in Russia. More recently, the war between Israel and Hamas and related conflicts in the region have disrupted shipping through the Red Sea, which could cause shipping delays and increase costs for materials needed for our operations. These conflicts have created uncertainty about broader impacts that economic sanctions, export control restrictions and continued geopolitical uncertainty may have on global supply chains and markets generally.</w:t>
      </w:r>
    </w:p>
    <w:p>
      <w:pPr>
        <w:spacing w:after="0" w:line="6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Any current and future systemic political, economic or financial crisis or market volatility, including interest rate fluctuations, inflation or deflation, recession and changes in economic, trade, fiscal and monetary policies in major economies, could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8" w:name="page9"/>
    <w:bookmarkEnd w:id="8"/>
    <w:p>
      <w:pPr>
        <w:jc w:val="both"/>
        <w:spacing w:after="0" w:line="248" w:lineRule="auto"/>
        <w:rPr>
          <w:sz w:val="20"/>
          <w:szCs w:val="20"/>
          <w:color w:val="auto"/>
        </w:rPr>
      </w:pPr>
      <w:r>
        <w:rPr>
          <w:rFonts w:ascii="Arial" w:cs="Arial" w:eastAsia="Arial" w:hAnsi="Arial"/>
          <w:sz w:val="13"/>
          <w:szCs w:val="13"/>
          <w:color w:val="auto"/>
        </w:rPr>
        <w:t>cause revenue or profits for us or the semiconductor industry as a whole to decline dramatically. If the economic conditions in the markets in which our customers operate or the financial condition of our customers were to deteriorate, the demand for our products and services may decrease and impairments, write-downs and other accounting charges may be required, which could reduce our operating income and net income. Further, in times of market instability, sufficient external financing, including equity capital, debt financing, customer prepayments and government subsides, may not be available to us on a timely basis, on commercially reasonable terms or at all. If sufficient external financing is not available when we need such financing to meet our demand-driven capital requirements, we may be forced to curtail expansion, modify plans and delay the deployment of new or differentiated technologies, products, or services until we obtain such financing. Further escalation of trade tensions, the increased use of economic sanctions or export control restrictions or any future global systemic crisis or economic downturn could materially and adversely affect our results of operations, financial condition, business and prospects.</w:t>
      </w:r>
    </w:p>
    <w:p>
      <w:pPr>
        <w:spacing w:after="0" w:line="351"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Reductions in demand and ASPs for our customers’ end products (e.g., consumer electronics) and prolonged inflationary market environments may decrease demand for our products and services and could materially and adversely affect our results of operations, financial condition, business and prospects.</w:t>
      </w:r>
    </w:p>
    <w:p>
      <w:pPr>
        <w:spacing w:after="0" w:line="49"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The substantial majority of our revenue is derived from customers who use our products in intelligent and highly connected devices in markets such as Smart Mobile Devices, Home and Industrial internet of things (“IoT”), Communications Infrastructure &amp; Datacenter, Automotive and Personal Computing. A deterioration or a slowdown in the growth of such end markets, due to, among other things, a potential recession and/or prolonged inflation, resulting in a substantial decrease in the demand for overall global semiconductor foundry services, including our products and services, could adversely affect our revenue and profit margins. Semiconductor manufacturing facilities require substantial investment to construct and are largely fixed-cost assets once they are in operation. Because we own our manufacturing facilities, a significant portion of our operating costs are fixed. In general, these costs do not decline when customer demand or our shipment utilization rate drops, and thus declines in customer demand, among other factors, may significantly decrease our profit margins. Our costs may also increase as a result of, among other things, inflation, which may have a greater impact on our profit margins than ASPs. In the past, there have been periods of sustained decline in ASPs of our customers’ end products and applications, and such periods have sometimes coincided with periods of economic volatility, including recessions. A return to historical trends could place downward pressure on the prices of the components, including our products, that go into such end products and applications. If ASPs decline, potentially due to a recession, and our cost reduction programs and actions do not offset the decrease or our costs increase due to inflation or otherwise and are not offset by an increase in ASPs, our results of operations, financial condition, business and prospects may be materially and adversely affected.</w:t>
      </w:r>
    </w:p>
    <w:p>
      <w:pPr>
        <w:spacing w:after="0" w:line="3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cyclical nature and seasonality of the semiconductor industry and periodic overcapacity make us vulnerable to significant and sometimes prolonged economic downturns.</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semiconductor industry has exhibited cyclicality in the past and, at various times, has experienced downturns from time to time, as a result of global economic conditions as well as industry-specific factors, including inventory corrections, excess capacity, price volatility in raw materials and other inputs, and changes in end-customer preferences. Fluctuations in our customers’ demand drive significant variations in order levels for our products and services and can result in volatility in our revenue and earnings. Also, increases in inflation rates in the markets in which we operate may affect our business by increasing costs of our manufacturing inputs and by decreasing demand for our customers’ products. The recent increase in inflation rates in the markets in which we operate may lead us to experience higher costs related to labor, energy, water, transportation, research and development, wafer and other raw materials costs from suppliers. Because our business is, and will continue to be, largely dependent on the requirements of both consumer and industrial high-end technology product suppliers for our services, downturns in this broad industry will likely lead to reduced demand for our products and services.</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Demand for our customers’ end products is affected by seasonal variations in market conditions that contribute to the fluctuations of demand and prices for semiconductor services and products. The seasonal sales trends for semiconductor services and products closely mirror those for automotive, consumer electronics, communication and computer sales. These seasonal variations, and seasonal variation changes that we cannot anticipate, may result in increased volatility in our results of operation and could materially and adversely affect our results of operations, financial condition, business and prospects</w:t>
      </w: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Securing and maintaining design wins, in particular single-sourced awards, and managing our LTAs may present challenges to our business in differing demand environments.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endeavor to utilize our existing manufacturing capacity and pursue growth beyond our existing capacity via a design funnel to design award process, with the aim of securing as many single-sourced awards through differentiation as possible. We define single-sourced products as those that we believe can only be manufactured with our technology and cannot be manufactured elsewhere without significant customer redesigns. Given the time and costs associated with moving a single-sourced product to a competitor, clients are more likely to continue awarding us single-source contracts for such products. If we are unable to fill the funnel and convert enough opportunities into design wins and ultimately awards due to</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9" w:name="page10"/>
    <w:bookmarkEnd w:id="9"/>
    <w:p>
      <w:pPr>
        <w:spacing w:after="0"/>
        <w:rPr>
          <w:sz w:val="20"/>
          <w:szCs w:val="20"/>
          <w:color w:val="auto"/>
        </w:rPr>
      </w:pPr>
      <w:r>
        <w:rPr>
          <w:rFonts w:ascii="Arial" w:cs="Arial" w:eastAsia="Arial" w:hAnsi="Arial"/>
          <w:sz w:val="13"/>
          <w:szCs w:val="13"/>
          <w:color w:val="auto"/>
        </w:rPr>
        <w:t>differentiation, pricing, competition, or any other reasons, there will be a material adverse impact on our financial performance.</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Over the last few years, and especially during the pandemic as global supply was tight, we were able to sell production capacity through LTAs as opposed to shorter contracts or via more traditional purchase order based contracts. In light of current demand dynamics, our ability to enter into LTAs has diminished, and the focus of our commercial operations has shifted to building a wider funnel of potential customers across a breadth of end markets, aiming to secure more single-sourced design wins.</w:t>
      </w:r>
    </w:p>
    <w:p>
      <w:pPr>
        <w:spacing w:after="0" w:line="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Notwithstanding this shift in industry dynamics, we continue to have a significant number of existing LTAs, which continue to be an important part of our strategy, especially for certain longer, more durable end markets, like automotive. For example, we recently entered into a long-term agreement with Infineon at the end of 2023 to secure wafers primarily for the automotive sector.</w:t>
      </w:r>
    </w:p>
    <w:p>
      <w:pPr>
        <w:spacing w:after="0" w:line="5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Entering into LTAs to secure supply contractually is subject to certain risks, which can be magnified in the case of unpredictable market demand, including: customers defaulting on their obligations to us, which may include significant payment obligations and customers seeking to renegotiate key terms of their contracts, such as pricing and specified volume commitments, in the event market conditions change during the contract term. Against the current backdrop of macroeconomic and geopolitical uncertainty, some customers under LTAs have requested to adjust their demand outlook downward and have sought renegotiation of their LTAs. We have renegotiated a number of LTAs with certain of our customers, as a result of which some of our LTAs now have longer commitment periods over which the customer may purchase the same volume as originally negotiated, and some of our LTAs have lower pricing or volume commitments than originally negotiated. We expect these discussions to continue into 2024. We also face the risk that we may be unable to extend contracts when they expire and cannot backfill with additional customer demand. If we are unsuccessful in preserving the economic benefits of our existing LTAs in negotiations with our customers and we are unable to backfill that demand with customers through our design awards process, such renegotiations could lead to a reduction of our revenue and long-term outlook.</w:t>
      </w:r>
    </w:p>
    <w:p>
      <w:pPr>
        <w:spacing w:after="0" w:line="6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must maintain sufficient capacity or expand our capacity in a timely manner, as well as manage manufacturing risks detailed elsewhere in these “Risk Factors,” to meet anticipated customer demand for our products and capacity reservation commitments we have made to our customers. We have entered into multiple LTAs that provide for significant customer commitments in return for capacity reservation commitments from us. If we’re unable to meet the capacity reservation commitments, we face the risk of defaulting on our obligations to our customers, which could result in us owing substantial cash penalties to our customers. Capacity reserved for certain customers could also prevent us from securing potentially more profitable business. If we overestimate customer demand or a customer defaults on its contractual obligations to us, we could experience underutilization of capacity at these facilities without a corresponding reduction in fixed costs. Given the breadth of the end markets we serve, these risks are not mutually exclusive and we may experience demands for additional capacity from some customers at the same time other customers are seeking to renegotiate their LTAs.</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ability to successfully manage our LTAs depends on a variety of factors, including, among other things, our ability to finance our operations, maintain high-quality and efficient manufacturing operations, respond to competitive and regulatory changes, access semiconductor manufacturing equipment or quality raw materials in a cost-effective and timely manner, and retain and attract highly skilled personnel. As a result, we may not realize the anticipated benefits of these contracts.</w:t>
      </w:r>
    </w:p>
    <w:p>
      <w:pPr>
        <w:spacing w:after="0" w:line="329"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We depend on a small number of customers for a significant portion of our revenue and any loss of this or our other key customers, including potentially through further customer consolidation, could result in significant declines in our revenue.</w:t>
      </w:r>
    </w:p>
    <w:p>
      <w:pPr>
        <w:spacing w:after="0" w:line="2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have been largely dependent on a small number of customers for a substantial portion of our revenue. Our ten largest customers in 2023, 2022 and 2021 accounted for approximately 72%, 70% and 67% of our wafer shipment volume, respectively. We expect that a significant portion of our revenue will continue to come from a relatively limited number of customers. We cannot assure you that our revenue generated from these customers, individually or in the aggregate, will reach or exceed historical levels in any future period. Loss or cancellation of business from, significant changes in scheduled deliveries to, or a decrease of products and services sold to, any of these customers could significantly reduce our revenue.</w:t>
      </w:r>
    </w:p>
    <w:p>
      <w:pPr>
        <w:spacing w:after="0" w:line="34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rely on a complex silicon supply chain and breakdowns in that chain could affect our ability to produce our products and could materially and adversely affect our results of operations, financial condition, business and prospects.</w:t>
      </w:r>
    </w:p>
    <w:p>
      <w:pPr>
        <w:spacing w:after="0" w:line="4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rely on a small number of suppliers for wafers, which is a key input into our products. In particular, only a limited number of companies in the world are able to produce silicon-on-insulator (“SOI”) wafers. If there is an insufficient supply of wafers, particularly SOI wafers, to satisfy our requirements, we may need to limit or delay our production, which could materially and adversely affect our results of operations, financial condition, business and prospects. If our limited source suppliers and suppliers for wafer preparation were to experience difficulties that affected their manufacturing yields or the quality of the materials they supply to us, it could materially and adversely affect our results of operations, financial condition, business and prospects. In particular, we depend on Soitec S.A. (“Soitec”), our largest supplier of SOI wafers, for the timely provision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10" w:name="page11"/>
    <w:bookmarkEnd w:id="10"/>
    <w:p>
      <w:pPr>
        <w:jc w:val="both"/>
        <w:spacing w:after="0" w:line="248" w:lineRule="auto"/>
        <w:rPr>
          <w:sz w:val="20"/>
          <w:szCs w:val="20"/>
          <w:color w:val="auto"/>
        </w:rPr>
      </w:pPr>
      <w:r>
        <w:rPr>
          <w:rFonts w:ascii="Arial" w:cs="Arial" w:eastAsia="Arial" w:hAnsi="Arial"/>
          <w:sz w:val="13"/>
          <w:szCs w:val="13"/>
          <w:color w:val="auto"/>
        </w:rPr>
        <w:t>of wafers in order to meet our production goals and obligations to customers. Soitec supplied 63% of our SOI wafers in 2023. Our supply agreements with Soitec impose mutual obligations, in the form of capacity requirements, minimum purchase requirements and supply share percentages. We may be subject to penalties if we fail to comply with such obligations. In November 2020, we agreed with Soitec on an addendum to our original materials supply agreement to secure supply for 300 millimeter (“mm”) RF SOI, partially depleted SOI and Silicon Photonics (“SiPh”) wafers and in the fourth quarter of 2023 we updated the agreement with the latest outlook of future wafer mix for these technologies. In order to secure attractive pricing, we have undertaken risk purchases of raw wafers ahead of customer demand, risking the build up of excess inventory. If we are unable to obtain 300mm SOI wafers from Soitec for any reason, we expect that it would take us an extended period to find a replacement supplier on commercially acceptable terms. While we are in the process of developing relationships with alternate suppliers, we do not expect to be able to acquire a significant amount of SOI wafers from those suppliers in the near term, and there is no assurance that we will ever be able to do so.</w:t>
      </w:r>
    </w:p>
    <w:p>
      <w:pPr>
        <w:spacing w:after="0" w:line="7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ability of our suppliers to meet our requirements could be impaired or interrupted by factors beyond their control, such as earthquakes or other natural phenomena, labor strikes or shortages, or political unrest or failure to obtain materials for their suppliers. For example, Soitec is reliant on third-party providers to obtain raw silicon wafers—difficulties in obtaining raw silicon wafers may result in Soitec’s inability to produce SOI wafers. In the event one of our suppliers is unable to deliver products to us or is unwilling to sell materials or components to us, our operations may be adversely affected. Further, financial or other difficulties faced by our suppliers, or significant changes in demand for the components or materials they use in the products they supply to us, could limit the availability of those products, components, or materials to us. Any breakdown of our wafer supply chain could materially and adversely affect our results of operations, financial condition, business and prospects.</w:t>
      </w:r>
    </w:p>
    <w:p>
      <w:pPr>
        <w:spacing w:after="0" w:line="33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If we are unable to attract customers with our technology, respond to fast-changing semiconductor market dynamics or maintain our leadership in product quality, we will become less competitive.</w:t>
      </w:r>
    </w:p>
    <w:p>
      <w:pPr>
        <w:spacing w:after="0" w:line="4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semiconductor industry and the technologies it brings to market are constantly being created and evolving. We compete by developing process technologies that incorporate increasingly higher performance and advanced features, offering increasing functionality depending upon the customer’s application requirements. If we do not anticipate these changes in technology requirements and fail to rapidly develop new and innovative solutions to meet these demands, we may not be able to provide foundry services on competitive terms with respect to cost, schedule or volume manufacturing capacity. There is a risk that our competitors may successfully adopt new or more differentiated technology before we do, resulting in us losing design wins (including in cases in which we have expended significant resources to pursue design wins) and market share. If we are unable to continue to offer differentiated services and processes on a competitive and timely basis, we may lose customers to competitors providing similar or better technologies.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Some of our customers may alter their process technology roadmaps and adopt single-digit nanometer manufacturing technologies (e.g. 3nm, 5nm, 7nm) faster than their original plans. If this happens and we are unable to offset with additional revenue from existing and new customers in the technology offerings we do provide, our results of operations, financial condition, business and prospects may be materially and adversely affected.</w:t>
      </w:r>
    </w:p>
    <w:p>
      <w:pPr>
        <w:spacing w:after="0" w:line="53"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A key differentiator in the marketplace is to significantly reduce the time in which differentiated technology products or services are launched into the market. If we are unable to meet the shorter time-to-market requirements of our customers or fail to impress them with our newer feature sets or differentiated technology solutions or are unable to allocate or develop new production capacity to meet those customers’ demands in a timely manner, we risk losing their business and not generating the market adoption needed to pay for our development efforts. These factors have also been intensified by the shift of the global technology market to consumer-driven products and increasing concentration of customers and competition. Further, the increasing complexity of technology also imposes challenges for achieving expected product quality, cost and time-to-market expectations. If we fail to maintain quality, it may result in loss of revenue and additional cost, as well as loss of business or customer trust. If we are unable to meet the expected production yields of a new technology, we will not be able to meet the expected costs of that technology. In addition, the market prices for technology and services tend to fall over time, except in times of extreme supply shortage. As a result, if we are unable to offer new differentiated services and processes on a competitive and timely basis, we may need to decrease the prices that we set for our existing services and processes. If we are unable to innovate new and differentiated technologies and bring them to a cost-competitive volume manufacturing scale that meets the demand of our customers, we may become less competitive and our revenue and margins may decline significantly.</w:t>
      </w:r>
    </w:p>
    <w:p>
      <w:pPr>
        <w:spacing w:after="0" w:line="5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External risks also exist that can impact our position as a technology leader. Differentiated technology offerings may rely upon unique or specialized materials as compared to our competitors, including specialized wafers upon which some of our technologies are currently manufactured, raw materials for wafer fabrication, and materials used in the packaging of ICs to enable them to be used in the end products. A disruption in the availability or quality of these raw materials, as well as a significant increase in the price of these new or unique materials during technology development can have a variety of negative impacts. These impacts include increased time-to-market, decreased quality of finished goods or increased cost of finished goods in the marketplace. Similarly, our technology roadmap relies on externally sourced design tools and component circuit designs that allow our end customers to more readily realize their products in our technologies, and disruption or delays in our ability to obtain those resources may impair our ability to compete effectively and serve our customers.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11" w:name="page12"/>
    <w:bookmarkEnd w:id="11"/>
    <w:p>
      <w:pPr>
        <w:jc w:val="both"/>
        <w:spacing w:after="0" w:line="266" w:lineRule="auto"/>
        <w:rPr>
          <w:sz w:val="20"/>
          <w:szCs w:val="20"/>
          <w:color w:val="auto"/>
        </w:rPr>
      </w:pPr>
      <w:r>
        <w:rPr>
          <w:rFonts w:ascii="Arial" w:cs="Arial" w:eastAsia="Arial" w:hAnsi="Arial"/>
          <w:sz w:val="13"/>
          <w:szCs w:val="13"/>
          <w:color w:val="auto"/>
        </w:rPr>
        <w:t>The rapidly changing nature of advanced semiconductor technology can also culminate in the emergence of highly disruptive or unconventional technologies and new disruptive solutions using existing technologies, which can create a rapid inflection point leaving those on a conventional technology roadmap path at a significant disadvantage and unprepared to react in a timely manner.</w:t>
      </w: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Overcapacity in the semiconductor industry may reduce our revenue, earnings and margins.</w:t>
      </w:r>
    </w:p>
    <w:p>
      <w:pPr>
        <w:spacing w:after="0" w:line="8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prices that we can charge our customers for manufacturing services are significantly related to the overall worldwide supply of integrated circuits (“ICs”) and semiconductor products. The overall supply of semiconductors is based in part on the capacity of other companies, which is outside of our control. For example, we and some other companies, including IDMs and competitors with access to material government support, have announced plans to increase capacity expenditures. As IDMs expand internal capacity to service internal production needs, the demand from those companies for foundry services from us and other pure-play foundries may be negatively impacted as they service a higher percentage or all of their production requirements. In addition, the increased capacity and internal production may allow those IDMs to more effectively compete with pure-play foundry customers in certain markets, including our customers, resulting in lower demand for pure-play foundry services in markets we serve. For example, as an IDM adds internal capacity, if it is successful in securing market share from competitors that utilize pure-play foundry services, the overall market we serve could be negatively impacted, which could result in a material and adverse effect to our results of operations, financial condition, business and prospects.</w:t>
      </w:r>
    </w:p>
    <w:p>
      <w:pPr>
        <w:spacing w:after="0" w:line="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in periods of overcapacity, the Company may have aged construction in progress due to equipment that may not be installed until customer demand recovers. Accordingly, the Company faces the risk of potential future impairment if demand does not recover in a timely manner. See Note 3 and Note 8 to our Annual Consolidated Financial Statements.</w:t>
      </w:r>
    </w:p>
    <w:p>
      <w:pPr>
        <w:spacing w:after="0" w:line="6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Additionally, some nations, including China, are investing heavily in developing additional domestic capacity for semiconductor fabrication. In 2022, the U.S. implemented export controls that are intended to, among other things, prevent Chinese expansion with respect to leading-edge semiconductor process technologies (e.g. 14nm FinFET). Following the implementation of those controls, the Chinese semiconductor industry, with significant government support, has accelerated building its own foundry capacity, and shifted to focus domestic manufacturing on mature nodes (i.e. 22/28nm and larger technology nodes). China’s foundry capacity is expected to grow faster than expected demand at those nodes. This projected oversupply of capacity, if carried out as planned, will increase the industry-wide capacity and could result in overcapacity in the future, including in key end markets in which we operate.</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periods of overcapacity, if we are unable to offset the adverse effects of overcapacity through, among other things, our technology and product mix, we may have to lower the prices we charge our customers for our products and services and/or our average cost per wafer could increase given the high fixed cost nature of our industry. Such actions could reduce our margin and profitability and weaken our financial condition and results of operations. We cannot give any assurance that an increase in the demand for foundry services in the immediate and short-term will not lead to overcapacity in the future, which could materially and adversely affect our results of operations, financial condition, business and prospects.</w:t>
      </w:r>
    </w:p>
    <w:p>
      <w:pPr>
        <w:spacing w:after="0" w:line="335"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If we are unable to compete effectively with other sophisticated players in the highly competitive foundry segment of the semiconductor industry, we may lose customers and our profit margins and earnings may decrease.</w:t>
      </w: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believe the foundry market is comprised of five major foundries (including four scaled pure-play foundries) that accounted for the vast majority of worldwide foundry revenue in 2022. We define a scaled pure-play foundry as a company that focuses on producing ICs for other companies, rather than those of its own design, with more than $2.5 billion of annual foundry revenue. Taiwan Semiconductor Manufacturing Company, Limited (“TSMC”) at $75.8 billion of revenue in 2022 accounted for more than 50% of the total market. Other key competitors include SMIC and United Microelectronics Corporation, as well as the foundry operation services of some IDMs, such as Samsung Electronics Co., Ltd. (“Samsung”) and, more recently, Intel. IDMs principally manufacture and sell their own proprietary semiconductor products but may also offer foundry services. Other smaller dedicated foundry competitors include X-FAB Silicon Foundries, Tower Semiconductor Ltd., Vanguard International Semiconductor Corporation and WIN Semiconductors Corp. Some of our competitors may offer more advanced or differentiated technologies than we do and some have greater access to capital and substantially greater production capacity, research and development (“R&amp;D”), marketing and other resources, including access to government subsidies and economic stimulus (including protective demand-side measures), than we do. As a result, these companies may be able to compete more aggressively over a longer period of time than we can.</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The principal elements of competition in the wafer foundry market include:</w:t>
      </w:r>
    </w:p>
    <w:p>
      <w:pPr>
        <w:spacing w:after="0" w:line="95" w:lineRule="exact"/>
        <w:rPr>
          <w:sz w:val="20"/>
          <w:szCs w:val="20"/>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scale and the ability to access capital, whether public or private, to fund future growth;</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capacity utilization;</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technical competence, including internal and access to external design enablement capabilities;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technology leadership and differentiation, coupled with a strong patent portfolio;</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12" w:name="page13"/>
    <w:bookmarkEnd w:id="12"/>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price;</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cost management;</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time-to-volume production and cycle time;</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time-to-market;</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investment in R&amp;D and related quality of results;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manufacturing yields;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optimization of the technology mix of wafer production at particular process technology nodes;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design/technology interaction and resulting chip reliability;</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customer service and design support;</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management expertise;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strategic alliances in both the private and public sectors and geographic diversification.</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may fail to compete successfully in any one or more of these elements, any or all of which could impair our business performance and our ability to scale our operations in a way that adequately responds to our long-term strategy.</w:t>
      </w:r>
    </w:p>
    <w:p>
      <w:pPr>
        <w:spacing w:after="0" w:line="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ability to compete successfully also depends on factors partially outside of our control, including component supply, intellectual property, including cell libraries that our customers embed in their product designs, and industry and general economic trends.</w:t>
      </w:r>
    </w:p>
    <w:p>
      <w:pPr>
        <w:spacing w:after="0" w:line="33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Our competitors and IDMs have announced expansions and may continue to expand in the United States and Europe, which could materially and adversely affect our competitive position.</w:t>
      </w:r>
    </w:p>
    <w:p>
      <w:pPr>
        <w:spacing w:after="0" w:line="4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TSMC, Samsung, Intel, Texas Instruments, Inc. (“Texas Instruments”) and others have initiated plans to develop new fabs and substantially increase their manufacturing capacity in the United States, and other competitors may seek to do likewise. Similarly, our competitors are seeking to develop new fabs in Europe (including in Dresden, Germany) and substantially increase their manufacturing capacity. Such expansions may increase the attractiveness of our competitors to customers who wish to utilize fabs located in the United States or Europe, use geographically dispersed suppliers or mitigate risks posed by geopolitical tensions and export controls. Further, it may lead to increased competition for funding and talent in those jurisdictions. This increased competition could materially and adversely affect our results of operations, financial condition, business and prospects.</w:t>
      </w: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semiconductor industry is capital-intensive and, if we are unable to invest the necessary capital to operate and grow our business, we may not remain competitive.</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To remain competitive and comply with evolving regulatory requirements, we must constantly improve our facilities and process technologies and carry out extensive R&amp;D, each of which requires investment of significant amounts of capital. The costs of manufacturing facilities and semiconductor manufacturing equipment continue to rise and because we operate primarily in countries with higher labor and overhead costs relative to many of our competitors, we are exposed to higher costs than some of our peers. Our actual expenditures may exceed our planned spend due to global economic and industry-wide equipment or material price increases during the long lead time to build capacity. Given the fixed-cost nature of our business, we have in the past incurred, and may in the future incur, operating losses if our revenue and planned cost reductions do not adequately offset the impact of our capital expenditures and the cost of financing these expenditures.</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invest significantly in R&amp;D, and to the extent our R&amp;D efforts are unsuccessful, our competitive position may be harmed and we may not be able to realize a return on our investments. To compete successfully, we must maintain a successful R&amp;D effort, develop new product technologies, features and manufacturing processes, and improve our existing products and services, technologies and processes. Our R&amp;D efforts may not deliver the benefits we anticipate. To the extent we do not timely introduce new technologies and features relative to competitors, we could face cost, product performance, and time-to-market disadvantages, which could materially and adversely affect our results of operations, financial condition, business and prospects.</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Financing, including equity capital, debt financing, customer co-investments and government subsidies, may not be available on commercially acceptable terms or at all. Any additional debt financing we may undertake could require debt service and financial and operational requirements that could adversely affect our business. If we are unable to generate sufficient cash or raise sufficient capital to meet both our debt service and capital investment requirements, or if we are unable to raise required capital on favorable terms when needed, we may be forced to curtail revenue expansion plans or delay capital investment, which could materially and adversely affect our results of operations, financial condition, business and prospects.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13" w:name="page14"/>
    <w:bookmarkEnd w:id="13"/>
    <w:p>
      <w:pPr>
        <w:jc w:val="both"/>
        <w:spacing w:after="0" w:line="249" w:lineRule="auto"/>
        <w:rPr>
          <w:sz w:val="20"/>
          <w:szCs w:val="20"/>
          <w:color w:val="auto"/>
        </w:rPr>
      </w:pPr>
      <w:r>
        <w:rPr>
          <w:rFonts w:ascii="Arial" w:cs="Arial" w:eastAsia="Arial" w:hAnsi="Arial"/>
          <w:sz w:val="13"/>
          <w:szCs w:val="13"/>
          <w:color w:val="auto"/>
        </w:rPr>
        <w:t>Subject to market requirements and customer demand as well as receipt of expected government funding, among other factors, GF plans to invest more than $12 billion over the next 10 or more years across our Fab 8 facility and our Fab 9 facility. While GF intends to begin work as soon as reasonably possible, there is no guarantee at this time as to when GF will be able to start work and how (or to what degree) the total $12 billion investment will be allocated to each year over the next 10 or more years (or that the total amount actually invested will be $12 billion or more). GF intends to execute such investments through public-private partnerships with support from the federal and state governments as well as from its ecosystem partners, including anticipated key strategic customers, but such plans are subject to GF receiving such support in the manner and on the timelines expected, and may be subject to change. There can be no assurance these projects will not be delayed or otherwise impacted if we are unable to secure the funding we expect. In the event we have invested a substantial portion of our expected $12 billion into these projects and we are not able to receive the governmental funding described above (or if they seek to recover any subsidies or grants from us), these projects may be indefinitely delayed until we can secure sufficient funding to complete them, and we may not see returns on our $12 billion investment until we do.</w:t>
      </w:r>
    </w:p>
    <w:p>
      <w:pPr>
        <w:spacing w:after="0" w:line="340"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We receive subsidies and grants in certain countries and regions in which we operate, and a reduction in the amount of governmental funding available to us or demands for repayment could increase our costs and affect our results of operations.</w:t>
      </w:r>
    </w:p>
    <w:p>
      <w:pPr>
        <w:spacing w:after="0" w:line="28"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As is the case with other large semiconductor companies, we receive subsidies and grants from governments in certain countries and regions in which we operate. In response to increased geopolitical tensions, national security and supply chain concerns, the United States and the European Union are implementing new semiconductor industry incentive programs. For example, the United States enacted the Creating Helpful Incentives to Produce Semiconductors for America and Science Act of 2022 (the “CHIPS and Science Act”) and the European Union approved the European Chips Act in 2023 (see also Note 3 to our Annual Consolidated Financial Statements). These programs represent potentially significant new sources of government funding for capital and R&amp;D investment for our industry, that we and various participants in our industry hope to benefit from. The CHIPS and Science Act provided for a 25% investment tax refund and appropriated $52 billion in grants to support the domestic semiconductor industry. The EU has enacted the European Chips Act, which is intended to provide significant funding to strengthen the EU’s semiconductor industry. Historically, we have benefited from these kinds of government programs, and we intend to continue to benefit from government programs to help fund our expansion efforts.</w:t>
      </w:r>
    </w:p>
    <w:p>
      <w:pPr>
        <w:spacing w:after="0" w:line="6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Starting in 2023, GF began benefiting from the CHIPS and Science Act, and has sought a refund of $66.4 million, and GF anticipates continuing to benefit from this law going forward, which should help subsidize 25% of all capital investment made by us in the U.S., at our Fab 8 and Fab 9 facilities, in the States of New York and Vermont, respectively. In February 2024, the U.S. Department of Commerce announced approximately $1.5 billion in planned direct funding for us under the CHIPS and Science Act. This planned investment will enable us to expand and create new manufacturing capacity and capabilities to securely produce more essential chips for automotive, IoT, aerospace, defense, and other vital markets. The proposed funding will support three potential GF projects: expansion of our existing Fab 8 facility, construction of a new state-of-art fab on the Fab 8 campus, and modernization of our Fab 9 facility in Burlington, Vermont. In support of the two Fab 8 projects, the State of New York also announced that it intends to provide $575 million in planned direct funding. The preliminary awards are non-binding commitments, and receipt of any funding will be subject to certain terms and conditions including GF hitting specific milestones.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We may be unable to secure this or other government funding at the levels we expect or at all, and the availability of government funding is outside our control. Moreover, should we terminate or fail to commence any activities or operations, or fail to achieve milestones, related to government funds that we receive or upon which government funds have been conditioned, we may face adverse consequences. In particular, government agencies could seek to recover subsidies or grants from us, seek repayment of loans, or could cancel, reduce or deny our requests for future subsidies or grants. This could materially and adversely affect our results of operations, financial condition, business and prospects.</w:t>
      </w:r>
    </w:p>
    <w:p>
      <w:pPr>
        <w:spacing w:after="0" w:line="331"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Strong government support in China for capacity expansion, combined with strained economic relations with that country could lead to underutilization or significant ASP erosion for our fabs.</w:t>
      </w:r>
    </w:p>
    <w:p>
      <w:pPr>
        <w:spacing w:after="0" w:line="49"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The Chinese government has invested heavily in its indigenous semiconductor manufacturing, and has continued to promote the expansion of fabrication capacity for semiconductors. This has contributed to and may continue to lead to overcapacity and increased competition, in particular in the current and legacy node market. China’s decision to build capacity for China, to be sourced primarily from indigenous suppliers, will likely have the dual effect of limiting the Chinese market for other global suppliers like us and significantly increasing the competition we face globally. We have a material amount of direct business in China, and if we cannot adequately compete with Chinese semiconductor manufacturers, our market share in China could be impacted, which could result in a material impact to our business and financial performance. The United States has implemented export controls that are intended to, among other things, prevent Chinese expansion with respect to leading edge semiconductor process technologies (i.e., 14nm FinFET and smaller technology nodes). Following the implementation of those controls, the Chinese semiconductor industry, with significant government support, has accelerated building its own foundry capacity, and shifted to focus domestic manufacturing on mature nodes (i.e. 28nm and larger technology nodes). and China's foundry capacity is expected to grow faster than expected demand at those nodes. This projected oversupply of capacity, if carried out as planned, will increase the industry-wide capacity and could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14" w:name="page15"/>
    <w:bookmarkEnd w:id="14"/>
    <w:p>
      <w:pPr>
        <w:jc w:val="both"/>
        <w:spacing w:after="0" w:line="261" w:lineRule="auto"/>
        <w:rPr>
          <w:sz w:val="20"/>
          <w:szCs w:val="20"/>
          <w:color w:val="auto"/>
        </w:rPr>
      </w:pPr>
      <w:r>
        <w:rPr>
          <w:rFonts w:ascii="Arial" w:cs="Arial" w:eastAsia="Arial" w:hAnsi="Arial"/>
          <w:sz w:val="13"/>
          <w:szCs w:val="13"/>
          <w:color w:val="auto"/>
        </w:rPr>
        <w:t>result in overcapacity in the future and our business performance and financial results may be materially impacted. Further, the business we do around the world outside of China, in markets in which Chinese semiconductor manufacturers are our direct competitors, also represents a significant portion of our business. If we are unable to keep up with competition from such Chinese manufacturers, our market share in jurisdictions outside of China could also be impacted as they work to saturate the market, which could materially impact our business and financial performance.</w:t>
      </w:r>
    </w:p>
    <w:p>
      <w:pPr>
        <w:spacing w:after="0" w:line="5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Further, there can be no assurance that the tightening of export controls and other countermeasures (e.g., tariffs) established by the U.S. government and other governments will meaningfully limit China’s semiconductor manufacturing supply to current or mature nodes in the long term. To the extend any such measures are put in place, not only may they be ineffective, but may also heighten the potential risk to our business of retaliatory measures. See “Item 3. Key Information—D. Risk Factors—Risk Factors—Risks Related to our Business and Industry—Global economic and geopolitical conditions could materially and adversely affect our results of operations, financial condition, business and prospects.” Any changes or further developments (many of which would be outside our control and ability to adequately predict with any certainty) may make it more difficult for us to retain existing and obtain new customers, may result in material reductions in ASPs, and may have material impacts on our business operations, financial performance, and strategy.</w:t>
      </w:r>
    </w:p>
    <w:p>
      <w:pPr>
        <w:spacing w:after="0" w:line="34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may not be able to implement our planned growth and development or maintain the differentiation of our solutions if we are unable to recruit and retain skilled technical personnel, key executives and managers.</w:t>
      </w:r>
    </w:p>
    <w:p>
      <w:pPr>
        <w:spacing w:after="0" w:line="3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rely on the continued services and contributions of our skilled technical and professional personnel and management team. In this industry, the competitive pressures to find and retain the most talented personnel are intense and constant. The sources for highly skilled talent in the industry are often well-known and pursued by competitors for talent, including IDMs. With the rapid pace of technological and business change, skills need to be constantly refreshed and built upon. Our business could suffer if we are unable to fulfill and sustain resource requirements with qualified individuals in required positions globally. Fulfilling new resource needs on a timely basis continues to be a challenge in this highly competitive market for semiconductor talent. Competition for talent is particularly high both in locations where we and our competitors have operations and in locations where our competition is hiring in anticipation of planned expansion. Competition for talent exists in all of our operating regions, at all levels, emphasizing the importance of strong employee retention, and if we fail to attract and retain highly skilled talent, our business and results of operations could be materially adversely impacted.</w:t>
      </w:r>
    </w:p>
    <w:p>
      <w:pPr>
        <w:spacing w:after="0" w:line="338"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Sales to government entities and highly regulated organizations are subject to a number of challenges and added risks, and our failure to comply with these heightened compliance requirements, or effectively manage these challenges or risks, could impact our operations and financial results.</w:t>
      </w:r>
    </w:p>
    <w:p>
      <w:pPr>
        <w:spacing w:after="0" w:line="49"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We currently sell to the U.S. federal government and to customers in highly regulated industries, and may sell to state and local governments and to foreign governmental agency customers in the future. Sales to such entities are subject to a number of compliance challenges and risks, including regarding access to and required protection of classified information. Failure to comply with Foreign Ownership, Control or Influence agreements could lead to a loss of our security clearance and, therefore, certain government business and reputational harm. Selling to governmental and highly regulated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any revised necessary certification or authorization. Government demand and payment for our products and services are affected by public sector budgetary cycles and funding authorizations, with funding reductions or delays adversely affecting public sector demand for our products and services. Such sales are made more difficult by the fact that many of our product design and life cycles are very long, compared to public fiscal budget calendars.</w:t>
      </w:r>
    </w:p>
    <w:p>
      <w:pPr>
        <w:spacing w:after="0" w:line="6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Further, governmental and highly regulated entities may demand contract terms that differ from our standard commercial arrangements, and those contract terms may be in some respects less favorable than terms agreed to by private sector customers. Governments routinely retain certain rights to IP developed in connection with government contracts. Such entities may have statutory, contractual or other legal rights to terminate contracts with us or our partners for convenience or for other reasons that are out of our control or influence. Any such terminations, or other adverse actions, may materially adversely affect our ability to contract with other government customers, as well as our reputation, results of operations, financial condition, business and prospects. In addition, our U.S. government contracts obligate us to comply with various cybersecurity requirements. These requirements include ongoing investment in systems, policies and personnel, and we expect these requirements to continue to impact our business in the future by increasing our legal, operational and compliance costs.</w:t>
      </w:r>
    </w:p>
    <w:p>
      <w:pPr>
        <w:spacing w:after="0" w:line="6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Certain of our government contracts require us to notify the applicable governmental agency and discuss options with the governmental agency before making certain potential transfers of intellectual property developed under those contracts, and certain of our government contracts impose specific limitations on our use and licensing of certain of our intellectual property. Additionally, production of sensitive, export-controlled products for governmental and highly regulated entities requires adherence to strict export and security controls. In the event of a breach or other security event involving one of these products, we may be subject to investigations to determine the extent and impact to such products, regulatory proceedings, litigation, mitigation and other actions, as well as penalties, fines, increased insurance premiums,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15" w:name="page16"/>
    <w:bookmarkEnd w:id="15"/>
    <w:p>
      <w:pPr>
        <w:spacing w:after="0" w:line="266" w:lineRule="auto"/>
        <w:rPr>
          <w:sz w:val="20"/>
          <w:szCs w:val="20"/>
          <w:color w:val="auto"/>
        </w:rPr>
      </w:pPr>
      <w:r>
        <w:rPr>
          <w:rFonts w:ascii="Arial" w:cs="Arial" w:eastAsia="Arial" w:hAnsi="Arial"/>
          <w:sz w:val="13"/>
          <w:szCs w:val="13"/>
          <w:color w:val="auto"/>
        </w:rPr>
        <w:t>indemnification expenditures and administrative, civil and criminal liabilities and reputational harm, each of which could negatively impact operations for multiple products and future business, cause production and sales delays and materially and adversely affect our results of operations, financial condition, business and prospects.</w:t>
      </w:r>
    </w:p>
    <w:p>
      <w:pPr>
        <w:spacing w:after="0" w:line="337" w:lineRule="exact"/>
        <w:rPr>
          <w:sz w:val="20"/>
          <w:szCs w:val="20"/>
          <w:color w:val="auto"/>
        </w:rPr>
      </w:pPr>
    </w:p>
    <w:p>
      <w:pPr>
        <w:spacing w:after="0" w:line="276" w:lineRule="auto"/>
        <w:rPr>
          <w:sz w:val="20"/>
          <w:szCs w:val="20"/>
          <w:color w:val="auto"/>
        </w:rPr>
      </w:pPr>
      <w:r>
        <w:rPr>
          <w:rFonts w:ascii="Arial" w:cs="Arial" w:eastAsia="Arial" w:hAnsi="Arial"/>
          <w:sz w:val="13"/>
          <w:szCs w:val="13"/>
          <w:b w:val="1"/>
          <w:bCs w:val="1"/>
          <w:i w:val="1"/>
          <w:iCs w:val="1"/>
          <w:color w:val="auto"/>
        </w:rPr>
        <w:t>The implementation of our restructuring plan is ongoing, and it is possible that we may not achieve all of the plan’s expected benefits and, if we do not, the plan may have a material adverse effect on our business, operations, financial condition and results of operations.</w:t>
      </w:r>
    </w:p>
    <w:p>
      <w:pPr>
        <w:spacing w:after="0" w:line="49"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We communicated and implemented a restructuring plan in order to realign our business and strategic priorities. This worldwide restructuring plan includes a reduction in the number of full time employees, as well as a reduction in leased workspaces and engagement of consultants for strategic support.</w:t>
      </w:r>
    </w:p>
    <w:p>
      <w:pPr>
        <w:spacing w:after="0" w:line="51" w:lineRule="exact"/>
        <w:rPr>
          <w:sz w:val="20"/>
          <w:szCs w:val="20"/>
          <w:color w:val="auto"/>
        </w:rPr>
      </w:pPr>
    </w:p>
    <w:p>
      <w:pPr>
        <w:ind w:right="500"/>
        <w:spacing w:after="0" w:line="383" w:lineRule="auto"/>
        <w:rPr>
          <w:sz w:val="20"/>
          <w:szCs w:val="20"/>
          <w:color w:val="auto"/>
        </w:rPr>
      </w:pPr>
      <w:r>
        <w:rPr>
          <w:rFonts w:ascii="Arial" w:cs="Arial" w:eastAsia="Arial" w:hAnsi="Arial"/>
          <w:sz w:val="13"/>
          <w:szCs w:val="13"/>
          <w:color w:val="auto"/>
        </w:rPr>
        <w:t>The implementation of the restructuring plan is ongoing, and it is possible that we may not be able to maintain all the cost savings and benefits that are anticipated in connection with such plan. Our reduction in workforce, or similar restructuring program actions, may present a number of significant</w:t>
      </w:r>
    </w:p>
    <w:p>
      <w:pPr>
        <w:spacing w:after="0"/>
        <w:rPr>
          <w:sz w:val="20"/>
          <w:szCs w:val="20"/>
          <w:color w:val="auto"/>
        </w:rPr>
      </w:pPr>
      <w:r>
        <w:rPr>
          <w:rFonts w:ascii="Arial" w:cs="Arial" w:eastAsia="Arial" w:hAnsi="Arial"/>
          <w:sz w:val="13"/>
          <w:szCs w:val="13"/>
          <w:color w:val="auto"/>
        </w:rPr>
        <w:t>risks, including:</w:t>
      </w:r>
    </w:p>
    <w:p>
      <w:pPr>
        <w:spacing w:after="0" w:line="95" w:lineRule="exact"/>
        <w:rPr>
          <w:sz w:val="20"/>
          <w:szCs w:val="20"/>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actual or perceived disruption of our manufacturing and/or delivery processes;</w:t>
      </w:r>
    </w:p>
    <w:p>
      <w:pPr>
        <w:spacing w:after="0" w:line="83" w:lineRule="exact"/>
        <w:rPr>
          <w:rFonts w:ascii="Arial" w:cs="Arial" w:eastAsia="Arial" w:hAnsi="Arial"/>
          <w:sz w:val="13"/>
          <w:szCs w:val="13"/>
          <w:color w:val="auto"/>
        </w:rPr>
      </w:pPr>
    </w:p>
    <w:p>
      <w:pPr>
        <w:ind w:left="520" w:right="4460" w:hanging="260"/>
        <w:spacing w:after="0" w:line="380" w:lineRule="auto"/>
        <w:tabs>
          <w:tab w:leader="none" w:pos="511" w:val="left"/>
        </w:tabs>
        <w:numPr>
          <w:ilvl w:val="0"/>
          <w:numId w:val="19"/>
        </w:numPr>
        <w:rPr>
          <w:rFonts w:ascii="Arial" w:cs="Arial" w:eastAsia="Arial" w:hAnsi="Arial"/>
          <w:sz w:val="13"/>
          <w:szCs w:val="13"/>
          <w:color w:val="auto"/>
        </w:rPr>
      </w:pPr>
      <w:r>
        <w:rPr>
          <w:rFonts w:ascii="Arial" w:cs="Arial" w:eastAsia="Arial" w:hAnsi="Arial"/>
          <w:sz w:val="13"/>
          <w:szCs w:val="13"/>
          <w:color w:val="auto"/>
        </w:rPr>
        <w:t>potential adverse effects on our internal control environment and inability to preserve adequate internal controls relating to our general and administrative functions in connection with the decision to outsource certain business service activities;</w:t>
      </w:r>
    </w:p>
    <w:p>
      <w:pPr>
        <w:ind w:left="520" w:right="4300" w:hanging="260"/>
        <w:spacing w:after="0" w:line="383" w:lineRule="auto"/>
        <w:tabs>
          <w:tab w:leader="none" w:pos="511" w:val="left"/>
        </w:tabs>
        <w:numPr>
          <w:ilvl w:val="0"/>
          <w:numId w:val="19"/>
        </w:numPr>
        <w:rPr>
          <w:rFonts w:ascii="Arial" w:cs="Arial" w:eastAsia="Arial" w:hAnsi="Arial"/>
          <w:sz w:val="13"/>
          <w:szCs w:val="13"/>
          <w:color w:val="auto"/>
        </w:rPr>
      </w:pPr>
      <w:r>
        <w:rPr>
          <w:rFonts w:ascii="Arial" w:cs="Arial" w:eastAsia="Arial" w:hAnsi="Arial"/>
          <w:sz w:val="13"/>
          <w:szCs w:val="13"/>
          <w:color w:val="auto"/>
        </w:rPr>
        <w:t>actual or perceived disruption to distribution networks and other important operational relationships and the inability to resolve potential conflicts in a timely manner;</w:t>
      </w: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potential difficulty in or failure of meeting our financial or production targets;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diversion of management attention from ongoing business activities and strategic objectives; and</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failure to maintain employee morale and retain key employees.</w:t>
      </w:r>
    </w:p>
    <w:p>
      <w:pPr>
        <w:spacing w:after="0" w:line="84" w:lineRule="exact"/>
        <w:rPr>
          <w:sz w:val="20"/>
          <w:szCs w:val="20"/>
          <w:color w:val="auto"/>
        </w:rPr>
      </w:pPr>
    </w:p>
    <w:p>
      <w:pPr>
        <w:ind w:right="4580"/>
        <w:spacing w:after="0" w:line="397" w:lineRule="auto"/>
        <w:rPr>
          <w:sz w:val="20"/>
          <w:szCs w:val="20"/>
          <w:color w:val="auto"/>
        </w:rPr>
      </w:pPr>
      <w:r>
        <w:rPr>
          <w:rFonts w:ascii="Arial" w:cs="Arial" w:eastAsia="Arial" w:hAnsi="Arial"/>
          <w:sz w:val="13"/>
          <w:szCs w:val="13"/>
          <w:color w:val="auto"/>
        </w:rPr>
        <w:t>Because of these and other factors, we may not fully realize the purpose and anticipated operational benefits or cost savings of any productivity actions and, if we do not, it may have a material adverse effect on our business, operations, financial condition and results of operations.</w:t>
      </w:r>
    </w:p>
    <w:p>
      <w:pPr>
        <w:spacing w:after="0" w:line="245"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We may be exposed to liabilities if it is determined that our compensation arrangements do not comply with, or are not exempt from, Section 409A of the Internal Revenue Code of 1986, as amended (the “Code”).</w:t>
      </w:r>
    </w:p>
    <w:p>
      <w:pPr>
        <w:spacing w:after="0" w:line="2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Section 409A (“Section 409A”) of the Code, sets forth the rules governing non-qualified deferred compensation arrangements. Section 409A contains many technical, complicated and ambiguous rules and regulations, including proposed but not yet finalized regulations that do not currently have the force of law, making compliance with Section 409A difficult to assess and to ensure. While we have attempted to structure our compensation arrangements (including our equity incentive awards) so that they either comply with, or are exempt from, Section 409A, it is possible that some of these compensation arrangements are not so exempt or compliant. In some instances, we have determined that amendments to certain of our compensation arrangements were advisable in order to mitigate or eliminate potential Section 409A non-compliance risk, though there can be no assurance that such amendments will mitigate or eliminate any such risk. If it is determined that any of our compensation arrangements are neither compliant with, nor exempt from, Section 409A, we may be subject to significant liabilities and costs, including penalties for failing to properly report deferred compensation arrangements under Section 409A and to withhold taxes payable by our service providers, including our employees, and we may be required to pay to the applicable governmental authorities the amount of taxes we should have withheld and related interest and penalties. In addition, those of our service providers, including our employees, participating in such arrangements may experience significant adverse tax consequences under Section 409A, including a 20% federal penalty tax imposed on the amount of compensation involved (and, as applicable, similar excise taxes under state law or foreign law). These liabilities may be significant and the imposition of such liabilities may materially affect our employee relations. In addition, in the event any such liabilities were imposed on our service providers, including our employees, we could decide to take remedial action, including making cash payments to adversely affected service providers, including our employees. Any amounts so paid by us could materially and adversely affect our results of operations, financial condition, business and prospects.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i w:val="1"/>
          <w:iCs w:val="1"/>
          <w:color w:val="auto"/>
        </w:rPr>
        <w:t>Improper disclosure of confidential information could negatively impact our business.</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the ordinary course of our business, we maintain sensitive data on our networks, including our and our customers’ intellectual property and proprietary or confidential business information relating to our business and that of our customers and business partners. In addition, we regularly enter into confidentiality obligations with our customers, suppliers and parties that we license intellectual property to or from. The secure maintenance of this information is critical to our business and reputation. We have put in place policies, procedures and technological safeguards designed to protect the security of this information. However, we cannot guarantee that this information will not be improperly disclosed or accessed. Disclosure of this information could harm our reputation, subject us to liability under our contracts and harm our relationships with key counterparties, including our customers, which could materially and adversely affect our results of operations, financial condition, business and prospects.</w:t>
      </w: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outbreak of contagious disease could materially and adversely affect our results of operations, financial condition, business and prospects.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Any outbreak of contagious disease may disrupt our ability to adequately staff our business and may generally disrupt our operations. Generalized outbreaks of contagious diseases may slow economic growth, including in regions of the world where we, our customers and suppliers operate, and can negatively impact the global supply chain, market and economies. We have significant operations in the United States, Europe, and Singapore, including supply chain and manufacturing facilities and sales and marketing channels and information technology (“IT”) design and other support services in these regions as well as in other countries, including Japan, India, Taiwan and China.</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If a new pandemic or new outbreaks of contagious diseases occur, we may experience material adverse effects on our business, including, among other things:</w:t>
      </w:r>
    </w:p>
    <w:p>
      <w:pPr>
        <w:spacing w:after="0" w:line="84" w:lineRule="exact"/>
        <w:rPr>
          <w:sz w:val="20"/>
          <w:szCs w:val="20"/>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declines in sales activities and customer orders;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significant fluctuations in demand for our products and services, which could in turn cause uncertainty for our capacity planning, production delays and reduced workforce availability;</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difficulties in domestic and international travel and interruption of communications;</w:t>
      </w:r>
    </w:p>
    <w:p>
      <w:pPr>
        <w:spacing w:after="0" w:line="83"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20"/>
        </w:numPr>
        <w:rPr>
          <w:rFonts w:ascii="Arial" w:cs="Arial" w:eastAsia="Arial" w:hAnsi="Arial"/>
          <w:sz w:val="13"/>
          <w:szCs w:val="13"/>
          <w:color w:val="auto"/>
        </w:rPr>
      </w:pPr>
      <w:r>
        <w:rPr>
          <w:rFonts w:ascii="Arial" w:cs="Arial" w:eastAsia="Arial" w:hAnsi="Arial"/>
          <w:sz w:val="13"/>
          <w:szCs w:val="13"/>
          <w:color w:val="auto"/>
        </w:rPr>
        <w:t>temporary governmental work stoppage orders to control infection rates or as a result of border closures with neighboring countries, both of which occurred in Singapore during the COVID-19 pandemic;</w:t>
      </w:r>
    </w:p>
    <w:p>
      <w:pPr>
        <w:spacing w:after="0" w:line="40"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delays in potential expansion plans; or</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slowdown of R&amp;D activities.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Likewise, such an outbreak of disease could slow or suspend the operations of our suppliers and cause them to be unable to deliver needed raw materials as required. Any of these factors could materially and adversely affect our results of operations, financial condition, business and prospects.</w:t>
      </w: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Manufacturing, Operations and Expansion</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manage our capacity and production facilities effectively, our competitiveness may be weakened.</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perform long-term market demand forecasts for our products to manage, and plan for, our overall capacity. Because market conditions are dynamic, our market demand forecasts may change significantly, or prove to be inaccurate, at any time. During periods of decreased demand, certain manufacturing lines or tools in some of our manufacturing facilities may be idled or shut down temporarily, to save costs while preserving capacity. However, if subsequent demand increases rapidly, we may not be able to restore the capacity in a timely manner to take advantage of the upturn. In light of long-term market demand forecasts, we have been adding capacity to meet market needs for our products. In order to respond to expected orders, or to assure sufficient line loading for planned process or yield learning, we may initiate “risk starts” in anticipation of actual orders. This could result in periodically increased inventory costs and/or obsolescence costs if those expected orders do not materialize.</w:t>
      </w:r>
    </w:p>
    <w:p>
      <w:pPr>
        <w:spacing w:after="0" w:line="7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some instances, we may increase or otherwise manage capacity by transferring technologies from one location to another. Expansion of our capacity will increase our costs. For example, we will need to purchase additional equipment, and hire and train additional personnel to operate the new equipment. In case of a technology transfer, we may also need to source new tooling and materials, train personnel to learn and stabilize new processes and, depending on the technology, obtain government approval for such transfer. If demand does not increase as planned, expansion is delayed or we fail to successfully transfer a technology as planned, we may not increase our net revenue accordingly, which could materially and adversely affect our results of operations, financial condition, business and prospects.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Because we own and operate high-tech manufacturing facilities, our operations have high costs that are fixed or difficult to reduce in the short term, including our costs related to utilization of existing facilities, facility construction and equipment, R&amp;D, and the employment and training of a highly skilled workforce. Additionally, as part of our strategy to effectively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17" w:name="page18"/>
    <w:bookmarkEnd w:id="17"/>
    <w:p>
      <w:pPr>
        <w:jc w:val="both"/>
        <w:spacing w:after="0" w:line="249" w:lineRule="auto"/>
        <w:rPr>
          <w:sz w:val="20"/>
          <w:szCs w:val="20"/>
          <w:color w:val="auto"/>
        </w:rPr>
      </w:pPr>
      <w:r>
        <w:rPr>
          <w:rFonts w:ascii="Arial" w:cs="Arial" w:eastAsia="Arial" w:hAnsi="Arial"/>
          <w:sz w:val="13"/>
          <w:szCs w:val="13"/>
          <w:color w:val="auto"/>
        </w:rPr>
        <w:t>manage our capacity and production facilities, we concentrate some of our fabs on certain technologies and/or products, particularly when there is significant demand and we expect continued demand for those particular technologies and/or products. However, this strategy exposes us to the risk that our operations, including our utilization rate for entire fabs, may be severely impacted if there is a sudden or prolonged downturn in demand for those technologies and/or products, particularly if we are unable to predict such downturn sufficiently in advance to pivot our operations. To the extent demand decreases, capacity does not increase in time to meet demand or we fail to forecast demand accurately, we could be required to write off inventory or record underutilization charges, which would lower our gross margin. To the extent any demand decrease is prolonged, our manufacturing capacity could be underutilized, and we may be required to write down our long-lived assets, which would increase our expenses. In addition, deployment of capital for new capacity projects occurs prior to full factory utilization. Consequently, increases in depreciation could be misaligned with planned revenue growth until the factory achieves full utilization, which could materially and adversely affect our operations and financial results. We may also be required to shorten the useful life of under-used facilities and equipment and accelerate depreciation.</w:t>
      </w:r>
    </w:p>
    <w:p>
      <w:pPr>
        <w:spacing w:after="0" w:line="340"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Our manufacturing processes are highly complex, costly and potentially vulnerable to impurities and other disruptions and cost increases that can significantly increase our costs and delay product shipments to our customers.</w:t>
      </w:r>
    </w:p>
    <w:p>
      <w:pPr>
        <w:spacing w:after="0" w:line="2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semiconductor manufacturing processes are highly complex, require advanced and costly equipment, are difficult to transfer and are continuously being modified to improve manufacturing yields and product performance intended to improve or protect our ability to achieve our revenue and profit plan. Disruptions in manufacturing operations could be caused by numerous issues including impurities in our raw materials (such as chemicals, gases and wafers), supply chain changes to support expansion plans, facilities issues (such as electrical power and water outages), equipment failures (such as performance issues or defects) or IT issues (such as down computer systems and viruses). Any of these issues, and others, could lower production yields or interrupt manufacturing, which could result in the loss of products in process that could cause delivery delays, reduced revenue, increased cost or reduced quality delivered to our customers. These factors could significantly affect our financial results as well as our ability to attract new and retain existing customers.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In the past, we have encountered, among other issues:</w:t>
      </w:r>
    </w:p>
    <w:p>
      <w:pPr>
        <w:spacing w:after="0" w:line="95" w:lineRule="exact"/>
        <w:rPr>
          <w:sz w:val="20"/>
          <w:szCs w:val="20"/>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capacity constraints due to changes in product mix or the delayed delivery of equipment critical to our production;</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construction delays during expansions of our clean rooms and other facilities;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difficulties in upgrading or expanding existing facilities;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failure of manufacturing execution system or automatic transportation systems;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unexpected breakdowns in manufacturing equipment and/or related facilities;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disruptions in connection with changing, transferring or upgrading our process technologies;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electrical power outages and disruptions;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raw materials shortages and impurities; and</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delays in delivery or shortages of spare parts used in the maintenance of our equipment.</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If the above issues recur or we face similar challenges in the future, we may suffer delays in our ability to deliver our products, which could have a material and adverse effect on our results of operations, financial condition, business and prospects. In addition, we cannot guarantee that we will be able to increase our manufacturing capacity and efficiency in the future to the same extent as in the past. Module 7H, an extension of our existing 300mm Fab 7 operations, began limited production in September 2023. If the above issues recur or we face similar challenges in the future, our ability to ramp production in Module 7H as planned may be delayed. Additionally, if we are unable to offset increases in the costs of key inputs to fabs (including raw materials, electric power and water) through cost reduction programs, the cost increases could materially and adversely affect our results of operations, financial condition, business and prospects.</w:t>
      </w:r>
    </w:p>
    <w:p>
      <w:pPr>
        <w:spacing w:after="0" w:line="3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risks associated with the development and implementation of new manufacturing technologies.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Production of ICs is a complex process. We are continually engaged in the development of new manufacturing process technologies and features. Forecasting our progress and schedule for developing new process technologies and features is challenging, and at times we encounter unexpected delays due to the complexity of interactions among steps in the manufacturing process, challenges in using new materials, and other issues. We may expend substantial resources on developing new technologies that are ultimately not successful, which may result in our recognizing significant impairment charges. Diagnosing defects in our manufacturing processes often takes a long time, as manufacturing throughput times can delay our receipt of data about defects and the effectiveness of fixes. We are not always successful or efficient in developing or implementing new technologies and manufacturing processes.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18" w:name="page19"/>
    <w:bookmarkEnd w:id="18"/>
    <w:p>
      <w:pPr>
        <w:spacing w:after="0" w:line="276" w:lineRule="auto"/>
        <w:rPr>
          <w:sz w:val="20"/>
          <w:szCs w:val="20"/>
          <w:color w:val="auto"/>
        </w:rPr>
      </w:pPr>
      <w:r>
        <w:rPr>
          <w:rFonts w:ascii="Arial" w:cs="Arial" w:eastAsia="Arial" w:hAnsi="Arial"/>
          <w:sz w:val="13"/>
          <w:szCs w:val="13"/>
          <w:b w:val="1"/>
          <w:bCs w:val="1"/>
          <w:i w:val="1"/>
          <w:iCs w:val="1"/>
          <w:color w:val="auto"/>
        </w:rPr>
        <w:t>Our profit margin may substantially decline if we are unable to continually improve our manufacturing yields, maintain high shipment utilization or fail to optimize the process technology mix of our wafer production.</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Our ability to maintain our profit margin depends, in part, on our ability to:</w:t>
      </w:r>
    </w:p>
    <w:p>
      <w:pPr>
        <w:spacing w:after="0" w:line="84" w:lineRule="exact"/>
        <w:rPr>
          <w:sz w:val="20"/>
          <w:szCs w:val="20"/>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maintain high capacity utilization;</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maintain or improve our production yields;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optimize the technology mix of our production by increasing the number of wafers manufactured by utilizing different processing technologies.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Our shipment utilization affects our operating results because a large percentage of our operating costs is fixed. Our manufacturing yields directly affect our ability to attract and retain customers, as well as the prices of our services. Different technologies load the available capacity differently, and an increase of lower margin product demand could lower the financial performance of a factory while still fully utilizing the available capacity. If we are unable to continuously maintain high capacity utilization, improve our manufacturing yields or optimize the technology mix of our wafer production, our profit margin may substantially decline.</w:t>
      </w:r>
    </w:p>
    <w:p>
      <w:pPr>
        <w:spacing w:after="0" w:line="5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manufacturing processes are highly complex, require advanced and costly equipment and are continuously being modified in an effort to improve yields and product performance. Minute impurities or other difficulties in the manufacturing process can lower yields. Further, at the beginning of each semiconductor technological upgrade, the manufacturing yield utilizing the new technology may be lower than the yield under current technology. Our manufacturing efficiency is an important factor in our profitability, and we cannot assure you that we will be able to maintain our manufacturing efficiency or increase manufacturing efficiency to the same extent as our competitors.</w:t>
      </w:r>
    </w:p>
    <w:p>
      <w:pPr>
        <w:spacing w:after="0" w:line="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may experience manufacturing problems in achieving acceptable yields or experience product delivery delays in the future as a result of, among other things, capacity constraints, upgrading or expanding our existing facilities, transferring technologies between our sites or introducing new manufacturing materials (e.g. GaN).</w:t>
      </w: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obtain adequate supplies of raw materials in a timely manner and at commercially reasonable prices our revenue and profitability may decline.</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Our production operations require that we obtain adequate supplies of raw materials, such as silicon wafers, gases, chemicals and photoresist, on a timely basis and at commercially reasonable prices, many of which are not commodities easily replaced with substitutions. In the past, shortages in the supply of some materials, whether by specific vendors or by the industry generally, have resulted in occasional industry-wide price adjustments and delivery delays. Moreover, major natural disasters, trade barriers and political or economic turmoil occurring within the country of origin of such raw materials may also significantly disrupt the availability of such raw materials or increase their prices. Further, since we procure some of our raw materials from sole-sourced suppliers, including raw materials that are significant to our production operations, there is a risk that our need for such raw materials may not be met or that back-up supplies may not be readily available. In addition, recent trade tensions between the United States and China, as well as the conflict in Ukraine, have resulted in substantial price volatility and reduced availability of raw materials, including rare earth metals and natural gas used in our products or in our production operations. Similar price volatility risks may be presented by the war in Israel and its potential expansion. Tariffs, sanctions, export controls, other non-tariff barriers, and other measures undertaken by state actors due to global or local economic conditions could also affect material cost and availability. If the availability of such raw materials is disrupted, manufacturing lines may be stopped or significantly disrupted, impacting our supply chain, which could materially and adversely affect our results of operations. From time to time, including recently, we are advised of shortages of raw materials that could impact our operations. We currently are seeking, and in the future will continue to seek, alternative suppliers and substitute materials and work closely with our existing vendors to support their efforts to provide us with uninterrupted supply. Recently, as a result of demand driven by the semiconductor supply shortage, the costs of raw wafers as well as certain other raw materials were relatively high. Failure to obtain adequate supplies could result in our being unable to meet commitments under our contracts with customers, which could expose us to substantial liquidated damages and other claims, which could materially and adversely affect our results of operations, financial condition, business and prospects.</w:t>
      </w:r>
    </w:p>
    <w:p>
      <w:pPr>
        <w:spacing w:after="0" w:line="6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some supplies and raw materials, we have, and may in the future, enter into long-term agreements with minimum purchase agreements. Due to the perishable nature of some of these supplies and materials, and the possibility of delayed customer orders, we may negatively impact our costs in a given period or increase our obsolescence charges, impacting our profitability.</w:t>
      </w: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obtain adequate supplies of energy at commercially reasonable prices our profitability may decline.</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Certain energy products (e.g., electricity, natural gas, petroleum) and water, necessary for our production operations have recently experienced and may continue to experience substantial price volatility, including related to shortages or political or economic instability, in regions where we operate our fabs. We have recently experienced and may continue to experience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19" w:name="page20"/>
    <w:bookmarkEnd w:id="19"/>
    <w:p>
      <w:pPr>
        <w:jc w:val="both"/>
        <w:spacing w:after="0" w:line="273" w:lineRule="auto"/>
        <w:rPr>
          <w:sz w:val="20"/>
          <w:szCs w:val="20"/>
          <w:color w:val="auto"/>
        </w:rPr>
      </w:pPr>
      <w:r>
        <w:rPr>
          <w:rFonts w:ascii="Arial" w:cs="Arial" w:eastAsia="Arial" w:hAnsi="Arial"/>
          <w:sz w:val="12"/>
          <w:szCs w:val="12"/>
          <w:color w:val="auto"/>
        </w:rPr>
        <w:t>increases in electricity costs, particularly in Dresden, Germany and Singapore. Electricity costs may fluctuate as a result of various factors. For example, climate change is increasing governmental regulation, which could impact costs. In Vermont, all industries are now required to seek renewable sources of energy, which may result in increased costs to secure supply suitable for the sensitive equipment our production facilities require. Additionally, the war in Israel, especially if it expands throughout the Middle East, may result in substantial volatility of oil prices, which could impact all our sites worldwide. Hedging transactions for many of these materials and other inputs are not always available to us, or are not always available on terms we believe are commercially acceptable. Hedges that we enter into with respect to certain inputs, such as electricity, oil, or alternative energy supplies we may seek to secure, may not be effective to avoid disruptions to our manufacturing operations. Additionally, once our prices with a customer are negotiated, we are generally unable to revise pricing with that customer until our next regularly scheduled price adjustment. As a result, if market prices for essential components increase, we may be unable to pass the price increases through to our customers for products purchased under an existing agreement. Consequently, we are exposed to the risks associated with the volatility of prices for these components and our cost of revenue could increase and our gross margins could decrease in the event of price increases.</w:t>
      </w:r>
    </w:p>
    <w:p>
      <w:pPr>
        <w:spacing w:after="0" w:line="325"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Failure to adjust our supply chain volume due to changing market conditions or failure to estimate our customers’ demand could adversely affect our sales and/or our gross margin and could result in additional charges for obsolete or excess inventories or non-cancelable purchase commitments.</w:t>
      </w:r>
    </w:p>
    <w:p>
      <w:pPr>
        <w:spacing w:after="0" w:line="2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make significant decisions, including determining the levels of business that we will seek and accept, production schedules, personnel needs and other resource requirements, based on our estimates of customer requirements. The possibility of rapid changes in demand for our customers’ products reduces our ability to accurately estimate our customers’ future requirements for our products. On occasion, our customers may require rapid increases in production, which can challenge our resources. We may not have sufficient capacity at any given time to meet our customers’ demands. Conversely, downturns in the semiconductor industry have in the past caused and may in the future cause our customers to significantly reduce the amount of products ordered from us. Because many of our sales, R&amp;D, and manufacturing expenses are relatively fixed, a reduction in customer demand may decrease our gross margins and operating income, which could materially and adversely affect our results of operations, financial condition, business and prospects.</w:t>
      </w:r>
    </w:p>
    <w:p>
      <w:pPr>
        <w:spacing w:after="0" w:line="63"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In addition, we base many of our operating decisions, and enter into purchase commitments, on the basis of anticipated sales, which are highly unpredictable. Some of our purchase commitments are non-cancelable, and in some cases we are required to recognize a charge representing the amount of material or capital equipment purchased or ordered that exceeds our actual requirements. For example, we have non-cancelable purchase commitments with vendors and LTAs with certain of our third-party wafer fabrication partners, under which we are required to purchase a minimum number of wafers per year or face financial penalties. These types of commitments and agreements could reduce our ability to adjust our inventory to address declining market demands. If demand for our products is less than we expect, we may experience additional excess and obsolete inventories and be forced to incur additional charges. If sales in future periods fall substantially below our expectations, or if we fail to accurately forecast changes in demand mix, we could again be required to record substantial charges for obsolete or excess inventories or non-cancelable purchase commitments.</w:t>
      </w:r>
    </w:p>
    <w:p>
      <w:pPr>
        <w:spacing w:after="0" w:line="62"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Moreover, during a market upturn, we may not be able to purchase sufficient supplies or components to meet increasing product demand, which could prevent us from taking advantage of opportunities and reduce our sales. In addition, a supplier could discontinue a component necessary for our design, extend lead times, limit supply or increase prices due to capacity constraints or other factors. Our failure to adjust our supply chain volume or estimate our customers’ demands could materially and adversely affect our results of operations, financial condition, business and prospects.</w:t>
      </w:r>
    </w:p>
    <w:p>
      <w:pPr>
        <w:spacing w:after="0" w:line="3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Historically, we do not typically operate with any significant backlog, except in periods of capacity shortage. The historic lack of significant backlog and the unpredictable length and timing of semiconductor cycles makes it more difficult for us to accurately forecast revenue in future periods. Moreover, our expense levels are based in part on our expectations of future revenue, and we may be unable to fully adjust costs in a timely manner to compensate for revenue shortfalls.</w:t>
      </w: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Aging infrastructure and power grids and risks to the supply of natural gas, electricity or fresh water could interrupt production.</w:t>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semiconductor fabrication process requires extensive amounts of fresh water and a stable source of electricity and natural gas. In addition, it requires effective facilities to manage wastewater. As our production capabilities and our business grow, our requirements for these factors will grow substantially. Although we have not, to date, experienced any instances of lack of sufficient supplies of natural gas or water, or material disruptions in the electricity supply to, or wastewater processing capacity of, any of our fabs beyond temporary or short-term stoppages, the ongoing conflict between Russia and Ukraine has in the past created, and may in the future again create, a substantial risk of natural gas shortage in Europe, which may impact our manufacturing site in Dresden, Germany. Further, we may not have access to sufficient supplies of natural gas, electricity, water or wastewater processing capacity to accommodate our planned growth. Pipeline interruptions, power interruptions, electricity shortages, droughts, geopolitical tensions, or government intervention, particularly in the form of rationing, are factors that could restrict our access to these utilities in the areas in which our fabs are located. If there is an insufficient supply of fresh water, natural gas, electricity or wastewater processing capacity to satisfy our requirements, we may need to limit or delay our production. In addition, a power outage, even of very limited duration, could result in a loss of</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20" w:name="page21"/>
    <w:bookmarkEnd w:id="20"/>
    <w:p>
      <w:pPr>
        <w:spacing w:after="0"/>
        <w:rPr>
          <w:sz w:val="20"/>
          <w:szCs w:val="20"/>
          <w:color w:val="auto"/>
        </w:rPr>
      </w:pPr>
      <w:r>
        <w:rPr>
          <w:rFonts w:ascii="Arial" w:cs="Arial" w:eastAsia="Arial" w:hAnsi="Arial"/>
          <w:sz w:val="13"/>
          <w:szCs w:val="13"/>
          <w:color w:val="auto"/>
        </w:rPr>
        <w:t>wafers in production and a deterioration in yield. Any of these occurrences could materially and adversely affect our results of operations, financial condition, business and prospects.</w:t>
      </w:r>
    </w:p>
    <w:p>
      <w:pPr>
        <w:spacing w:after="0" w:line="36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The risk of cyberattacks and other data security breaches requires us to incur significant costs to maintain the security of our networks and data, and, in the event of such breaches, may expose us to liability, adversely affect our operations, damage our reputation, and affect our net revenue and profitability, and our efforts to combat breach and misuse of our systems and unauthorized access to our data may not be successful.</w:t>
      </w:r>
    </w:p>
    <w:p>
      <w:pPr>
        <w:spacing w:after="0" w:line="55"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In the ordinary course of our business, we maintain sensitive data on our networks, including our and our customers’ intellectual property and proprietary or confidential business information relating to our business and that of our customers and business partners. Our and our service providers’ IT and computer systems store and transmit customer information, trade secrets, corporate data and personal information, and are otherwise essential to the operation of our production lines, which may make us a target for cyberattacks. The secure maintenance of this information is critical to our business and reputation. In addition, our accreditation as a Trusted Foundry by the Defense Microelectronics Activity and our processing of sensitive information may make us an attractive target for attacks, including industrial or nation-state espionage, organized criminals, and terrorist cyberattacks. Further, we depend on our employees and the employees of our service providers to appropriately handle confidential and sensitive data and deploy our IT resources in a safe and secure manner that does not expose our network systems to security breaches or the loss of data. However, there is always a risk that inadvertent disclosure or actions or internal malfeasance by our employees or those of our service providers could result in a loss of data or a breach or interruption of our IT systems.</w:t>
      </w:r>
    </w:p>
    <w:p>
      <w:pPr>
        <w:spacing w:after="0" w:line="51" w:lineRule="exact"/>
        <w:rPr>
          <w:sz w:val="20"/>
          <w:szCs w:val="20"/>
          <w:color w:val="auto"/>
        </w:rPr>
      </w:pPr>
    </w:p>
    <w:p>
      <w:pPr>
        <w:ind w:right="100"/>
        <w:spacing w:after="0" w:line="253" w:lineRule="auto"/>
        <w:rPr>
          <w:sz w:val="20"/>
          <w:szCs w:val="20"/>
          <w:color w:val="auto"/>
        </w:rPr>
      </w:pPr>
      <w:r>
        <w:rPr>
          <w:rFonts w:ascii="Arial" w:cs="Arial" w:eastAsia="Arial" w:hAnsi="Arial"/>
          <w:sz w:val="13"/>
          <w:szCs w:val="13"/>
          <w:color w:val="auto"/>
        </w:rPr>
        <w:t>As a result of the nature of our business and operations, we have been subject to and will continue to be subject to cyberattacks from various bad actors. In September 2023, we did experience a cyber-related incident, which is described in more detail in “Item 16K. Cybersecurity—Governance.” Although to date, we have not been subject to cyberattacks which, to our knowledge, have had a material impact to our operations or financial condition (individually or in aggregate), there is no certainty that future cyberattacks will not have a material adverse effect on our business, operations, or financial results.</w:t>
      </w:r>
    </w:p>
    <w:p>
      <w:pPr>
        <w:spacing w:after="0" w:line="7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continue to make significant investments in cybersecurity and data security, as well as other efforts to combat breach and misuse of our systems and unauthorized access to our and our customers’ data by third parties. While we seek to continuously review and assess our cybersecurity policies and procedures to ensure their adequacy and effectiveness, all IT and computer systems are vulnerable to attacks, especially via methods that have not been observed yet or quickly evolve. The risk of security breaches may be higher during times of a natural disaster or pandemic due to remote working arrangements. Also, the development and proliferation of AI/ML in addition to other related technologies, may increase our exposure to cyber attacks and other cybersecurity risks by providing third parties with enhanced capabilities to breach our systems, and may require us to spend additional resources to further strengthen our defenses against such threats. We cannot guarantee that our IT and computer systems which control or maintain vital corporate functions, such as our manufacturing operations and enterprise accounting, would be immune to cyberattacks. In the event of a serious cyberattack, our systems may lose important customer information, trade secrets, corporate data or personal information, or our production lines may be shut down pending the resolution of such an attack.</w:t>
      </w:r>
    </w:p>
    <w:p>
      <w:pPr>
        <w:spacing w:after="0" w:line="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employ certain third-party service providers for us and our affiliates worldwide with whom we need to share highly sensitive and confidential information to enable them to provide the relevant services. Some of our third-party service providers have experienced cyberattacks of which we have been made aware.</w:t>
      </w:r>
    </w:p>
    <w:p>
      <w:pPr>
        <w:spacing w:after="0" w:line="6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Despite requiring certain third-party service providers to comply with the confidentiality and security requirements in our service agreements with them, there is no assurance that each of them will strictly fulfill any of their obligations or that they will be successful in preventing further cyberattacks. The on-site network systems and the off-site cloud computing networks such as servers maintained by these service providers and/or their contractors are also subject to risks associated with cyberattacks. While we attempt to take prompt action once we are alerted to a cyberattack against one of our third-party service providers and implement steps designed to mitigate associated risks to our systems and data, we may in the future not be made aware of such events in a timely manner or may be unable to successfully sever network connectivity or otherwise limit the risk to our own systems.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If we or our service providers are not able to timely contain, remediate and resolve the respective issues caused by cyberattacks and data breaches, or ensure the integrity and availability of our systems and data (or data belonging to our customers or other third parties) or control of our or our service providers’ IT or computer systems, then such attacks, breaches or failures could:</w:t>
      </w:r>
    </w:p>
    <w:p>
      <w:pPr>
        <w:spacing w:after="0" w:line="61" w:lineRule="exact"/>
        <w:rPr>
          <w:sz w:val="20"/>
          <w:szCs w:val="20"/>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disrupt the proper functioning of these networks and systems and, therefore, our operations and/or those of certain of our customers;</w:t>
      </w:r>
    </w:p>
    <w:p>
      <w:pPr>
        <w:spacing w:after="0" w:line="83"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result in the unauthorized access to, and destruction, loss, theft, misappropriation or release of, proprietary, confidential, sensitive or otherwise valuable information of ours, our customers or our employees, including trade secrets, which could be used to compete against us or for disruptive, destructive or otherwise harmful purposes and outcomes;</w:t>
      </w:r>
    </w:p>
    <w:p>
      <w:pPr>
        <w:spacing w:after="0" w:line="6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result in litigation and governmental investigation and proceedings that could expose us to civil or criminal liabilities;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21" w:name="page22"/>
    <w:bookmarkEnd w:id="21"/>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compromise national security and other sensitive government functions;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require significant management attention and resources to remedy the damages that result;</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result in our incurring significant expenses in implementing remedial and improvement measures to enhance our IT network or computer systems;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result in costs which exceed our insurance coverage and/or indemnification arrangements;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subject us to claims for contract breach, damages, credits, penalties or termination;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damage our reputation with our customers (including the U.S. government) and the general public.</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Further, remediation efforts may not be successful and could result in interruptions, delays or cessation of service, unfavorable publicity, damage to our reputation, customer allegations of breach-of-contract, possible litigation, and loss of existing or potential customers that may impede our sales or other critical functions. Additionally, any such attack or unauthorized access may require spending resources on correcting the breach and indemnifying the relevant parties and litigation, regulatory investigations, regulatory proceedings, increased insurance premiums, lost revenue, penalties fines and other potential liabilities.</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Any of the foregoing factors could materially and adversely affect our results of operations, financial condition, business and prospects.</w:t>
      </w: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unable to obtain manufacturing equipment in a timely manner and at a reasonable cost that is necessary for us to remain competitive.</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operations and ongoing revenue expansion plans depend on our ability to obtain complex and specialized manufacturing equipment and related services from a limited number of suppliers in a market that is characterized from time to time by limited supply and long delivery cycles. During such times, supplier-specific or industry-wide lead times for delivery can be as long as twelve months or more. Further, growing complexities of the most valuable equipment may delay the timely delivery of such equipment and parts needed to capitalize on time-sensitive and perishable business opportunities. Industry-wide demand increases for this equipment could increase its market price as well as the market price of replacement parts and consumable materials needed to operate the equipment. Due in part to demand driven by significant new sources of funding in China as well as potentially other governments (such as Korea, the United States and Europe), the demand for semiconductor manufacturing equipment may result in longer than normal lead times for such equipment. Similarly, an industry-wide increase in demand may result in longer than normal lead times for such equipment or higher prices. If we are unable to obtain equipment in a timely manner to fulfill our customers’ demand on technology and production capacity, or at a reasonable cost, we may be unable to meet commitments under our contracts with customers, which could expose us to substantial liquidated damages and other claims and could materially and adversely affect our results of operations, financial condition, business and prospects.</w:t>
      </w: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subject to the risk of loss due to fire because the materials we use in our manufacturing processes are highly flammable.</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use highly flammable materials such as silane and hydrogen in our manufacturing processes and may therefore be subject to the risk of loss arising from fires. The risk of fire associated with these materials cannot be completely eliminated. We maintain insurance policies to reduce losses caused by fire, including business interruption insurance. However, our insurance coverage is subject to deductibles and self-insured retention and may not be sufficient to cover all of our potential losses. If any of our fabs were to be damaged or cease operations as a result of a fire, our manufacturing capacity would be reduced, which could materially and adversely affect our results of operations, financial condition, business and prospects.</w:t>
      </w:r>
    </w:p>
    <w:p>
      <w:pPr>
        <w:spacing w:after="0" w:line="335"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Our operations are subject to the risks of earthquakes, wildfires, floods, severe weather incidents and other natural catastrophic events, and to interruption by man-made problems such as power disruptions, industrial accidents, or terrorism.</w:t>
      </w:r>
    </w:p>
    <w:p>
      <w:pPr>
        <w:spacing w:after="0" w:line="2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Significant natural disasters such as earthquakes, wildfires, floods, severe weather incidents or acts of terrorism occurring in any of our manufacturing or office locations, or where a business partner, such as a customer or supplier, is located, could adversely affect our operational and financial performance. In addition, natural disasters, spills or hazardous exposure incidents, accidents and acts of terrorism could cause disruptions in our business or our suppliers’ or customers’ businesses, national economies or the global economy as a whole, and we may not have insurance coverage for these matters. Our operations, as well as our computing systems, are vulnerable to interference, or interruption from terrorist attacks, natural disasters or pandemics, the effects of climate change (such as sea level rise, drought, flooding, wildfires, increased average temperatures and increased storm severity), power loss, telecommunications failures, criminal fraud or impersonation, inadvertent or intentional actions by our employees, or other attempts to harm or access our systems. In the event of a major disruption caused by a natural disaster or any of the foregoing, we may be unable to continue our operations and may endure system interruptions, reputational harm, delays in our development activities, lengthy interruptions in service,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22" w:name="page23"/>
    <w:bookmarkEnd w:id="22"/>
    <w:p>
      <w:pPr>
        <w:spacing w:after="0"/>
        <w:rPr>
          <w:sz w:val="20"/>
          <w:szCs w:val="20"/>
          <w:color w:val="auto"/>
        </w:rPr>
      </w:pPr>
      <w:r>
        <w:rPr>
          <w:rFonts w:ascii="Arial" w:cs="Arial" w:eastAsia="Arial" w:hAnsi="Arial"/>
          <w:sz w:val="13"/>
          <w:szCs w:val="13"/>
          <w:color w:val="auto"/>
        </w:rPr>
        <w:t>breaches of data security and loss of critical data or personal information, any of which could materially and adversely affect our results of operations, financial condition, business and prospects.</w:t>
      </w:r>
    </w:p>
    <w:p>
      <w:pPr>
        <w:spacing w:after="0" w:line="360"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If we are unable to successfully deploy AI/ML across our products and services and our business operations and adequately anticipate and account for legal, regulatory and social developments in the AI/ML space, we may become less competitive against our peers and we may incur significant costs that do not provide us with commensurate returns.</w:t>
      </w: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AI/ML has the potential to generate significant business value for semiconductor companies, including foundries. Manufacturing is the semiconductor industry's largest cost driver and AI/ML has the potential to, among other things, reduce costs, improve yields, shorten processing times, and increase production. Use cases include utilizing AI/ML to handle repetitive tasks, improve predictive maintenance, develop and optimize process design kits, optimize process times, improve and shorten wafer inspections and optimize inventory and supply chain management and operations. If we do not adopt and deploy AI/ML as quickly or efficiently as our competitors, we may not be able to provide foundry services on competitive terms, including with respect to cost, schedule, and volume manufacturing capacity, which may lead to us losing design wins, losing market share and losing customers. The rapid pace of AI/ML’s development may require the investment of significant resources for us to remain competitive, and we may not receive commensurate returns if we are not successful in achieving the outcomes we expect (either on the timelines we expect or at all). The risk of falling behind our competitors could expose us to higher costs than our peers, as we operate primarily in countries that have higher labor and overhead costs relative to many of our competitors. If we do not have competitive products and services available to meet our customers’ AI/ML related needs, or if we fail to anticipate the changing needs and preferences of our key stakeholders, we may lose significant business and growth opportunities and lose market share. Any failure on our part to effectively and efficiently utilize AI/ML to enhance our operations, products and services and manufacturing strategy may result in material impacts to our financial performance, financial results and overall business strategy.</w:t>
      </w:r>
    </w:p>
    <w:p>
      <w:pPr>
        <w:spacing w:after="0" w:line="338"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Any use of AI/ML technologies in our operations may present additional labor, legal, regulatory, and social risks, which could lead to additional costs and impact our competitive position.</w:t>
      </w:r>
    </w:p>
    <w:p>
      <w:pPr>
        <w:spacing w:after="0" w:line="4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AI/ML and related new technologies could disrupt our workforce needs. As AI/ML becomes more prevalent in the semiconductor industry, there may be higher demand for, and fiercer competition to recruit, personnel with specific skillsets that are currently not abundant in the industry. GF’s existing workforce may also need to undergo changes to account for developments in the way semiconductor manufacturing and foundries operate as a result of incorporating AI/ML. New technologies in the market that disrupt our workforce needs may also cause us to undergo other changes to better respond to changing market conditions and to stay ahead of our peers. All of these may result in significant costs to GF, and there can be no assurance that any initiatives, strategies or projects GF pursues will be successful in mitigating or preventing these risks.</w:t>
      </w:r>
    </w:p>
    <w:p>
      <w:pPr>
        <w:spacing w:after="0" w:line="73"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Because AI/ML is a developing technology in its nascency, legal frameworks for AI/ML governance are unsettled, quickly developing, and unpredictable. Some uses of AI pose emerging ethical issues and present a number of risks that cannot be fully mitigated. Using AI/ML while the technology is still developing may expose us to additional liability, reputational harm, and threats of litigation, particularly if the AI/ML we adopt produces errors, AI bias, AI hallucination, harmful content, discrimination, intellectual property infringement or misappropriation, data privacy or cybersecurity issues, or otherwise does not function as intended. For example, AI/ML technologies are highly reliant on the collection and analysis of large amounts of data and complex algorithms, which may be overbroad, insufficient, or contain biased information. Moreover, with the use of AI/ML technologies, there often exists a lack of transparency of the sources of data used to train or develop the AI/ML technologies or how inputs are converted to outputs and we cannot fully validate this process and its accuracy. The accuracy of such inputs and the resulting impacts on the results of AI/ML technologies cannot be verified and could result in outputs that may include or be derived from inaccurate or erroneous information.</w:t>
      </w:r>
    </w:p>
    <w:p>
      <w:pPr>
        <w:spacing w:after="0" w:line="7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use of AI/ML, including potential inadvertent disclosure of confidential information or personal identifiable information, could also lead to legal and regulatory investigations and enforcement actions, or may give rise to specific obligations, including required notices, consents and opt-outs, under various data privacy, protection and cybersecurity laws and regulations in a number of jurisdictions. See “Item 3. Key Information—D. Risk Factors—Risk Factors—Risks Related to Manufacturing, Operations and Expansion—Compliance with applicable data security and data privacy laws and regulations may be costly and, in the case of a breach of applicable law, could harm our reputation” for more information relating to risks relating to data protection and compliance with existing and future laws and regulations. See also “Item 3. Key Information—D. Risk Factors—Risk Factors—Risks Related to Manufacturing, Operations and Expansion—The risk of cyberattacks and other data security breaches requires us to incur significant costs to maintain the security of our networks and data, and, in the event of such breaches, may expose us to liability, adversely affect our operations, damage our reputation, and affect our net revenue and profitability, and our efforts to combat breach and misuse of our systems and unauthorized access to our data may not be successful” for more information on the cybersecurity risks relating to AI/ML technologies.</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Further, despite our investment in AI/ML, there is no assurance that new laws and regulations will not restrict the ways we can use the AI/ML we have adopted, including by limiting or changing global AI/ML adoption trends that may impede our strategy. Moreover, regulations relating to AI/ML technologies may also impose certain obligations on organizations, and the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23" w:name="page24"/>
    <w:bookmarkEnd w:id="23"/>
    <w:p>
      <w:pPr>
        <w:jc w:val="both"/>
        <w:spacing w:after="0" w:line="249" w:lineRule="auto"/>
        <w:rPr>
          <w:sz w:val="20"/>
          <w:szCs w:val="20"/>
          <w:color w:val="auto"/>
        </w:rPr>
      </w:pPr>
      <w:r>
        <w:rPr>
          <w:rFonts w:ascii="Arial" w:cs="Arial" w:eastAsia="Arial" w:hAnsi="Arial"/>
          <w:sz w:val="13"/>
          <w:szCs w:val="13"/>
          <w:color w:val="auto"/>
        </w:rPr>
        <w:t>costs of monitoring and responding to such regulations, as well as the consequences of non-compliance, could have an adverse effect on our operations or financial condition. For example, provisional political agreement on a proposed EU AI Act was reached between co-legislators in December 2023, and formally approved in February 2024, and such proposed legislation includes that specific transparency and other requirements would be introduced for general purpose AI systems and the models on which those systems are based, which may apply to the AI/ML we have adopted. The EU AI Act is expected to apply after a transitional period of two years after its entry into force (which may come into effect as early as May or June 2024). Once in effect, the EU AI Act would impose material requirements on both the providers and deployers of AI/ML technologies, with infringement punishable by sanctions of up to 7% of annual worldwide turnover or EUR 35 million (whichever is higher) for the most serious breaches. In addition, the White House's Executive Order on the Safe, Secure, and Trustworthy Development and Use of Artificial Intelligence devises a framework for the U.S. government, among other things, to regulate private sector use and development of certain foundation models. Unfavorable legal and regulatory developments could also impact our vendors, suppliers and industry as a whole, and we may be exposed to increased risk of liability, reputational harm, and other significant costs if we need to make business and operational changes in response to such developments. Our failure, or perceived failure, to comply fully with developing interpretations of AI/ML laws and regulations, or meet evolving and varied stakeholder expectations and industry standards, could harm our business, reputation, financial condition, and operating results.</w:t>
      </w:r>
    </w:p>
    <w:p>
      <w:pPr>
        <w:spacing w:after="0" w:line="338"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Certain of our debt agreements contain covenants that may constrain the operation of our business, and our failure to comply with these covenants could materially and adversely affect our results of operations, financial condition, business and prospects.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Restrictive covenants in our credit facilities may prevent us from pursuing certain transactions or business strategies, including by limiting our ability to, in certain circumstances:</w:t>
      </w:r>
    </w:p>
    <w:p>
      <w:pPr>
        <w:spacing w:after="0" w:line="84" w:lineRule="exact"/>
        <w:rPr>
          <w:sz w:val="20"/>
          <w:szCs w:val="20"/>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incur additional indebtedness;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pay dividends or make distributions;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acquire assets or make investments outside of the ordinary course of business;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sell, lease, license, transfer or otherwise dispose of assets;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enter into transactions with our affiliates;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create or permit liens;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guarantee indebtedness;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enter into change of control transactions;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engage in certain extraordinary transactions.</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Failure to comply with any of the covenants in our debt agreements, including due to events beyond our control, could result in an event of default. The holders of the defaulted debt could terminate commitments to lend and accelerate amounts outstanding to be due and payable immediately. This could also result in cross-defaults under our other debt instruments, significantly impacting our liquidity and ability to fund our operations. Any of these occurrences could materially and adversely affect our results of operations, financial condition, business and prospects.</w:t>
      </w: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Compliance with applicable data security and data privacy laws and regulations may be costly and, in the case of a breach of applicable law, could harm our reputation.</w:t>
      </w:r>
    </w:p>
    <w:p>
      <w:pPr>
        <w:spacing w:after="0" w:line="84"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In the United States, federal and state laws impose limits on, or requirements regarding the collection, distribution, use, security and storage of personal information of individuals, and there has been increased regulation of data privacy and security particularly at the state level, including the California Consumer Privacy Act (effective on January 1, 2020), and the California Privacy Rights Act (effective on January 1, 2023). Furthermore, many other states, such as Virginia, Colorado, Connecticut, Utah and others have enacted or are actively considering or enacting similar laws and we operate in many of these jurisdictions. Outside the United States, the European Union and other countries in which we operate also have privacy and data protection laws, regulations and standards, including the European Union’s General Data Protection Regulation (the “EU GDPR”), the United Kingdom’s GDPR (the “UK GDPR”), and India’s new Digital Personal Data Protection Act.</w:t>
      </w:r>
    </w:p>
    <w:p>
      <w:pPr>
        <w:spacing w:after="0" w:line="4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interpretation and application of many of these existing or recently enacted laws and regulations are increasingly complex, uncertain and fluid, and could be inconsistent with our existing data management practices. For example, the EU GDPR and UK GDPR generally restrict the transfer of personal information to countries outside the European Economic Area (“EEA”) and the United Kingdom (“UK”) to the United States and other jurisdictions without appropriate safeguards or other measures. Additionally, while the EU-U.S. Data Privacy Framework, which went into effect on July 10, 2023, allows companies to transfer personal information from the European Union to the United States without additional safeguard measures (e.g., standard contractual clauses or binding corporate rules), such framework (like past frameworks) is subject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24" w:name="page25"/>
    <w:bookmarkEnd w:id="24"/>
    <w:p>
      <w:pPr>
        <w:jc w:val="both"/>
        <w:spacing w:after="0" w:line="250" w:lineRule="auto"/>
        <w:rPr>
          <w:sz w:val="20"/>
          <w:szCs w:val="20"/>
          <w:color w:val="auto"/>
        </w:rPr>
      </w:pPr>
      <w:r>
        <w:rPr>
          <w:rFonts w:ascii="Arial" w:cs="Arial" w:eastAsia="Arial" w:hAnsi="Arial"/>
          <w:sz w:val="13"/>
          <w:szCs w:val="13"/>
          <w:color w:val="auto"/>
        </w:rPr>
        <w:t>to legal challenge. These developments could lead to substantial costs, require significant changes, divert the attention of our technology personnel, adversely affect our margins, increase costs and subject us to additional liabilities. If we are unable to transfer personal data between and among countries and regions in which we operate, it could affect the geographical location or segregation of our relevant systems and operations, and could adversely affect our financial results. In addition, the existing EU and UK privacy laws on cookies and e-marketing are also in flux and are likely to be replaced by new regulations, which may introduce more stringent requirements for using cookies and similar technologies for direct marketing and significantly increase fines for non-compliance in-line with the GDPR. Stricter enforcement of such laws could limit the effectiveness of our marketing activities, divert the attention of our technology personnel, increase costs and subject us to additional liabilities.</w:t>
      </w:r>
    </w:p>
    <w:p>
      <w:pPr>
        <w:spacing w:after="0" w:line="6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Inappropriate disclosure of personal and other sensitive data, even if inadvertent, or other actual or perceived violations of or noncompliance with such laws and regulations could expose us to significant administrative, civil or criminal liability as well as reputational harm. For example, a breach of the GDPR could result in fines of up to 20 million euros (“EUR”) under the EU GDPR or British pound sterling (“GBP”) 17.5 million under the UK GDPR or up to 4% of the annual global revenue of the infringer, whichever is greater, as well as regulatory investigations, reputational damage, orders to cease or change our processing of personal data, enforcement notices and/or assessment notices (for a compulsory audit). Privacy-related claims or lawsuits initiated by governmental bodies, employees or other third parties, whether meritorious or not, could be time-consuming, result in costly regulatory proceedings, litigation, penalties and fines, or require us to change our business practices, sometimes in expensive ways, or other potential liabilities.</w:t>
      </w:r>
    </w:p>
    <w:p>
      <w:pPr>
        <w:spacing w:after="0" w:line="74"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Additionally, a failure to comply with the National Institute of Standards and Technology Special Publication 800-171 or the Department of Defense (”DoD”)’s cybersecurity requirements, including the Cyber Security Material Model Certificate (“CMMC”), which will require all contractors to receive specific third-party cybersecurity certifications to be eligible for contract awards, could restrict our ability to bid for, be awarded and perform on DoD contracts. The DoD expects that all new contracts will be required to comply with the CMMC by 2026, and initial requests for information and for proposal have already begun. We are in the process of evaluating our readiness and preparing for the CMMC. To the extent we, or our subcontractors or other third parties on whom we rely are unable to achieve certification in advance of contract awards that specify the requirement, we may be unable to bid on contract awards or follow-on awards for existing work with the DoD, which could materially and adversely affect our results of operations, financial condition, business and prospects. We will also be required to go through a recertification process every two years. In addition, any obligations that may be imposed on us under the CMMC may be different from or in addition to those otherwise required by applicable laws and regulations, which may cause additional expense for compliance.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products may contain defects that could harm our reputation, be costly to correct, delay revenue and expose us to litigation.</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products are highly complex and sophisticated and, from time to time, may contain defects, errors, hardware failures or other failures that are difficult to detect and correct. Errors, defects and other failures may be found in new solutions, products or services or improvements to existing solutions, products or services after delivery to our customers. If these defects, errors and failures are discovered, we may not be able to successfully correct them in a timely manner or otherwise mitigate or eliminate the impact of the error or failure. The occurrence of errors, defects and other failures in our products could result in the delay or the denial of market acceptance of our products and alleviating such errors, defects and other failures may require us to make significant expenditure of our resources. Our products are often used for critical business processes and as a result, any defect in or failure of our products may cause customers to reconsider renewing their contract with us, cause significant customer dissatisfaction and possibly giving rise to claims for indemnification or other monetary damages. The harm to our reputation resulting from errors, defects and other failures may be material. Any claims for actual or alleged losses to our customers’ businesses may require us to spend significant time and money in litigation or arbitration or to pay significant settlements or damages. Defending a lawsuit, regardless of merit, can be costly and divert management’s attention and resources. Accordingly, any such claim could materially and adversely affect our results of operations, financial condition, business and prospects.</w:t>
      </w: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problem in the semiconductor outsourcing infrastructure could materially and adversely affect our results of operations, financial condition, business and prospects.</w:t>
      </w:r>
    </w:p>
    <w:p>
      <w:pPr>
        <w:spacing w:after="0" w:line="9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Many of our customers depend on third parties to provide assembly, testing and other related services. Many of these services are geographically concentrated primarily in Asia. If these customers cannot timely obtain those services on reasonable terms, they may not order foundry products and services from us, which could materially and adversely affect our results of operations, financial condition, business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color w:val="auto"/>
        </w:rPr>
        <w:t>Risks related to Intellectual Property</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failure to obtain, maintain, protect or enforce our intellectual property and proprietary rights could impair our ability to protect our proprietary technology and our brand.</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success depends to a significant degree on our ability to obtain, maintain, protect and enforce our intellectual property rights. We rely on a combination of patents, trade secrets, copyrights, trademarks, service marks, and other forms of intellectual property, contractual restrictions and confidentiality procedures to establish and protect our proprietary rights. However, the steps we take to obtain, maintain, protect and enforce our intellectual property rights may be inadequate. We may not be able to protect our technology, know-how, and/or brand if we are unable to enforce our rights for whatever reason or if we do not detect unauthorized use of our intellectual property rights. If we fail to protect our intellectual property rights adequately, our competitors may gain access to our proprietary technology and develop and commercialize substantially similar products, services or technologies, which could materially and adversely affect our results of operations, financial condition, business and prospects.</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have filed various applications for certain aspects of our intellectual property in the United States and other countries, and we have built a comprehensive patent portfolio of approximately 9,000 worldwide patents. In the future, we may acquire additional patents or patent portfolios, license patents from third parties or agree to license the technology of third parties, which could require significant cash expenditures. Our patents do not cover all of our technologies, systems, products and product components and our competitors or others may design around our patented technologies. Further, when we seek patent protection for a particular technology, there is no assurance that the applications we file will result in issued patents or that if patents do issue as a result that they will be found to be valid and enforceable or that they will effectively block competitors from creating competing technology. In addition, we may need to license technology from third parties to develop and market new products and we cannot be certain that we could license that technology on commercially reasonable terms or at all. Our inability to license this technology could harm our ability to compete and materially and adversely affect our results of operations, financial condition, business and prospects.</w:t>
      </w:r>
    </w:p>
    <w:p>
      <w:pPr>
        <w:spacing w:after="0" w:line="7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Some of our know-how or technology is not patented or patentable and may constitute trade secrets. To protect our trade secrets, we have a policy of requiring our employees, consultants, advisors and other collaborators who contribute to our material intellectual property to enter into confidentiality agreements. We also rely on customary contractual protections with our suppliers and customers, and we implement security measures intended to protect our trade secrets, know-how and other proprietary information. However, no assurances can be given that those contracts will not be breached. Further, those contracts and arrangements may be ineffective in protecting our intellectual property and may not prevent unauthorized disclosure. See also “Item 3. Key Information—D. Risk Factors—Risk Factors—Risks Related to Intellectual Property—There is a risk that our trade secrets, know-how and other proprietary information will be stolen, used in an unauthorized manner, or compromised, which could materially and adversely affect our results of operations, financial condition, business and prospects.” In addition, third parties may independently develop technologies that may be substantially equivalent or superior to our technology.</w:t>
      </w:r>
    </w:p>
    <w:p>
      <w:pPr>
        <w:spacing w:after="0" w:line="351"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There is a risk that our trade secrets, know-how and other proprietary information will be stolen, used in an unauthorized manner, or compromised, which could materially and adversely affect our results of operations, financial condition, business and prospects.</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Our trade secrets, know-how and other proprietary information may be stolen, used in an unauthorized manner, or compromised through a direct intrusion by private parties or foreign actors, including those affiliated with or controlled by state actors, through cyber intrusions into our computer systems, physical theft through corporate espionage or other means, or through more indirect routes, including by joint venture partners, licensees that do not honor the terms of the license, potential licensees that were ultimately not licensed, or other parties reverse engineering our company’s solutions, products or components. For example, in 2023, we filed a trade secret misappropriation lawsuit against IBM based on IBM’s disclosure to Intel Corp. and Rapidus Inc. of technology and know-how that GF contends IBM was not authorized to disclose.</w:t>
      </w:r>
    </w:p>
    <w:p>
      <w:pPr>
        <w:spacing w:after="0" w:line="5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AI/ML technologies can also be misused or misappropriated by third parties and/or our employees. Moreover, there is a risk that an employee may input confidential information, including material non-public information, trade secrets or personal identifiable information, into AI/ML technologies applications, resulting in such information becoming accessible by third parties, including our competitors. Any of the foregoing factors could materially and adversely affect our results of operations, financial condition, business and prospects.</w:t>
      </w:r>
    </w:p>
    <w:p>
      <w:pPr>
        <w:spacing w:after="0" w:line="34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The laws of some foreign countries may not be as protective of intellectual property rights as those in the United States, and mechanisms for enforcement of intellectual property rights may be inadequate.</w:t>
      </w:r>
    </w:p>
    <w:p>
      <w:pPr>
        <w:spacing w:after="0" w:line="3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absence of internationally harmonized intellectual property laws and different enforcement regimes makes it more difficult to ensure consistent protection of our proprietary rights. Our strong international presence may lead to increased exposure to unauthorized copying and use of our manufacturing technologies and proprietary information. Moreover, policing unauthorized use of our technologies, trade secrets, and intellectual property may be difficult, expensive and time-consuming, particularly in foreign countries where the laws may not be as protective of intellectual property rights as those in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26" w:name="page27"/>
    <w:bookmarkEnd w:id="26"/>
    <w:p>
      <w:pPr>
        <w:jc w:val="both"/>
        <w:spacing w:after="0" w:line="261" w:lineRule="auto"/>
        <w:rPr>
          <w:sz w:val="20"/>
          <w:szCs w:val="20"/>
          <w:color w:val="auto"/>
        </w:rPr>
      </w:pPr>
      <w:r>
        <w:rPr>
          <w:rFonts w:ascii="Arial" w:cs="Arial" w:eastAsia="Arial" w:hAnsi="Arial"/>
          <w:sz w:val="13"/>
          <w:szCs w:val="13"/>
          <w:color w:val="auto"/>
        </w:rPr>
        <w:t>the United States and where mechanisms for enforcement of intellectual property rights may be weak. Accordingly, despite our efforts, we may be unable to prevent third parties from infringing upon, misappropriating or otherwise violating our intellectual property rights. Our inability to secure or enforce our intellectual property rights could materially and adversely affect our results of operations, financial condition, business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been, and may continue to be, subject to intellectual property disputes, which are costly and may subject us to significant liability and increased costs of doing business.</w:t>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semiconductor industry is subject to claims of infringement by patent owners and is characterized by frequent litigation regarding patent rights. From time to time, we receive communications from third parties that allege that our products or technologies infringe their patent or other intellectual property rights and we have had patent infringement lawsuits filed against us claiming that certain of our products, services, or technologies infringe the intellectual property rights of others. We may continue to become subject to such intellectual property disputes in the future. Further, we have entered into licenses, including patent licenses with third parties in settlements of claims or in order to avoid intellectual property disputes and the loss of license rights, including as a result of a termination or expiration of such licenses, may limit our ability to use certain technologies in the future, which could cause us to incur significant costs, prevent us from commercializing certain of our products or otherwise have a material adverse effect on us. In addition, there may be issued patents held by third parties that, if found to be valid and enforceable, could be alleged to be infringed by our current or future technologies or products. There also may be pending patent applications of others that may result in issued patents, which could be alleged to be infringed by our current or future technologies or products.</w:t>
      </w:r>
    </w:p>
    <w:p>
      <w:pPr>
        <w:spacing w:after="0" w:line="7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order to protect our intellectual property rights, we may be required to spend significant resources to monitor and protect those rights. Litigation brought to protect and enforce our intellectual property rights could be costly, time-consuming and distracting to management.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the implementation of our manufacturing technologies, delay introductions of new solutions or injure our reputation and could have a material and adverse effect on our results of operations, financial condition, business and prospects.</w:t>
      </w:r>
    </w:p>
    <w:p>
      <w:pPr>
        <w:spacing w:after="0" w:line="6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Further, many of our agreements with our customers and partners, the terms of which often survive termination or expiration of the applicable agreement, require us to defend such parties against certain intellectual property infringement claims and indemnify them for damages and losses arising from certain intellectual property infringement claims against them, which have in the past resulted, and could in the future result, in increased costs for defending such claims or significant damages if there is an adverse ruling in any such claims. These defense costs and indemnity payments could materially and adversely affect our results of operations, financial condition, business and prospects. Such customers and partners may also discontinue the use of our products, services, and solutions, as a result of injunctions or otherwise, which could result in loss of revenue and adversely affect our business. We may also have to seek a license for the technology, which may not be available on reasonable terms, if at all, and may significantly increase our operating expenses or may require us to restrict our business activities and limit our ability to develop and deliver our products. As a result, we may also be required to develop alternative non-infringing technology, which could require significant effort and expense or which may not be possible, which could negatively affect our business. Moreover, intellectual property indemnities provided to us by our suppliers, when obtainable, may not cover all damages and losses suffered by us and our customers arising from intellectual property infringement claims. Even if we were to prevail in such a dispute, any litigation regarding our intellectual property could be costly and time-consuming and divert the attention of our management and key personnel from our business operations.</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color w:val="auto"/>
        </w:rPr>
        <w:t>Any of the foregoing factors could materially and adversely affect our results of operations, financial condition, business and prospects.</w:t>
      </w:r>
    </w:p>
    <w:p>
      <w:pPr>
        <w:spacing w:after="0" w:line="360"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Our success depends, in part, on our ability to develop and commercialize our technology without infringing, misappropriating or otherwise violating the intellectual property rights of third parties and we may not be aware of such infringements, misappropriations or violations.</w:t>
      </w:r>
    </w:p>
    <w:p>
      <w:pPr>
        <w:spacing w:after="0" w:line="2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Third parties may bring claims alleging infringement, misappropriation or violation of intellectual property rights. We cannot guarantee that we have not, do not or will not infringe, misappropriate or otherwise violate the intellectual property rights of others. Our technologies may not be able to withstand any third-party claims against their use. In addition, some companies may have the capability to dedicate substantially greater resources to enforce their intellectual property rights and to defend claims that may be brought against them. Furthermore, third parties have and may continue to assert infringement claims against us in the future, including the sometimes aggressive and opportunistic actions of non-practicing entities whose business model is to obtain patent-licensing revenue from operating companies such as us. Regardless of the merit of such claims, any claim that we have violated intellectual property or other proprietary rights of third parties, whether or not it results in litigation, is settled out of court or is determined in our favor, could be expensive and time-consuming, and could divert the time and attention of management and technical personnel from our business. The litigation process is subject to</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27" w:name="page28"/>
    <w:bookmarkEnd w:id="27"/>
    <w:p>
      <w:pPr>
        <w:jc w:val="both"/>
        <w:spacing w:after="0" w:line="248" w:lineRule="auto"/>
        <w:rPr>
          <w:sz w:val="20"/>
          <w:szCs w:val="20"/>
          <w:color w:val="auto"/>
        </w:rPr>
      </w:pPr>
      <w:r>
        <w:rPr>
          <w:rFonts w:ascii="Arial" w:cs="Arial" w:eastAsia="Arial" w:hAnsi="Arial"/>
          <w:sz w:val="13"/>
          <w:szCs w:val="13"/>
          <w:color w:val="auto"/>
        </w:rPr>
        <w:t>inherent uncertainties, and we may not prevail in litigation matters regardless of the merits of our position. In some jurisdictions, plaintiffs can also seek injunctive relief that may limit the operation of our business or prevent the marketing and selling of our services that infringe or allegedly infringe on the plaintiff’s intellectual property rights. If a third party is able to obtain an injunction preventing us from using our technology, accessing third-party intellectual property rights, or if we cannot license or develop alternative technology for any infringing aspect of our business, we could be forced to limit or stop manufacturing activities or sales of our products or cease other business activities related to such intellectual property. To resolve these claims, we may enter into licensing agreements with restrictive terms or significant fees, stop selling our products or services or be required to implement costly or inferior redesigns to the affected products or services, or pay damages to satisfy contractual obligations to others. If we do not resolve these claims in advance of a trial, there is no guarantee that we will be successful in court. These outcomes could materially and adversely affect our results of operations, financial condition, business and prospects.</w:t>
      </w: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unable to provide technology to our customers if we lose the support of our technology partners.</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Enhancing our manufacturing process technologies is critical to our ability to provide services for our customers. We intend to continue to advance our process technologies through internal R&amp;D and alliances with other companies. In addition to our internal R&amp;D focused on developing new and improved semiconductor manufacturing process technologies, our business involves collaboration, including customization and other development of technologies and intellectual property, with and for our customers, vendors and other third parties. We frequently enter into agreements with customers, vendors, equipment suppliers and others that involve customization and other development of technologies and intellectual property. As a result of these agreements, we may be required to limit use of, or refrain from using, certain technologies and intellectual property rights in parts of our business. Determining inventorship and ownership of technologies and intellectual property rights resulting from development activities can be difficult and uncertain.</w:t>
      </w:r>
    </w:p>
    <w:p>
      <w:pPr>
        <w:spacing w:after="0" w:line="6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Disputes may arise with customers, vendors and other third parties regarding ownership of and rights to use and enforce these technologies and intellectual property rights or regarding interpretation of our agreements with these third parties, and these disputes may result in claims against us or claims that intellectual property rights are not owned by us, are not enforceable, or are invalid. The cost and effort to resolve these types of disputes, or the loss of rights in technologies in intellectual property rights if we lose these types of disputes, could harm our business and financial condition. In addition, our customers, vendors and other third parties may suffer delays, quality issues, or other problems affecting their development activities and ability to supply us with certain technology and intellectual property, which could adversely affect our business and operating results. Further, if we are unable to continue any of our joint development arrangements or other agreements, on mutually beneficial terms, or if we cannot re-evaluate the technological and economic benefits of such relationships with these partners, vendors or suppliers in a timely manner sufficient to support our ongoing technology development, we may be unable to continue providing our customers with leading edge or differentiated mass-producible process technologies and may, as a result, lose important customers, which could have a materially adverse effect on our results of operations, financial condition, businesses and prospects.</w:t>
      </w: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Strategic Transactions</w:t>
      </w:r>
    </w:p>
    <w:p>
      <w:pPr>
        <w:spacing w:after="0" w:line="84"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may make strategic transactions, and such transactions may introduce significant risks and uncertainties, including risks related to integrating the acquired companies, assets or businesses.</w:t>
      </w:r>
    </w:p>
    <w:p>
      <w:pPr>
        <w:spacing w:after="0" w:line="4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have in the past sought, and may in the future seek, to acquire or invest in businesses, joint ventures and technologies that we believe could complement or expand our capacity, enhance our technology offerings or otherwise offer growth opportunities. These transactions, particularly acquisitions, may be subject to regulatory approvals, including approval from the Committee on Foreign Investment in the United States (“CFIUS”) and approvals from antitrust authorities. With regard to CFIUS, our transactions may be more likely to require CFIUS review given the expansion of CFIUS jurisdiction to critical technologies as well as the increased public scrutiny on the industry due to the CHIPS and Science Act. Failure to obtain CFIUS approval, as applicable, and other required regulatory approvals may delay or otherwise limit our ability to make strategic transactions. In addition to domestic regulatory focus, semiconductor technology has been the focus of international regulatory review. China has been particularly focused on transactions in the technology industry and has rejected some proposed transactions. The changing nature of government reviews may impact the ability for inorganic growth of our business.</w:t>
      </w:r>
    </w:p>
    <w:p>
      <w:pPr>
        <w:spacing w:after="0" w:line="7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integration efforts may periodically expose deficiencies in the controls and procedures relating to cybersecurity and the compliance with data privacy and protection laws, regulations and standards of an acquired company or business that were not identified in our due diligence undertaken prior to consummating the acquisition. Additionally, we may encounter difficulties assimilating or integrating the businesses, technologies, products, personnel or operations of any acquired companies, particularly if the key personnel of an acquired company cannot be retained, or we have difficulty preserving the customers of any acquired business. These transactions could also result in dilutive issuances of equity securities or the incurrence of debt, which could adversely affect our results of operations.</w:t>
      </w:r>
    </w:p>
    <w:p>
      <w:pPr>
        <w:spacing w:after="0" w:line="6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have also in the past sought, and may in the future seek, to divest ourselves of businesses, dispose of assets, cease investments, or wind down joint ventures or manufacturing alliances. Current market conditions may increase the difficulty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28" w:name="page29"/>
    <w:bookmarkEnd w:id="28"/>
    <w:p>
      <w:pPr>
        <w:jc w:val="both"/>
        <w:spacing w:after="0" w:line="261" w:lineRule="auto"/>
        <w:rPr>
          <w:sz w:val="20"/>
          <w:szCs w:val="20"/>
          <w:color w:val="auto"/>
        </w:rPr>
      </w:pPr>
      <w:r>
        <w:rPr>
          <w:rFonts w:ascii="Arial" w:cs="Arial" w:eastAsia="Arial" w:hAnsi="Arial"/>
          <w:sz w:val="13"/>
          <w:szCs w:val="13"/>
          <w:color w:val="auto"/>
        </w:rPr>
        <w:t>and costs of finding buyers and may cause us to obtain less-favorable transaction terms. Winding down joint ventures or manufacturing alliances may cause us to be subject to penalties, unrecoverable initial investments, and other losses. In addition, in the case of the divestiture of manufacturing facilities, we may be obligated to rely on buyers’ wafer production in order to fulfil existing customer commitments in the short run.</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These efforts may divert the attention of management and cause us to incur various expenses in identifying, investigating and pursuing suitable opportunities, whether or not the transactions are completed, and may result in unforeseen operating difficulties and expenditures. Any such transactions that we are able to complete may not result in the synergies, efficiencies or other benefits we expected to achieve, which could result in substantial impairment charges and other losses. Any of the foregoing factors could materially and adversely affect our results of operations, financial condition, business and prospects.</w:t>
      </w:r>
    </w:p>
    <w:p>
      <w:pPr>
        <w:spacing w:after="0" w:line="3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We are in the process of implementing a strategic collaboration with ST Microelectronics (“ST”) pursuant to which ST and the Company are building and fitting out a new, jointly-operated fab in Crolles, France. Failure to successfully implement and manage the strategic collaboration may adversely affect our results of operation, financial conditions, business and prospects.</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August 2022, we entered into a Commercial and Cooperation Agreement with ST for the build-out and joint operation of a new 300mm semiconductor manufacturing facility. This facility is targeted to ramp up to 620,000 300mm wafers per year production at full build-out. In June 2023, the Company announced the conclusion of the agreement for the jointly operated semiconductor manufacturing facility, which would benefit from significant financial support from the state of France.</w:t>
      </w:r>
    </w:p>
    <w:p>
      <w:pPr>
        <w:spacing w:after="0" w:line="5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Implementing this strategic collaboration is a complex and lengthy process that requires, among other things, both parties receiving substantial government funding that is dependent on meeting various milestones, both parties paying their respective share of agreed capital investments, and both parties cooperating on the joint operation of the facility.</w:t>
      </w:r>
    </w:p>
    <w:p>
      <w:pPr>
        <w:spacing w:after="0" w:line="6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may, at any time, have disagreements with ST or have interests or goals that are inconsistent with ST’s goals, which may result in conflicting views as to plan and timing of the build-out and the operation of the facility, which disagreements or conflicts may not be resolved in our favor. Because ST will own the building for the manufacturing facility, we inherently have a lesser degree of control over business operations, thereby increasing the financial, legal, operational, and/or compliance risks to us. We may not be able to oversee all aspects of the build-out and operation, which may lead to a potential inability to implement adequate internal controls covering the collaboration. Additionally, we will depend on ST to commit sufficient resources to the project, over which we will have no control. The collaboration requires us to partially rely on the financial condition of ST and could be adversely affected by any significant change in its financial conditions.</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The collaboration is also subject to the risk that we or ST may not meet the milestones required to obtain the substantial government funding that is needed to make the project a success.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may not be successful in our efforts to build and operate this new facility, and we may not achieve the anticipated benefits that we expected to achieve. Further, we may decide not to move forward with the joint operation of the facility depending on any of the above-mentioned factors and/or due to current market dynamics. As a result, any existing investments, including in purchases of equipment or payments for construction, may result in losses.</w:t>
      </w:r>
    </w:p>
    <w:p>
      <w:pPr>
        <w:spacing w:after="0" w:line="5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If any of the above risks come to fruition, we may be delayed or may be unsuccessful in our efforts to implement this collaboration or jointly operate the facility, or we may incur losses on the project, all of which could have a material adverse effect on our results of operations and our financial condition.</w:t>
      </w: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Political, Regulatory and Legal Risks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Environmental, health and safety laws and regulations expose us to liability and risk of non-compliance, and any such liability or non-compliance could adversely affect our business.</w:t>
      </w:r>
    </w:p>
    <w:p>
      <w:pPr>
        <w:spacing w:after="0" w:line="84"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In each jurisdiction in which we operate, our operations are subject to diverse environmental, health and safety laws and regulations that govern, among other things, emissions of pollutants into the air, wastewater discharges, the use and handling of hazardous substances, waste disposal, the investigation and remediation of soil and ground water contamination and the health and safety of our employees. Semiconductor manufacturing depends on a wide array of process materials, including hazardous materials that are subject to local, state, national and international regulations. These materials, our manufacturing operations and our products and services are subject to diverse environmental, health and safety laws, regulations and regulatory requirements. Sourcing of materials could also present reputational risks if our direct or indirect suppliers are found to be in violation of environmental health and safety regulations, or ethical or human rights regulations or standards.</w:t>
      </w:r>
    </w:p>
    <w:p>
      <w:pPr>
        <w:spacing w:after="0" w:line="4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Regulatory changes, including restrictions on new or existing materials critical to our manufacturing processes, proposed regulations to address emerging contaminants such as per- and polyfluoroalkyl substances, increased restrictions related to discharges into water, air emissions and hazardous substances, changes to necessary permitting requirements, or changes in interpretations, could cause disruptions to our operations or necessitate additional costs or capital expenditures, such as those associated with identifying and qualifying substitute materials or processes, or with installing additional controls related to wastewater, air emissions or waste management. Regulatory limitations or restrictive covenants at contaminated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29" w:name="page30"/>
    <w:bookmarkEnd w:id="29"/>
    <w:p>
      <w:pPr>
        <w:spacing w:after="0"/>
        <w:rPr>
          <w:sz w:val="20"/>
          <w:szCs w:val="20"/>
          <w:color w:val="auto"/>
        </w:rPr>
      </w:pPr>
      <w:r>
        <w:rPr>
          <w:rFonts w:ascii="Arial" w:cs="Arial" w:eastAsia="Arial" w:hAnsi="Arial"/>
          <w:sz w:val="13"/>
          <w:szCs w:val="13"/>
          <w:color w:val="auto"/>
        </w:rPr>
        <w:t>properties could affect our ability to expand manufacturing operations or capacities and may affect our ability to import materials or equipment.</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Industrial accidents or releases, including those associated with storage, use, transportation or disposal of hazardous materials or wastes, could expose us to liabilities or remediation obligations and we may not have insurance coverage for such matters. Non-compliance with environmental, health and safety regulations or associated permit requirements may result in liabilities or monetary penalties. Non-compliance with or public controversy regarding environmental, health and safety matters could result in reputational harm.</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Certain environmental laws, including the Comprehensive Environmental Response, Compensation and Liability Act, the Resource Conservation and Recovery Act and state equivalents, make us potentially liable on a strict, joint and several basis for the investigation and remediation of contamination at, or originating from, facilities that are currently or formerly owned or operated by us and third-party sites to which we send or have sent materials for disposal or materials for recycling, along with related natural resources damages. We could become subject to potential material liabilities for the investigation and cleanup of historic contamination (including, potentially, emerging contaminants) on the U.S. properties where we operate should the currently responsible parties cease their ongoing remediation efforts notwithstanding their contractual obligations to us.</w:t>
      </w:r>
    </w:p>
    <w:p>
      <w:pPr>
        <w:spacing w:after="0" w:line="73"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Regulations and customer-imposed requirements in response to climate change could result in additional costs related to changes in process materials, control of process emissions, “carbon taxes” or related fees, and sourcing of energy supplies. Increased frequency of extreme weather events, and chronic conditions like higher temperatures and droughts could cause disruptions to our manufacturing facilities, non-manufacturing operations and supply chain.</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have policies, controls, and procedures designed to help ensure compliance with applicable laws, including as part of our Environmental, Social and Governance (“ESG”) initiatives. However, there can be no assurance that our employees, contractors, suppliers or agents will not violate such laws or our policies. Violations of these laws and regulations can result in fines, criminal sanctions against us, our officers, or our employees, prohibitions on the conduct of our business, and damage to our reputation. Any of the foregoing factors could materially and adversely affect our results of operations, financial condition, business and prospects.</w:t>
      </w:r>
    </w:p>
    <w:p>
      <w:pPr>
        <w:spacing w:after="0" w:line="335"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We are subject to anti-corruption, anti-bribery, anti-money laundering, counter-terrorist financing laws and similar laws and regulations, and non-compliance with such laws, regulations and standards can subject us to administrative, criminal or civil liability and harm our business, financial condition, results of operations and reputation.</w:t>
      </w:r>
    </w:p>
    <w:p>
      <w:pPr>
        <w:spacing w:after="0" w:line="28"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We are subject to the U.S. Foreign Corrupt Practices Act of 1977, as amended, U.S. anti-bribery laws and other anti-corruption, anti-bribery, anti-money laundering and counter-terrorist financing laws and regulations in the countries in which we conduct business.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sectors. In connection with our international sales and business and sales to the public sector, we may engage with business partners and third-party intermediaries to market our products and services and to obtain necessary permits, licenses, and other regulatory approvals. In addition, our third-party intermediaries, or other business partners, may have direct or indirect interactions with officials and employees of government agencies or state-owned or affiliated entities. We can be held liable for corrupt or other illegal activities of these third-party intermediaries or other business partners, their employees, representatives, contractors, partners, and agents, even if we do not explicitly authorize such activities. Although we have policies and procedures to address compliance with such laws and regulations, there is a risk that our employees and agents will take actions in violation of our policies and applicable law, for which we may be ultimately held responsible.</w:t>
      </w:r>
    </w:p>
    <w:p>
      <w:pPr>
        <w:spacing w:after="0" w:line="49"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Detecting, investigating and resolving actual or alleged violations of anti-corruption laws can require a significant diversion of time, resources and attention from senior management. In addition, noncompliance with anti-corruption, anti-bribery, anti-money laundering or counter-terrorist financing laws and regulations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In the past, we have experienced minor issues related to anti-corruption investigations involving vendors attempting to influence employees at our Singapore location. To date, we have not experienced any such investigations that were determined to be material to our business or financial results. If any subpoenas or investigations are launched, or governmental or other sanctions are imposed, or if we do not prevail in any possible civil or criminal proceeding, our results of operations, financial condition, business and prospects could be materially and adversely affected. Even in the event of a positive outcome in such an investigation or proceeding, the cost of the investigation or defense could be significant and negatively affect our financial performance.</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These laws, regulations and standards are driving the review and updating of many corporate policies and systems, often at significant expense. Until there is a settling of a consistent and stable global approach, our company, with customers and employees around the world, will be exposed to financial risk in complying with these requirements. Any of the foregoing factors could materially and adversely affect our results of operations, financial condition, business and prospects.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0" w:name="page31"/>
    <w:bookmarkEnd w:id="30"/>
    <w:p>
      <w:pPr>
        <w:jc w:val="both"/>
        <w:spacing w:after="0" w:line="276" w:lineRule="auto"/>
        <w:rPr>
          <w:sz w:val="20"/>
          <w:szCs w:val="20"/>
          <w:color w:val="auto"/>
        </w:rPr>
      </w:pPr>
      <w:r>
        <w:rPr>
          <w:rFonts w:ascii="Arial" w:cs="Arial" w:eastAsia="Arial" w:hAnsi="Arial"/>
          <w:sz w:val="13"/>
          <w:szCs w:val="13"/>
          <w:b w:val="1"/>
          <w:bCs w:val="1"/>
          <w:i w:val="1"/>
          <w:iCs w:val="1"/>
          <w:color w:val="auto"/>
        </w:rPr>
        <w:t>We are subject to governmental export and customs compliance requirements that could impair our ability to compete in international markets or subject us to liability if we violate the controls.</w:t>
      </w:r>
    </w:p>
    <w:p>
      <w:pPr>
        <w:spacing w:after="0" w:line="4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products and technology are subject to export controls in the jurisdictions where we do business. For example, in the United States, we are subject to the Export Administration Regulations and the International Traffic in Arms Regulations (“ITAR”). Under these regulations, certain commodities, software and technology may be exported only with the required export authorizations. Some technology and software that we create or possess is controlled under these regulations, and in certain cases, we are required to maintain controls limiting the access to such technology and software, even among our own employees. Furthermore, our activities are subject to economic sanctions laws and regulations, including U.S. economic sanctions laws and regulations administered by the U.S. Department of the Treasury’s Office of Foreign Assets Control that prohibit or restrict dealings that are within U.S. jurisdiction with, in or involving certain jurisdictions subject to comprehensive U.S. sanctions and certain designated persons and entities. We have corporate policies and procedures in place reasonably designed to ensure compliance with all applicable export control and economic sanctions laws and regulations.</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some cases, our compliance obligations may result in the loss of sales opportunities. In other cases, we may experience delays in our ability to conduct business as we await government authorization. Violations of economic sanctions or export control regulations can result in significant administrative fines or penalties or even criminal prosecution.</w:t>
      </w:r>
    </w:p>
    <w:p>
      <w:pPr>
        <w:spacing w:after="0" w:line="326"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We currently are, and may in the future continue to be, subject to litigation that could result in substantial costs, divert or continue to divert management’s attention and resources, and materially and adversely affect our results of operations, financial condition, business and prospects.</w:t>
      </w: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June 7, 2021 we filed a complaint in the Supreme Court of New York seeking declaratory judgment that we had not violated certain agreements entered into with International Business Machines Corporation (“IBM”) relating to our acquisition of IBM’s Microelectronics division in 2015, and subsequent development and research activities and sales of our products to IBM. On June 8, 2021, IBM filed a complaint in the Supreme Court of New York asserting intentional breach of contract and fraudulent misrepresentation claims under the same set of agreements. IBM argues that it is entitled to a return of its $1.5 billion payment to the company and at least $1 billion in damages. On September 14, 2021, the Court granted our motion to dismiss IBM’s claims of fraud, unjust enrichment and breach of the implied covenant of good faith and fair dealing. Our complaint seeking declaratory judgment was dismissed. On April 7, 2022, the Appellate Division reversed the lower court's dismissal of the fraud claim. Discovery and dispositive motion practice have been completed and the parties are awaiting a trial date. We believe, based on discussions with legal counsel, that we have meritorious defenses against IBM’s claims. We dispute IBM’s claims and intend to vigorously defend against them. We do not currently anticipate this proceeding to have a material impact on our results of operations, financial condition, business and prospects.</w:t>
      </w:r>
    </w:p>
    <w:p>
      <w:pPr>
        <w:spacing w:after="0" w:line="64"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In addition, we have been, and may continue to be, subject to legal proceedings and claims that arise in the ordinary course of business, such as claims brought by our customers in connection with commercial disputes, product liability claims, employment claims made by our current or former employees or claims of infringement raised by intellectual property owners, in connection with the technology used in our manufacturing operations. The risk of such litigation may increase due to use of our products in safety-related systems of other advanced technologies, including automobiles.</w:t>
      </w:r>
    </w:p>
    <w:p>
      <w:pPr>
        <w:spacing w:after="0" w:line="3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Any existing or future disputes, claims or proceedings could result in substantial costs and may divert management’s attention and resources.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 Any of the foregoing factors could materially and adversely affect our results of operations, financial condition, business and prospects. Further, negative publicity arising from disputes, claims or proceedings may damage our reputation and adversely affect the image of our brand and our products. In addition, if any verdict or award is rendered against us, we could be required to pay significant monetary damages, assume other liabilities and even to suspend or terminate related business ventures or projects.</w:t>
      </w:r>
    </w:p>
    <w:p>
      <w:pPr>
        <w:spacing w:after="0" w:line="34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If regular or statutory consultation processes with employee representatives such as works councils fail or are delayed, or if our employees were to engage in a strike or other work stoppage, our results of operations, financial condition, business and prospects could be materially and adversely affected.</w:t>
      </w:r>
    </w:p>
    <w:p>
      <w:pPr>
        <w:spacing w:after="0" w:line="4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may be required to consult with our employee representatives, such as works councils, on items such as work hours, restructurings, acquisitions and divestitures. Although we believe that our relations with our employees, employee representatives, labor unions and works councils are satisfactory, no assurance can be given that we will be able to successfully extend or renegotiate these agreements as they expire from time to time or, in the case of transactions, to conclude potential consultation processes in a timely way. A significant number of our employees in Dresden, Germany are covered by collective bargaining agreements, and our employees in the U.S. could also potentially unionize. If we fail to extend or renegotiate our labor agreements, collective bargaining agreements, and social plans, if significant disputes with unions arise, or if our workers engage in a strike or other work stoppage, we could incur higher ongoing labor costs or</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1" w:right="319" w:bottom="1440" w:gutter="0" w:footer="0" w:header="0"/>
        </w:sectPr>
      </w:pPr>
    </w:p>
    <w:bookmarkStart w:id="31" w:name="page32"/>
    <w:bookmarkEnd w:id="31"/>
    <w:p>
      <w:pPr>
        <w:jc w:val="both"/>
        <w:spacing w:after="0" w:line="254" w:lineRule="auto"/>
        <w:rPr>
          <w:sz w:val="20"/>
          <w:szCs w:val="20"/>
          <w:color w:val="auto"/>
        </w:rPr>
      </w:pPr>
      <w:r>
        <w:rPr>
          <w:rFonts w:ascii="Arial" w:cs="Arial" w:eastAsia="Arial" w:hAnsi="Arial"/>
          <w:sz w:val="13"/>
          <w:szCs w:val="13"/>
          <w:color w:val="auto"/>
        </w:rPr>
        <w:t>experience a significant disruption of operations. We have in the past faced minor work stoppages at certain of our manufacturing facilities in connection with negotiations of labor agreements. While none of these past incidents have resulted in material impacts to our production, there can be no assurance that there will not be material impacts to our production and our ability to timely provide products to our customers in the event that larger, longer or more frequent work stoppages occur in the future. Our collective bargaining agreements are typically subject to negotiation every one to two years, and our ability in the past to resolve such negotiations does not mean that we will be able to resolve future negotiations without strikes or disruptions, or on terms we consider reasonable. Any of the foregoing factors could materially and adversely affect our results of operations, financial condition, business and prospects.</w:t>
      </w:r>
    </w:p>
    <w:p>
      <w:pPr>
        <w:spacing w:after="0" w:line="3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Currency and Interest Rate Risks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exposed to foreign currency risk, which could materially adversely affect our expenses and profit margins and could result in exchange losses.</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majority of our sales are denominated in U.S. dollars, and therefore, our revenue is not subject to foreign currency risk. However, an increase in the value of the U.S. dollar can increase the real cost to our customers of our products and services in those markets outside of the United States where we sell in U.S. dollars. Conversely, a weakened U.S. dollar can increase the cost of expenses such as our direct labor, raw materials and overhead that are incurred outside of the United States. These operating expenses are denominated in foreign currencies and are subject to fluctuations due to changes in foreign currency exchange rates. Additionally, this could impact our capital expenditures with foreign suppliers we pay in non-U.S. dollar currencies. We also engage in financing activities in local currencies. Our hedging programs may not be able to effectively offset any, or more than a portion, of the impact of currency exchange rate movements. As a result, unfavorable changes in exchange rates could materially and adversely affect our results of operations, financial condition, business and prospects.</w:t>
      </w:r>
    </w:p>
    <w:p>
      <w:pPr>
        <w:spacing w:after="0" w:line="33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have significant exposure to the Secured Overnight Financing Rate (“SOFR”) and other floating interest rates and fluctuations in interest rates may have adverse effects on our financial condition and results of operations.</w:t>
      </w:r>
    </w:p>
    <w:p>
      <w:pPr>
        <w:spacing w:after="0" w:line="4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SOFR is a broad measure of the cost of borrowing cash overnight collateralized by U.S. Treasury securities. SOFR has a limited history, and the future performance of SOFR cannot be predicted based on its limited historical performance. The level of SOFR may bear little or no relation to historical, actual or indicative data. Prior observed patterns, if any, in the behavior of market variables and their relation to SOFR, such as correlations, may change in the future. While some pre-publication historical data have been released by the Federal Reserve Bank of New York, such analysis inherently involves assumptions, estimates and approximations, and hypothetical or historical performance data are not indicative of, and have no bearing on, the potential performance of SOFR. The future performance of SOFR is therefore impossible to predict, and no future performance of SOFR may be inferred from any of the historical, actual or indicative data. Changes in the levels of SOFR will affect the interest rate we have to pay under our outstanding debt agreements, given that we have fully transitioned to SOFR from the London Interbank Offered Rate (“LIBOR”).</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Because a majority of our debt is primarily based on floating interest rate benchmarks (including SOFR), fluctuations in interest rates could have a material effect on our business. We currently utilize, and may in the future utilize, derivative financial instruments such as interest rate swaps or interest rate caps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Interest rates are highly sensitive to many factors, including governmental monetary policies, domestic and international economic and political conditions, and other factors beyond our control. If SOFR increases as a result of events over which we have no control, this could have a material adverse effect on our financial condition and results of operations. If SOFR increases, our debt service obligations would increase even if the amount borrowed remained the same, and our net loss will increase and cash flows from operating activities, including cash available for servicing our indebtedness, will correspondingly decrease.</w:t>
      </w: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Changes in Effective Tax Rate and Accounting Principles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our effective tax rate or tax liability may have an adverse effect on our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Our effective tax rate or tax liability could increase due to several factors, including, but not limited to:</w:t>
      </w:r>
    </w:p>
    <w:p>
      <w:pPr>
        <w:spacing w:after="0" w:line="95" w:lineRule="exact"/>
        <w:rPr>
          <w:sz w:val="20"/>
          <w:szCs w:val="20"/>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changes in the relative amounts of income before taxes in the various jurisdictions in which we operate that have differing statutory tax rates;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changes in tax laws, tax treaties and regulations or the interpretation of them;</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2" w:name="page33"/>
    <w:bookmarkEnd w:id="32"/>
    <w:p>
      <w:pPr>
        <w:ind w:left="520" w:hanging="260"/>
        <w:spacing w:after="0" w:line="266" w:lineRule="auto"/>
        <w:tabs>
          <w:tab w:leader="none" w:pos="511" w:val="left"/>
        </w:tabs>
        <w:numPr>
          <w:ilvl w:val="0"/>
          <w:numId w:val="27"/>
        </w:numPr>
        <w:rPr>
          <w:rFonts w:ascii="Arial" w:cs="Arial" w:eastAsia="Arial" w:hAnsi="Arial"/>
          <w:sz w:val="13"/>
          <w:szCs w:val="13"/>
          <w:color w:val="auto"/>
        </w:rPr>
      </w:pPr>
      <w:r>
        <w:rPr>
          <w:rFonts w:ascii="Arial" w:cs="Arial" w:eastAsia="Arial" w:hAnsi="Arial"/>
          <w:sz w:val="13"/>
          <w:szCs w:val="13"/>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61"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outcome of current and future tax audits, examinations or administrative appeals;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limitations or adverse findings regarding our ability to do business in some jurisdictions; and</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significant changes to our majority ownership may inhibit our utilization of net operating losses and certain tax attributes against future income tax liabilities.</w:t>
      </w: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auto"/>
        </w:rPr>
        <w:t>Changes such as these that affect our effective tax rate could materially and adversely affect our results of operations and financial condition.</w:t>
      </w: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international operations subject us to potentially adverse tax consequences.</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generally conduct our international operations through subsidiaries and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There is also a high level of uncertainty in today’s tax environment stemming from both global initiatives put forth by the Organisation for Economic Co-operation and Development, or the “OECD”, and unilateral measures being implemented by various countries due to a historic lack of consensus on these global initiatives. As an example, the OECD has put forth two proposals—Pillar One and Pillar Two—that revise the existing profit allocation and nexus rules (profit allocation based on location of sales versus physical presence) and ensure a minimal level of taxation, respectively. Changes in multilateral agreements and the tax laws of foreign jurisdictions are underway as a result of the base erosion and profit shifting project undertaken by the OECD and could significantly increase our tax provision, cash taxes paid, and effective tax rate.</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jurisdictions in which we conduct business where we are primarily subject to income taxes are Germany, Singapore and the United States, and these jurisdictions may also have the most material Pillar Two impacts. Singapore has passed legislation implementing OECD compliant rules expected to be effective in 2025 which may dilute benefits of current Singapore Economic Development Board incentives, while Germany has draft legislation and may implement rules effective in 2024 or 2025. The United States and Cayman Islands have not yet introduced legislation to comply with OECD Pillar Two guidelines but our income in those jurisdictions may become subject to Pillar Two regimes in other jurisdictions.</w:t>
      </w:r>
    </w:p>
    <w:p>
      <w:pPr>
        <w:spacing w:after="0" w:line="7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 global minimum corporate tax rate and any other implemented changes could significantly increase tax uncertainty due to differing interpretations and increased audit scrutiny. Our status as a Controlled Company may subject us to further complexities related to OECD initiatives in relation to our position in Mubadala’s global portfolio as further OECD and jurisdictional guidance is released. We will continue to monitor and evaluate the impact of OECD policy changes. On August 16, 2022, the U.S. federal government enacted the Inflation Reduction Act of 2022 (“IRA”) into law effective for tax years starting after December 31, 2022. The IRA includes a variety of incentives to promote clean energy but also adds a new corporate alternative minimum tax of 15% on adjusted financial statement income. The U.S. corporate alternative minimum tax did not have an impact on our effective tax rate or cash taxes in 2023 but is expected to have an adverse impact on the effective tax rate and require cash tax payments beginning in 2024.</w:t>
      </w: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Status as a Controlled Company and Foreign Private Issuer</w:t>
      </w:r>
    </w:p>
    <w:p>
      <w:pPr>
        <w:spacing w:after="0" w:line="9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Our majority shareholder, Mubadala, will continue to have substantial control of the business, which could limit your ability to influence the outcome of key transactions, including a change of control, and otherwise affect the prevailing market price of our ordinary shares.</w:t>
      </w:r>
    </w:p>
    <w:p>
      <w:pPr>
        <w:spacing w:after="0" w:line="3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Mubadala beneficially owns, in the aggregate, approximately 84.82% of our outstanding ordinary shares. See “Item 7. Major Shareholder and Related Party Transactions.” In addition, we have entered into a shareholder’s agreement with Mubadala, which will entitle Mubadala, subject to the level of Mubadala’s beneficial ownership of our ordinary shares, to certain consent rights and director nomination rights and, from time to time, we contract with Mubadala to provide management and operations support, including the services of our Chief Operating Officer. As a result, Mubadala will continue to have significant influence over the management and affairs of our company, as well as the ability to control the outcome of matters submitted to our shareholders for approval, including the election of directors and the approval of significant corporate transactions, including any merger, consolidation or sale of all or substantially all of our assets and the issuance or redemption of equity interests in certain circumstances. The interests of Mubadala may not always coincide with, and in some cases may conflict with, our interests and the interests of our other shareholders. For instance, Mubadala could attempt to delay or prevent a change in control of our company even if such change in control would benefit our other</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3" w:name="page34"/>
    <w:bookmarkEnd w:id="33"/>
    <w:p>
      <w:pPr>
        <w:jc w:val="both"/>
        <w:spacing w:after="0" w:line="253" w:lineRule="auto"/>
        <w:rPr>
          <w:sz w:val="20"/>
          <w:szCs w:val="20"/>
          <w:color w:val="auto"/>
        </w:rPr>
      </w:pPr>
      <w:r>
        <w:rPr>
          <w:rFonts w:ascii="Arial" w:cs="Arial" w:eastAsia="Arial" w:hAnsi="Arial"/>
          <w:sz w:val="13"/>
          <w:szCs w:val="13"/>
          <w:color w:val="auto"/>
        </w:rPr>
        <w:t>shareholders, or attempt to force or accelerate a change in control even if such change in control would not benefit our other shareholders. Additionally, Mubadala could sell their shares at a discount. Any of the above could deprive our other shareholders of an opportunity to receive a premium for their ordinary shares. This concentration of ownership may also affect the prevailing market price of our ordinary shares due to investors’ perceptions that conflicts of interest may exist or arise, and because Mubadala may sell, or investors may perceive that Mubadala is likely to sell, a significant amount of our ordinary shares.</w:t>
      </w: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As a foreign private issuer and a controlled company, we are not subject to certain corporate governance rules applicable to U.S.-listed companies.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a foreign private issuer that has listed our ordinary shares on Nasdaq, we rely on a provision in the Nasdaq corporate governance listing standards that allows us to follow Cayman Islands law with regard to certain aspects of corporate governance. This allows us to follow certain corporate governance practices that differ in significant respects from the corporate governance requirements applicable to U.S. companies listed on Nasdaq.</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For example, we are exempt from Nasdaq regulations that require a listed U.S. company to:</w:t>
      </w:r>
    </w:p>
    <w:p>
      <w:pPr>
        <w:spacing w:after="0" w:line="95" w:lineRule="exact"/>
        <w:rPr>
          <w:sz w:val="20"/>
          <w:szCs w:val="20"/>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have a majority of the board of directors consist of independent directors;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require non-management directors to meet on a regular basis without management present;</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have an independent compensation committee;</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have an independent nominating committee;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seek shareholder approval for the implementation of certain equity compensation plans and issuances of ordinary shares.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a foreign private issuer, we are permitted to follow home country practice in lieu of the above requirements. Our Audit, Risk and Compliance Committee (“Audit Committee”) is required to comply with the provisions of Rule 10A-3 of the Securities Exchange Act of 1934, as amended (the “Exchange Act”), which is applicable to U.S. companies listed on Nasdaq. Accordingly, we have a fully independent Audit Committee.</w:t>
      </w:r>
    </w:p>
    <w:p>
      <w:pPr>
        <w:spacing w:after="0" w:line="34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are a foreign private issuer and, as a result, are not subject to U.S. proxy rules but are subject to reporting obligations that, to some extent, are more lenient and less frequent than those of a U.S. issuer.</w:t>
      </w:r>
    </w:p>
    <w:p>
      <w:pPr>
        <w:spacing w:after="0" w:line="38"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We are a non-U.S. company with foreign private issuer status. Because we qualify as a foreign private issuer under the Exchange Act, and although we follow the laws and regulations of the Cayman Islands with regard to such matters, we are exempt from certain provisions of the Exchange Act that are applicable to U.S.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of quarterly reports on Form 10-Q containing unaudited financial and other specified information, or current reports on Form 8-K, upon the occurrence of specified significant events. Foreign private issuers are required to file their annual report on Form 20-F within four months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 This may be the case even though we intend to make interim reports available to our shareholders, copies of which we are required to furnish to the SEC on a Form 6-K, and even though we are required to file reports on Form 6-K disclosing whatever information we have made or are required to make public pursuant to Cayman Islands law or distribute to our shareholders and that is material to us.</w:t>
      </w:r>
    </w:p>
    <w:p>
      <w:pPr>
        <w:spacing w:after="0" w:line="32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are a Cayman Islands company and, because judicial precedent regarding the rights of shareholders is more limited under Cayman Islands law than that under U.S. law, you may have less protection for your shareholder rights than you would under U.S. law.</w:t>
      </w:r>
    </w:p>
    <w:p>
      <w:pPr>
        <w:spacing w:after="0" w:line="4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corporate affairs are governed by our Amended and Restated Memorandum and Articles of Association (the “Memorandum and Articles of Association”), as amended and restated from time to time, the Cayman Islands Companies Act (as amended) (the “Cayman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defined as they would be under statutes or judicial precedent in some jurisdictions in the United States. In particular, the Cayman Islands has a less prescriptive body of securities laws than the United States. In addition, some U.S. states, such as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4" w:name="page35"/>
    <w:bookmarkEnd w:id="34"/>
    <w:p>
      <w:pPr>
        <w:jc w:val="both"/>
        <w:spacing w:after="0" w:line="261" w:lineRule="auto"/>
        <w:rPr>
          <w:sz w:val="20"/>
          <w:szCs w:val="20"/>
          <w:color w:val="auto"/>
        </w:rPr>
      </w:pPr>
      <w:r>
        <w:rPr>
          <w:rFonts w:ascii="Arial" w:cs="Arial" w:eastAsia="Arial" w:hAnsi="Arial"/>
          <w:sz w:val="13"/>
          <w:szCs w:val="13"/>
          <w:color w:val="auto"/>
        </w:rPr>
        <w:t>Delaware, have more fulsome and judicially interpreted bodies of corporate law than the Cayman Islands. As a result of all of the above, public shareholders may have more difficulty in protecting their interests in the face of actions taken by management, members of the board of directors or controlling shareholders than they would as shareholders of a corporation incorporated in a jurisdiction in the United States.</w:t>
      </w:r>
    </w:p>
    <w:p>
      <w:pPr>
        <w:spacing w:after="0" w:line="329"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2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directors and officers presently have, and any of them in the future may have, additional fiduciary or contractual obligations to other entities pursuant to which such officer or director is or will be required to present a business opportunity to such entity, subject to his or her fiduciary duties under Cayman Islands law. Accordingly, they presently or in the future may have conflicts of interest in determining to which entity a particular business opportunity should be presented. These conflicts may not be resolved in our favor and a potential business opportunity may be presented to another entity prior to its presentation to us, subject to their fiduciary duties under Cayman Islands law.</w:t>
      </w:r>
    </w:p>
    <w:p>
      <w:pPr>
        <w:spacing w:after="0" w:line="7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(ii) we renounce any interest or expectancy in, or in being offered an opportunity to participate in, any potential transaction or matter which may be a corporate opportunity for any director or officer, on the one hand, and us, on the other; and (iii) no individual serving as a director or an officer shall have a duty to communicate or offer any such corporate opportunity to us, nor shall such individuals be liable to us for a breach of fiduciary duty solely by reason of the fact that such party pursues or acquires such corporate opportunity for himself or herself, directs such corporate opportunity to another person, or does not communicate information regarding such corporate opportunity to us.</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a complete discussion of our executive officers’ and directors’ business affiliations and the potential conflicts of interest that you should be aware of, please see “Item 6. Directors, Senior Management and Employees” and “Item 7. Major Shareholders and Related Party Transactions.”</w:t>
      </w: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Cayman Islands Economic Substance Act may affect our operations.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Cayman Islands has recently enacted the International Tax Co-operation (Economic Substance) Act, or the Cayman Economic Substance Act. The Cayman Economic Substance Act generally requires legal entities domiciled or registered in the Cayman Islands which conduct certain geographically mobile activities to have demonstrable substance in the Cayman Islands. The Cayman Economic Substance Act was introduced by the Cayman Islands to ensure that it meets its commitments to the European Union, as well as its obligations under the OECD’s global Base Erosion and Profit Shifting initiatives. We are required to comply with the Cayman Economic Substance Act.</w:t>
      </w:r>
    </w:p>
    <w:p>
      <w:pPr>
        <w:spacing w:after="0" w:line="7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As we are a Cayman Islands company, compliance obligations include filing annual notifications for us, which need to state whether we are carrying out any relevant activities and, if so, whether we have satisfied economic substance tests to the extent required under the Cayman Economic Substance Act. As it is a relatively new regime, it is anticipated that the Cayman Economic Substance Act will evolve and be subject to further clarification and amendments. We may need to allocate additional resources to keep updated with these developments, and may have to make changes to our operations in order to comply with all requirements under the Cayman Economic Substance Act. Failure to satisfy these requirements may subject us to penalties under the Cayman Economic Substance Act. The Cayman Islands Tax Information Authority shall impose a penalty of CI$10,000 (or US$12,500) on a relevant entity for failing to satisfy the economic substance test or CI$100,000 (or US$125,000) if such failures are not remedied in the subsequent financial year after the initial notice of failure. Following failure after two consecutive years the Grand Court of the Cayman Islands may make an order requiring the relevant entity to take specified action to satisfy the economic substance test or ordering it that it is defunct or be struck off. Pursuant to the Companies Act, any property vested in or belonging to a company which has been struck off shall vest in the Cayman Islands government.</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During 2022, the Company received a notice of failure to satisfy the economic substance test for the 2020 financial year, and a penalty of CI$10,000 (or US$12,500). During 2023, the Company received a second notice of failure to satisfy the economic substance test for the 2020 financial year, and a further penalty of CI$10,000 (or US$12,500). The Company has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5" w:name="page36"/>
    <w:bookmarkEnd w:id="35"/>
    <w:p>
      <w:pPr>
        <w:spacing w:after="0"/>
        <w:rPr>
          <w:sz w:val="20"/>
          <w:szCs w:val="20"/>
          <w:color w:val="auto"/>
        </w:rPr>
      </w:pPr>
      <w:r>
        <w:rPr>
          <w:rFonts w:ascii="Arial" w:cs="Arial" w:eastAsia="Arial" w:hAnsi="Arial"/>
          <w:sz w:val="13"/>
          <w:szCs w:val="13"/>
          <w:color w:val="auto"/>
        </w:rPr>
        <w:t>paid the foregoing monetary penalties and taken appropriate remedial steps in 2022 and 2023 to satisfy the economic substance test.</w:t>
      </w: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Operating as a Public Company</w:t>
      </w:r>
    </w:p>
    <w:p>
      <w:pPr>
        <w:spacing w:after="0" w:line="9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Our management has identified material weaknesses in our ICFR and has concluded that our ICFR was not effective as of December 31, 2023, which may have a material adverse result on our results of operation and financial condition for future periods.</w:t>
      </w:r>
    </w:p>
    <w:p>
      <w:pPr>
        <w:spacing w:after="0" w:line="4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Ensuring that we have adequate internal financial and accounting controls and procedures in place so that we can produce accurate financial statements on a timely basis is a costly and time-consuming effort that needs to be re-evaluated frequently. Our ICFR is a process meant to provide reasonable assurance regarding the reliability of financial reporting and the preparation of financial statements in accordance with generally accepted accounting principles. We regularly undertake the process of documenting, reviewing and improving our internal controls and procedures for compliance with Section 404 of SOX, which requires annual management assessment of the effectiveness of our ICFR. Over the course of 2023, we completed the testing of our internal controls, as we worked to comprehensively evaluate our controls following our first full year as a public company.</w:t>
      </w:r>
    </w:p>
    <w:p>
      <w:pPr>
        <w:spacing w:after="0" w:line="7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For the fiscal year ended December 31, 2023, our management identified two material weaknesses in our ICFR. For further information on the material weaknesses identified by our management in 2023, see “Item 15—Controls and Procedures—Management’s Annual Report on internal control over financial reporting.” In light of the identified material weaknesses, our management concluded that our ICFR was not effective as of December 31, 2023. Although we are developing and implementing several measures to remedy these material weaknesses, we cannot be certain that there will be no other material weaknesses in our ICFR in the future. There can also be no assurance as to the effectiveness of our remediation plan, whether the actions we are taking and plan to take will give us the results we expect, or that our remediation plan will be completed on the timelines that we expect.</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If our efforts to remediate the material weaknesses identified in fiscal year 2023 are unsuccessful, we may be unable to report our results of operations for future periods accurately and in a timely manner and make our required filings with government authorities, including the SEC. We cannot be certain that additional material weaknesses will not develop or be discovered in the future. In the course of remediating the material weaknesses, there may also be impacts to our disclosure controls and procedures, whereby we may not have the ability to prevent or detect on a timely basis (or at all) any material misstatement in the Company’s accounts or disclosures that could result in a material misstatement to the Company’s consolidated financial statements or other disclosures.</w:t>
      </w:r>
    </w:p>
    <w:p>
      <w:pPr>
        <w:spacing w:after="0" w:line="5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Implementing any appropriate changes to our internal controls will require the attention of our officers and employees, entail substantial costs to modify our existing processes and take significant time to complete the change and any required training. In addition, investors’ perceptions that our internal controls are inadequate or that we are unable to produce accurate financial statements on a timely basis may harm the trading price of our ordinary shares and make it more difficult for us to effectively market and sell our products and services to new and existing customers. Any of these occurrences could adversely affect our results of operation and financial condition.</w:t>
      </w:r>
    </w:p>
    <w:p>
      <w:pPr>
        <w:spacing w:after="0" w:line="34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are incurring increased costs and expenses as a result of operating as a public company and our management is required to devote substantial time to compliance with our public company responsibilities and corporate governance practices.</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As a public company, we incur significant legal, accounting and other expenses related to compliance matters. We are subject to the reporting requirements of the Exchange Act, the Sarbanes-Oxley Act of 2002 (“SOX”), the Dodd-Frank Wall Street Reform and Consumer Protection Act of 2010 (the “Dodd-Frank Act”), and the rules and regulations of Nasdaq, which impose various requirements on public companies, including establishment and maintenance of effective disclosure and financial controls and corporate governance practices. These requirements may invite lawsuits or shareholder actions that could distract management and negatively impact financial results due to required responses and increased our legal, accounting, and financial compliance costs and make some activities more difficult, time-consuming, and costly, and place significant strain on our personnel, systems and resources.</w:t>
      </w:r>
    </w:p>
    <w:p>
      <w:pPr>
        <w:spacing w:after="0" w:line="5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color w:val="auto"/>
        </w:rPr>
        <w:t>Risks Related to our Ordinary Shares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Future sales or distributions of our shares by Mubadala could depress the price of our ordinary shares.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Sales by Mubadala in the public market or other distributions of substantial amounts of our ordinary shares, or the filing of a registration statement relating to a substantial amount of our ordinary shares, could depress our ordinary share price. We have entered into agreements with Mubadala that provide a framework for our ongoing relationship, including a Shareholder’s Agreement and Registration Rights Agreement. Under the Registration Rights Agreement, Mubadala has the right, subject to certain conditions, to require us to file registration statements covering its shares or to include its shares in other registration statements that we may file. By exercising its registration rights and selling a large number of shares, Mubadala could cause the price of our ordinary shares to decline.</w:t>
      </w: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do not expect to declare or pay any dividends on our ordinary shares for the foreseeable future.</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do not intend to pay cash dividends on our ordinary shares for the foreseeable future. Consequently, investors must rely on sales of their shares of our ordinary shares after price appreciation, which may never occur, as the only way to realize any future gains on their investment. Investors seeking dividends should not purchase shares of our ordinary shares. Any future determination to pay dividends will be at the discretion of the Company’s board of directors (the “Board of Directors” or “Board”)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and any other factors or considerations our Board of Directors may regard as relevant. See “Item 8. Financial Information—A. Consolidated Financial Statements and Other Financial Information—Dividends and Dividend Policy.”</w:t>
      </w:r>
    </w:p>
    <w:p>
      <w:pPr>
        <w:spacing w:after="0" w:line="351"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Anti-takeover provisions in our organizational documents and Cayman Islands law may discourage or prevent a change of control, even if an acquisition would be beneficial to our shareholders, which could depress the price of our ordinary shares and prevent attempts by our shareholders to replace or remove our current management.</w:t>
      </w:r>
    </w:p>
    <w:p>
      <w:pPr>
        <w:spacing w:after="0" w:line="4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Memorandum and Articles of Association contain provisions that may discourage unsolicited takeover proposals that shareholders may consider to be in their best interests. Our Board of Directors is divided into three classes with staggered, three-year terms. Our Board of Directors has the ability to designate the terms of and issue preferred shares without shareholder approval. We are also subject to certain provisions under Cayman Islands law that could delay or prevent a change of control. Together these provisions may make more difficult the removal of management and may discourage transactions that otherwise could involve payment of a premium over prevailing market prices for our ordinary shares.</w:t>
      </w:r>
    </w:p>
    <w:p>
      <w:pPr>
        <w:spacing w:after="0" w:line="335"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Our Memorandum and Articles of Association provide that the courts of the Cayman Islands will be the exclusive forum for certain disputes between us and our shareholders, which could limit our shareholders’ ability to obtain a favorable judicial forum for complaints against us or our directors, officers or employees.</w:t>
      </w:r>
    </w:p>
    <w:p>
      <w:pPr>
        <w:spacing w:after="0" w:line="2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Memorandum and Articles of Association provide that unless we consent in writing to the selection of an alternative forum, the courts of the Cayman Islands will, to the fullest extent permitted by the law, have exclusive jurisdiction over any claim or dispute arising out of or in connection with our Memorandum and Articles of Association or otherwise related in any way to each shareholder’s shareholding in us, including but not limited to (i) any derivative action or proceeding brought on our behalf, (ii) any action asserting a claim of breach of any fiduciary or other duty owed by any of our current or former directors, officers or other employees to us or our shareholders, (iii) any action asserting a claim arising pursuant to any provision of the Cayman Companies Act or our Memorandum and Articles of Association, and (iv) any action asserting a claim against us governed by the “Internal Affairs Doctrine” (as such concept is recognized under the laws of the United States) and that each shareholder irrevocably submits to the exclusive jurisdiction of the courts of the Cayman Islands over all such claims or disputes. Our Memorandum and Articles of Association provide that, unless we consent in writing to the selection of an alternative forum, to the fullest extent permitted by law, the federal district courts of the United States will be the exclusive forum for the resolution of any complaint asserting a cause or causes of action arising under the Securities Act of 1933, as amended (“Securities Act”), or Exchange Act, including all causes of action asserted against any defendant named in such complaint.</w:t>
      </w:r>
    </w:p>
    <w:p>
      <w:pPr>
        <w:spacing w:after="0" w:line="7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Our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7" w:name="page38"/>
    <w:bookmarkEnd w:id="37"/>
    <w:p>
      <w:pPr>
        <w:jc w:val="both"/>
        <w:spacing w:after="0" w:line="254" w:lineRule="auto"/>
        <w:rPr>
          <w:sz w:val="20"/>
          <w:szCs w:val="20"/>
          <w:color w:val="auto"/>
        </w:rPr>
      </w:pPr>
      <w:r>
        <w:rPr>
          <w:rFonts w:ascii="Arial" w:cs="Arial" w:eastAsia="Arial" w:hAnsi="Arial"/>
          <w:sz w:val="13"/>
          <w:szCs w:val="13"/>
          <w:color w:val="auto"/>
        </w:rPr>
        <w:t>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Memorandum and Articles of Association to be inapplicable or unenforceable in an action, we may incur additional costs associated with resolving the dispute in other jurisdictions, which could have adverse effect on our business and financial performance.</w:t>
      </w:r>
    </w:p>
    <w:p>
      <w:pPr>
        <w:spacing w:after="0" w:line="334"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Our Memorandum and Articles of Association provide for indemnification of officers and directors at our expense, which may result in a major cost to us and hurt the interests of our shareholders because corporate resources may be expended for the benefit of officers and/or directors.</w:t>
      </w:r>
    </w:p>
    <w:p>
      <w:pPr>
        <w:spacing w:after="0" w:line="4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Memorandum and Articles of Association and applicable law of the Cayman Islands provide for the indemnification of our directors and officers, under certain circumstances, against any liability, action, proceeding, claim, demand, costs, damages or expenses, including legal expenses, whatsoever which they or any of them may incur as a result of any act or failure to act in carrying out their functions in connection with our company, other than such liability (if any) that they may incur by reason of their own actual fraud, dishonesty, willful neglect or willful default. We will also bear the expenses of such litigation for any of our directors or officers, upon such person’s undertaking to repay any amounts paid, advanced, or reimbursed by us if it is ultimately determined that any such person shall not have been entitled to indemnification. This indemnification policy could result in substantial expenditures by us that we will be unable to recoup.</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have been advised that, in the opinion of the SEC, indemnification for liabilities arising under federal securities laws is against public policy as expressed in the Securities Act, and is, therefore, unenforceable.</w:t>
      </w:r>
    </w:p>
    <w:p>
      <w:pPr>
        <w:spacing w:after="0" w:line="200" w:lineRule="exact"/>
        <w:rPr>
          <w:sz w:val="20"/>
          <w:szCs w:val="20"/>
          <w:color w:val="auto"/>
        </w:rPr>
      </w:pPr>
    </w:p>
    <w:p>
      <w:pPr>
        <w:spacing w:after="0" w:line="211"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2"/>
          <w:szCs w:val="12"/>
          <w:b w:val="1"/>
          <w:bCs w:val="1"/>
          <w:color w:val="auto"/>
        </w:rPr>
        <w:t>INFORMATION ON THE COMPANY</w:t>
      </w:r>
    </w:p>
    <w:p>
      <w:pPr>
        <w:spacing w:after="0" w:line="137" w:lineRule="exact"/>
        <w:rPr>
          <w:sz w:val="20"/>
          <w:szCs w:val="20"/>
          <w:color w:val="auto"/>
        </w:rPr>
      </w:pPr>
    </w:p>
    <w:p>
      <w:pPr>
        <w:ind w:right="8480" w:firstLine="5"/>
        <w:spacing w:after="0" w:line="383" w:lineRule="auto"/>
        <w:tabs>
          <w:tab w:leader="none" w:pos="269"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History and Development of the Company Our History</w:t>
      </w:r>
    </w:p>
    <w:p>
      <w:pPr>
        <w:jc w:val="both"/>
        <w:spacing w:after="0" w:line="249" w:lineRule="auto"/>
        <w:rPr>
          <w:sz w:val="20"/>
          <w:szCs w:val="20"/>
          <w:color w:val="auto"/>
        </w:rPr>
      </w:pPr>
      <w:r>
        <w:rPr>
          <w:rFonts w:ascii="Arial" w:cs="Arial" w:eastAsia="Arial" w:hAnsi="Arial"/>
          <w:sz w:val="13"/>
          <w:szCs w:val="13"/>
          <w:color w:val="auto"/>
        </w:rPr>
        <w:t>We were established in 2009 when a subsidiary of Mubadala acquired the manufacturing operations of Advanced Micro Devices, Inc. (“AMD”) in Dresden, Germany, and their fab project site in Malta, New York. Since our inception, we have grown through a combination of acquisitions, greenfield expansions and strategic partnerships. In 2010, we combined with Chartered Semiconductor Manufacturing (“Chartered Semiconductor”), the third-largest foundry by revenue at the time, forming the basis for our Singapore manufacturing hub. In 2015, we acquired IBM’s Microelectronics division with manufacturing facilities in New York and Vermont, adding distinctive technology capabilities, including more than 2,000 IBM engineers. By 2017, we had successfully ramped our most advanced manufacturing site in Malta, New York.</w:t>
      </w:r>
    </w:p>
    <w:p>
      <w:pPr>
        <w:spacing w:after="0" w:line="73"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 2018, we undertook a strategic pivot to focus on the pervasive foundry market opportunity and the growing demand for specialized process technologies. The pervasive semiconductor market comprises the ICs that serve applications in wide-ranging end markets and industries rather than just processor-centric compute. As part of this strategic pivot, we streamlined our manufacturing footprint by divesting three assets that were not aligned with our strategic priorities.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On November 1, 2021, we completed our initial public offering (“IPO”). Our ordinary shares have been listed on Nasdaq under the symbol “GFS” since October 28, 2021.</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September 2023, Module 7H, an extension of our existing 300mm Fab 7 operations in Singapore, began limited production. Once fully ramped, we anticipate Module 7H having an aggregate 450,000 wafers of annual capacity.</w:t>
      </w:r>
    </w:p>
    <w:p>
      <w:pPr>
        <w:spacing w:after="0" w:line="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Through our organic and strategic growth initiatives, we increased manufacturing capacity and now have a global footprint, encompassing three continents, with approximately 12,000 employees and approximately 9,000 worldwide patents. We currently operate four manufacturing sites in the following locations: Dresden, Germany; Singapore; Malta, New York; and Burlington, Vermont. On December 31, 2022 we completed the sale of our EFK business to ON Semiconductor. In 2023, we shipped approximately 2.2 million 300mm equivalent semiconductor wafers. With this level of market presence and capability, our technologies are found across most semiconductor end markets in devices used on a daily basis.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Today, we focus on essential chip solutions for the pervasive semiconductor market, where we are trusted to reliably innovate and deliver premium performance, functionality, efficiency and quality, rather than focusing merely on transistor density and processing speed.</w:t>
      </w:r>
    </w:p>
    <w:p>
      <w:pPr>
        <w:spacing w:after="0" w:line="51" w:lineRule="exact"/>
        <w:rPr>
          <w:sz w:val="20"/>
          <w:szCs w:val="20"/>
          <w:color w:val="auto"/>
        </w:rPr>
      </w:pPr>
    </w:p>
    <w:p>
      <w:pPr>
        <w:ind w:right="200"/>
        <w:spacing w:after="0" w:line="383" w:lineRule="auto"/>
        <w:rPr>
          <w:sz w:val="20"/>
          <w:szCs w:val="20"/>
          <w:color w:val="auto"/>
        </w:rPr>
      </w:pPr>
      <w:r>
        <w:rPr>
          <w:rFonts w:ascii="Arial" w:cs="Arial" w:eastAsia="Arial" w:hAnsi="Arial"/>
          <w:sz w:val="13"/>
          <w:szCs w:val="13"/>
          <w:color w:val="auto"/>
        </w:rPr>
        <w:t xml:space="preserve">For a description of our principal capital expenditures in the last three fiscal years and a discussion of our acquisitions and dispositions, see “Item 5. Operating and Financial Review and Prospects.” </w:t>
      </w:r>
      <w:r>
        <w:rPr>
          <w:rFonts w:ascii="Arial" w:cs="Arial" w:eastAsia="Arial" w:hAnsi="Arial"/>
          <w:sz w:val="13"/>
          <w:szCs w:val="13"/>
          <w:b w:val="1"/>
          <w:bCs w:val="1"/>
          <w:color w:val="auto"/>
        </w:rPr>
        <w:t>Corporate Information</w:t>
      </w:r>
    </w:p>
    <w:p>
      <w:pPr>
        <w:jc w:val="both"/>
        <w:spacing w:after="0" w:line="266" w:lineRule="auto"/>
        <w:rPr>
          <w:sz w:val="20"/>
          <w:szCs w:val="20"/>
          <w:color w:val="auto"/>
        </w:rPr>
      </w:pPr>
      <w:r>
        <w:rPr>
          <w:rFonts w:ascii="Arial" w:cs="Arial" w:eastAsia="Arial" w:hAnsi="Arial"/>
          <w:sz w:val="13"/>
          <w:szCs w:val="13"/>
          <w:color w:val="auto"/>
        </w:rPr>
        <w:t>Our legal and commercial name is GlobalFoundries Inc. We are an exempted company that was incorporated in the Cayman Islands with limited liability on October 7, 2008. We have appointed Corporation Service Company as our agent to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8" w:name="page39"/>
    <w:bookmarkEnd w:id="38"/>
    <w:p>
      <w:pPr>
        <w:jc w:val="both"/>
        <w:spacing w:after="0" w:line="261" w:lineRule="auto"/>
        <w:rPr>
          <w:sz w:val="20"/>
          <w:szCs w:val="20"/>
          <w:color w:val="auto"/>
        </w:rPr>
      </w:pPr>
      <w:r>
        <w:rPr>
          <w:rFonts w:ascii="Arial" w:cs="Arial" w:eastAsia="Arial" w:hAnsi="Arial"/>
          <w:sz w:val="13"/>
          <w:szCs w:val="13"/>
          <w:color w:val="auto"/>
        </w:rPr>
        <w:t>receive service of process with respect to any action brought against us in the United States under the federal securities laws of the United States or of any state in the United States. The address of Corporation Service Company is 251 Little Falls Drive, Wilmington, DE 19808. Our principal executive offices are located at 400 Stonebreak Road Extension, Malta, New York 12020, United States, and our telephone number is (518) 305-9013.</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website address is www.gf.com. Information contained on, or that can be accessed through, our website is not incorporated by reference into this Annual Report, and you should not consider information on our website to be part of this Annual Report. In addition, the SEC maintains an Internet website that contains reports and other information about issuers, like us, that file electronically with the SEC. The address of that website is www.sec.gov.</w:t>
      </w:r>
    </w:p>
    <w:p>
      <w:pPr>
        <w:spacing w:after="0" w:line="5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GF design logo, “GF” and our other registered or common law trademarks, service marks, or trade names appearing in this Annual Report are the property of GlobalFoundries Inc. Other trade names, trademarks and service marks used in this Annual Report are the property of their respective owners.</w:t>
      </w:r>
    </w:p>
    <w:p>
      <w:pPr>
        <w:spacing w:after="0" w:line="316" w:lineRule="exact"/>
        <w:rPr>
          <w:sz w:val="20"/>
          <w:szCs w:val="20"/>
          <w:color w:val="auto"/>
        </w:rPr>
      </w:pPr>
    </w:p>
    <w:p>
      <w:pPr>
        <w:ind w:left="300" w:hanging="295"/>
        <w:spacing w:after="0"/>
        <w:tabs>
          <w:tab w:leader="none" w:pos="30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Business Overview</w:t>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manufacture complex, essential ICs that are used in billions of electronic devices across various industries. Our specialized foundry manufacturing processes, extensive library of qualified circuit-building block designs (known as IP titles or IP blocks), and advanced transistor and device technology allow us to serve a wide range of customers, including global leaders in IC design. We focus on providing optimized solutions for critical applications that drive key secular growth end markets, ensuring function, performance, and power requirements are met. As the only scaled pure-play foundry with a global footprint that is not based in China or Taiwan, we offer our customers the advantage of mitigating geopolitical risk and ensuring greater supply chain certainty. Our definition of a scaled pure-play foundry is a company that specializes in producing ICs for other companies, with annual foundry revenue exceeding $2.5 billion. Our differentiated foundry solutions redefine the industry by offering essential chip solutions that empower our customers to develop innovative products for a wide range of applications in diverse markets.</w:t>
      </w:r>
    </w:p>
    <w:p>
      <w:pPr>
        <w:spacing w:after="0" w:line="7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Since our founding in 2009, we have invested over $23 billion to create a global manufacturing footprint with state-of-the-art facilities across three continents. This allows us to provide our customers with the flexibility and supply chain security they require. Additionally, as semiconductor technologies become more complex, we offer comprehensive design solutions and services to help our customers bring their products to market quickly and cost-effectively. We continuously expand our ecosystem of partners, including IP, electronic design automation, outsourced assembly and test, and design services, to enhance our offerings. With a vast library of IP titles and ongoing development across multiple process nodes, we are committed to delivering high-quality, cost-effective solutions that meet the evolving needs of our customers.</w:t>
      </w:r>
    </w:p>
    <w:p>
      <w:pPr>
        <w:spacing w:after="0" w:line="73"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We focus on essential devices that include digital, analog, mixed-signal, radio frequency (“RF”), ultra-low power and embedded memory solutions that connect, secure and process data, and efficiently power the digital world around us. Our core technology portfolio includes a range of differentiated technology platforms, including our industry-leading RF SOI solutions, advanced high-performance Fin Field-Effect Transistor (“FinFET”), Complementary Metal-Oxide Semiconductor (“CMOS”), our proprietary FDX</w:t>
      </w:r>
      <w:r>
        <w:rPr>
          <w:rFonts w:ascii="Arial" w:cs="Arial" w:eastAsia="Arial" w:hAnsi="Arial"/>
          <w:sz w:val="16"/>
          <w:szCs w:val="16"/>
          <w:color w:val="auto"/>
          <w:vertAlign w:val="superscript"/>
        </w:rPr>
        <w:t>TM</w:t>
      </w:r>
      <w:r>
        <w:rPr>
          <w:rFonts w:ascii="Arial" w:cs="Arial" w:eastAsia="Arial" w:hAnsi="Arial"/>
          <w:sz w:val="13"/>
          <w:szCs w:val="13"/>
          <w:color w:val="auto"/>
        </w:rPr>
        <w:t>, high-performance Silicon Germanium (“SiGe”) and Gallium Nitride (“GaN”) products and SiPh, all of which can be purposely engineered, innovated and designed for a broad set of demanding applications.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combination of our highly differentiated technology and our scaled manufacturing footprint enables us to attract a large share of single-sourced products and LTAs, providing a high degree of revenue visibility and significant operating leverage, resulting in improved financial performance and bottom line growth. These agreements include binding, multi-year, reciprocal annual (and, in some cases, quarterly) minimum purchase and supply commitments with wafer pricing and associated mechanics outlined for the contract term. Through an intense focus on collaboration, we have built deep strategic partnerships with a broad base of more than 250 customers as of December 31, 2023, many of whom are the global leaders in their field.</w:t>
      </w:r>
    </w:p>
    <w:p>
      <w:pPr>
        <w:spacing w:after="0" w:line="5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For the year 2023, our top ten customers, based on wafer shipment volume, included some of the largest semiconductor companies in the world: AMD, Cirrus Logic, Inc. (“Cirrus Logic”), Infineon Technologies AG (“Infineon”), Marvell Technology Inc., MediaTek Inc., NXP Semiconductors N.V., Qorvo, Inc., Qualcomm Inc. (“Qualcomm”), Samsung, and Sony Semiconductor Manufacturing Corporation. A key measure of our position as a strategic partner to our customers is the mix of our wafer shipment volume attributable to single-sourced business, which represented approximately 62% of wafer shipment volume in 2023. We define single-sourced products as those that we believe can only be manufactured with our technology and cannot be manufactured elsewhere without significant customer redesigns.</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Since foundry production is concentrated in China and Taiwan, we believe our global manufacturing footprint is a key differentiator that makes us the ideal partner for local and regional government stakeholders at a time when many regions, in particular the United States and Europe, have passed legislation contemplating significant funding to secure and grow their respective domestic semiconductor manufacturing capabilities. For a breakdown of our revenue by geography (based on the location of our customers’ headquarters), see Note 32 to our Annual Consolidated Financial Statements.</w:t>
      </w:r>
    </w:p>
    <w:p>
      <w:pPr>
        <w:spacing w:after="0" w:line="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With four world-class manufacturing sites on three continents and approximately 2.2 million 300mm equivalent semiconductor wafers shipped in 2023, we provide the geographic diversification, scale and technology differentiation that we believe are critically important to our customers’ success.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color w:val="auto"/>
        </w:rPr>
        <w:t>Technology Platforms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offer a wide range of essential chip solutions that can address the needs of mission-critical applications in Smart Mobile Devices, Home and Industrial IoT, Communications Infrastructure &amp; Datacenter, Automotive and Personal Computing. To solve our customers’ most complex challenges, we have developed a broad range of sophisticated technology platforms that leverage our extensive patent portfolio and deep technical expertise in digital, analog, mixed-signal, RF and embedded memory.</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We devote the majority of our R&amp;D efforts to our three primary differentiated technology platforms, namely CMOS, RF and Power:</w:t>
      </w:r>
    </w:p>
    <w:p>
      <w:pPr>
        <w:spacing w:after="0" w:line="84" w:lineRule="exact"/>
        <w:rPr>
          <w:sz w:val="20"/>
          <w:szCs w:val="20"/>
          <w:color w:val="auto"/>
        </w:rPr>
      </w:pPr>
    </w:p>
    <w:p>
      <w:pPr>
        <w:jc w:val="both"/>
        <w:ind w:left="520" w:hanging="260"/>
        <w:spacing w:after="0" w:line="261" w:lineRule="auto"/>
        <w:tabs>
          <w:tab w:leader="none" w:pos="520" w:val="left"/>
        </w:tabs>
        <w:numPr>
          <w:ilvl w:val="0"/>
          <w:numId w:val="31"/>
        </w:numPr>
        <w:rPr>
          <w:rFonts w:ascii="Arial" w:cs="Arial" w:eastAsia="Arial" w:hAnsi="Arial"/>
          <w:sz w:val="13"/>
          <w:szCs w:val="13"/>
          <w:color w:val="auto"/>
        </w:rPr>
      </w:pPr>
      <w:r>
        <w:rPr>
          <w:rFonts w:ascii="Arial" w:cs="Arial" w:eastAsia="Arial" w:hAnsi="Arial"/>
          <w:sz w:val="13"/>
          <w:szCs w:val="13"/>
          <w:b w:val="1"/>
          <w:bCs w:val="1"/>
          <w:color w:val="auto"/>
        </w:rPr>
        <w:t xml:space="preserve">Feature-Rich CMOS: </w:t>
      </w:r>
      <w:r>
        <w:rPr>
          <w:rFonts w:ascii="Arial" w:cs="Arial" w:eastAsia="Arial" w:hAnsi="Arial"/>
          <w:sz w:val="13"/>
          <w:szCs w:val="13"/>
          <w:color w:val="auto"/>
        </w:rPr>
        <w:t>Our CMOS platforms combined with foundational and complex IP and design enablement offer mixed-technology solutions on volume production-proven processes and</w:t>
      </w:r>
      <w:r>
        <w:rPr>
          <w:rFonts w:ascii="Arial" w:cs="Arial" w:eastAsia="Arial" w:hAnsi="Arial"/>
          <w:sz w:val="13"/>
          <w:szCs w:val="13"/>
          <w:b w:val="1"/>
          <w:bCs w:val="1"/>
          <w:color w:val="auto"/>
        </w:rPr>
        <w:t xml:space="preserve"> </w:t>
      </w:r>
      <w:r>
        <w:rPr>
          <w:rFonts w:ascii="Arial" w:cs="Arial" w:eastAsia="Arial" w:hAnsi="Arial"/>
          <w:sz w:val="13"/>
          <w:szCs w:val="13"/>
          <w:color w:val="auto"/>
        </w:rPr>
        <w:t>are well-suited for a wide variety of applications, with features including high-voltage triple-gate oxide for display drivers, and embedded non-volatile memory for micro-controllers. We organize our CMOS platforms across several product platforms, including FDX, FinFET and SiPh.</w:t>
      </w:r>
    </w:p>
    <w:p>
      <w:pPr>
        <w:spacing w:after="0" w:line="53" w:lineRule="exact"/>
        <w:rPr>
          <w:rFonts w:ascii="Arial" w:cs="Arial" w:eastAsia="Arial" w:hAnsi="Arial"/>
          <w:sz w:val="13"/>
          <w:szCs w:val="13"/>
          <w:color w:val="auto"/>
        </w:rPr>
      </w:pPr>
    </w:p>
    <w:p>
      <w:pPr>
        <w:jc w:val="both"/>
        <w:ind w:left="760" w:hanging="246"/>
        <w:spacing w:after="0" w:line="224" w:lineRule="auto"/>
        <w:tabs>
          <w:tab w:leader="none" w:pos="760" w:val="left"/>
        </w:tabs>
        <w:numPr>
          <w:ilvl w:val="1"/>
          <w:numId w:val="31"/>
        </w:numPr>
        <w:rPr>
          <w:rFonts w:ascii="Arial" w:cs="Arial" w:eastAsia="Arial" w:hAnsi="Arial"/>
          <w:sz w:val="13"/>
          <w:szCs w:val="13"/>
          <w:color w:val="auto"/>
        </w:rPr>
      </w:pPr>
      <w:r>
        <w:rPr>
          <w:rFonts w:ascii="Arial" w:cs="Arial" w:eastAsia="Arial" w:hAnsi="Arial"/>
          <w:sz w:val="13"/>
          <w:szCs w:val="13"/>
          <w:b w:val="1"/>
          <w:bCs w:val="1"/>
          <w:color w:val="auto"/>
        </w:rPr>
        <w:t>FDX</w:t>
      </w:r>
      <w:r>
        <w:rPr>
          <w:rFonts w:ascii="Arial" w:cs="Arial" w:eastAsia="Arial" w:hAnsi="Arial"/>
          <w:sz w:val="16"/>
          <w:szCs w:val="16"/>
          <w:b w:val="1"/>
          <w:bCs w:val="1"/>
          <w:color w:val="auto"/>
          <w:vertAlign w:val="superscript"/>
        </w:rPr>
        <w:t>TM</w:t>
      </w:r>
      <w:r>
        <w:rPr>
          <w:rFonts w:ascii="Arial" w:cs="Arial" w:eastAsia="Arial" w:hAnsi="Arial"/>
          <w:sz w:val="13"/>
          <w:szCs w:val="13"/>
          <w:b w:val="1"/>
          <w:bCs w:val="1"/>
          <w:color w:val="auto"/>
        </w:rPr>
        <w:t xml:space="preserve">: </w:t>
      </w:r>
      <w:r>
        <w:rPr>
          <w:rFonts w:ascii="Arial" w:cs="Arial" w:eastAsia="Arial" w:hAnsi="Arial"/>
          <w:sz w:val="13"/>
          <w:szCs w:val="13"/>
          <w:color w:val="auto"/>
        </w:rPr>
        <w:t>Our proprietary FDX</w:t>
      </w:r>
      <w:r>
        <w:rPr>
          <w:rFonts w:ascii="Arial" w:cs="Arial" w:eastAsia="Arial" w:hAnsi="Arial"/>
          <w:sz w:val="16"/>
          <w:szCs w:val="16"/>
          <w:color w:val="auto"/>
          <w:vertAlign w:val="superscript"/>
        </w:rPr>
        <w:t>TM</w:t>
      </w:r>
      <w:r>
        <w:rPr>
          <w:rFonts w:ascii="Arial" w:cs="Arial" w:eastAsia="Arial" w:hAnsi="Arial"/>
          <w:sz w:val="13"/>
          <w:szCs w:val="13"/>
          <w:b w:val="1"/>
          <w:bCs w:val="1"/>
          <w:color w:val="auto"/>
        </w:rPr>
        <w:t xml:space="preserve"> </w:t>
      </w:r>
      <w:r>
        <w:rPr>
          <w:rFonts w:ascii="Arial" w:cs="Arial" w:eastAsia="Arial" w:hAnsi="Arial"/>
          <w:sz w:val="13"/>
          <w:szCs w:val="13"/>
          <w:color w:val="auto"/>
        </w:rPr>
        <w:t>process technology platform is especially well-suited for efficient single-chip integration of digital and analog signals delivering cost-effective performance</w:t>
      </w:r>
      <w:r>
        <w:rPr>
          <w:rFonts w:ascii="Arial" w:cs="Arial" w:eastAsia="Arial" w:hAnsi="Arial"/>
          <w:sz w:val="13"/>
          <w:szCs w:val="13"/>
          <w:b w:val="1"/>
          <w:bCs w:val="1"/>
          <w:color w:val="auto"/>
        </w:rPr>
        <w:t xml:space="preserve"> </w:t>
      </w:r>
      <w:r>
        <w:rPr>
          <w:rFonts w:ascii="Arial" w:cs="Arial" w:eastAsia="Arial" w:hAnsi="Arial"/>
          <w:sz w:val="13"/>
          <w:szCs w:val="13"/>
          <w:color w:val="auto"/>
        </w:rPr>
        <w:t>for connected and low-power embedded applications. A full range of features, such as Ultra-Low Power (“ULP”), Ultra-Low Leakage (“ULL”), RF and mmWave, embedded Magnetoresistive Random Access Memory (“MRAM”) and automotive, makes our FDX</w:t>
      </w:r>
      <w:r>
        <w:rPr>
          <w:rFonts w:ascii="Arial" w:cs="Arial" w:eastAsia="Arial" w:hAnsi="Arial"/>
          <w:sz w:val="16"/>
          <w:szCs w:val="16"/>
          <w:color w:val="auto"/>
          <w:vertAlign w:val="superscript"/>
        </w:rPr>
        <w:t>TM</w:t>
      </w:r>
      <w:r>
        <w:rPr>
          <w:rFonts w:ascii="Arial" w:cs="Arial" w:eastAsia="Arial" w:hAnsi="Arial"/>
          <w:sz w:val="13"/>
          <w:szCs w:val="13"/>
          <w:color w:val="auto"/>
        </w:rPr>
        <w:t xml:space="preserve"> process technology platform especially well-matched for IoT/wireless, 5G (including mmWave), automotive radar, and satellite communications applications.</w:t>
      </w:r>
    </w:p>
    <w:p>
      <w:pPr>
        <w:spacing w:after="0" w:line="77" w:lineRule="exact"/>
        <w:rPr>
          <w:rFonts w:ascii="Arial" w:cs="Arial" w:eastAsia="Arial" w:hAnsi="Arial"/>
          <w:sz w:val="13"/>
          <w:szCs w:val="13"/>
          <w:color w:val="auto"/>
        </w:rPr>
      </w:pPr>
    </w:p>
    <w:p>
      <w:pPr>
        <w:jc w:val="both"/>
        <w:ind w:left="760" w:hanging="246"/>
        <w:spacing w:after="0" w:line="252" w:lineRule="auto"/>
        <w:tabs>
          <w:tab w:leader="none" w:pos="756" w:val="left"/>
        </w:tabs>
        <w:numPr>
          <w:ilvl w:val="1"/>
          <w:numId w:val="31"/>
        </w:numPr>
        <w:rPr>
          <w:rFonts w:ascii="Arial" w:cs="Arial" w:eastAsia="Arial" w:hAnsi="Arial"/>
          <w:sz w:val="13"/>
          <w:szCs w:val="13"/>
          <w:color w:val="auto"/>
        </w:rPr>
      </w:pPr>
      <w:r>
        <w:rPr>
          <w:rFonts w:ascii="Arial" w:cs="Arial" w:eastAsia="Arial" w:hAnsi="Arial"/>
          <w:sz w:val="13"/>
          <w:szCs w:val="13"/>
          <w:b w:val="1"/>
          <w:bCs w:val="1"/>
          <w:color w:val="auto"/>
        </w:rPr>
        <w:t xml:space="preserve">FinFET: </w:t>
      </w:r>
      <w:r>
        <w:rPr>
          <w:rFonts w:ascii="Arial" w:cs="Arial" w:eastAsia="Arial" w:hAnsi="Arial"/>
          <w:sz w:val="13"/>
          <w:szCs w:val="13"/>
          <w:color w:val="auto"/>
        </w:rPr>
        <w:t>Our FinFET process technology is purpose-built for high-performance, power-efficient Systems-on-a-Chip (“SoCs”) in demanding, high-volume applications. Advanced features</w:t>
      </w:r>
      <w:r>
        <w:rPr>
          <w:rFonts w:ascii="Arial" w:cs="Arial" w:eastAsia="Arial" w:hAnsi="Arial"/>
          <w:sz w:val="13"/>
          <w:szCs w:val="13"/>
          <w:b w:val="1"/>
          <w:bCs w:val="1"/>
          <w:color w:val="auto"/>
        </w:rPr>
        <w:t xml:space="preserve"> </w:t>
      </w:r>
      <w:r>
        <w:rPr>
          <w:rFonts w:ascii="Arial" w:cs="Arial" w:eastAsia="Arial" w:hAnsi="Arial"/>
          <w:sz w:val="13"/>
          <w:szCs w:val="13"/>
          <w:color w:val="auto"/>
        </w:rPr>
        <w:t>such as RF, automotive, ultra-low power memory and logic provide a best-in-class (12 to 16 nanometer (“nm”)) combination of performance, power and area, and are well-suited for compute and AI, mobile/consumer and automotive processors, high-end IoT applications, high performance transceivers and wired/wireless networking applications.</w:t>
      </w:r>
    </w:p>
    <w:p>
      <w:pPr>
        <w:spacing w:after="0" w:line="70" w:lineRule="exact"/>
        <w:rPr>
          <w:rFonts w:ascii="Arial" w:cs="Arial" w:eastAsia="Arial" w:hAnsi="Arial"/>
          <w:sz w:val="13"/>
          <w:szCs w:val="13"/>
          <w:color w:val="auto"/>
        </w:rPr>
      </w:pPr>
    </w:p>
    <w:p>
      <w:pPr>
        <w:jc w:val="both"/>
        <w:ind w:left="760" w:hanging="246"/>
        <w:spacing w:after="0" w:line="253" w:lineRule="auto"/>
        <w:tabs>
          <w:tab w:leader="none" w:pos="753" w:val="left"/>
        </w:tabs>
        <w:numPr>
          <w:ilvl w:val="1"/>
          <w:numId w:val="31"/>
        </w:numPr>
        <w:rPr>
          <w:rFonts w:ascii="Arial" w:cs="Arial" w:eastAsia="Arial" w:hAnsi="Arial"/>
          <w:sz w:val="13"/>
          <w:szCs w:val="13"/>
          <w:color w:val="auto"/>
        </w:rPr>
      </w:pPr>
      <w:r>
        <w:rPr>
          <w:rFonts w:ascii="Arial" w:cs="Arial" w:eastAsia="Arial" w:hAnsi="Arial"/>
          <w:sz w:val="13"/>
          <w:szCs w:val="13"/>
          <w:b w:val="1"/>
          <w:bCs w:val="1"/>
          <w:color w:val="auto"/>
        </w:rPr>
        <w:t xml:space="preserve">SiPh: </w:t>
      </w:r>
      <w:r>
        <w:rPr>
          <w:rFonts w:ascii="Arial" w:cs="Arial" w:eastAsia="Arial" w:hAnsi="Arial"/>
          <w:sz w:val="13"/>
          <w:szCs w:val="13"/>
          <w:color w:val="auto"/>
        </w:rPr>
        <w:t>Our SiPh platforms address the increasing need for data centers to handle ever higher data rates and volumes with greater power efficiency, as conventional copper wire</w:t>
      </w:r>
      <w:r>
        <w:rPr>
          <w:rFonts w:ascii="Arial" w:cs="Arial" w:eastAsia="Arial" w:hAnsi="Arial"/>
          <w:sz w:val="13"/>
          <w:szCs w:val="13"/>
          <w:b w:val="1"/>
          <w:bCs w:val="1"/>
          <w:color w:val="auto"/>
        </w:rPr>
        <w:t xml:space="preserve"> </w:t>
      </w:r>
      <w:r>
        <w:rPr>
          <w:rFonts w:ascii="Arial" w:cs="Arial" w:eastAsia="Arial" w:hAnsi="Arial"/>
          <w:sz w:val="13"/>
          <w:szCs w:val="13"/>
          <w:color w:val="auto"/>
        </w:rPr>
        <w:t>connections are becoming prohibitive from a power consumption perspective. Our SiPh platforms integrate photonics components with CMOS logic and RF to enable a fully integrated, monolithic electrical and optical computing and communications engine. Our SiPh technologies are also being extended to applications such as Light Detection and Ranging (“LiDAR”), quantum computing and consumer optical networks.</w:t>
      </w:r>
    </w:p>
    <w:p>
      <w:pPr>
        <w:spacing w:after="0" w:line="59"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b w:val="1"/>
          <w:bCs w:val="1"/>
          <w:color w:val="auto"/>
        </w:rPr>
        <w:t>RF</w:t>
      </w:r>
    </w:p>
    <w:p>
      <w:pPr>
        <w:spacing w:after="0" w:line="94" w:lineRule="exact"/>
        <w:rPr>
          <w:rFonts w:ascii="Arial" w:cs="Arial" w:eastAsia="Arial" w:hAnsi="Arial"/>
          <w:sz w:val="13"/>
          <w:szCs w:val="13"/>
          <w:color w:val="auto"/>
        </w:rPr>
      </w:pPr>
    </w:p>
    <w:p>
      <w:pPr>
        <w:jc w:val="both"/>
        <w:ind w:left="760" w:hanging="246"/>
        <w:spacing w:after="0" w:line="261" w:lineRule="auto"/>
        <w:tabs>
          <w:tab w:leader="none" w:pos="760" w:val="left"/>
        </w:tabs>
        <w:numPr>
          <w:ilvl w:val="1"/>
          <w:numId w:val="31"/>
        </w:numPr>
        <w:rPr>
          <w:rFonts w:ascii="Arial" w:cs="Arial" w:eastAsia="Arial" w:hAnsi="Arial"/>
          <w:sz w:val="13"/>
          <w:szCs w:val="13"/>
          <w:color w:val="auto"/>
        </w:rPr>
      </w:pPr>
      <w:r>
        <w:rPr>
          <w:rFonts w:ascii="Arial" w:cs="Arial" w:eastAsia="Arial" w:hAnsi="Arial"/>
          <w:sz w:val="13"/>
          <w:szCs w:val="13"/>
          <w:b w:val="1"/>
          <w:bCs w:val="1"/>
          <w:color w:val="auto"/>
        </w:rPr>
        <w:t xml:space="preserve">RF SOI: </w:t>
      </w:r>
      <w:r>
        <w:rPr>
          <w:rFonts w:ascii="Arial" w:cs="Arial" w:eastAsia="Arial" w:hAnsi="Arial"/>
          <w:sz w:val="13"/>
          <w:szCs w:val="13"/>
          <w:color w:val="auto"/>
        </w:rPr>
        <w:t>Our industry-leading RF SOI technologies are utilized in high-growth, high-volume wireless and Wi-Fi markets and are optimized for low power, low noise and low latency/high</w:t>
      </w:r>
      <w:r>
        <w:rPr>
          <w:rFonts w:ascii="Arial" w:cs="Arial" w:eastAsia="Arial" w:hAnsi="Arial"/>
          <w:sz w:val="13"/>
          <w:szCs w:val="13"/>
          <w:b w:val="1"/>
          <w:bCs w:val="1"/>
          <w:color w:val="auto"/>
        </w:rPr>
        <w:t xml:space="preserve"> </w:t>
      </w:r>
      <w:r>
        <w:rPr>
          <w:rFonts w:ascii="Arial" w:cs="Arial" w:eastAsia="Arial" w:hAnsi="Arial"/>
          <w:sz w:val="13"/>
          <w:szCs w:val="13"/>
          <w:color w:val="auto"/>
        </w:rPr>
        <w:t>frequency applications that enable longer battery life for mobile applications and high cellular signal quality. Our RF SOI technologies are found in almost all cellular handsets from major manufacturers and in cellular ground station transceivers.</w:t>
      </w:r>
    </w:p>
    <w:p>
      <w:pPr>
        <w:spacing w:after="0" w:line="53" w:lineRule="exact"/>
        <w:rPr>
          <w:rFonts w:ascii="Arial" w:cs="Arial" w:eastAsia="Arial" w:hAnsi="Arial"/>
          <w:sz w:val="13"/>
          <w:szCs w:val="13"/>
          <w:color w:val="auto"/>
        </w:rPr>
      </w:pPr>
    </w:p>
    <w:p>
      <w:pPr>
        <w:jc w:val="both"/>
        <w:ind w:left="760" w:hanging="246"/>
        <w:spacing w:after="0" w:line="261" w:lineRule="auto"/>
        <w:tabs>
          <w:tab w:leader="none" w:pos="756" w:val="left"/>
        </w:tabs>
        <w:numPr>
          <w:ilvl w:val="1"/>
          <w:numId w:val="31"/>
        </w:numPr>
        <w:rPr>
          <w:rFonts w:ascii="Arial" w:cs="Arial" w:eastAsia="Arial" w:hAnsi="Arial"/>
          <w:sz w:val="13"/>
          <w:szCs w:val="13"/>
          <w:color w:val="auto"/>
        </w:rPr>
      </w:pPr>
      <w:r>
        <w:rPr>
          <w:rFonts w:ascii="Arial" w:cs="Arial" w:eastAsia="Arial" w:hAnsi="Arial"/>
          <w:sz w:val="13"/>
          <w:szCs w:val="13"/>
          <w:b w:val="1"/>
          <w:bCs w:val="1"/>
          <w:color w:val="auto"/>
        </w:rPr>
        <w:t xml:space="preserve">SiGe: </w:t>
      </w:r>
      <w:r>
        <w:rPr>
          <w:rFonts w:ascii="Arial" w:cs="Arial" w:eastAsia="Arial" w:hAnsi="Arial"/>
          <w:sz w:val="13"/>
          <w:szCs w:val="13"/>
          <w:color w:val="auto"/>
        </w:rPr>
        <w:t>Our SiGe Bipolar CMOS (“BiCMOS”) technologies are uniquely optimized for either power amplifier applications or very-high-frequency applications for optical and wireless</w:t>
      </w:r>
      <w:r>
        <w:rPr>
          <w:rFonts w:ascii="Arial" w:cs="Arial" w:eastAsia="Arial" w:hAnsi="Arial"/>
          <w:sz w:val="13"/>
          <w:szCs w:val="13"/>
          <w:b w:val="1"/>
          <w:bCs w:val="1"/>
          <w:color w:val="auto"/>
        </w:rPr>
        <w:t xml:space="preserve"> </w:t>
      </w:r>
      <w:r>
        <w:rPr>
          <w:rFonts w:ascii="Arial" w:cs="Arial" w:eastAsia="Arial" w:hAnsi="Arial"/>
          <w:sz w:val="13"/>
          <w:szCs w:val="13"/>
          <w:color w:val="auto"/>
        </w:rPr>
        <w:t>networking, satellite communications and communications infrastructure. Our SiGe technologies are performance-competitive with more costly compound semiconductor technologies while taking full advantage of being integrated with conventional Silicon CMOS (“Si CMOS”).</w:t>
      </w:r>
    </w:p>
    <w:p>
      <w:pPr>
        <w:spacing w:after="0" w:line="53" w:lineRule="exact"/>
        <w:rPr>
          <w:rFonts w:ascii="Arial" w:cs="Arial" w:eastAsia="Arial" w:hAnsi="Arial"/>
          <w:sz w:val="13"/>
          <w:szCs w:val="13"/>
          <w:color w:val="auto"/>
        </w:rPr>
      </w:pPr>
    </w:p>
    <w:p>
      <w:pPr>
        <w:ind w:left="400" w:hanging="140"/>
        <w:spacing w:after="0"/>
        <w:tabs>
          <w:tab w:leader="none" w:pos="400" w:val="left"/>
        </w:tabs>
        <w:numPr>
          <w:ilvl w:val="0"/>
          <w:numId w:val="31"/>
        </w:numPr>
        <w:rPr>
          <w:rFonts w:ascii="Arial" w:cs="Arial" w:eastAsia="Arial" w:hAnsi="Arial"/>
          <w:sz w:val="13"/>
          <w:szCs w:val="13"/>
          <w:color w:val="auto"/>
        </w:rPr>
      </w:pPr>
      <w:r>
        <w:rPr>
          <w:rFonts w:ascii="Arial" w:cs="Arial" w:eastAsia="Arial" w:hAnsi="Arial"/>
          <w:sz w:val="13"/>
          <w:szCs w:val="13"/>
          <w:b w:val="1"/>
          <w:bCs w:val="1"/>
          <w:color w:val="auto"/>
        </w:rPr>
        <w:t>Power</w:t>
      </w:r>
    </w:p>
    <w:p>
      <w:pPr>
        <w:spacing w:after="0" w:line="94" w:lineRule="exact"/>
        <w:rPr>
          <w:rFonts w:ascii="Arial" w:cs="Arial" w:eastAsia="Arial" w:hAnsi="Arial"/>
          <w:sz w:val="13"/>
          <w:szCs w:val="13"/>
          <w:color w:val="auto"/>
        </w:rPr>
      </w:pPr>
    </w:p>
    <w:p>
      <w:pPr>
        <w:jc w:val="both"/>
        <w:ind w:left="760" w:hanging="246"/>
        <w:spacing w:after="0" w:line="252" w:lineRule="auto"/>
        <w:tabs>
          <w:tab w:leader="none" w:pos="760" w:val="left"/>
        </w:tabs>
        <w:numPr>
          <w:ilvl w:val="1"/>
          <w:numId w:val="31"/>
        </w:numPr>
        <w:rPr>
          <w:rFonts w:ascii="Arial" w:cs="Arial" w:eastAsia="Arial" w:hAnsi="Arial"/>
          <w:sz w:val="13"/>
          <w:szCs w:val="13"/>
          <w:color w:val="auto"/>
        </w:rPr>
      </w:pPr>
      <w:r>
        <w:rPr>
          <w:rFonts w:ascii="Arial" w:cs="Arial" w:eastAsia="Arial" w:hAnsi="Arial"/>
          <w:sz w:val="13"/>
          <w:szCs w:val="13"/>
          <w:b w:val="1"/>
          <w:bCs w:val="1"/>
          <w:color w:val="auto"/>
        </w:rPr>
        <w:t>GaN</w:t>
      </w:r>
      <w:r>
        <w:rPr>
          <w:rFonts w:ascii="Arial" w:cs="Arial" w:eastAsia="Arial" w:hAnsi="Arial"/>
          <w:sz w:val="13"/>
          <w:szCs w:val="13"/>
          <w:color w:val="auto"/>
        </w:rPr>
        <w:t>: Our next-generation GaN on silicon technology will enable a wide range of future power conversion and RF applications. With their unique ability to handle significant heat and</w:t>
      </w:r>
      <w:r>
        <w:rPr>
          <w:rFonts w:ascii="Arial" w:cs="Arial" w:eastAsia="Arial" w:hAnsi="Arial"/>
          <w:sz w:val="13"/>
          <w:szCs w:val="13"/>
          <w:b w:val="1"/>
          <w:bCs w:val="1"/>
          <w:color w:val="auto"/>
        </w:rPr>
        <w:t xml:space="preserve"> </w:t>
      </w:r>
      <w:r>
        <w:rPr>
          <w:rFonts w:ascii="Arial" w:cs="Arial" w:eastAsia="Arial" w:hAnsi="Arial"/>
          <w:sz w:val="13"/>
          <w:szCs w:val="13"/>
          <w:color w:val="auto"/>
        </w:rPr>
        <w:t>power levels, GaN semiconductors are positioned to enable game-changing performance and efficiency in applications including 5G and 6G smartphones, RF wireless infrastructure, electric vehicles, power grids, solar energy, and other technologies.</w:t>
      </w:r>
    </w:p>
    <w:p>
      <w:pPr>
        <w:spacing w:after="0" w:line="70" w:lineRule="exact"/>
        <w:rPr>
          <w:rFonts w:ascii="Arial" w:cs="Arial" w:eastAsia="Arial" w:hAnsi="Arial"/>
          <w:sz w:val="13"/>
          <w:szCs w:val="13"/>
          <w:color w:val="auto"/>
        </w:rPr>
      </w:pPr>
    </w:p>
    <w:p>
      <w:pPr>
        <w:jc w:val="both"/>
        <w:ind w:left="760" w:hanging="246"/>
        <w:spacing w:after="0" w:line="261" w:lineRule="auto"/>
        <w:tabs>
          <w:tab w:leader="none" w:pos="756" w:val="left"/>
        </w:tabs>
        <w:numPr>
          <w:ilvl w:val="1"/>
          <w:numId w:val="31"/>
        </w:numPr>
        <w:rPr>
          <w:rFonts w:ascii="Arial" w:cs="Arial" w:eastAsia="Arial" w:hAnsi="Arial"/>
          <w:sz w:val="13"/>
          <w:szCs w:val="13"/>
          <w:color w:val="auto"/>
        </w:rPr>
      </w:pPr>
      <w:r>
        <w:rPr>
          <w:rFonts w:ascii="Arial" w:cs="Arial" w:eastAsia="Arial" w:hAnsi="Arial"/>
          <w:sz w:val="13"/>
          <w:szCs w:val="13"/>
          <w:b w:val="1"/>
          <w:bCs w:val="1"/>
          <w:color w:val="auto"/>
        </w:rPr>
        <w:t>BCD</w:t>
      </w:r>
      <w:r>
        <w:rPr>
          <w:rFonts w:ascii="Arial" w:cs="Arial" w:eastAsia="Arial" w:hAnsi="Arial"/>
          <w:sz w:val="13"/>
          <w:szCs w:val="13"/>
          <w:color w:val="auto"/>
        </w:rPr>
        <w:t>: Our Bipolar-CMOS-DMOS (“BCD”) and BCDLite platforms provide high performance, resilient and flexible platforms for efficient power management. Equipped with embedded</w:t>
      </w:r>
      <w:r>
        <w:rPr>
          <w:rFonts w:ascii="Arial" w:cs="Arial" w:eastAsia="Arial" w:hAnsi="Arial"/>
          <w:sz w:val="13"/>
          <w:szCs w:val="13"/>
          <w:b w:val="1"/>
          <w:bCs w:val="1"/>
          <w:color w:val="auto"/>
        </w:rPr>
        <w:t xml:space="preserve"> </w:t>
      </w:r>
      <w:r>
        <w:rPr>
          <w:rFonts w:ascii="Arial" w:cs="Arial" w:eastAsia="Arial" w:hAnsi="Arial"/>
          <w:sz w:val="13"/>
          <w:szCs w:val="13"/>
          <w:color w:val="auto"/>
        </w:rPr>
        <w:t>memory options and automotive qualifications, the platforms offer power management solutions for a range of market applications, including automotive, smart mobile devices and IoT. High-performance and ultra-efficient, the BCD platforms provide performance and low power.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1" w:right="31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color w:val="auto"/>
        </w:rPr>
        <w:t>Recent Industry and Market Dynamics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Semiconductor Industry Inventory Correction</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2023, the semiconductor industry experienced an excess of inventory and reduced levels of demand across several of the end-markets that we serve, compounded by slowdowns in consumer spending, a volatile macro-economic environment, elevated interest rates and geopolitical tensions. Inventory levels for several of our customers, particularly those with concentrated exposures to consumer-centric end-markets, continued to rise during the first half of 2023 and remained elevated throughout the second half of 2023. Based on conversations with our customers, we expect that the catalyst for reducing inventory levels and improving demand will be driven by the stabilization of key macro-economic indicators, such as inflation, interest rates and GDP growth.</w:t>
      </w:r>
    </w:p>
    <w:p>
      <w:pPr>
        <w:spacing w:after="0" w:line="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For a discussion of our business’s seasonality, see “Item 3. Key information—D. Risk Factors—Risk Factors—Risks Related to Our Business and Industry—The cyclical nature and seasonality of the semiconductor industry and periodic overcapacity make us vulnerable to significant and sometimes prolonged economic downturns.”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Government Incentives to Secure Supply</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Governments have created bold new incentive programs to fund and secure their local semiconductor manufacturing industries. In the United States, the CHIPS and Science Act of 2022, which was signed into law by the President of the United States of America in August 2022, provided for a 25% investment tax refund and appropriated $52 billion in grants to support the domestic semiconductor industry. The EU has enacted the European Chips Act, which is intended to provide significant funding to strengthen the EU’s semiconductor industry.</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The CHIPS and Science Act was designed to boost investments in high-tech research and development and catalyze investment in domestic semiconductor manufacturing capacity. The CHIPS and Science Act provides a 25% refundable advance manufacturing investment tax credit on certain investments and other financial incentives to promote investments in manufacturing beginning in 2023. Starting in 2023, GF began benefiting from this law, and has sought a refund of $66.4 million, and GF anticipates continuing to benefit from this law going forward, which should help subsidize 25% of all capital investments made by us in the U.S., at our Fab 8 and Fab 9 facilities in the States of New York and Vermont, respectively. In addition, under the CHIPS and Science Act, $52 billion in grants were made available, and in 2023, GF applied to participate in this grant program via the U.S. Department of Commerce’s CHIPS office In February 2024, the CHIPS office announced $1.5 billion in planned direct funding for us. This planned investment will enable us to expand and create new manufacturing capacity and capabilities to securely produce more essential chips for automotive, IoT, aerospace, defense, and other vital markets. The proposed funding will support three potential GF projects: expansion of our existing Fab 8 facility, construction of a new state-of-art fab on the Malta, New York, campus, and modernization of our Fab 9 facility in Vermont. In support of the two Fab 8 projects in New York, the State of New York also announced that it intends to provide $575 million in planned direct funding. The preliminary awards are non-binding commitments, and receipt of any funding will be subject to certain terms and conditions, including GF hitting specific milestones.</w:t>
      </w:r>
    </w:p>
    <w:p>
      <w:pPr>
        <w:spacing w:after="0" w:line="5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April 2023, the European Commission approved the award of direct grant funding to GF and ST to support the construction and operation of a new 300mm manufacturing facility in Crolles, France. The funds are being made available under the European Chips Act and the project will enable the development of a large-scale manufacturing site in Europe for high performance chips. The specific amounts allocated to each of GF and ST are confidential, but France has announced that the project is expected to benefit from significant financial support of roughly €2.9 billion from France, under EU State Aid Rules. See “Item 3. Key information—D. Risk Factors—Risk Factors—Risks Related to Strategic Transactions—We are in the process of implementing a strategic collaboration with ST Microelectronics (“ST”) pursuant to which ST and the Company are building and fitting out a new, jointly-operated fab in Crolles, France. Failure to successfully implement and manage the strategic collaboration may adversely affect our results of operation, financial conditions, business and prospects.”</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anticipated timing and capacity of the foregoing proposed expansions or modernizations are always contingent on market demand, the receipt of anticipated funding, whether public or private, satisfaction of conditions for the receipt of certain public funding, and customer commitments for secured supply. See “Item 3. Key Information—D. Risk Factors—Risk Factors—Risks Related to our Business and Industry—We receive subsidies and grants in certain countries and regions in which we operate, and a reduction in the amount of governmental funding available to us or demands for repayment could increase our costs and affect our results of operations.”</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believe that foundry customers are increasingly seeking to diversify and secure their semiconductor supply chains, and are looking for foundry partners with manufacturing footprints in Europe, the United States and Asia, outside of China and Taiwan. Fabless companies, IDMs and OEMs increasingly view their foundry relations as highly strategic. This trend has the potential to help balance the geographical distribution of manufacturing and drive increased long-term visibility and profitability of the foundry industry.</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Technology Megatrends</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Semiconductors are the core building blocks of electronic devices and systems, including those used in mobile devices, automobiles, consumer electronics, wearables, smart home devices, 5G wireless infrastructure, robotics, PCs, cloud computing, data networking and others. Historically, semiconductor innovation was driven by a few select compute-centric applications—initially PCs and later the internet and mobile phones. Mobile devices have evolved from a convenient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1" w:name="page42"/>
    <w:bookmarkEnd w:id="41"/>
    <w:p>
      <w:pPr>
        <w:spacing w:after="0"/>
        <w:rPr>
          <w:sz w:val="20"/>
          <w:szCs w:val="20"/>
          <w:color w:val="auto"/>
        </w:rPr>
      </w:pPr>
      <w:r>
        <w:rPr>
          <w:rFonts w:ascii="Arial" w:cs="Arial" w:eastAsia="Arial" w:hAnsi="Arial"/>
          <w:sz w:val="13"/>
          <w:szCs w:val="13"/>
          <w:color w:val="auto"/>
        </w:rPr>
        <w:t>communication appliance to an always-connected device, enabling users to do and control nearly everything in their lives. This has driven significant growth in semiconductor demand.</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Another significant driver of semiconductor demand has been, and we believe will continue to be, the tremendous growth in the deployment of intelligent software which is increasingly transforming a wide variety of business functions across all sectors. Semiconductors enable the functionality that software delivers. With wide-scale adoption of mobile devices and software solutions, society has grown to expect high-speed connectivity, convenience and security in all applications, providing a catalyst for increased semiconductor content in nearly every industry. These trends were accelerated by the COVID-19 pandemic, which emphasized the criticality of connectivity to allow the world to continue to work, communicate, educate, and deliver goods and services. We believe that accelerated adoption of technologies such as video conferencing, telemedicine, e-education and e-commerce will serve to drive increased requirements for these technologies going forward.</w:t>
      </w:r>
    </w:p>
    <w:p>
      <w:pPr>
        <w:spacing w:after="0" w:line="5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Semiconductors are enabling the transformation of other sectors of the economy as well. In particular, the electrification of automobiles, including autonomous driving applications are driving a sharp increase in semiconductor sensors. Semiconductors are increasingly integral to the performance, safety and comfort of vehicles, and we believe the continued electrification of automobiles will only further accelerate this trend.</w:t>
      </w:r>
    </w:p>
    <w:p>
      <w:pPr>
        <w:spacing w:after="0" w:line="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Semiconductors have become mission-critical to the functionality, safety, transformation and success of many industries in addition to the automotive industry. As a result, the diversification of semiconductor demand across a wide range of industries has made the sector more foundational and central to the broader economy.</w:t>
      </w:r>
    </w:p>
    <w:p>
      <w:pPr>
        <w:spacing w:after="0" w:line="51"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Technology megatrends including IoT, 5G, cloud, artificial intelligence (“AI”) and next-generation automotive are reshaping the global economy and driving a new golden age for semiconductors. Semiconductors have become ubiquitous, powering a broad range of applications from consumer devices to enterprise and industrial applications. Semiconductor innovation is essential to the growth and development of many parts of the technology ecosystem. This includes the software and AI revolution and data collection, transmission and processing at an unprecedented scale, as well as increasing use of advanced driver-assistance systems (“ADAS”) and electrification of automobiles. Semiconductor innovation is also essential for many industrial applications. As the manufacturing backbone of the semiconductor industry, foundries are the bedrock of the global technology ecosystem, and, by extension, the world economy. Foundries such as GF drive innovation by providing advances in process technologies, materials science and IC design IP within the global supply chain to enable customers to develop ICs, accelerate time-to-market and offer value-added services.</w:t>
      </w: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Raw Materials</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One of the most important raw materials used in our production processes is silicon wafers, which is the basic raw material from which ICs are made. In recent years, the silicon substrate market has experienced price volatility and supply shortages. The principal suppliers for our wafers are GlobalWafers Singapore Pte. Ltd. (“GlobalWafers”), Shin-Etsu Handotai (“S.E.H.”), Siltronic AG, SK Siltron, Inc., Soitec and Sumco Corporation. In order to secure a reliable and flexible supply of high-quality wafers, we have entered into multiple long-term agreements with the majority of our principal suppliers, the largest of which is Soitec. We have entered into multiple long-term agreements with Soitec across a wide spectrum of SOI products. See also “Item 3. Key Information—D. Risk Factors— Risk Factors—Risks Related to our Business and Industry—We rely on a complex silicon supply chain and breakdowns in that chain could affect our ability to produce our products and could materially and adversely affect our results of operations, financial condition, business and prospects.”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have a strong heritage of innovation, stemming from our roots at AMD, Chartered Semiconductor and IBM, and have built a comprehensive technology portfolio supported by approximately 9,000 worldwide patents. As of December 31, 2023, we had approximately 1,500 employees dedicated to R&amp;D. We have a strong commitment to R&amp;D, and, since our strategic repositioning in 2018, have been able to invest more efficiently, focusing our R&amp;D efforts primarily on delivering a comprehensive and expanded portfolio of highly-differentiated, essential chip solutions for our customers, including RF, FinFET, CMOS, FDX</w:t>
      </w:r>
      <w:r>
        <w:rPr>
          <w:rFonts w:ascii="Arial" w:cs="Arial" w:eastAsia="Arial" w:hAnsi="Arial"/>
          <w:sz w:val="15"/>
          <w:szCs w:val="15"/>
          <w:color w:val="auto"/>
          <w:vertAlign w:val="superscript"/>
        </w:rPr>
        <w:t>TM</w:t>
      </w:r>
      <w:r>
        <w:rPr>
          <w:rFonts w:ascii="Arial" w:cs="Arial" w:eastAsia="Arial" w:hAnsi="Arial"/>
          <w:sz w:val="12"/>
          <w:szCs w:val="12"/>
          <w:color w:val="auto"/>
        </w:rPr>
        <w:t>, SiGe, GaN and SiPh. Our investments cover a broad range of innovation vectors, including materials and substrates, architecture, integration, services, including packaging, and the development of our ecosystem. We have developed and continue to develop resources that allow our customers to develop innovative products to fuel the global economy. In 2023, 2022 and 2021, we spent $428 million, $482 million and $478 million, respectively, on R&amp;D, which represented approximately 6%, 6% and 7% of our net revenue in each respective year.</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Intellectual Property</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rely on IP rights, particularly patents and trade secrets, as well as contractual arrangements, to protect our core process and design enablement technologies and provide our customers with protected technology to enable their mission-critical offerings. As of December 31, 2023, we held 6,930 U.S.-issued patents and 1,916 patents issued outside of the United States. We periodically conduct in-depth reviews of our patents and the industry’s manufacturing technologies, and we cull patents having limited or no value, yielding both savings in patent office maintenance fees and a strong, active patent portfolio.</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have entered into patent cross-licenses with a number of other leading advanced semiconductor companies, including AMD, Samsung, TSMC and IBM. These cross-licenses provide us with valuable freedom of operation under patents owned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2" w:name="page43"/>
    <w:bookmarkEnd w:id="42"/>
    <w:p>
      <w:pPr>
        <w:jc w:val="both"/>
        <w:spacing w:after="0" w:line="248" w:lineRule="auto"/>
        <w:rPr>
          <w:sz w:val="20"/>
          <w:szCs w:val="20"/>
          <w:color w:val="auto"/>
        </w:rPr>
      </w:pPr>
      <w:r>
        <w:rPr>
          <w:rFonts w:ascii="Arial" w:cs="Arial" w:eastAsia="Arial" w:hAnsi="Arial"/>
          <w:sz w:val="13"/>
          <w:szCs w:val="13"/>
          <w:color w:val="auto"/>
        </w:rPr>
        <w:t xml:space="preserve">or subsequently divested by such companies. As is the case with many companies in the semiconductor industry, we have from time to time received communications from third parties, asserting patents that allegedly cover certain of our technologies, and we expect to receive similar communications in the future. Some of the patents that others have chosen to assert against us are not valid based on pre-existing prior art, and we have successfully defended ourselves using </w:t>
      </w:r>
      <w:r>
        <w:rPr>
          <w:rFonts w:ascii="Arial" w:cs="Arial" w:eastAsia="Arial" w:hAnsi="Arial"/>
          <w:sz w:val="13"/>
          <w:szCs w:val="13"/>
          <w:i w:val="1"/>
          <w:iCs w:val="1"/>
          <w:color w:val="auto"/>
        </w:rPr>
        <w:t>inter partes</w:t>
      </w:r>
      <w:r>
        <w:rPr>
          <w:rFonts w:ascii="Arial" w:cs="Arial" w:eastAsia="Arial" w:hAnsi="Arial"/>
          <w:sz w:val="13"/>
          <w:szCs w:val="13"/>
          <w:color w:val="auto"/>
        </w:rPr>
        <w:t xml:space="preserve"> review (“IPR”) and other procedures in the U.S. Patent and Trademark Office. Regardless of the validity or the successful assertion of such claims, we could incur significant costs and devote significant management resources to the defense of these claims, which could seriously harm our company. Additionally, many of our agreements with our customers and partners require us to defend such parties against certain IP infringement claims and indemnify them for damages and losses arising from certain intellectual property infringement claims against them. See “Item 3. Key Information—D. Risk Factors—Risk Factors—Risks Related to Intellectual Property—We have been, and may continue to be, subject to intellectual property disputes, which are costly and may subject us to significant liability and increased costs of doing business.”</w:t>
      </w: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Environmental, Social and Governance (ESG) Initiatives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are dedicated to ethical and responsible business practices, the personal and social well-being of our employees, and supply chain and environmental stewardship. ESG is fundamental to our culture and our value proposition to our customers, the communities in which we live and do business, and our full range of global stakeholders. For the second year in a row, we earned a place on Newsweek's esteemed list of "America's Most Responsible Companies," underscoring the Company’s longstanding commitment to ESG and environmentally sustainable manufacturing practices.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Employee Safety, Health and Well-being</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Our Journey to Zero commitment is the leading theme of our Global Environmental Health and Safety (“EHS”) Policy and Standards, which serves as the foundation of health and safety programs at each of our manufacturing locations. We strive to continuously reduce occupational injuries and illnesses in all of our operations, and aspire to achieve the goal of zero annual incidents. Our enterprise-wide health and safety management system is certified to the ISO 45001:2018 standard.</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Environmentally Sustainable Manufacturing and Operations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Semiconductor manufacturing is generally resource-intensive. Therefore, our Journey to Zero commitment also represents our pursuit of sustainable and environmentally efficient operations, seeking to minimize environmental- and climate-related impacts from our operations through pollution prevention and resource conservation. Our Global EHS Policy and Standards establish a continual improvement process and performance requirements that apply throughout the company. Our enterprise-wide environmental management system is certified to the ISO 14001:2015 standard. In August 2021, we launched our Journey to Zero Carbon commitment that aims to reduce greenhouse gas emissions by 25% by 2030, compared to a 2020 baseline.</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Responsible Sourcing</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a member of the Responsible Business Alliance (“RBA”), we are committed to responsible sourcing practices. We progressively apply the RBA Code of Conduct to our major suppliers and monitor its application. We encourage and support our suppliers to do the same in our continuous pursuit of excellence in corporate responsibility and extension of responsible practices throughout the supply chain.</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Technology Solutions for Humanity</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focused on creating innovations in the largest and most pervasive segments of the semiconductor industry. As power efficiency has become a critical success factor for the semiconductor industry, we strive to develop solutions that can lower the power consumption of digital technology.</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Human Capital: Diversity &amp; Inclusion and Talent Development</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We believe that our success rests on empowering employees to bring their whole selves to the company and that building a culture of inclusion drives better business outcomes. As a global company, we recognize and value the wide variety of cultural values, traditions, experiences, education and perspectives of our team and communities. We previously established a Diversity &amp; Inclusion office and as of December 31, 2023, we employed a multicultural workforce across three continents, representing more than 83 nationalities across 13 countries. We believe that our culture of inclusion leads to higher levels of belonging, engagement and ultimately, higher-performing teams. We strive to focus on all aspects of the employee lifecycle, including recruitment, retention, professional development, and advancement of diverse talent. As part of this effort, in 2013, we established our first employee resource group, GLOBALWOMEN, to have a positive impact on our business through the enrichment of our female employees. Since then, we have established the Black Resource Affinity Group (“B.R.A.G.”), Globalfamilies, the United States Veteran’s Resource Group (“VRG”), Early Career and Tenure Resource Group, Asian Society for Inclusion and Awareness, ConnectAbility, Unidos, Pride and Remote Group. Employee driven, our employee resource groups support our diversity and inclusion strategy. We use an annual engagement survey process to help measure employee engagement and our diversity and inclusion strategy progress.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Global Support Strategy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3" w:name="page44"/>
    <w:bookmarkEnd w:id="43"/>
    <w:p>
      <w:pPr>
        <w:jc w:val="both"/>
        <w:spacing w:after="0" w:line="266" w:lineRule="auto"/>
        <w:rPr>
          <w:sz w:val="20"/>
          <w:szCs w:val="20"/>
          <w:color w:val="auto"/>
        </w:rPr>
      </w:pPr>
      <w:r>
        <w:rPr>
          <w:rFonts w:ascii="Arial" w:cs="Arial" w:eastAsia="Arial" w:hAnsi="Arial"/>
          <w:sz w:val="13"/>
          <w:szCs w:val="13"/>
          <w:color w:val="auto"/>
        </w:rPr>
        <w:t>We have continued to grow our operations in India, Malaysia and Bulgaria as an important part of our global support strategy. Our operations in those locations span a broad range of functions including engineering, operations support, design enablement, procurement, IT and Human Resources.</w:t>
      </w: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Community Support and Engagement</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have a long history of community involvement, with well-established programs and global and local teams dedicated to enriching the lives of the people in our communities around the world. Through our worldwide GlobalGives program, we provide employees with the opportunity to make a positive impact in their local communities through personal donations, company-matched donations as well as through volunteering their time.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4" w:name="page45"/>
    <w:bookmarkEnd w:id="44"/>
    <w:p>
      <w:pPr>
        <w:ind w:left="280" w:hanging="275"/>
        <w:spacing w:after="0"/>
        <w:tabs>
          <w:tab w:leader="none" w:pos="28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Organizational Structure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chart of our corporate structure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4446270" cy="39281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46270" cy="392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hanging="80"/>
        <w:spacing w:after="0"/>
        <w:tabs>
          <w:tab w:leader="none" w:pos="340" w:val="left"/>
        </w:tabs>
        <w:numPr>
          <w:ilvl w:val="1"/>
          <w:numId w:val="33"/>
        </w:numPr>
        <w:rPr>
          <w:rFonts w:ascii="Arial" w:cs="Arial" w:eastAsia="Arial" w:hAnsi="Arial"/>
          <w:sz w:val="13"/>
          <w:szCs w:val="13"/>
          <w:color w:val="auto"/>
        </w:rPr>
      </w:pPr>
      <w:r>
        <w:rPr>
          <w:rFonts w:ascii="Arial" w:cs="Arial" w:eastAsia="Arial" w:hAnsi="Arial"/>
          <w:sz w:val="13"/>
          <w:szCs w:val="13"/>
          <w:color w:val="auto"/>
        </w:rPr>
        <w:t>Please refer to Note 29 to our Annual Consolidated Financial Statements for more information on our subsidiaries.</w:t>
      </w:r>
    </w:p>
    <w:p>
      <w:pPr>
        <w:spacing w:after="0" w:line="37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D.  Property, Plant and Equipment</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Fab Facilities</w:t>
      </w:r>
    </w:p>
    <w:p>
      <w:pPr>
        <w:spacing w:after="0" w:line="9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In 2023, we shipped approximately 2.2 million 300mm equivalent semiconductor wafers. We currently operate four manufacturing sites in the following locations: Dresden, Germany; Singapore; Malta, New York; and Burlington, Vermont.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Global Footprint</w:t>
      </w:r>
    </w:p>
    <w:p>
      <w:pPr>
        <w:spacing w:after="0" w:line="9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Our focus on highly-differentiated solutions, quality, security and reliability requires world-class manufacturing capabilities. We have four world-class manufacturing sites on three continents, providing the scale, technology differentiation and geographic diversification that we believe are critically important to our customers’ success.</w:t>
      </w:r>
    </w:p>
    <w:p>
      <w:pPr>
        <w:spacing w:after="0" w:line="61"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total clean room space is approximately 238,000 square meters spread across our four manufacturing sites. As of December 31, 2023, our total 300 mm equivalent installed capacity is 2,618 kilo wafers per annum (“kwpa”). The Company defines installed capacity as the anticipated output of installed manufacturing equipment across all our fabs, assuming</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1" w:right="319" w:bottom="1440" w:gutter="0" w:footer="0" w:header="0"/>
        </w:sectPr>
      </w:pPr>
    </w:p>
    <w:bookmarkStart w:id="45" w:name="page46"/>
    <w:bookmarkEnd w:id="45"/>
    <w:p>
      <w:pPr>
        <w:spacing w:after="0"/>
        <w:rPr>
          <w:sz w:val="20"/>
          <w:szCs w:val="20"/>
          <w:color w:val="auto"/>
        </w:rPr>
      </w:pPr>
      <w:r>
        <w:rPr>
          <w:rFonts w:ascii="Arial" w:cs="Arial" w:eastAsia="Arial" w:hAnsi="Arial"/>
          <w:sz w:val="13"/>
          <w:szCs w:val="13"/>
          <w:color w:val="auto"/>
        </w:rPr>
        <w:t>uninterrupted runs of such manufacturing equipment for a full year, adjusted for, among other factors, down time for maintenance and set up and current product mix.</w:t>
      </w:r>
    </w:p>
    <w:p>
      <w:pPr>
        <w:spacing w:after="0" w:line="84" w:lineRule="exact"/>
        <w:rPr>
          <w:sz w:val="20"/>
          <w:szCs w:val="20"/>
          <w:color w:val="auto"/>
        </w:rPr>
      </w:pPr>
    </w:p>
    <w:p>
      <w:pPr>
        <w:jc w:val="both"/>
        <w:ind w:right="20"/>
        <w:spacing w:after="0" w:line="259" w:lineRule="auto"/>
        <w:rPr>
          <w:sz w:val="20"/>
          <w:szCs w:val="20"/>
          <w:color w:val="auto"/>
        </w:rPr>
      </w:pPr>
      <w:r>
        <w:rPr>
          <w:rFonts w:ascii="Arial" w:cs="Arial" w:eastAsia="Arial" w:hAnsi="Arial"/>
          <w:sz w:val="13"/>
          <w:szCs w:val="13"/>
          <w:color w:val="auto"/>
        </w:rPr>
        <w:t>In 300mm equivalent wafers, we shipped approximately: 2 million in 2020, 2.4 million in 2021; 2.5 million in 2022; and 2.2 million in 2023. Meanwhile over the same period, we have continued to invest in our capacity footprint and by the end of 2024, we expect to have invested in our total capacity to produce approximately 3 million 300mm equivalent wafers. The rate and pace at which we expect to increase shipments within our capacity footprint, will be subject to, amongst other things, a reduction in channel inventory across the end markets we serve, improvement in the global macro-economic landscape and increased customer demand.</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describes each of our manufacturing facilities as of December 31, 2023:</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397"/>
        </w:trPr>
        <w:tc>
          <w:tcPr>
            <w:tcW w:w="3280" w:type="dxa"/>
            <w:vAlign w:val="bottom"/>
            <w:tcBorders>
              <w:top w:val="single" w:sz="8" w:color="auto"/>
              <w:left w:val="single" w:sz="8" w:color="auto"/>
              <w:right w:val="single" w:sz="8" w:color="auto"/>
            </w:tcBorders>
            <w:vMerge w:val="restart"/>
          </w:tcPr>
          <w:p>
            <w:pPr>
              <w:ind w:left="1080"/>
              <w:spacing w:after="0"/>
              <w:rPr>
                <w:sz w:val="20"/>
                <w:szCs w:val="20"/>
                <w:color w:val="auto"/>
              </w:rPr>
            </w:pPr>
            <w:r>
              <w:rPr>
                <w:rFonts w:ascii="Arial" w:cs="Arial" w:eastAsia="Arial" w:hAnsi="Arial"/>
                <w:sz w:val="11"/>
                <w:szCs w:val="11"/>
                <w:b w:val="1"/>
                <w:bCs w:val="1"/>
                <w:color w:val="auto"/>
              </w:rPr>
              <w:t>Fab Facility Location</w:t>
            </w: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Key Technologies</w:t>
            </w: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Key Process Technologies</w:t>
            </w:r>
          </w:p>
        </w:tc>
        <w:tc>
          <w:tcPr>
            <w:tcW w:w="1600" w:type="dxa"/>
            <w:vAlign w:val="bottom"/>
            <w:tcBorders>
              <w:top w:val="single" w:sz="8" w:color="auto"/>
              <w:right w:val="single" w:sz="8" w:color="auto"/>
            </w:tcBorders>
            <w:vMerge w:val="restart"/>
          </w:tcPr>
          <w:p>
            <w:pPr>
              <w:ind w:left="340"/>
              <w:spacing w:after="0"/>
              <w:rPr>
                <w:sz w:val="20"/>
                <w:szCs w:val="20"/>
                <w:color w:val="auto"/>
              </w:rPr>
            </w:pPr>
            <w:r>
              <w:rPr>
                <w:rFonts w:ascii="Arial" w:cs="Arial" w:eastAsia="Arial" w:hAnsi="Arial"/>
                <w:sz w:val="11"/>
                <w:szCs w:val="11"/>
                <w:b w:val="1"/>
                <w:bCs w:val="1"/>
                <w:color w:val="auto"/>
              </w:rPr>
              <w:t>Wafer Size (mm)</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2023 Shipments</w:t>
            </w:r>
          </w:p>
        </w:tc>
        <w:tc>
          <w:tcPr>
            <w:tcW w:w="162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1"/>
                <w:szCs w:val="11"/>
                <w:b w:val="1"/>
                <w:bCs w:val="1"/>
                <w:color w:val="auto"/>
              </w:rPr>
              <w:t>Clean Room Area (sqm)</w:t>
            </w:r>
          </w:p>
        </w:tc>
        <w:tc>
          <w:tcPr>
            <w:tcW w:w="0" w:type="dxa"/>
            <w:vAlign w:val="bottom"/>
          </w:tcPr>
          <w:p>
            <w:pPr>
              <w:spacing w:after="0"/>
              <w:rPr>
                <w:sz w:val="1"/>
                <w:szCs w:val="1"/>
                <w:color w:val="auto"/>
              </w:rPr>
            </w:pPr>
          </w:p>
        </w:tc>
      </w:tr>
      <w:tr>
        <w:trPr>
          <w:trHeight w:val="114"/>
        </w:trPr>
        <w:tc>
          <w:tcPr>
            <w:tcW w:w="328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(kwpa, 300mm</w:t>
            </w: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28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equivalent in thousands)</w:t>
            </w:r>
            <w:r>
              <w:rPr>
                <w:rFonts w:ascii="Arial" w:cs="Arial" w:eastAsia="Arial" w:hAnsi="Arial"/>
                <w:sz w:val="14"/>
                <w:szCs w:val="14"/>
                <w:b w:val="1"/>
                <w:bCs w:val="1"/>
                <w:color w:val="auto"/>
                <w:vertAlign w:val="superscript"/>
              </w:rPr>
              <w:t>(1)</w:t>
            </w:r>
          </w:p>
        </w:tc>
        <w:tc>
          <w:tcPr>
            <w:tcW w:w="1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80" w:type="dxa"/>
            <w:vAlign w:val="bottom"/>
            <w:tcBorders>
              <w:left w:val="single" w:sz="8" w:color="auto"/>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280" w:type="dxa"/>
            <w:vAlign w:val="bottom"/>
            <w:tcBorders>
              <w:left w:val="single" w:sz="8" w:color="auto"/>
              <w:right w:val="single" w:sz="8" w:color="auto"/>
            </w:tcBorders>
            <w:vMerge w:val="restart"/>
            <w:shd w:val="clear" w:color="auto" w:fill="CCEEFF"/>
          </w:tcPr>
          <w:p>
            <w:pPr>
              <w:ind w:left="20"/>
              <w:spacing w:after="0"/>
              <w:rPr>
                <w:sz w:val="20"/>
                <w:szCs w:val="20"/>
                <w:color w:val="auto"/>
              </w:rPr>
            </w:pPr>
            <w:r>
              <w:rPr>
                <w:rFonts w:ascii="Arial" w:cs="Arial" w:eastAsia="Arial" w:hAnsi="Arial"/>
                <w:sz w:val="11"/>
                <w:szCs w:val="11"/>
                <w:color w:val="auto"/>
              </w:rPr>
              <w:t>Dresden, Germany</w:t>
            </w:r>
          </w:p>
        </w:tc>
        <w:tc>
          <w:tcPr>
            <w:tcW w:w="1600" w:type="dxa"/>
            <w:vAlign w:val="bottom"/>
            <w:tcBorders>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1"/>
                <w:szCs w:val="11"/>
                <w:color w:val="auto"/>
              </w:rPr>
              <w:t>DX, NVM, ISP, HV/DDI, BCD-</w:t>
            </w:r>
          </w:p>
        </w:tc>
        <w:tc>
          <w:tcPr>
            <w:tcW w:w="16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1"/>
                <w:szCs w:val="11"/>
                <w:color w:val="auto"/>
              </w:rPr>
              <w:t>55nm-22nm</w:t>
            </w:r>
          </w:p>
        </w:tc>
        <w:tc>
          <w:tcPr>
            <w:tcW w:w="16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1"/>
                <w:szCs w:val="11"/>
                <w:color w:val="auto"/>
              </w:rPr>
              <w:t>300</w:t>
            </w:r>
          </w:p>
        </w:tc>
        <w:tc>
          <w:tcPr>
            <w:tcW w:w="16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1"/>
                <w:szCs w:val="11"/>
                <w:color w:val="auto"/>
              </w:rPr>
              <w:t>698</w:t>
            </w:r>
          </w:p>
        </w:tc>
        <w:tc>
          <w:tcPr>
            <w:tcW w:w="16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1"/>
                <w:szCs w:val="11"/>
                <w:color w:val="auto"/>
              </w:rPr>
              <w:t>52,000</w:t>
            </w:r>
          </w:p>
        </w:tc>
        <w:tc>
          <w:tcPr>
            <w:tcW w:w="0" w:type="dxa"/>
            <w:vAlign w:val="bottom"/>
          </w:tcPr>
          <w:p>
            <w:pPr>
              <w:spacing w:after="0"/>
              <w:rPr>
                <w:sz w:val="1"/>
                <w:szCs w:val="1"/>
                <w:color w:val="auto"/>
              </w:rPr>
            </w:pPr>
          </w:p>
        </w:tc>
      </w:tr>
      <w:tr>
        <w:trPr>
          <w:trHeight w:val="85"/>
        </w:trPr>
        <w:tc>
          <w:tcPr>
            <w:tcW w:w="328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16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1"/>
                <w:szCs w:val="11"/>
                <w:color w:val="auto"/>
              </w:rPr>
              <w:t>lite</w:t>
            </w:r>
          </w:p>
        </w:tc>
        <w:tc>
          <w:tcPr>
            <w:tcW w:w="1600" w:type="dxa"/>
            <w:vAlign w:val="bottom"/>
            <w:tcBorders>
              <w:right w:val="single" w:sz="8" w:color="auto"/>
            </w:tcBorders>
            <w:vMerge w:val="continue"/>
            <w:shd w:val="clear" w:color="auto" w:fill="CCEEFF"/>
          </w:tcPr>
          <w:p>
            <w:pPr>
              <w:spacing w:after="0"/>
              <w:rPr>
                <w:sz w:val="7"/>
                <w:szCs w:val="7"/>
                <w:color w:val="auto"/>
              </w:rPr>
            </w:pPr>
          </w:p>
        </w:tc>
        <w:tc>
          <w:tcPr>
            <w:tcW w:w="1600" w:type="dxa"/>
            <w:vAlign w:val="bottom"/>
            <w:tcBorders>
              <w:right w:val="single" w:sz="8" w:color="auto"/>
            </w:tcBorders>
            <w:vMerge w:val="continue"/>
            <w:shd w:val="clear" w:color="auto" w:fill="CCEEFF"/>
          </w:tcPr>
          <w:p>
            <w:pPr>
              <w:spacing w:after="0"/>
              <w:rPr>
                <w:sz w:val="7"/>
                <w:szCs w:val="7"/>
                <w:color w:val="auto"/>
              </w:rPr>
            </w:pPr>
          </w:p>
        </w:tc>
        <w:tc>
          <w:tcPr>
            <w:tcW w:w="1600" w:type="dxa"/>
            <w:vAlign w:val="bottom"/>
            <w:tcBorders>
              <w:right w:val="single" w:sz="8" w:color="auto"/>
            </w:tcBorders>
            <w:vMerge w:val="continue"/>
            <w:shd w:val="clear" w:color="auto" w:fill="CCEEFF"/>
          </w:tcPr>
          <w:p>
            <w:pPr>
              <w:spacing w:after="0"/>
              <w:rPr>
                <w:sz w:val="7"/>
                <w:szCs w:val="7"/>
                <w:color w:val="auto"/>
              </w:rPr>
            </w:pPr>
          </w:p>
        </w:tc>
        <w:tc>
          <w:tcPr>
            <w:tcW w:w="162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3280" w:type="dxa"/>
            <w:vAlign w:val="bottom"/>
            <w:tcBorders>
              <w:left w:val="single" w:sz="8" w:color="auto"/>
              <w:bottom w:val="single" w:sz="8" w:color="auto"/>
              <w:right w:val="single" w:sz="8" w:color="auto"/>
            </w:tcBorders>
            <w:shd w:val="clear" w:color="auto" w:fill="CCEEFF"/>
          </w:tcPr>
          <w:p>
            <w:pPr>
              <w:spacing w:after="0"/>
              <w:rPr>
                <w:sz w:val="6"/>
                <w:szCs w:val="6"/>
                <w:color w:val="auto"/>
              </w:rPr>
            </w:pPr>
          </w:p>
        </w:tc>
        <w:tc>
          <w:tcPr>
            <w:tcW w:w="1600" w:type="dxa"/>
            <w:vAlign w:val="bottom"/>
            <w:tcBorders>
              <w:bottom w:val="single" w:sz="8" w:color="auto"/>
              <w:right w:val="single" w:sz="8" w:color="auto"/>
            </w:tcBorders>
            <w:vMerge w:val="continue"/>
            <w:shd w:val="clear" w:color="auto" w:fill="CCEEFF"/>
          </w:tcPr>
          <w:p>
            <w:pPr>
              <w:spacing w:after="0"/>
              <w:rPr>
                <w:sz w:val="6"/>
                <w:szCs w:val="6"/>
                <w:color w:val="auto"/>
              </w:rPr>
            </w:pPr>
          </w:p>
        </w:tc>
        <w:tc>
          <w:tcPr>
            <w:tcW w:w="1600" w:type="dxa"/>
            <w:vAlign w:val="bottom"/>
            <w:tcBorders>
              <w:bottom w:val="single" w:sz="8" w:color="auto"/>
              <w:right w:val="single" w:sz="8" w:color="auto"/>
            </w:tcBorders>
            <w:shd w:val="clear" w:color="auto" w:fill="CCEEFF"/>
          </w:tcPr>
          <w:p>
            <w:pPr>
              <w:spacing w:after="0"/>
              <w:rPr>
                <w:sz w:val="6"/>
                <w:szCs w:val="6"/>
                <w:color w:val="auto"/>
              </w:rPr>
            </w:pPr>
          </w:p>
        </w:tc>
        <w:tc>
          <w:tcPr>
            <w:tcW w:w="1600" w:type="dxa"/>
            <w:vAlign w:val="bottom"/>
            <w:tcBorders>
              <w:bottom w:val="single" w:sz="8" w:color="auto"/>
              <w:right w:val="single" w:sz="8" w:color="auto"/>
            </w:tcBorders>
            <w:shd w:val="clear" w:color="auto" w:fill="CCEEFF"/>
          </w:tcPr>
          <w:p>
            <w:pPr>
              <w:spacing w:after="0"/>
              <w:rPr>
                <w:sz w:val="6"/>
                <w:szCs w:val="6"/>
                <w:color w:val="auto"/>
              </w:rPr>
            </w:pPr>
          </w:p>
        </w:tc>
        <w:tc>
          <w:tcPr>
            <w:tcW w:w="1600" w:type="dxa"/>
            <w:vAlign w:val="bottom"/>
            <w:tcBorders>
              <w:bottom w:val="single" w:sz="8" w:color="auto"/>
              <w:right w:val="single" w:sz="8" w:color="auto"/>
            </w:tcBorders>
            <w:shd w:val="clear" w:color="auto" w:fill="CCEEFF"/>
          </w:tcPr>
          <w:p>
            <w:pPr>
              <w:spacing w:after="0"/>
              <w:rPr>
                <w:sz w:val="6"/>
                <w:szCs w:val="6"/>
                <w:color w:val="auto"/>
              </w:rPr>
            </w:pPr>
          </w:p>
        </w:tc>
        <w:tc>
          <w:tcPr>
            <w:tcW w:w="1620" w:type="dxa"/>
            <w:vAlign w:val="bottom"/>
            <w:tcBorders>
              <w:bottom w:val="single" w:sz="8" w:color="auto"/>
              <w:right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32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color w:val="auto"/>
              </w:rPr>
              <w:t>Singapore</w:t>
            </w:r>
          </w:p>
        </w:tc>
        <w:tc>
          <w:tcPr>
            <w:tcW w:w="16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color w:val="auto"/>
              </w:rPr>
              <w:t>BCD/BCDlite, HV, NVM, DDI,</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180nm-40nm</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300,200</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942</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87,000</w:t>
            </w:r>
          </w:p>
        </w:tc>
        <w:tc>
          <w:tcPr>
            <w:tcW w:w="0" w:type="dxa"/>
            <w:vAlign w:val="bottom"/>
          </w:tcPr>
          <w:p>
            <w:pPr>
              <w:spacing w:after="0"/>
              <w:rPr>
                <w:sz w:val="1"/>
                <w:szCs w:val="1"/>
                <w:color w:val="auto"/>
              </w:rPr>
            </w:pPr>
          </w:p>
        </w:tc>
      </w:tr>
      <w:tr>
        <w:trPr>
          <w:trHeight w:val="85"/>
        </w:trPr>
        <w:tc>
          <w:tcPr>
            <w:tcW w:w="3280" w:type="dxa"/>
            <w:vAlign w:val="bottom"/>
            <w:tcBorders>
              <w:left w:val="single" w:sz="8" w:color="auto"/>
              <w:right w:val="single" w:sz="8" w:color="auto"/>
            </w:tcBorders>
            <w:vMerge w:val="continue"/>
          </w:tcPr>
          <w:p>
            <w:pPr>
              <w:spacing w:after="0"/>
              <w:rPr>
                <w:sz w:val="7"/>
                <w:szCs w:val="7"/>
                <w:color w:val="auto"/>
              </w:rPr>
            </w:pPr>
          </w:p>
        </w:tc>
        <w:tc>
          <w:tcPr>
            <w:tcW w:w="1600" w:type="dxa"/>
            <w:vAlign w:val="bottom"/>
            <w:tcBorders>
              <w:right w:val="single" w:sz="8" w:color="auto"/>
            </w:tcBorders>
            <w:vMerge w:val="restart"/>
          </w:tcPr>
          <w:p>
            <w:pPr>
              <w:jc w:val="center"/>
              <w:ind w:right="3"/>
              <w:spacing w:after="0"/>
              <w:rPr>
                <w:sz w:val="20"/>
                <w:szCs w:val="20"/>
                <w:color w:val="auto"/>
              </w:rPr>
            </w:pPr>
            <w:r>
              <w:rPr>
                <w:rFonts w:ascii="Arial" w:cs="Arial" w:eastAsia="Arial" w:hAnsi="Arial"/>
                <w:sz w:val="11"/>
                <w:szCs w:val="11"/>
                <w:color w:val="auto"/>
              </w:rPr>
              <w:t>RF SOI, LP SiGe</w:t>
            </w:r>
          </w:p>
        </w:tc>
        <w:tc>
          <w:tcPr>
            <w:tcW w:w="1600" w:type="dxa"/>
            <w:vAlign w:val="bottom"/>
            <w:tcBorders>
              <w:right w:val="single" w:sz="8" w:color="auto"/>
            </w:tcBorders>
            <w:vMerge w:val="continue"/>
          </w:tcPr>
          <w:p>
            <w:pPr>
              <w:spacing w:after="0"/>
              <w:rPr>
                <w:sz w:val="7"/>
                <w:szCs w:val="7"/>
                <w:color w:val="auto"/>
              </w:rPr>
            </w:pPr>
          </w:p>
        </w:tc>
        <w:tc>
          <w:tcPr>
            <w:tcW w:w="1600" w:type="dxa"/>
            <w:vAlign w:val="bottom"/>
            <w:tcBorders>
              <w:right w:val="single" w:sz="8" w:color="auto"/>
            </w:tcBorders>
            <w:vMerge w:val="continue"/>
          </w:tcPr>
          <w:p>
            <w:pPr>
              <w:spacing w:after="0"/>
              <w:rPr>
                <w:sz w:val="7"/>
                <w:szCs w:val="7"/>
                <w:color w:val="auto"/>
              </w:rPr>
            </w:pPr>
          </w:p>
        </w:tc>
        <w:tc>
          <w:tcPr>
            <w:tcW w:w="160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3280" w:type="dxa"/>
            <w:vAlign w:val="bottom"/>
            <w:tcBorders>
              <w:left w:val="single" w:sz="8" w:color="auto"/>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vMerge w:val="continue"/>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2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Malta, New York, USA</w:t>
            </w:r>
          </w:p>
        </w:tc>
        <w:tc>
          <w:tcPr>
            <w:tcW w:w="1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9"/>
              </w:rPr>
              <w:t>FinFET</w:t>
            </w:r>
          </w:p>
        </w:tc>
        <w:tc>
          <w:tcPr>
            <w:tcW w:w="1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rPr>
              <w:t>14nm-12nm</w:t>
            </w:r>
          </w:p>
        </w:tc>
        <w:tc>
          <w:tcPr>
            <w:tcW w:w="1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rPr>
              <w:t>300</w:t>
            </w:r>
          </w:p>
        </w:tc>
        <w:tc>
          <w:tcPr>
            <w:tcW w:w="1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rPr>
              <w:t>372</w:t>
            </w:r>
          </w:p>
        </w:tc>
        <w:tc>
          <w:tcPr>
            <w:tcW w:w="1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rPr>
              <w:t>58,000</w:t>
            </w:r>
          </w:p>
        </w:tc>
        <w:tc>
          <w:tcPr>
            <w:tcW w:w="0" w:type="dxa"/>
            <w:vAlign w:val="bottom"/>
          </w:tcPr>
          <w:p>
            <w:pPr>
              <w:spacing w:after="0"/>
              <w:rPr>
                <w:sz w:val="1"/>
                <w:szCs w:val="1"/>
                <w:color w:val="auto"/>
              </w:rPr>
            </w:pPr>
          </w:p>
        </w:tc>
      </w:tr>
      <w:tr>
        <w:trPr>
          <w:trHeight w:val="150"/>
        </w:trPr>
        <w:tc>
          <w:tcPr>
            <w:tcW w:w="3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Burlington, Vermont, USA</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RF SOI, SiGe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90nm</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200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127</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41,000</w:t>
            </w:r>
          </w:p>
        </w:tc>
        <w:tc>
          <w:tcPr>
            <w:tcW w:w="0" w:type="dxa"/>
            <w:vAlign w:val="bottom"/>
          </w:tcPr>
          <w:p>
            <w:pPr>
              <w:spacing w:after="0"/>
              <w:rPr>
                <w:sz w:val="1"/>
                <w:szCs w:val="1"/>
                <w:color w:val="auto"/>
              </w:rPr>
            </w:pPr>
          </w:p>
        </w:tc>
      </w:tr>
      <w:tr>
        <w:trPr>
          <w:trHeight w:val="153"/>
        </w:trPr>
        <w:tc>
          <w:tcPr>
            <w:tcW w:w="32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Totals</w:t>
            </w:r>
          </w:p>
        </w:tc>
        <w:tc>
          <w:tcPr>
            <w:tcW w:w="1600" w:type="dxa"/>
            <w:vAlign w:val="bottom"/>
            <w:tcBorders>
              <w:bottom w:val="single" w:sz="8" w:color="auto"/>
              <w:right w:val="single" w:sz="8" w:color="auto"/>
            </w:tcBorders>
            <w:shd w:val="clear" w:color="auto" w:fill="CCEEFF"/>
          </w:tcPr>
          <w:p>
            <w:pPr>
              <w:spacing w:after="0"/>
              <w:rPr>
                <w:sz w:val="13"/>
                <w:szCs w:val="13"/>
                <w:color w:val="auto"/>
              </w:rPr>
            </w:pPr>
          </w:p>
        </w:tc>
        <w:tc>
          <w:tcPr>
            <w:tcW w:w="1600" w:type="dxa"/>
            <w:vAlign w:val="bottom"/>
            <w:tcBorders>
              <w:bottom w:val="single" w:sz="8" w:color="auto"/>
              <w:right w:val="single" w:sz="8" w:color="auto"/>
            </w:tcBorders>
            <w:shd w:val="clear" w:color="auto" w:fill="CCEEFF"/>
          </w:tcPr>
          <w:p>
            <w:pPr>
              <w:spacing w:after="0"/>
              <w:rPr>
                <w:sz w:val="13"/>
                <w:szCs w:val="13"/>
                <w:color w:val="auto"/>
              </w:rPr>
            </w:pPr>
          </w:p>
        </w:tc>
        <w:tc>
          <w:tcPr>
            <w:tcW w:w="1600" w:type="dxa"/>
            <w:vAlign w:val="bottom"/>
            <w:tcBorders>
              <w:bottom w:val="single" w:sz="8" w:color="auto"/>
              <w:right w:val="single" w:sz="8" w:color="auto"/>
            </w:tcBorders>
            <w:shd w:val="clear" w:color="auto" w:fill="CCEEFF"/>
          </w:tcPr>
          <w:p>
            <w:pPr>
              <w:spacing w:after="0"/>
              <w:rPr>
                <w:sz w:val="13"/>
                <w:szCs w:val="13"/>
                <w:color w:val="auto"/>
              </w:rPr>
            </w:pPr>
          </w:p>
        </w:tc>
        <w:tc>
          <w:tcPr>
            <w:tcW w:w="1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2,139</w:t>
            </w:r>
          </w:p>
        </w:tc>
        <w:tc>
          <w:tcPr>
            <w:tcW w:w="1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238,000</w:t>
            </w:r>
          </w:p>
        </w:tc>
        <w:tc>
          <w:tcPr>
            <w:tcW w:w="0" w:type="dxa"/>
            <w:vAlign w:val="bottom"/>
          </w:tcPr>
          <w:p>
            <w:pPr>
              <w:spacing w:after="0"/>
              <w:rPr>
                <w:sz w:val="1"/>
                <w:szCs w:val="1"/>
                <w:color w:val="auto"/>
              </w:rPr>
            </w:pPr>
          </w:p>
        </w:tc>
      </w:tr>
    </w:tbl>
    <w:p>
      <w:pPr>
        <w:ind w:left="120" w:hanging="101"/>
        <w:spacing w:after="0" w:line="221" w:lineRule="auto"/>
        <w:tabs>
          <w:tab w:leader="none" w:pos="120" w:val="left"/>
        </w:tabs>
        <w:numPr>
          <w:ilvl w:val="0"/>
          <w:numId w:val="34"/>
        </w:numPr>
        <w:rPr>
          <w:rFonts w:ascii="Arial" w:cs="Arial" w:eastAsia="Arial" w:hAnsi="Arial"/>
          <w:sz w:val="12"/>
          <w:szCs w:val="12"/>
          <w:color w:val="auto"/>
          <w:vertAlign w:val="superscript"/>
        </w:rPr>
      </w:pPr>
      <w:r>
        <w:rPr>
          <w:rFonts w:ascii="Arial" w:cs="Arial" w:eastAsia="Arial" w:hAnsi="Arial"/>
          <w:sz w:val="9"/>
          <w:szCs w:val="9"/>
          <w:color w:val="auto"/>
        </w:rPr>
        <w:t>Does not include 72 kwpa, 300mm equivalent of shipments enabled from manufacturing outsource partners.</w:t>
      </w:r>
    </w:p>
    <w:p>
      <w:pPr>
        <w:spacing w:after="0" w:line="159" w:lineRule="exact"/>
        <w:rPr>
          <w:sz w:val="20"/>
          <w:szCs w:val="20"/>
          <w:color w:val="auto"/>
        </w:rPr>
      </w:pPr>
    </w:p>
    <w:p>
      <w:pPr>
        <w:jc w:val="both"/>
        <w:ind w:right="20"/>
        <w:spacing w:after="0" w:line="261" w:lineRule="auto"/>
        <w:rPr>
          <w:sz w:val="20"/>
          <w:szCs w:val="20"/>
          <w:color w:val="auto"/>
        </w:rPr>
      </w:pPr>
      <w:r>
        <w:rPr>
          <w:rFonts w:ascii="Arial" w:cs="Arial" w:eastAsia="Arial" w:hAnsi="Arial"/>
          <w:sz w:val="13"/>
          <w:szCs w:val="13"/>
          <w:color w:val="auto"/>
        </w:rPr>
        <w:t>Each site is equipped with thousands of highly sophisticated pieces of manufacturing equipment and tools. We currently have more than 7,500 tools across all of our fabs. Each site has dedicated power, water, gas and chemical distribution systems. Various assets have been pledged to secure borrowings under pledged agreements for the Company. re 12 to our Annual Consolidated Financial Statements.</w:t>
      </w:r>
    </w:p>
    <w:p>
      <w:pPr>
        <w:spacing w:after="0" w:line="53" w:lineRule="exact"/>
        <w:rPr>
          <w:sz w:val="20"/>
          <w:szCs w:val="20"/>
          <w:color w:val="auto"/>
        </w:rPr>
      </w:pPr>
    </w:p>
    <w:p>
      <w:pPr>
        <w:jc w:val="both"/>
        <w:ind w:right="20"/>
        <w:spacing w:after="0" w:line="283" w:lineRule="auto"/>
        <w:rPr>
          <w:sz w:val="20"/>
          <w:szCs w:val="20"/>
          <w:color w:val="auto"/>
        </w:rPr>
      </w:pPr>
      <w:r>
        <w:rPr>
          <w:rFonts w:ascii="Arial" w:cs="Arial" w:eastAsia="Arial" w:hAnsi="Arial"/>
          <w:sz w:val="13"/>
          <w:szCs w:val="13"/>
          <w:color w:val="auto"/>
        </w:rPr>
        <w:t>From time to time, we announce plans to expand our global capacity. The anticipated timing and capacity of these proposed expansions or modernizations are always contingent on market demand, the receipt of anticipated funding, whether public or private, achievement of conditions to receipt of certain public funding, and customer commitments for secured supply.</w:t>
      </w:r>
    </w:p>
    <w:p>
      <w:pPr>
        <w:spacing w:after="0" w:line="40" w:lineRule="exact"/>
        <w:rPr>
          <w:sz w:val="20"/>
          <w:szCs w:val="20"/>
          <w:color w:val="auto"/>
        </w:rPr>
      </w:pPr>
    </w:p>
    <w:p>
      <w:pPr>
        <w:jc w:val="both"/>
        <w:ind w:right="20"/>
        <w:spacing w:after="0" w:line="261" w:lineRule="auto"/>
        <w:rPr>
          <w:sz w:val="20"/>
          <w:szCs w:val="20"/>
          <w:color w:val="auto"/>
        </w:rPr>
      </w:pPr>
      <w:r>
        <w:rPr>
          <w:rFonts w:ascii="Arial" w:cs="Arial" w:eastAsia="Arial" w:hAnsi="Arial"/>
          <w:sz w:val="13"/>
          <w:szCs w:val="13"/>
          <w:color w:val="auto"/>
        </w:rPr>
        <w:t>On June 22, 2021, we announced fab expansion plans in Singapore, with the addition of Module 7H, an extension of our existing 300mm Fab 7 operations. This expansion was funded in part by the Singapore Economic Development Board (“EDB”) in the form of long-term developmental loans and grants. In September 2023, Module 7H began limited production. Once fully ramped, we anticipate having an aggregate annual capacity of 450,000 wafers.</w:t>
      </w:r>
    </w:p>
    <w:p>
      <w:pPr>
        <w:spacing w:after="0" w:line="53" w:lineRule="exact"/>
        <w:rPr>
          <w:sz w:val="20"/>
          <w:szCs w:val="20"/>
          <w:color w:val="auto"/>
        </w:rPr>
      </w:pPr>
    </w:p>
    <w:p>
      <w:pPr>
        <w:jc w:val="both"/>
        <w:ind w:right="20"/>
        <w:spacing w:after="0" w:line="283" w:lineRule="auto"/>
        <w:rPr>
          <w:sz w:val="20"/>
          <w:szCs w:val="20"/>
          <w:color w:val="auto"/>
        </w:rPr>
      </w:pPr>
      <w:r>
        <w:rPr>
          <w:rFonts w:ascii="Arial" w:cs="Arial" w:eastAsia="Arial" w:hAnsi="Arial"/>
          <w:sz w:val="13"/>
          <w:szCs w:val="13"/>
          <w:color w:val="auto"/>
        </w:rPr>
        <w:t>The majority of our manufacturing facilities are built on land we own, with the exception of our Malta, New York, and Singapore fabs, which are built on land leased to the Company by the industrial development agencies of their respective regions.</w:t>
      </w:r>
    </w:p>
    <w:p>
      <w:pPr>
        <w:spacing w:after="0" w:line="40" w:lineRule="exact"/>
        <w:rPr>
          <w:sz w:val="20"/>
          <w:szCs w:val="20"/>
          <w:color w:val="auto"/>
        </w:rPr>
      </w:pPr>
    </w:p>
    <w:p>
      <w:pPr>
        <w:jc w:val="both"/>
        <w:ind w:right="20"/>
        <w:spacing w:after="0" w:line="281" w:lineRule="auto"/>
        <w:rPr>
          <w:sz w:val="20"/>
          <w:szCs w:val="20"/>
          <w:color w:val="auto"/>
        </w:rPr>
      </w:pPr>
      <w:r>
        <w:rPr>
          <w:rFonts w:ascii="Arial" w:cs="Arial" w:eastAsia="Arial" w:hAnsi="Arial"/>
          <w:sz w:val="12"/>
          <w:szCs w:val="12"/>
          <w:color w:val="auto"/>
        </w:rPr>
        <w:t>On August 4, 2022, we agreed on a Commercial and Cooperation agreement with ST to build a jointly-operated 300mm manufacturing facility adjacent to ST’s existing 300mm facility in Crolles, France. This facility is targeted to ramp to an aggregate 620,000 300mm wafers per year production at full build-out. Our partnership with ST on the facility is subject to our customers’ volume requirements and other market considerations. In April 2023, the European Commission approved the award of direct grant funding to GF and ST to support this project. The specific amounts allocated to each of GF and ST are confidential, but France has announced that the project is expected to benefit from significant financial support of roughly €2.9 billion from France, under EU State Aid Rules.</w:t>
      </w:r>
    </w:p>
    <w:p>
      <w:pPr>
        <w:spacing w:after="0" w:line="43"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color w:val="auto"/>
        </w:rPr>
        <w:t>In February 2024, the U.S. Department of Commerce announced $1.5 billion in planned direct funding for us as part of the CHIPS and Science Act. This planned investment will enable us to expand and create new manufacturing capacity and capabilities to securely produce more essential chips for automotive, IoT, aerospace, defense, and other vital markets. The proposed funding will support three potential GF projects: expansion of our existing Fab 8 facility, construction of a new state-of-art fab on the New York/Fab 8 campus, and modernization of our Fab 9 facility in Vermont. In support of the two Fab 8 projects, the State of New York also announced that it intends to provide $575 million in planned direct funding. The preliminary awards are non-binding commitments, and receipt of any funding will be subject to certain terms and conditions, including GF hitting specific milestones. Subject to market requirements and customer demand as well as receipt of expected government funding, among other factors, GF plans to invest more than $12 billion over the next 10 or more years across its two U.S. sites.</w:t>
      </w:r>
    </w:p>
    <w:p>
      <w:pPr>
        <w:spacing w:after="0" w:line="74" w:lineRule="exact"/>
        <w:rPr>
          <w:sz w:val="20"/>
          <w:szCs w:val="20"/>
          <w:color w:val="auto"/>
        </w:rPr>
      </w:pPr>
    </w:p>
    <w:p>
      <w:pPr>
        <w:jc w:val="both"/>
        <w:ind w:right="20"/>
        <w:spacing w:after="0" w:line="266" w:lineRule="auto"/>
        <w:rPr>
          <w:sz w:val="20"/>
          <w:szCs w:val="20"/>
          <w:color w:val="auto"/>
        </w:rPr>
      </w:pPr>
      <w:r>
        <w:rPr>
          <w:rFonts w:ascii="Arial" w:cs="Arial" w:eastAsia="Arial" w:hAnsi="Arial"/>
          <w:sz w:val="13"/>
          <w:szCs w:val="13"/>
          <w:color w:val="auto"/>
        </w:rPr>
        <w:t>For risks related to funding of the foregoing projects, see “Item 3. Key Information—D. Risk Factors—Risk Factors—Risks Related to our Business and Industry—We receive subsidies and grants in certain countries and regions in which we</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sectPr>
      </w:pPr>
    </w:p>
    <w:bookmarkStart w:id="46" w:name="page47"/>
    <w:bookmarkEnd w:id="46"/>
    <w:p>
      <w:pPr>
        <w:jc w:val="both"/>
        <w:spacing w:after="0" w:line="253" w:lineRule="auto"/>
        <w:rPr>
          <w:sz w:val="20"/>
          <w:szCs w:val="20"/>
          <w:color w:val="auto"/>
        </w:rPr>
      </w:pPr>
      <w:r>
        <w:rPr>
          <w:rFonts w:ascii="Arial" w:cs="Arial" w:eastAsia="Arial" w:hAnsi="Arial"/>
          <w:sz w:val="13"/>
          <w:szCs w:val="13"/>
          <w:color w:val="auto"/>
        </w:rPr>
        <w:t>operate, and a reduction in the amount of governmental funding available to us or demands for repayment could increase our costs and affect our results of operations.” See also “Item 3. Key information—D. Risk Factors—Risk Factors—Risks Related to Strategic Transactions—We are in the process of implementing a strategic collaboration with ST Microelectronics (“ST”) pursuant to which ST and the Company are building and fitting out a new, jointly-operated fab in Crolles, France. Failure to successfully implement and manage the strategic collaboration may adversely affect our results of operation, financial conditions, business and prospects.”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b w:val="1"/>
          <w:bCs w:val="1"/>
          <w:color w:val="auto"/>
        </w:rPr>
        <w:t>ITEM 4A.</w:t>
      </w:r>
      <w:r>
        <w:rPr>
          <w:sz w:val="20"/>
          <w:szCs w:val="20"/>
          <w:color w:val="auto"/>
        </w:rPr>
        <w:tab/>
      </w:r>
      <w:r>
        <w:rPr>
          <w:rFonts w:ascii="Arial" w:cs="Arial" w:eastAsia="Arial" w:hAnsi="Arial"/>
          <w:sz w:val="12"/>
          <w:szCs w:val="12"/>
          <w:b w:val="1"/>
          <w:bCs w:val="1"/>
          <w:color w:val="auto"/>
        </w:rPr>
        <w:t>UNRESOLVED STAFF COMMENTS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7" w:name="page48"/>
    <w:bookmarkEnd w:id="47"/>
    <w:p>
      <w:pPr>
        <w:spacing w:after="0"/>
        <w:tabs>
          <w:tab w:leader="none" w:pos="5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color w:val="auto"/>
        </w:rPr>
        <w:t>OPERATING AND FINANCIAL REVIEWS AND PROSPECTS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3"/>
          <w:szCs w:val="13"/>
          <w:i w:val="1"/>
          <w:iCs w:val="1"/>
          <w:color w:val="auto"/>
        </w:rPr>
        <w:t>You should read the following discussion and analysis together with the consolidated financial statements and the notes to such statements included in this Annual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 discussion of the changes in our results between the years ended December 31, 2021 and 2022, has been omitted from this Annual Report on Form 20-F for the year ended December 31, 2023. In order to view that discussion, please see “Item 5. Operating and Financial Review and Prospects—A. Operating Results” and “Item 5. Operating and Financial Reviews and Prospects—B. Liquidity and Capital Resources” in our Annual Report on Form 20-F for the year ended December 31, 2022, filed with the SEC on April 14, 2023, which is available on the SEC’s website at www.sec.gov and our website at https://gf.com/.</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Overview and Other Recent Events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GlobalFoundries is one of the world’s leading semiconductor foundries. We manufacture complex ICs that enable billions of electronic devices that are pervasive throughout nearly every sector of the global economy. With our specialized foundry manufacturing processes, a library consisting of thousands of IP titles, and differentiated transistor and device technology, we serve a broad range of customers, including the global leaders in IC design, and provide optimized solutions for the function, performance and power requirements of critical applications driving key secular growth end markets.</w:t>
      </w:r>
    </w:p>
    <w:p>
      <w:pPr>
        <w:spacing w:after="0" w:line="5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combination of our highly-differentiated technology and our scaled manufacturing footprint enables us to attract a large share of single-sourced products and LTAs, providing improved revenue visibility and significant operating leverage, resulting in improved financial performance. As of December 31, 2023, the aggregate remaining long-term revenue commitment reflected by these agreements amounted to more than $20 billion (spread out across varying numbers of years, depending on each LTA), and $4 billion of refundable and non-refundable advance payments and capacity reservation fees. These LTA agreements include binding, multi-year, reciprocal annual (and, in some cases, quarterly) minimum purchase and supply commitments with wafer pricing and associated mechanics outlined for the contract term. Through an intense focus on collaboration, we have built deep strategic partnerships with a broad base of more than 250 customers as of December 31, 2023, many of whom are the global leaders in their field.</w:t>
      </w:r>
    </w:p>
    <w:p>
      <w:pPr>
        <w:spacing w:after="0" w:line="6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principal source of our revenue is wafer fabrication and sales of finished semiconductor wafers, which accounted for approximately 92% of our net revenue in 2023. The rest of our net revenue was mainly derived from photomask manufacturing, sourcing services and pre-fab manufacturing services.</w:t>
      </w:r>
    </w:p>
    <w:p>
      <w:pPr>
        <w:spacing w:after="0" w:line="40"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Our business has experienced weaker demand across several of the end markets within which we operate, as our customers manage elevated inventory levels and tighter monetary policies, which adversely impacted our revenues. As discussed in “Item 3. Key Information—D. Risk Factors,” we have had to renegotiate certain of our LTAs with existing customers to reflect lower volume commitments and/or longer commitment timelines, and we expect that we will continue to have to renegotiate additional LTAs in 2024. We remain cautious as the global macroeconomic uncertainty continues, reflecting the impacts of inflation, high interest rates, and geopolitical conflicts. Although we are starting to see the inflationary headwinds moderate, the ongoing high interest rate environment has led to a prolonged and deeper cyclical downturn than was first anticipated. The extent to which these uncertainties will impact our business activities will depend on future developments that cannot be predicted at this time. We continue to collaborate closely with our customers to support the acceleration of their inventory depletion, while seeking to preserve the economic value of the commercial agreements we have entered into.</w:t>
      </w: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Components of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Revenue</w:t>
      </w:r>
    </w:p>
    <w:p>
      <w:pPr>
        <w:spacing w:after="0" w:line="9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generate the majority of our revenue from volume production and sales of finished semiconductor wafers, which are priced on a per-wafer basis for the applicable design. We also generate revenue from rendering of non-recurring engineering (“NRE”) services, mask production and pre-fabrication services such as bump, test, and packaging. Pricing is typically agreed prior to production and then updated based on subsequent period negotiations.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Cost of Revenue</w:t>
      </w:r>
    </w:p>
    <w:p>
      <w:pPr>
        <w:spacing w:after="0" w:line="84"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Cost of revenue consists primarily of material expenses, depreciation and amortization, employee-related expenses, facility costs and costs of fixed assets, including maintenance and spare parts. Material expenses primarily include the costs of raw wafers, test wafers, photomasks, resists, process gases, process chemicals, other operating supplies and external service costs for wafer manufacturing. Costs related to NRE services are also included within the cost of revenue. As it pertains to inflation and inflationary headwinds we are facing within our business, we have experienced an increase in costs for materials and energy, and we expect these increases to continue to have an adverse impact on our financial results of operations, while these economic conditions persist.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48" w:name="page49"/>
    <w:bookmarkEnd w:id="48"/>
    <w:p>
      <w:pPr>
        <w:jc w:val="both"/>
        <w:spacing w:after="0" w:line="253" w:lineRule="auto"/>
        <w:rPr>
          <w:sz w:val="20"/>
          <w:szCs w:val="20"/>
          <w:color w:val="auto"/>
        </w:rPr>
      </w:pPr>
      <w:r>
        <w:rPr>
          <w:rFonts w:ascii="Arial" w:cs="Arial" w:eastAsia="Arial" w:hAnsi="Arial"/>
          <w:sz w:val="13"/>
          <w:szCs w:val="13"/>
          <w:color w:val="auto"/>
        </w:rPr>
        <w:t>Depreciation and amortization charges primarily include the depreciation of clean room production equipment. Commencement of depreciation related to construction in progress and property, plant and equipment involves determining when the assets are available for their intended use (see Note 3 to our Annual Consolidated Financial Statements). Employee-related expenses primarily include employee wages and salaries, social security contributions and benefit costs for operators, maintenance technicians, process engineers, supply chain, IT production, yield improvement and health and safety roles. Facility costs primarily consist of the costs of electricity, water and other utilities and services.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operating expenses consist of R&amp;D, selling, general and administrative expenses, and restructuring charges. Personnel costs are the most significant component of our operating expenses and consist of salaries, benefits, bonuses, share-based compensation, and commissions.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Research and Development</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Our R&amp;D efforts are focused on developing highly-differentiated process technologies and solutions. As part of our strategic repositioning, we shifted our R&amp;D efforts to focus on technologies where we can deliver highly-differentiated solutions and discontinued our R&amp;D-intensive single-digit node program. Our R&amp;D expense includes personnel costs, material costs, software license and intellectual property expenses, facility costs, supplies, professional and consulting fees, and depreciation on equipment used in R&amp;D activities. Our development roadmap includes new platform investments, platform features and extensions, and investments in emerging technology capabilities and solutions. We expense R&amp;D costs as incurred. We believe that continued investment in our technology portfolio is important for our future growth and acquisition of new customers. We expect our R&amp;D as a percentage of revenue to modestly increase.</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Selling, General and Administrative (“SG&amp;A”)</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SG&amp;A expenses consist primarily of personnel-related costs, including sales commissions to independent sales representatives and professional fees, including the costs of accounting, audit, legal, regulatory and tax compliance. Additionally, costs related to advertising, trade shows, corporate marketing and allocated overhead costs are also included in SG&amp;A expenses. Beginning in the third quarter of 2023, SG&amp;A expenses also include certain contract cancellation fees,(gain) loss on tool sales and withholding taxes. Certain contract cancellation fees and (gain) loss on tool sales were previously included in other income (expense) while withholding taxes were previously recorded in income tax expense. We expect our SG&amp;A as a percentage of revenue to modestly increase.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Restructuring Charges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We incur restructuring charges related to a reduction in our global workforce, reduction in leased workspace and engaging consultants for strategic support.</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Operating Charges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Finance Income</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Finance income consists primarily of income related to investing activities.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Finance Expenses</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Finance expenses consists primarily of interest on borrowings, amortization of debt issuance costs under our term loans, revolving credit facility, finance leases and the other credit facilities we maintain with various financial institutions.</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Gain on Sale of a Business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Gain on sale of a business relates to the sale of the EFK business in December 2022.</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Income (Expense), net</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Other income (expense), net consists of one-time gains and losses and other miscellaneous income and expense items unrelated to our core operations. Included are gains and losses relating to hedging activities. Prior to third quarter of 2023, other income (expense), net also included (gain) loss on tool sales and certain contract cancellation fees.</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Income Tax Expense</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Income tax expense consists primarily of income taxes in certain foreign jurisdictions in which we conduct business, which mainly include Germany, Singapore and U.S. federal and state income taxes.</w:t>
      </w:r>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discussion covers items for and a comparison between the years ended December 31, 2023 and 2022.</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9" w:name="page50"/>
    <w:bookmarkEnd w:id="49"/>
    <w:p>
      <w:pPr>
        <w:ind w:left="260" w:hanging="255"/>
        <w:spacing w:after="0"/>
        <w:tabs>
          <w:tab w:leader="none" w:pos="26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Operating Results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our consolidated statements of operations data for the periods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3540" w:type="dxa"/>
            <w:vAlign w:val="bottom"/>
            <w:tcBorders>
              <w:bottom w:val="single" w:sz="8" w:color="auto"/>
            </w:tcBorders>
            <w:gridSpan w:val="4"/>
          </w:tcPr>
          <w:p>
            <w:pPr>
              <w:jc w:val="center"/>
              <w:ind w:left="656"/>
              <w:spacing w:after="0"/>
              <w:rPr>
                <w:sz w:val="20"/>
                <w:szCs w:val="20"/>
                <w:color w:val="auto"/>
              </w:rPr>
            </w:pPr>
            <w:r>
              <w:rPr>
                <w:rFonts w:ascii="Arial" w:cs="Arial" w:eastAsia="Arial" w:hAnsi="Arial"/>
                <w:sz w:val="13"/>
                <w:szCs w:val="13"/>
                <w:b w:val="1"/>
                <w:bCs w:val="1"/>
                <w:color w:val="auto"/>
                <w:w w:val="98"/>
              </w:rPr>
              <w:t>For the year ended December 31,</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660" w:type="dxa"/>
            <w:vAlign w:val="bottom"/>
          </w:tcPr>
          <w:p>
            <w:pPr>
              <w:spacing w:after="0"/>
              <w:rPr>
                <w:sz w:val="13"/>
                <w:szCs w:val="13"/>
                <w:color w:val="auto"/>
              </w:rPr>
            </w:pPr>
          </w:p>
        </w:tc>
        <w:tc>
          <w:tcPr>
            <w:tcW w:w="14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2023</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2022</w:t>
            </w: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120" w:type="dxa"/>
            <w:vAlign w:val="bottom"/>
            <w:gridSpan w:val="3"/>
          </w:tcPr>
          <w:p>
            <w:pPr>
              <w:jc w:val="center"/>
              <w:ind w:right="636"/>
              <w:spacing w:after="0"/>
              <w:rPr>
                <w:sz w:val="20"/>
                <w:szCs w:val="20"/>
                <w:color w:val="auto"/>
              </w:rPr>
            </w:pPr>
            <w:r>
              <w:rPr>
                <w:rFonts w:ascii="Arial" w:cs="Arial" w:eastAsia="Arial" w:hAnsi="Arial"/>
                <w:sz w:val="13"/>
                <w:szCs w:val="13"/>
                <w:b w:val="1"/>
                <w:bCs w:val="1"/>
                <w:color w:val="auto"/>
                <w:w w:val="95"/>
              </w:rPr>
              <w:t>(in millions)</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w:t>
            </w:r>
          </w:p>
        </w:tc>
        <w:tc>
          <w:tcPr>
            <w:tcW w:w="1420" w:type="dxa"/>
            <w:vAlign w:val="bottom"/>
            <w:shd w:val="clear" w:color="auto" w:fill="CCEEFF"/>
          </w:tcPr>
          <w:p>
            <w:pPr>
              <w:jc w:val="right"/>
              <w:ind w:right="127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7,392</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125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(1)</w:t>
            </w:r>
          </w:p>
        </w:tc>
        <w:tc>
          <w:tcPr>
            <w:tcW w:w="1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5,291</w:t>
            </w:r>
          </w:p>
        </w:tc>
        <w:tc>
          <w:tcPr>
            <w:tcW w:w="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5,869</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Gross profit</w:t>
            </w:r>
          </w:p>
        </w:tc>
        <w:tc>
          <w:tcPr>
            <w:tcW w:w="14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2,101</w:t>
            </w: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6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Research and development</w:t>
            </w:r>
            <w:r>
              <w:rPr>
                <w:rFonts w:ascii="Arial" w:cs="Arial" w:eastAsia="Arial" w:hAnsi="Arial"/>
                <w:sz w:val="16"/>
                <w:szCs w:val="16"/>
                <w:color w:val="auto"/>
                <w:vertAlign w:val="superscript"/>
              </w:rPr>
              <w:t>(1)</w:t>
            </w:r>
          </w:p>
        </w:tc>
        <w:tc>
          <w:tcPr>
            <w:tcW w:w="1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tcPr>
          <w:p>
            <w:pPr>
              <w:ind w:left="20"/>
              <w:spacing w:after="0" w:line="170" w:lineRule="exact"/>
              <w:rPr>
                <w:sz w:val="20"/>
                <w:szCs w:val="20"/>
                <w:color w:val="auto"/>
              </w:rPr>
            </w:pPr>
            <w:r>
              <w:rPr>
                <w:rFonts w:ascii="Arial" w:cs="Arial" w:eastAsia="Arial" w:hAnsi="Arial"/>
                <w:sz w:val="13"/>
                <w:szCs w:val="13"/>
                <w:color w:val="auto"/>
              </w:rPr>
              <w:t>Selling, general and administrative</w:t>
            </w:r>
            <w:r>
              <w:rPr>
                <w:rFonts w:ascii="Arial" w:cs="Arial" w:eastAsia="Arial" w:hAnsi="Arial"/>
                <w:sz w:val="16"/>
                <w:szCs w:val="16"/>
                <w:color w:val="auto"/>
                <w:vertAlign w:val="superscript"/>
              </w:rPr>
              <w:t>(1)</w:t>
            </w:r>
          </w:p>
        </w:tc>
        <w:tc>
          <w:tcPr>
            <w:tcW w:w="1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473</w:t>
            </w: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 charges</w:t>
            </w:r>
          </w:p>
        </w:tc>
        <w:tc>
          <w:tcPr>
            <w:tcW w:w="14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8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operating expenses</w:t>
            </w:r>
          </w:p>
        </w:tc>
        <w:tc>
          <w:tcPr>
            <w:tcW w:w="14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972</w:t>
            </w:r>
          </w:p>
        </w:tc>
        <w:tc>
          <w:tcPr>
            <w:tcW w:w="8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1,072</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profit</w:t>
            </w:r>
          </w:p>
        </w:tc>
        <w:tc>
          <w:tcPr>
            <w:tcW w:w="1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1,129</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Finance income</w:t>
            </w:r>
          </w:p>
        </w:tc>
        <w:tc>
          <w:tcPr>
            <w:tcW w:w="1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149</w:t>
            </w: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Finance expenses</w:t>
            </w:r>
          </w:p>
        </w:tc>
        <w:tc>
          <w:tcPr>
            <w:tcW w:w="1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Gain on sale of a business</w:t>
            </w:r>
          </w:p>
        </w:tc>
        <w:tc>
          <w:tcPr>
            <w:tcW w:w="14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14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660" w:type="dxa"/>
            <w:vAlign w:val="bottom"/>
          </w:tcPr>
          <w:p>
            <w:pPr>
              <w:ind w:left="20"/>
              <w:spacing w:after="0"/>
              <w:rPr>
                <w:sz w:val="20"/>
                <w:szCs w:val="20"/>
                <w:color w:val="auto"/>
              </w:rPr>
            </w:pPr>
            <w:r>
              <w:rPr>
                <w:rFonts w:ascii="Arial" w:cs="Arial" w:eastAsia="Arial" w:hAnsi="Arial"/>
                <w:sz w:val="13"/>
                <w:szCs w:val="13"/>
                <w:b w:val="1"/>
                <w:bCs w:val="1"/>
                <w:color w:val="auto"/>
              </w:rPr>
              <w:t>Income before income taxes</w:t>
            </w:r>
          </w:p>
        </w:tc>
        <w:tc>
          <w:tcPr>
            <w:tcW w:w="14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1,084</w:t>
            </w: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14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8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60" w:type="dxa"/>
            <w:vAlign w:val="bottom"/>
          </w:tcPr>
          <w:p>
            <w:pPr>
              <w:ind w:left="20"/>
              <w:spacing w:after="0"/>
              <w:rPr>
                <w:sz w:val="20"/>
                <w:szCs w:val="20"/>
                <w:color w:val="auto"/>
              </w:rPr>
            </w:pPr>
            <w:r>
              <w:rPr>
                <w:rFonts w:ascii="Arial" w:cs="Arial" w:eastAsia="Arial" w:hAnsi="Arial"/>
                <w:sz w:val="13"/>
                <w:szCs w:val="13"/>
                <w:b w:val="1"/>
                <w:bCs w:val="1"/>
                <w:color w:val="auto"/>
              </w:rPr>
              <w:t>Net income</w:t>
            </w:r>
          </w:p>
        </w:tc>
        <w:tc>
          <w:tcPr>
            <w:tcW w:w="1420" w:type="dxa"/>
            <w:vAlign w:val="bottom"/>
            <w:tcBorders>
              <w:bottom w:val="single" w:sz="8" w:color="auto"/>
            </w:tcBorders>
          </w:tcPr>
          <w:p>
            <w:pPr>
              <w:jc w:val="right"/>
              <w:ind w:right="1276"/>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1,018</w:t>
            </w:r>
          </w:p>
        </w:tc>
        <w:tc>
          <w:tcPr>
            <w:tcW w:w="80" w:type="dxa"/>
            <w:vAlign w:val="bottom"/>
          </w:tcPr>
          <w:p>
            <w:pPr>
              <w:spacing w:after="0"/>
              <w:rPr>
                <w:sz w:val="14"/>
                <w:szCs w:val="14"/>
                <w:color w:val="auto"/>
              </w:rPr>
            </w:pPr>
          </w:p>
        </w:tc>
        <w:tc>
          <w:tcPr>
            <w:tcW w:w="1420" w:type="dxa"/>
            <w:vAlign w:val="bottom"/>
            <w:tcBorders>
              <w:bottom w:val="single" w:sz="8" w:color="auto"/>
            </w:tcBorders>
          </w:tcPr>
          <w:p>
            <w:pPr>
              <w:jc w:val="right"/>
              <w:ind w:right="1256"/>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140"/>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Includes share-based compensation expense as follows:</w:t>
            </w:r>
          </w:p>
        </w:tc>
        <w:tc>
          <w:tcPr>
            <w:tcW w:w="1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66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660" w:type="dxa"/>
            <w:vAlign w:val="bottom"/>
          </w:tcPr>
          <w:p>
            <w:pPr>
              <w:spacing w:after="0"/>
              <w:rPr>
                <w:sz w:val="19"/>
                <w:szCs w:val="19"/>
                <w:color w:val="auto"/>
              </w:rPr>
            </w:pPr>
          </w:p>
        </w:tc>
        <w:tc>
          <w:tcPr>
            <w:tcW w:w="3540" w:type="dxa"/>
            <w:vAlign w:val="bottom"/>
            <w:tcBorders>
              <w:bottom w:val="single" w:sz="8" w:color="auto"/>
            </w:tcBorders>
            <w:gridSpan w:val="4"/>
          </w:tcPr>
          <w:p>
            <w:pPr>
              <w:jc w:val="center"/>
              <w:ind w:left="656"/>
              <w:spacing w:after="0"/>
              <w:rPr>
                <w:sz w:val="20"/>
                <w:szCs w:val="20"/>
                <w:color w:val="auto"/>
              </w:rPr>
            </w:pPr>
            <w:r>
              <w:rPr>
                <w:rFonts w:ascii="Arial" w:cs="Arial" w:eastAsia="Arial" w:hAnsi="Arial"/>
                <w:sz w:val="13"/>
                <w:szCs w:val="13"/>
                <w:b w:val="1"/>
                <w:bCs w:val="1"/>
                <w:color w:val="auto"/>
                <w:w w:val="98"/>
              </w:rPr>
              <w:t>For the year ended December 31,</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66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4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2023</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2022</w:t>
            </w: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6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1420" w:type="dxa"/>
            <w:vAlign w:val="bottom"/>
            <w:shd w:val="clear" w:color="auto" w:fill="CCEEFF"/>
          </w:tcPr>
          <w:p>
            <w:pPr>
              <w:jc w:val="right"/>
              <w:ind w:right="127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125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1420" w:type="dxa"/>
            <w:vAlign w:val="bottom"/>
          </w:tcPr>
          <w:p>
            <w:pPr>
              <w:jc w:val="right"/>
              <w:ind w:right="1276"/>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1420" w:type="dxa"/>
            <w:vAlign w:val="bottom"/>
          </w:tcPr>
          <w:p>
            <w:pPr>
              <w:jc w:val="right"/>
              <w:ind w:right="125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w:t>
            </w:r>
          </w:p>
        </w:tc>
        <w:tc>
          <w:tcPr>
            <w:tcW w:w="1420" w:type="dxa"/>
            <w:vAlign w:val="bottom"/>
            <w:shd w:val="clear" w:color="auto" w:fill="CCEEFF"/>
          </w:tcPr>
          <w:p>
            <w:pPr>
              <w:jc w:val="right"/>
              <w:ind w:right="127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125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Comparison of Years Ended December 31, 2023 and 2022</w:t>
            </w:r>
          </w:p>
        </w:tc>
        <w:tc>
          <w:tcPr>
            <w:tcW w:w="2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9"/>
        </w:trPr>
        <w:tc>
          <w:tcPr>
            <w:tcW w:w="3460" w:type="dxa"/>
            <w:vAlign w:val="bottom"/>
          </w:tcPr>
          <w:p>
            <w:pPr>
              <w:spacing w:after="0"/>
              <w:rPr>
                <w:sz w:val="20"/>
                <w:szCs w:val="20"/>
                <w:color w:val="auto"/>
              </w:rPr>
            </w:pPr>
            <w:r>
              <w:rPr>
                <w:rFonts w:ascii="Arial" w:cs="Arial" w:eastAsia="Arial" w:hAnsi="Arial"/>
                <w:sz w:val="13"/>
                <w:szCs w:val="13"/>
                <w:b w:val="1"/>
                <w:bCs w:val="1"/>
                <w:i w:val="1"/>
                <w:iCs w:val="1"/>
                <w:color w:val="auto"/>
              </w:rPr>
              <w:t>Net Revenue</w:t>
            </w:r>
          </w:p>
        </w:tc>
        <w:tc>
          <w:tcPr>
            <w:tcW w:w="2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2"/>
        </w:trPr>
        <w:tc>
          <w:tcPr>
            <w:tcW w:w="34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580" w:type="dxa"/>
            <w:vAlign w:val="bottom"/>
          </w:tcPr>
          <w:p>
            <w:pPr>
              <w:spacing w:after="0"/>
              <w:rPr>
                <w:sz w:val="23"/>
                <w:szCs w:val="23"/>
                <w:color w:val="auto"/>
              </w:rPr>
            </w:pPr>
          </w:p>
        </w:tc>
        <w:tc>
          <w:tcPr>
            <w:tcW w:w="218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3"/>
                <w:szCs w:val="13"/>
                <w:b w:val="1"/>
                <w:bCs w:val="1"/>
                <w:color w:val="auto"/>
              </w:rPr>
              <w:t>Year ended December 31,</w:t>
            </w:r>
          </w:p>
        </w:tc>
        <w:tc>
          <w:tcPr>
            <w:tcW w:w="4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167"/>
        </w:trPr>
        <w:tc>
          <w:tcPr>
            <w:tcW w:w="3460" w:type="dxa"/>
            <w:vAlign w:val="bottom"/>
          </w:tcPr>
          <w:p>
            <w:pPr>
              <w:spacing w:after="0"/>
              <w:rPr>
                <w:sz w:val="14"/>
                <w:szCs w:val="14"/>
                <w:color w:val="auto"/>
              </w:rPr>
            </w:pPr>
          </w:p>
        </w:tc>
        <w:tc>
          <w:tcPr>
            <w:tcW w:w="34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Change</w:t>
            </w:r>
          </w:p>
        </w:tc>
        <w:tc>
          <w:tcPr>
            <w:tcW w:w="1320" w:type="dxa"/>
            <w:vAlign w:val="bottom"/>
            <w:gridSpan w:val="2"/>
          </w:tcPr>
          <w:p>
            <w:pPr>
              <w:ind w:left="300"/>
              <w:spacing w:after="0"/>
              <w:rPr>
                <w:sz w:val="20"/>
                <w:szCs w:val="20"/>
                <w:color w:val="auto"/>
              </w:rPr>
            </w:pPr>
            <w:r>
              <w:rPr>
                <w:rFonts w:ascii="Arial" w:cs="Arial" w:eastAsia="Arial" w:hAnsi="Arial"/>
                <w:sz w:val="13"/>
                <w:szCs w:val="13"/>
                <w:b w:val="1"/>
                <w:bCs w:val="1"/>
                <w:color w:val="auto"/>
              </w:rPr>
              <w:t>% Change</w:t>
            </w:r>
          </w:p>
        </w:tc>
      </w:tr>
      <w:tr>
        <w:trPr>
          <w:trHeight w:val="238"/>
        </w:trPr>
        <w:tc>
          <w:tcPr>
            <w:tcW w:w="3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0"/>
        </w:trPr>
        <w:tc>
          <w:tcPr>
            <w:tcW w:w="3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w:t>
            </w:r>
          </w:p>
        </w:tc>
        <w:tc>
          <w:tcPr>
            <w:tcW w:w="3420" w:type="dxa"/>
            <w:vAlign w:val="bottom"/>
            <w:gridSpan w:val="2"/>
            <w:shd w:val="clear" w:color="auto" w:fill="CCEEFF"/>
          </w:tcPr>
          <w:p>
            <w:pPr>
              <w:jc w:val="right"/>
              <w:ind w:right="696"/>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7,392</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80" w:type="dxa"/>
            <w:vAlign w:val="bottom"/>
            <w:shd w:val="clear" w:color="auto" w:fill="CCEEFF"/>
          </w:tcPr>
          <w:p>
            <w:pPr>
              <w:spacing w:after="0"/>
              <w:rPr>
                <w:sz w:val="15"/>
                <w:szCs w:val="15"/>
                <w:color w:val="auto"/>
              </w:rPr>
            </w:pPr>
          </w:p>
        </w:tc>
      </w:tr>
    </w:tbl>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Net revenue decreased by $716 million, or 8.8%, for the year ended December 31, 2023, compared to the year ended December 31, 2022. The change was primarily due to lower 300mm equivalent wafer shipment volumes of 2.2 million, an 11% reduction from the prior year, which was a result of lower customer demand. The decrease was partially offset by a $91 million or 18.9% increase in revenue generated from engineering and other services.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20"/>
                <w:szCs w:val="20"/>
                <w:color w:val="auto"/>
              </w:rPr>
            </w:pPr>
            <w:r>
              <w:rPr>
                <w:rFonts w:ascii="Arial" w:cs="Arial" w:eastAsia="Arial" w:hAnsi="Arial"/>
                <w:sz w:val="13"/>
                <w:szCs w:val="13"/>
                <w:b w:val="1"/>
                <w:bCs w:val="1"/>
                <w:i w:val="1"/>
                <w:iCs w:val="1"/>
                <w:color w:val="auto"/>
              </w:rPr>
              <w:t>Cost of Revenue</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72"/>
        </w:trPr>
        <w:tc>
          <w:tcPr>
            <w:tcW w:w="590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30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3"/>
                <w:szCs w:val="13"/>
                <w:b w:val="1"/>
                <w:bCs w:val="1"/>
                <w:color w:val="auto"/>
              </w:rPr>
              <w:t>Year ended December 31,</w:t>
            </w:r>
          </w:p>
        </w:tc>
        <w:tc>
          <w:tcPr>
            <w:tcW w:w="5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167"/>
        </w:trPr>
        <w:tc>
          <w:tcPr>
            <w:tcW w:w="59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3"/>
                <w:szCs w:val="13"/>
                <w:b w:val="1"/>
                <w:bCs w:val="1"/>
                <w:color w:val="auto"/>
              </w:rPr>
              <w:t>Change</w:t>
            </w:r>
          </w:p>
        </w:tc>
        <w:tc>
          <w:tcPr>
            <w:tcW w:w="1240" w:type="dxa"/>
            <w:vAlign w:val="bottom"/>
          </w:tcPr>
          <w:p>
            <w:pPr>
              <w:jc w:val="right"/>
              <w:ind w:right="256"/>
              <w:spacing w:after="0"/>
              <w:rPr>
                <w:sz w:val="20"/>
                <w:szCs w:val="20"/>
                <w:color w:val="auto"/>
              </w:rPr>
            </w:pPr>
            <w:r>
              <w:rPr>
                <w:rFonts w:ascii="Arial" w:cs="Arial" w:eastAsia="Arial" w:hAnsi="Arial"/>
                <w:sz w:val="13"/>
                <w:szCs w:val="13"/>
                <w:b w:val="1"/>
                <w:bCs w:val="1"/>
                <w:color w:val="auto"/>
              </w:rPr>
              <w:t>% Change</w:t>
            </w:r>
          </w:p>
        </w:tc>
      </w:tr>
      <w:tr>
        <w:trPr>
          <w:trHeight w:val="238"/>
        </w:trPr>
        <w:tc>
          <w:tcPr>
            <w:tcW w:w="59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18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8"/>
              </w:rPr>
              <w:t>5,291</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8"/>
              </w:rPr>
              <w:t>5,869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r>
      <w:tr>
        <w:trPr>
          <w:trHeight w:val="178"/>
        </w:trPr>
        <w:tc>
          <w:tcPr>
            <w:tcW w:w="5900" w:type="dxa"/>
            <w:vAlign w:val="bottom"/>
          </w:tcPr>
          <w:p>
            <w:pPr>
              <w:ind w:left="20"/>
              <w:spacing w:after="0"/>
              <w:rPr>
                <w:sz w:val="20"/>
                <w:szCs w:val="20"/>
                <w:color w:val="auto"/>
              </w:rPr>
            </w:pPr>
            <w:r>
              <w:rPr>
                <w:rFonts w:ascii="Arial" w:cs="Arial" w:eastAsia="Arial" w:hAnsi="Arial"/>
                <w:sz w:val="13"/>
                <w:szCs w:val="13"/>
                <w:color w:val="auto"/>
              </w:rPr>
              <w:t>Gross margin %</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i w:val="1"/>
                <w:iCs w:val="1"/>
                <w:color w:val="auto"/>
              </w:rPr>
              <w:t>28.4 %</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i w:val="1"/>
                <w:iCs w:val="1"/>
                <w:color w:val="auto"/>
              </w:rPr>
              <w:t>27.6 %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i w:val="1"/>
                <w:iCs w:val="1"/>
                <w:color w:val="auto"/>
              </w:rPr>
              <w:t>80bps</w:t>
            </w:r>
          </w:p>
        </w:tc>
      </w:tr>
    </w:tbl>
    <w:p>
      <w:pPr>
        <w:spacing w:after="0" w:line="151"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Cost of revenue decreased by $578 million, or 9.8%, for the year ended December 31, 2023, compared to the year ended December 31, 2022. The decrease was driven by $347 million reduction in costs associated with the sale of our East Fishkill</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0" w:name="page51"/>
    <w:bookmarkEnd w:id="50"/>
    <w:p>
      <w:pPr>
        <w:spacing w:after="0"/>
        <w:rPr>
          <w:sz w:val="20"/>
          <w:szCs w:val="20"/>
          <w:color w:val="auto"/>
        </w:rPr>
      </w:pPr>
      <w:r>
        <w:rPr>
          <w:rFonts w:ascii="Arial" w:cs="Arial" w:eastAsia="Arial" w:hAnsi="Arial"/>
          <w:sz w:val="13"/>
          <w:szCs w:val="13"/>
          <w:color w:val="auto"/>
        </w:rPr>
        <w:t>facility in December 2022, $108 million reduction in depreciation and amortization, $107 million reduction in employee related expenses and $16 million decrease in share-based compensation.</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Gross margin increased to 28.4% for the year ended December 31, 2023 from 27.6% for the year ended December 31, 2022. The increase was largely attributable to reduced costs associated with the sale of our East Fishkill facility, reduced depreciation and amortization and reduced labor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20"/>
                <w:szCs w:val="20"/>
                <w:color w:val="auto"/>
              </w:rPr>
            </w:pPr>
            <w:r>
              <w:rPr>
                <w:rFonts w:ascii="Arial" w:cs="Arial" w:eastAsia="Arial" w:hAnsi="Arial"/>
                <w:sz w:val="13"/>
                <w:szCs w:val="13"/>
                <w:b w:val="1"/>
                <w:bCs w:val="1"/>
                <w:i w:val="1"/>
                <w:iCs w:val="1"/>
                <w:color w:val="auto"/>
              </w:rPr>
              <w:t>Research and Development Expenses</w:t>
            </w: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83"/>
        </w:trPr>
        <w:tc>
          <w:tcPr>
            <w:tcW w:w="592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30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3"/>
                <w:szCs w:val="13"/>
                <w:b w:val="1"/>
                <w:bCs w:val="1"/>
                <w:color w:val="auto"/>
              </w:rPr>
              <w:t>Year ended December 31,</w:t>
            </w: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592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b w:val="1"/>
                <w:bCs w:val="1"/>
                <w:color w:val="auto"/>
              </w:rPr>
              <w:t>2023</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3"/>
                <w:szCs w:val="13"/>
                <w:b w:val="1"/>
                <w:bCs w:val="1"/>
                <w:color w:val="auto"/>
              </w:rPr>
              <w:t>Change</w:t>
            </w:r>
          </w:p>
        </w:tc>
        <w:tc>
          <w:tcPr>
            <w:tcW w:w="1320" w:type="dxa"/>
            <w:vAlign w:val="bottom"/>
            <w:gridSpan w:val="2"/>
          </w:tcPr>
          <w:p>
            <w:pPr>
              <w:ind w:left="320"/>
              <w:spacing w:after="0"/>
              <w:rPr>
                <w:sz w:val="20"/>
                <w:szCs w:val="20"/>
                <w:color w:val="auto"/>
              </w:rPr>
            </w:pPr>
            <w:r>
              <w:rPr>
                <w:rFonts w:ascii="Arial" w:cs="Arial" w:eastAsia="Arial" w:hAnsi="Arial"/>
                <w:sz w:val="13"/>
                <w:szCs w:val="13"/>
                <w:b w:val="1"/>
                <w:bCs w:val="1"/>
                <w:color w:val="auto"/>
              </w:rPr>
              <w:t>% Change</w:t>
            </w:r>
          </w:p>
        </w:tc>
      </w:tr>
      <w:tr>
        <w:trPr>
          <w:trHeight w:val="238"/>
        </w:trPr>
        <w:tc>
          <w:tcPr>
            <w:tcW w:w="59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0"/>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 expenses</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428</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482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80" w:type="dxa"/>
            <w:vAlign w:val="bottom"/>
            <w:shd w:val="clear" w:color="auto" w:fill="CCEEFF"/>
          </w:tcPr>
          <w:p>
            <w:pPr>
              <w:spacing w:after="0"/>
              <w:rPr>
                <w:sz w:val="15"/>
                <w:szCs w:val="15"/>
                <w:color w:val="auto"/>
              </w:rPr>
            </w:pPr>
          </w:p>
        </w:tc>
      </w:tr>
      <w:tr>
        <w:trPr>
          <w:trHeight w:val="167"/>
        </w:trPr>
        <w:tc>
          <w:tcPr>
            <w:tcW w:w="5920" w:type="dxa"/>
            <w:vAlign w:val="bottom"/>
          </w:tcPr>
          <w:p>
            <w:pPr>
              <w:ind w:left="20"/>
              <w:spacing w:after="0"/>
              <w:rPr>
                <w:sz w:val="20"/>
                <w:szCs w:val="20"/>
                <w:color w:val="auto"/>
              </w:rPr>
            </w:pPr>
            <w:r>
              <w:rPr>
                <w:rFonts w:ascii="Arial" w:cs="Arial" w:eastAsia="Arial" w:hAnsi="Arial"/>
                <w:sz w:val="13"/>
                <w:szCs w:val="13"/>
                <w:color w:val="auto"/>
              </w:rPr>
              <w:t>As a % of revenue</w:t>
            </w:r>
          </w:p>
        </w:tc>
        <w:tc>
          <w:tcPr>
            <w:tcW w:w="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i w:val="1"/>
                <w:iCs w:val="1"/>
                <w:color w:val="auto"/>
              </w:rPr>
              <w:t>5.8 %</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i w:val="1"/>
                <w:iCs w:val="1"/>
                <w:color w:val="auto"/>
              </w:rPr>
              <w:t>5.9 %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Research and development expenses decreased by $54 million, or 11.2%, for the year ended December 31, 2023, compared to the year ended December 31, 2022. The year-over-year change was driven by a $48 million reduction in employee-related expenses due to 70% reduction in employee bonuses and 3% lower headcount. Additionally, pre-production costs decreased by $15 million which was partly offset by an increase in research and development portfolio spend of $12 million.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20"/>
                <w:szCs w:val="20"/>
                <w:color w:val="auto"/>
              </w:rPr>
            </w:pPr>
            <w:r>
              <w:rPr>
                <w:rFonts w:ascii="Arial" w:cs="Arial" w:eastAsia="Arial" w:hAnsi="Arial"/>
                <w:sz w:val="13"/>
                <w:szCs w:val="13"/>
                <w:b w:val="1"/>
                <w:bCs w:val="1"/>
                <w:i w:val="1"/>
                <w:iCs w:val="1"/>
                <w:color w:val="auto"/>
              </w:rPr>
              <w:t>Selling, General and Administrative Expenses</w:t>
            </w: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10"/>
        </w:trPr>
        <w:tc>
          <w:tcPr>
            <w:tcW w:w="592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30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3"/>
                <w:szCs w:val="13"/>
                <w:b w:val="1"/>
                <w:bCs w:val="1"/>
                <w:color w:val="auto"/>
              </w:rPr>
              <w:t>Year ended December 31,</w:t>
            </w: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592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b w:val="1"/>
                <w:bCs w:val="1"/>
                <w:color w:val="auto"/>
              </w:rPr>
              <w:t>2023</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3"/>
                <w:szCs w:val="13"/>
                <w:b w:val="1"/>
                <w:bCs w:val="1"/>
                <w:color w:val="auto"/>
              </w:rPr>
              <w:t>Change</w:t>
            </w:r>
          </w:p>
        </w:tc>
        <w:tc>
          <w:tcPr>
            <w:tcW w:w="1320" w:type="dxa"/>
            <w:vAlign w:val="bottom"/>
            <w:gridSpan w:val="2"/>
          </w:tcPr>
          <w:p>
            <w:pPr>
              <w:ind w:left="320"/>
              <w:spacing w:after="0"/>
              <w:rPr>
                <w:sz w:val="20"/>
                <w:szCs w:val="20"/>
                <w:color w:val="auto"/>
              </w:rPr>
            </w:pPr>
            <w:r>
              <w:rPr>
                <w:rFonts w:ascii="Arial" w:cs="Arial" w:eastAsia="Arial" w:hAnsi="Arial"/>
                <w:sz w:val="13"/>
                <w:szCs w:val="13"/>
                <w:b w:val="1"/>
                <w:bCs w:val="1"/>
                <w:color w:val="auto"/>
              </w:rPr>
              <w:t>% Change</w:t>
            </w:r>
          </w:p>
        </w:tc>
      </w:tr>
      <w:tr>
        <w:trPr>
          <w:trHeight w:val="238"/>
        </w:trPr>
        <w:tc>
          <w:tcPr>
            <w:tcW w:w="59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0"/>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473</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496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5"/>
                <w:szCs w:val="15"/>
                <w:color w:val="auto"/>
              </w:rPr>
            </w:pPr>
          </w:p>
        </w:tc>
      </w:tr>
      <w:tr>
        <w:trPr>
          <w:trHeight w:val="167"/>
        </w:trPr>
        <w:tc>
          <w:tcPr>
            <w:tcW w:w="5920" w:type="dxa"/>
            <w:vAlign w:val="bottom"/>
          </w:tcPr>
          <w:p>
            <w:pPr>
              <w:ind w:left="20"/>
              <w:spacing w:after="0"/>
              <w:rPr>
                <w:sz w:val="20"/>
                <w:szCs w:val="20"/>
                <w:color w:val="auto"/>
              </w:rPr>
            </w:pPr>
            <w:r>
              <w:rPr>
                <w:rFonts w:ascii="Arial" w:cs="Arial" w:eastAsia="Arial" w:hAnsi="Arial"/>
                <w:sz w:val="13"/>
                <w:szCs w:val="13"/>
                <w:color w:val="auto"/>
              </w:rPr>
              <w:t>As a % of revenue</w:t>
            </w:r>
          </w:p>
        </w:tc>
        <w:tc>
          <w:tcPr>
            <w:tcW w:w="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i w:val="1"/>
                <w:iCs w:val="1"/>
                <w:color w:val="auto"/>
              </w:rPr>
              <w:t>6.4 %</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i w:val="1"/>
                <w:iCs w:val="1"/>
                <w:color w:val="auto"/>
              </w:rPr>
              <w:t>6.1 %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Selling, general and administrative expenses decreased by $23 million, or 4.6%, for the year ended December 31, 2023, compared to the year ended December 31, 2022. The decrease was driven by $46 million in advanced manufacturing income tax credits in 2023 as a result of the CHIPS and Science Act and $43 million reduction in employee bonuses. Offsetting the decrease was an increase in withholding tax of $33 million and increased professional and digital transformation costs of $25 million. Additionally, gain on tool sales recorded in SG&amp;A totaled $8 million for 2023. This was as a result of gain (loss) tool sales previously recorded in Other income (expense), being recorded in SG&amp;A, beginning in the third quarter 2023.</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20"/>
                <w:szCs w:val="20"/>
                <w:color w:val="auto"/>
              </w:rPr>
            </w:pPr>
            <w:r>
              <w:rPr>
                <w:rFonts w:ascii="Arial" w:cs="Arial" w:eastAsia="Arial" w:hAnsi="Arial"/>
                <w:sz w:val="13"/>
                <w:szCs w:val="13"/>
                <w:b w:val="1"/>
                <w:bCs w:val="1"/>
                <w:i w:val="1"/>
                <w:iCs w:val="1"/>
                <w:color w:val="auto"/>
              </w:rPr>
              <w:t>Restructuring Charges</w:t>
            </w: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72"/>
        </w:trPr>
        <w:tc>
          <w:tcPr>
            <w:tcW w:w="60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26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3"/>
                <w:szCs w:val="13"/>
                <w:b w:val="1"/>
                <w:bCs w:val="1"/>
                <w:color w:val="auto"/>
              </w:rPr>
              <w:t>Year ended December 31,</w:t>
            </w:r>
          </w:p>
        </w:tc>
        <w:tc>
          <w:tcPr>
            <w:tcW w:w="3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167"/>
        </w:trPr>
        <w:tc>
          <w:tcPr>
            <w:tcW w:w="6060" w:type="dxa"/>
            <w:vAlign w:val="bottom"/>
          </w:tcPr>
          <w:p>
            <w:pPr>
              <w:spacing w:after="0"/>
              <w:rPr>
                <w:sz w:val="14"/>
                <w:szCs w:val="14"/>
                <w:color w:val="auto"/>
              </w:rPr>
            </w:pPr>
          </w:p>
        </w:tc>
        <w:tc>
          <w:tcPr>
            <w:tcW w:w="920" w:type="dxa"/>
            <w:vAlign w:val="bottom"/>
          </w:tcPr>
          <w:p>
            <w:pPr>
              <w:jc w:val="right"/>
              <w:ind w:right="96"/>
              <w:spacing w:after="0"/>
              <w:rPr>
                <w:sz w:val="20"/>
                <w:szCs w:val="20"/>
                <w:color w:val="auto"/>
              </w:rPr>
            </w:pPr>
            <w:r>
              <w:rPr>
                <w:rFonts w:ascii="Arial" w:cs="Arial" w:eastAsia="Arial" w:hAnsi="Arial"/>
                <w:sz w:val="13"/>
                <w:szCs w:val="13"/>
                <w:b w:val="1"/>
                <w:bCs w:val="1"/>
                <w:color w:val="auto"/>
              </w:rPr>
              <w:t>2023</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96"/>
              <w:spacing w:after="0"/>
              <w:rPr>
                <w:sz w:val="20"/>
                <w:szCs w:val="20"/>
                <w:color w:val="auto"/>
              </w:rPr>
            </w:pPr>
            <w:r>
              <w:rPr>
                <w:rFonts w:ascii="Arial" w:cs="Arial" w:eastAsia="Arial" w:hAnsi="Arial"/>
                <w:sz w:val="13"/>
                <w:szCs w:val="13"/>
                <w:b w:val="1"/>
                <w:bCs w:val="1"/>
                <w:color w:val="auto"/>
              </w:rPr>
              <w:t>2022</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Change</w:t>
            </w:r>
          </w:p>
        </w:tc>
        <w:tc>
          <w:tcPr>
            <w:tcW w:w="1320" w:type="dxa"/>
            <w:vAlign w:val="bottom"/>
            <w:gridSpan w:val="2"/>
          </w:tcPr>
          <w:p>
            <w:pPr>
              <w:ind w:left="300"/>
              <w:spacing w:after="0"/>
              <w:rPr>
                <w:sz w:val="20"/>
                <w:szCs w:val="20"/>
                <w:color w:val="auto"/>
              </w:rPr>
            </w:pPr>
            <w:r>
              <w:rPr>
                <w:rFonts w:ascii="Arial" w:cs="Arial" w:eastAsia="Arial" w:hAnsi="Arial"/>
                <w:sz w:val="13"/>
                <w:szCs w:val="13"/>
                <w:b w:val="1"/>
                <w:bCs w:val="1"/>
                <w:color w:val="auto"/>
              </w:rPr>
              <w:t>% Change</w:t>
            </w:r>
          </w:p>
        </w:tc>
      </w:tr>
      <w:tr>
        <w:trPr>
          <w:trHeight w:val="238"/>
        </w:trPr>
        <w:tc>
          <w:tcPr>
            <w:tcW w:w="606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 charges</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80" w:type="dxa"/>
            <w:vAlign w:val="bottom"/>
            <w:shd w:val="clear" w:color="auto" w:fill="CCEEFF"/>
          </w:tcPr>
          <w:p>
            <w:pPr>
              <w:spacing w:after="0"/>
              <w:rPr>
                <w:sz w:val="15"/>
                <w:szCs w:val="15"/>
                <w:color w:val="auto"/>
              </w:rPr>
            </w:pPr>
          </w:p>
        </w:tc>
      </w:tr>
    </w:tbl>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Restructuring charges decreased by $23 million for the year ended December 31, 2023 compared to the year ended December 31, 2022. The decrease was driven by $17 million lower employee related expenses and $19 million reduction in leased workspace and professional fees. Offsetting this decrease was $12 million associated with tool deinstallation costs, qualification costs and transition costs related to phase two of the restructuring plan.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20"/>
                <w:szCs w:val="20"/>
                <w:color w:val="auto"/>
              </w:rPr>
            </w:pPr>
            <w:r>
              <w:rPr>
                <w:rFonts w:ascii="Arial" w:cs="Arial" w:eastAsia="Arial" w:hAnsi="Arial"/>
                <w:sz w:val="13"/>
                <w:szCs w:val="13"/>
                <w:b w:val="1"/>
                <w:bCs w:val="1"/>
                <w:i w:val="1"/>
                <w:iCs w:val="1"/>
                <w:color w:val="auto"/>
              </w:rPr>
              <w:t>Finance income</w:t>
            </w: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6060" w:type="dxa"/>
            <w:vAlign w:val="bottom"/>
          </w:tcPr>
          <w:p>
            <w:pPr>
              <w:spacing w:after="0"/>
              <w:rPr>
                <w:sz w:val="15"/>
                <w:szCs w:val="15"/>
                <w:color w:val="auto"/>
              </w:rPr>
            </w:pPr>
          </w:p>
        </w:tc>
        <w:tc>
          <w:tcPr>
            <w:tcW w:w="228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3"/>
                <w:szCs w:val="13"/>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67"/>
        </w:trPr>
        <w:tc>
          <w:tcPr>
            <w:tcW w:w="60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880" w:type="dxa"/>
            <w:vAlign w:val="bottom"/>
          </w:tcPr>
          <w:p>
            <w:pPr>
              <w:jc w:val="right"/>
              <w:ind w:right="36"/>
              <w:spacing w:after="0"/>
              <w:rPr>
                <w:sz w:val="20"/>
                <w:szCs w:val="20"/>
                <w:color w:val="auto"/>
              </w:rPr>
            </w:pPr>
            <w:r>
              <w:rPr>
                <w:rFonts w:ascii="Arial" w:cs="Arial" w:eastAsia="Arial" w:hAnsi="Arial"/>
                <w:sz w:val="13"/>
                <w:szCs w:val="13"/>
                <w:b w:val="1"/>
                <w:bCs w:val="1"/>
                <w:color w:val="auto"/>
              </w:rPr>
              <w:t>2023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96"/>
              <w:spacing w:after="0"/>
              <w:rPr>
                <w:sz w:val="20"/>
                <w:szCs w:val="20"/>
                <w:color w:val="auto"/>
              </w:rPr>
            </w:pPr>
            <w:r>
              <w:rPr>
                <w:rFonts w:ascii="Arial" w:cs="Arial" w:eastAsia="Arial" w:hAnsi="Arial"/>
                <w:sz w:val="13"/>
                <w:szCs w:val="13"/>
                <w:b w:val="1"/>
                <w:bCs w:val="1"/>
                <w:color w:val="auto"/>
              </w:rPr>
              <w:t>2022</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3"/>
                <w:szCs w:val="13"/>
                <w:b w:val="1"/>
                <w:bCs w:val="1"/>
                <w:color w:val="auto"/>
              </w:rPr>
              <w:t>Change</w:t>
            </w:r>
          </w:p>
        </w:tc>
        <w:tc>
          <w:tcPr>
            <w:tcW w:w="1260" w:type="dxa"/>
            <w:vAlign w:val="bottom"/>
          </w:tcPr>
          <w:p>
            <w:pPr>
              <w:jc w:val="right"/>
              <w:ind w:right="256"/>
              <w:spacing w:after="0"/>
              <w:rPr>
                <w:sz w:val="20"/>
                <w:szCs w:val="20"/>
                <w:color w:val="auto"/>
              </w:rPr>
            </w:pPr>
            <w:r>
              <w:rPr>
                <w:rFonts w:ascii="Arial" w:cs="Arial" w:eastAsia="Arial" w:hAnsi="Arial"/>
                <w:sz w:val="13"/>
                <w:szCs w:val="13"/>
                <w:b w:val="1"/>
                <w:bCs w:val="1"/>
                <w:color w:val="auto"/>
              </w:rPr>
              <w:t>% Change</w:t>
            </w:r>
          </w:p>
        </w:tc>
      </w:tr>
      <w:tr>
        <w:trPr>
          <w:trHeight w:val="192"/>
        </w:trPr>
        <w:tc>
          <w:tcPr>
            <w:tcW w:w="60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r>
      <w:tr>
        <w:trPr>
          <w:trHeight w:val="17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Finance Income</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192.2 %</w:t>
            </w:r>
          </w:p>
        </w:tc>
      </w:tr>
    </w:tbl>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Finance income increased by $98 million, or 192.2%, for the year ended December 31, 2023, compared to the year ended December 31, 2022. The increase was primarily due to higher interest income generated as a result of higher market interest rates.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40" w:type="dxa"/>
            <w:vAlign w:val="bottom"/>
          </w:tcPr>
          <w:p>
            <w:pPr>
              <w:spacing w:after="0"/>
              <w:rPr>
                <w:sz w:val="20"/>
                <w:szCs w:val="20"/>
                <w:color w:val="auto"/>
              </w:rPr>
            </w:pPr>
            <w:r>
              <w:rPr>
                <w:rFonts w:ascii="Arial" w:cs="Arial" w:eastAsia="Arial" w:hAnsi="Arial"/>
                <w:sz w:val="13"/>
                <w:szCs w:val="13"/>
                <w:b w:val="1"/>
                <w:bCs w:val="1"/>
                <w:i w:val="1"/>
                <w:iCs w:val="1"/>
                <w:color w:val="auto"/>
              </w:rPr>
              <w:t>Finance expense</w:t>
            </w: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72"/>
        </w:trPr>
        <w:tc>
          <w:tcPr>
            <w:tcW w:w="604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22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167"/>
        </w:trPr>
        <w:tc>
          <w:tcPr>
            <w:tcW w:w="604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b w:val="1"/>
                <w:bCs w:val="1"/>
                <w:color w:val="auto"/>
              </w:rPr>
              <w:t>2023</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b w:val="1"/>
                <w:bCs w:val="1"/>
                <w:color w:val="auto"/>
              </w:rPr>
              <w:t>2022</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Change</w:t>
            </w:r>
          </w:p>
        </w:tc>
        <w:tc>
          <w:tcPr>
            <w:tcW w:w="1320" w:type="dxa"/>
            <w:vAlign w:val="bottom"/>
            <w:gridSpan w:val="2"/>
          </w:tcPr>
          <w:p>
            <w:pPr>
              <w:ind w:left="300"/>
              <w:spacing w:after="0"/>
              <w:rPr>
                <w:sz w:val="20"/>
                <w:szCs w:val="20"/>
                <w:color w:val="auto"/>
              </w:rPr>
            </w:pPr>
            <w:r>
              <w:rPr>
                <w:rFonts w:ascii="Arial" w:cs="Arial" w:eastAsia="Arial" w:hAnsi="Arial"/>
                <w:sz w:val="13"/>
                <w:szCs w:val="13"/>
                <w:b w:val="1"/>
                <w:bCs w:val="1"/>
                <w:color w:val="auto"/>
              </w:rPr>
              <w:t>% Change</w:t>
            </w:r>
          </w:p>
        </w:tc>
      </w:tr>
      <w:tr>
        <w:trPr>
          <w:trHeight w:val="238"/>
        </w:trPr>
        <w:tc>
          <w:tcPr>
            <w:tcW w:w="604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0"/>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Finance expenses</w:t>
            </w: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23.4 %</w:t>
            </w:r>
          </w:p>
        </w:tc>
        <w:tc>
          <w:tcPr>
            <w:tcW w:w="80" w:type="dxa"/>
            <w:vAlign w:val="bottom"/>
            <w:shd w:val="clear" w:color="auto" w:fill="CCEEFF"/>
          </w:tcPr>
          <w:p>
            <w:pPr>
              <w:spacing w:after="0"/>
              <w:rPr>
                <w:sz w:val="15"/>
                <w:szCs w:val="15"/>
                <w:color w:val="auto"/>
              </w:rPr>
            </w:pPr>
          </w:p>
        </w:tc>
      </w:tr>
    </w:tbl>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Finance expenses increased by $26 million, or 23.4%, for the year ended December 31, 2023, compared to the year ended December 31, 2022. This increase was primarily a result of increased floating interest rates associated with third-party debt.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20"/>
                <w:szCs w:val="20"/>
                <w:color w:val="auto"/>
              </w:rPr>
            </w:pPr>
            <w:r>
              <w:rPr>
                <w:rFonts w:ascii="Arial" w:cs="Arial" w:eastAsia="Arial" w:hAnsi="Arial"/>
                <w:sz w:val="13"/>
                <w:szCs w:val="13"/>
                <w:b w:val="1"/>
                <w:bCs w:val="1"/>
                <w:i w:val="1"/>
                <w:iCs w:val="1"/>
                <w:color w:val="auto"/>
              </w:rPr>
              <w:t>Gain on the sale of a business</w:t>
            </w: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72"/>
        </w:trPr>
        <w:tc>
          <w:tcPr>
            <w:tcW w:w="60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2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167"/>
        </w:trPr>
        <w:tc>
          <w:tcPr>
            <w:tcW w:w="6060" w:type="dxa"/>
            <w:vAlign w:val="bottom"/>
          </w:tcPr>
          <w:p>
            <w:pPr>
              <w:spacing w:after="0"/>
              <w:rPr>
                <w:sz w:val="14"/>
                <w:szCs w:val="14"/>
                <w:color w:val="auto"/>
              </w:rPr>
            </w:pPr>
          </w:p>
        </w:tc>
        <w:tc>
          <w:tcPr>
            <w:tcW w:w="920" w:type="dxa"/>
            <w:vAlign w:val="bottom"/>
          </w:tcPr>
          <w:p>
            <w:pPr>
              <w:jc w:val="right"/>
              <w:ind w:right="96"/>
              <w:spacing w:after="0"/>
              <w:rPr>
                <w:sz w:val="20"/>
                <w:szCs w:val="20"/>
                <w:color w:val="auto"/>
              </w:rPr>
            </w:pPr>
            <w:r>
              <w:rPr>
                <w:rFonts w:ascii="Arial" w:cs="Arial" w:eastAsia="Arial" w:hAnsi="Arial"/>
                <w:sz w:val="13"/>
                <w:szCs w:val="13"/>
                <w:b w:val="1"/>
                <w:bCs w:val="1"/>
                <w:color w:val="auto"/>
              </w:rPr>
              <w:t>2023</w:t>
            </w:r>
          </w:p>
        </w:tc>
        <w:tc>
          <w:tcPr>
            <w:tcW w:w="13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Change</w:t>
            </w:r>
          </w:p>
        </w:tc>
        <w:tc>
          <w:tcPr>
            <w:tcW w:w="1320" w:type="dxa"/>
            <w:vAlign w:val="bottom"/>
            <w:gridSpan w:val="2"/>
          </w:tcPr>
          <w:p>
            <w:pPr>
              <w:ind w:left="300"/>
              <w:spacing w:after="0"/>
              <w:rPr>
                <w:sz w:val="20"/>
                <w:szCs w:val="20"/>
                <w:color w:val="auto"/>
              </w:rPr>
            </w:pPr>
            <w:r>
              <w:rPr>
                <w:rFonts w:ascii="Arial" w:cs="Arial" w:eastAsia="Arial" w:hAnsi="Arial"/>
                <w:sz w:val="13"/>
                <w:szCs w:val="13"/>
                <w:b w:val="1"/>
                <w:bCs w:val="1"/>
                <w:color w:val="auto"/>
              </w:rPr>
              <w:t>% Change</w:t>
            </w:r>
          </w:p>
        </w:tc>
      </w:tr>
      <w:tr>
        <w:trPr>
          <w:trHeight w:val="238"/>
        </w:trPr>
        <w:tc>
          <w:tcPr>
            <w:tcW w:w="606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on sale of a business</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1300" w:type="dxa"/>
            <w:vAlign w:val="bottom"/>
            <w:gridSpan w:val="3"/>
            <w:shd w:val="clear" w:color="auto" w:fill="CCEEFF"/>
          </w:tcPr>
          <w:p>
            <w:pPr>
              <w:jc w:val="right"/>
              <w:ind w:right="800"/>
              <w:spacing w:after="0"/>
              <w:rPr>
                <w:sz w:val="20"/>
                <w:szCs w:val="20"/>
                <w:color w:val="auto"/>
              </w:rPr>
            </w:pPr>
            <w:r>
              <w:rPr>
                <w:rFonts w:ascii="Arial" w:cs="Arial" w:eastAsia="Arial" w:hAnsi="Arial"/>
                <w:sz w:val="13"/>
                <w:szCs w:val="13"/>
                <w:color w:val="auto"/>
              </w:rPr>
              <w:t>—   $</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5"/>
                <w:szCs w:val="15"/>
                <w:color w:val="auto"/>
              </w:rPr>
            </w:pPr>
          </w:p>
        </w:tc>
      </w:tr>
    </w:tbl>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There was no gain on the sale of a business in 2023, as we did not sell any part of our business during 2023. Gain on the sale of a business was $403 million for the year ended December 31, 2022, as we completed the sale of the EFK business in 2022.</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20"/>
                <w:szCs w:val="20"/>
                <w:color w:val="auto"/>
              </w:rPr>
            </w:pPr>
            <w:r>
              <w:rPr>
                <w:rFonts w:ascii="Arial" w:cs="Arial" w:eastAsia="Arial" w:hAnsi="Arial"/>
                <w:sz w:val="13"/>
                <w:szCs w:val="13"/>
                <w:b w:val="1"/>
                <w:bCs w:val="1"/>
                <w:i w:val="1"/>
                <w:iCs w:val="1"/>
                <w:color w:val="auto"/>
              </w:rPr>
              <w:t>Other Income (expense), net</w:t>
            </w: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83"/>
        </w:trPr>
        <w:tc>
          <w:tcPr>
            <w:tcW w:w="60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26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3"/>
                <w:szCs w:val="13"/>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6060" w:type="dxa"/>
            <w:vAlign w:val="bottom"/>
          </w:tcPr>
          <w:p>
            <w:pPr>
              <w:spacing w:after="0"/>
              <w:rPr>
                <w:sz w:val="14"/>
                <w:szCs w:val="14"/>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b w:val="1"/>
                <w:bCs w:val="1"/>
                <w:color w:val="auto"/>
              </w:rPr>
              <w:t>2023</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96"/>
              <w:spacing w:after="0"/>
              <w:rPr>
                <w:sz w:val="20"/>
                <w:szCs w:val="20"/>
                <w:color w:val="auto"/>
              </w:rPr>
            </w:pPr>
            <w:r>
              <w:rPr>
                <w:rFonts w:ascii="Arial" w:cs="Arial" w:eastAsia="Arial" w:hAnsi="Arial"/>
                <w:sz w:val="13"/>
                <w:szCs w:val="13"/>
                <w:b w:val="1"/>
                <w:bCs w:val="1"/>
                <w:color w:val="auto"/>
              </w:rPr>
              <w:t>2022</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Change</w:t>
            </w:r>
          </w:p>
        </w:tc>
        <w:tc>
          <w:tcPr>
            <w:tcW w:w="1320" w:type="dxa"/>
            <w:vAlign w:val="bottom"/>
            <w:gridSpan w:val="2"/>
          </w:tcPr>
          <w:p>
            <w:pPr>
              <w:ind w:left="300"/>
              <w:spacing w:after="0"/>
              <w:rPr>
                <w:sz w:val="20"/>
                <w:szCs w:val="20"/>
                <w:color w:val="auto"/>
              </w:rPr>
            </w:pPr>
            <w:r>
              <w:rPr>
                <w:rFonts w:ascii="Arial" w:cs="Arial" w:eastAsia="Arial" w:hAnsi="Arial"/>
                <w:sz w:val="13"/>
                <w:szCs w:val="13"/>
                <w:b w:val="1"/>
                <w:bCs w:val="1"/>
                <w:color w:val="auto"/>
              </w:rPr>
              <w:t>% Change</w:t>
            </w:r>
          </w:p>
        </w:tc>
      </w:tr>
      <w:tr>
        <w:trPr>
          <w:trHeight w:val="238"/>
        </w:trPr>
        <w:tc>
          <w:tcPr>
            <w:tcW w:w="606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 net</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(359.1)%</w:t>
            </w:r>
          </w:p>
        </w:tc>
        <w:tc>
          <w:tcPr>
            <w:tcW w:w="80" w:type="dxa"/>
            <w:vAlign w:val="bottom"/>
            <w:shd w:val="clear" w:color="auto" w:fill="CCEEFF"/>
          </w:tcPr>
          <w:p>
            <w:pPr>
              <w:spacing w:after="0"/>
              <w:rPr>
                <w:sz w:val="15"/>
                <w:szCs w:val="15"/>
                <w:color w:val="auto"/>
              </w:rPr>
            </w:pPr>
          </w:p>
        </w:tc>
      </w:tr>
    </w:tbl>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Other income (expense), net decreased by $79 million for the year ended December 31, 2023, compared to the year ended December 31, 2022. The year-over-year change is attributable to an increase of approximately $49 million due to hedging activity losses in 2023 and $27 million decrease in gain on tool sales to third parties. Partially offsetting this decrease was an $8 million gain on tool sales recorded in SG&amp;A. Commencing during the third quarter 2023, we began recording gain (loss) on tool sales to third parties in SG&amp;A.</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20"/>
                <w:szCs w:val="20"/>
                <w:color w:val="auto"/>
              </w:rPr>
            </w:pPr>
            <w:r>
              <w:rPr>
                <w:rFonts w:ascii="Arial" w:cs="Arial" w:eastAsia="Arial" w:hAnsi="Arial"/>
                <w:sz w:val="13"/>
                <w:szCs w:val="13"/>
                <w:b w:val="1"/>
                <w:bCs w:val="1"/>
                <w:i w:val="1"/>
                <w:iCs w:val="1"/>
                <w:color w:val="auto"/>
              </w:rPr>
              <w:t>Income tax expense</w:t>
            </w: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72"/>
        </w:trPr>
        <w:tc>
          <w:tcPr>
            <w:tcW w:w="60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22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167"/>
        </w:trPr>
        <w:tc>
          <w:tcPr>
            <w:tcW w:w="6060" w:type="dxa"/>
            <w:vAlign w:val="bottom"/>
          </w:tcPr>
          <w:p>
            <w:pPr>
              <w:spacing w:after="0"/>
              <w:rPr>
                <w:sz w:val="14"/>
                <w:szCs w:val="14"/>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b w:val="1"/>
                <w:bCs w:val="1"/>
                <w:color w:val="auto"/>
              </w:rPr>
              <w:t>2023</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b w:val="1"/>
                <w:bCs w:val="1"/>
                <w:color w:val="auto"/>
              </w:rPr>
              <w:t>2022</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Change</w:t>
            </w:r>
          </w:p>
        </w:tc>
        <w:tc>
          <w:tcPr>
            <w:tcW w:w="1320" w:type="dxa"/>
            <w:vAlign w:val="bottom"/>
            <w:gridSpan w:val="2"/>
          </w:tcPr>
          <w:p>
            <w:pPr>
              <w:ind w:left="300"/>
              <w:spacing w:after="0"/>
              <w:rPr>
                <w:sz w:val="20"/>
                <w:szCs w:val="20"/>
                <w:color w:val="auto"/>
              </w:rPr>
            </w:pPr>
            <w:r>
              <w:rPr>
                <w:rFonts w:ascii="Arial" w:cs="Arial" w:eastAsia="Arial" w:hAnsi="Arial"/>
                <w:sz w:val="13"/>
                <w:szCs w:val="13"/>
                <w:b w:val="1"/>
                <w:bCs w:val="1"/>
                <w:color w:val="auto"/>
              </w:rPr>
              <w:t>% Change</w:t>
            </w:r>
          </w:p>
        </w:tc>
      </w:tr>
      <w:tr>
        <w:trPr>
          <w:trHeight w:val="238"/>
        </w:trPr>
        <w:tc>
          <w:tcPr>
            <w:tcW w:w="606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80" w:type="dxa"/>
            <w:vAlign w:val="bottom"/>
            <w:shd w:val="clear" w:color="auto" w:fill="CCEEFF"/>
          </w:tcPr>
          <w:p>
            <w:pPr>
              <w:spacing w:after="0"/>
              <w:rPr>
                <w:sz w:val="15"/>
                <w:szCs w:val="15"/>
                <w:color w:val="auto"/>
              </w:rPr>
            </w:pPr>
          </w:p>
        </w:tc>
      </w:tr>
    </w:tbl>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Income tax expense decreased by $20 million, or 23.3% for the year ended December 31, 2023, compared to the year ended December 31, 2022. The decrease is primarily the result of $16 million withholding tax accrued in the United States reclassified from income tax expense to other taxes in the current year as it is not creditable against income taxes. The decrease is also partially attributable to an overall reduction in tax expense due to a decrease in global income subject to income tax compared to the prior year.</w:t>
      </w:r>
    </w:p>
    <w:p>
      <w:pPr>
        <w:spacing w:after="0" w:line="329" w:lineRule="exact"/>
        <w:rPr>
          <w:sz w:val="20"/>
          <w:szCs w:val="20"/>
          <w:color w:val="auto"/>
        </w:rPr>
      </w:pPr>
    </w:p>
    <w:p>
      <w:pPr>
        <w:ind w:left="260" w:hanging="255"/>
        <w:spacing w:after="0"/>
        <w:tabs>
          <w:tab w:leader="none" w:pos="26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Liquidity and Capital Resources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have historically financed operations primarily through cash and cash equivalents, marketable securities, as well as cash generated from our business operations, including prepayments under LTAs, debt and government grants. As of December 31, 2023, our cash and cash equivalents and marketable securities balances of $3.9 billion included $2.4 billion of cash and cash equivalents and $1.5 billion of marketable securities. As of December 31, 2022, our cash and cash equivalents and marketable securities of $3.3 billion included $2.4 billion of cash and cash equivalents and $994 million of marketable securities.</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As of December 31, 2023 and 2022, respectively, we had an undrawn revolving credit facility of $1.0 billion. In addition to our available revolvers, we had $2.4 billion and $2.5 billion of debt outstanding as of December 31, 2023, and 2022, respectively, which was primarily comprised of multiple term loans in various currencies. Our future capital requirements will depend on many factors, including our revenue growth rate, the timing and the amount of payments we receive from customers pursuant to our LTAs and other business arrangements, the timing and extent of spending to support development efforts, the introduction of new and enhanced products and solutions, the continuing market adoption of our platform, and our obligations to repay our indebtedness from time to time. We may from time to time seek to raise additional capital to support our growth. As of December 31, 2023, we believe that our existing cash, cash equivalents, investment in marketable securities, credit under our revolving credit facility, and expected cash generated from operations are sufficient to meet our capital requirements for at least the next 12 months and beyond.</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a summary of our term loan facilities, other debt facilities, which consist primarily of equipment financing and our committed undrawn revolvers.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00" w:type="dxa"/>
            <w:vAlign w:val="bottom"/>
          </w:tcPr>
          <w:p>
            <w:pPr>
              <w:spacing w:after="0"/>
              <w:rPr>
                <w:sz w:val="14"/>
                <w:szCs w:val="14"/>
                <w:color w:val="auto"/>
              </w:rPr>
            </w:pPr>
          </w:p>
        </w:tc>
        <w:tc>
          <w:tcPr>
            <w:tcW w:w="29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3"/>
                <w:szCs w:val="13"/>
                <w:b w:val="1"/>
                <w:bCs w:val="1"/>
                <w:color w:val="auto"/>
              </w:rPr>
              <w:t>For the year ended December 31,</w:t>
            </w:r>
          </w:p>
        </w:tc>
        <w:tc>
          <w:tcPr>
            <w:tcW w:w="620" w:type="dxa"/>
            <w:vAlign w:val="bottom"/>
            <w:tcBorders>
              <w:bottom w:val="single" w:sz="8" w:color="auto"/>
            </w:tcBorders>
          </w:tcPr>
          <w:p>
            <w:pPr>
              <w:spacing w:after="0"/>
              <w:rPr>
                <w:sz w:val="14"/>
                <w:szCs w:val="14"/>
                <w:color w:val="auto"/>
              </w:rPr>
            </w:pPr>
          </w:p>
        </w:tc>
      </w:tr>
      <w:tr>
        <w:trPr>
          <w:trHeight w:val="160"/>
        </w:trPr>
        <w:tc>
          <w:tcPr>
            <w:tcW w:w="7700" w:type="dxa"/>
            <w:vAlign w:val="bottom"/>
          </w:tcPr>
          <w:p>
            <w:pPr>
              <w:spacing w:after="0"/>
              <w:rPr>
                <w:sz w:val="13"/>
                <w:szCs w:val="13"/>
                <w:color w:val="auto"/>
              </w:rPr>
            </w:pP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2023</w:t>
            </w:r>
          </w:p>
        </w:tc>
        <w:tc>
          <w:tcPr>
            <w:tcW w:w="5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2022</w:t>
            </w:r>
          </w:p>
        </w:tc>
        <w:tc>
          <w:tcPr>
            <w:tcW w:w="620" w:type="dxa"/>
            <w:vAlign w:val="bottom"/>
            <w:tcBorders>
              <w:bottom w:val="single" w:sz="8" w:color="auto"/>
            </w:tcBorders>
          </w:tcPr>
          <w:p>
            <w:pPr>
              <w:spacing w:after="0"/>
              <w:rPr>
                <w:sz w:val="13"/>
                <w:szCs w:val="13"/>
                <w:color w:val="auto"/>
              </w:rPr>
            </w:pPr>
          </w:p>
        </w:tc>
      </w:tr>
      <w:tr>
        <w:trPr>
          <w:trHeight w:val="160"/>
        </w:trPr>
        <w:tc>
          <w:tcPr>
            <w:tcW w:w="7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0" w:type="dxa"/>
            <w:vAlign w:val="bottom"/>
            <w:gridSpan w:val="2"/>
          </w:tcPr>
          <w:p>
            <w:pPr>
              <w:jc w:val="right"/>
              <w:ind w:right="756"/>
              <w:spacing w:after="0"/>
              <w:rPr>
                <w:sz w:val="20"/>
                <w:szCs w:val="20"/>
                <w:color w:val="auto"/>
              </w:rPr>
            </w:pPr>
            <w:r>
              <w:rPr>
                <w:rFonts w:ascii="Arial" w:cs="Arial" w:eastAsia="Arial" w:hAnsi="Arial"/>
                <w:sz w:val="13"/>
                <w:szCs w:val="13"/>
                <w:b w:val="1"/>
                <w:bCs w:val="1"/>
                <w:color w:val="auto"/>
              </w:rPr>
              <w:t>(in millions)</w:t>
            </w:r>
          </w:p>
        </w:tc>
        <w:tc>
          <w:tcPr>
            <w:tcW w:w="620" w:type="dxa"/>
            <w:vAlign w:val="bottom"/>
          </w:tcPr>
          <w:p>
            <w:pPr>
              <w:spacing w:after="0"/>
              <w:rPr>
                <w:sz w:val="13"/>
                <w:szCs w:val="13"/>
                <w:color w:val="auto"/>
              </w:rPr>
            </w:pPr>
          </w:p>
        </w:tc>
      </w:tr>
      <w:tr>
        <w:trPr>
          <w:trHeight w:val="170"/>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Term loan facilities</w:t>
            </w:r>
          </w:p>
        </w:tc>
        <w:tc>
          <w:tcPr>
            <w:tcW w:w="1160" w:type="dxa"/>
            <w:vAlign w:val="bottom"/>
            <w:shd w:val="clear" w:color="auto" w:fill="CCEEFF"/>
          </w:tcPr>
          <w:p>
            <w:pPr>
              <w:jc w:val="right"/>
              <w:ind w:right="10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1,249</w:t>
            </w:r>
          </w:p>
        </w:tc>
        <w:tc>
          <w:tcPr>
            <w:tcW w:w="1240" w:type="dxa"/>
            <w:vAlign w:val="bottom"/>
            <w:shd w:val="clear" w:color="auto" w:fill="CCEEFF"/>
          </w:tcPr>
          <w:p>
            <w:pPr>
              <w:jc w:val="right"/>
              <w:ind w:right="101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1,456</w:t>
            </w:r>
          </w:p>
        </w:tc>
      </w:tr>
      <w:tr>
        <w:trPr>
          <w:trHeight w:val="169"/>
        </w:trPr>
        <w:tc>
          <w:tcPr>
            <w:tcW w:w="7700" w:type="dxa"/>
            <w:vAlign w:val="bottom"/>
          </w:tcPr>
          <w:p>
            <w:pPr>
              <w:ind w:left="20"/>
              <w:spacing w:after="0"/>
              <w:rPr>
                <w:sz w:val="20"/>
                <w:szCs w:val="20"/>
                <w:color w:val="auto"/>
              </w:rPr>
            </w:pPr>
            <w:r>
              <w:rPr>
                <w:rFonts w:ascii="Arial" w:cs="Arial" w:eastAsia="Arial" w:hAnsi="Arial"/>
                <w:sz w:val="13"/>
                <w:szCs w:val="13"/>
                <w:color w:val="auto"/>
              </w:rPr>
              <w:t>Other debt facilities</w:t>
            </w:r>
          </w:p>
        </w:tc>
        <w:tc>
          <w:tcPr>
            <w:tcW w:w="116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1,115</w:t>
            </w:r>
          </w:p>
        </w:tc>
        <w:tc>
          <w:tcPr>
            <w:tcW w:w="1240" w:type="dxa"/>
            <w:vAlign w:val="bottom"/>
          </w:tcPr>
          <w:p>
            <w:pPr>
              <w:spacing w:after="0"/>
              <w:rPr>
                <w:sz w:val="14"/>
                <w:szCs w:val="14"/>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color w:val="auto"/>
              </w:rPr>
              <w:t>1,055</w:t>
            </w:r>
          </w:p>
        </w:tc>
      </w:tr>
      <w:tr>
        <w:trPr>
          <w:trHeight w:val="171"/>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Revolvers and letters of credit</w:t>
            </w:r>
          </w:p>
        </w:tc>
        <w:tc>
          <w:tcPr>
            <w:tcW w:w="1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1,012</w:t>
            </w:r>
          </w:p>
        </w:tc>
        <w:tc>
          <w:tcPr>
            <w:tcW w:w="12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1,012</w:t>
            </w:r>
          </w:p>
        </w:tc>
      </w:tr>
    </w:tbl>
    <w:p>
      <w:pPr>
        <w:spacing w:after="0" w:line="200" w:lineRule="exact"/>
        <w:rPr>
          <w:sz w:val="20"/>
          <w:szCs w:val="20"/>
          <w:color w:val="auto"/>
        </w:rPr>
      </w:pP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Government grants are also a source of capital. Those grants are primarily provided in connection with construction and operation of our wafer manufacturing facilities, employment and R&amp;D. For the years ended December 31, 2023, 2022 and 2021, we received $251 million, $93 million and $83 million, respectively, in proceeds from government grants. The change in grants relates primarily to grant programs in Singapore.</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monitor capital using a gearing ratio, which is net debt divided by total capital plus net debt. Our policy is to keep the gearing ratio within a range to meet our business needs. We may from time to time seek to raise additional capital to support our growth. Any equity financing we may undertake could be dilutive to our shareholders, and any additional debt financing we may undertake could require debt services and financial and operational requirements that could adversely affect our business. We cannot provide any assurance that we would be able to obtain future financing on favorable terms or at all.</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Flows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a summary of our cash flows for the periods presented:</w:t>
      </w:r>
    </w:p>
    <w:p>
      <w:pPr>
        <w:spacing w:after="0" w:line="116" w:lineRule="exact"/>
        <w:rPr>
          <w:sz w:val="20"/>
          <w:szCs w:val="20"/>
          <w:color w:val="auto"/>
        </w:rPr>
      </w:pPr>
    </w:p>
    <w:p>
      <w:pPr>
        <w:jc w:val="center"/>
        <w:ind w:left="7540"/>
        <w:spacing w:after="0"/>
        <w:rPr>
          <w:sz w:val="20"/>
          <w:szCs w:val="20"/>
          <w:color w:val="auto"/>
        </w:rPr>
      </w:pPr>
      <w:r>
        <w:rPr>
          <w:rFonts w:ascii="Arial" w:cs="Arial" w:eastAsia="Arial" w:hAnsi="Arial"/>
          <w:sz w:val="13"/>
          <w:szCs w:val="13"/>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4792980</wp:posOffset>
            </wp:positionH>
            <wp:positionV relativeFrom="paragraph">
              <wp:posOffset>12700</wp:posOffset>
            </wp:positionV>
            <wp:extent cx="237172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71725" cy="6985"/>
                    </a:xfrm>
                    <a:prstGeom prst="rect">
                      <a:avLst/>
                    </a:prstGeom>
                    <a:noFill/>
                  </pic:spPr>
                </pic:pic>
              </a:graphicData>
            </a:graphic>
          </wp:anchor>
        </w:drawing>
      </w:r>
    </w:p>
    <w:p>
      <w:pPr>
        <w:spacing w:after="0" w:line="11" w:lineRule="exact"/>
        <w:rPr>
          <w:sz w:val="20"/>
          <w:szCs w:val="20"/>
          <w:color w:val="auto"/>
        </w:rPr>
      </w:pPr>
    </w:p>
    <w:p>
      <w:pPr>
        <w:ind w:left="8320"/>
        <w:spacing w:after="0"/>
        <w:tabs>
          <w:tab w:leader="none" w:pos="1020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4792980</wp:posOffset>
            </wp:positionH>
            <wp:positionV relativeFrom="paragraph">
              <wp:posOffset>12700</wp:posOffset>
            </wp:positionV>
            <wp:extent cx="237172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71725" cy="6985"/>
                    </a:xfrm>
                    <a:prstGeom prst="rect">
                      <a:avLst/>
                    </a:prstGeom>
                    <a:noFill/>
                  </pic:spPr>
                </pic:pic>
              </a:graphicData>
            </a:graphic>
          </wp:anchor>
        </w:drawing>
      </w:r>
    </w:p>
    <w:p>
      <w:pPr>
        <w:spacing w:after="0" w:line="11" w:lineRule="exact"/>
        <w:rPr>
          <w:sz w:val="20"/>
          <w:szCs w:val="20"/>
          <w:color w:val="auto"/>
        </w:rPr>
      </w:pPr>
    </w:p>
    <w:p>
      <w:pPr>
        <w:ind w:left="9060"/>
        <w:spacing w:after="0"/>
        <w:rPr>
          <w:sz w:val="20"/>
          <w:szCs w:val="20"/>
          <w:color w:val="auto"/>
        </w:rPr>
      </w:pPr>
      <w:r>
        <w:rPr>
          <w:rFonts w:ascii="Arial" w:cs="Arial" w:eastAsia="Arial" w:hAnsi="Arial"/>
          <w:sz w:val="13"/>
          <w:szCs w:val="13"/>
          <w:b w:val="1"/>
          <w:bCs w:val="1"/>
          <w:color w:val="auto"/>
        </w:rPr>
        <w:t>(in millions)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0"/>
        </w:trPr>
        <w:tc>
          <w:tcPr>
            <w:tcW w:w="7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provided by operating activities</w:t>
            </w:r>
          </w:p>
        </w:tc>
        <w:tc>
          <w:tcPr>
            <w:tcW w:w="7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2,125</w:t>
            </w:r>
          </w:p>
        </w:tc>
        <w:tc>
          <w:tcPr>
            <w:tcW w:w="80" w:type="dxa"/>
            <w:vAlign w:val="bottom"/>
          </w:tcPr>
          <w:p>
            <w:pPr>
              <w:spacing w:after="0"/>
              <w:rPr>
                <w:sz w:val="14"/>
                <w:szCs w:val="14"/>
                <w:color w:val="auto"/>
              </w:rPr>
            </w:pPr>
          </w:p>
        </w:tc>
        <w:tc>
          <w:tcPr>
            <w:tcW w:w="74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2,624</w:t>
            </w:r>
          </w:p>
        </w:tc>
      </w:tr>
      <w:tr>
        <w:trPr>
          <w:trHeight w:val="169"/>
        </w:trPr>
        <w:tc>
          <w:tcPr>
            <w:tcW w:w="7540" w:type="dxa"/>
            <w:vAlign w:val="bottom"/>
          </w:tcPr>
          <w:p>
            <w:pPr>
              <w:ind w:left="20"/>
              <w:spacing w:after="0"/>
              <w:rPr>
                <w:sz w:val="20"/>
                <w:szCs w:val="20"/>
                <w:color w:val="auto"/>
              </w:rPr>
            </w:pPr>
            <w:r>
              <w:rPr>
                <w:rFonts w:ascii="Arial" w:cs="Arial" w:eastAsia="Arial" w:hAnsi="Arial"/>
                <w:sz w:val="13"/>
                <w:szCs w:val="13"/>
                <w:color w:val="auto"/>
              </w:rPr>
              <w:t>Cash used in investing activities</w:t>
            </w:r>
          </w:p>
        </w:tc>
        <w:tc>
          <w:tcPr>
            <w:tcW w:w="760" w:type="dxa"/>
            <w:vAlign w:val="bottom"/>
          </w:tcPr>
          <w:p>
            <w:pPr>
              <w:jc w:val="right"/>
              <w:ind w:right="596"/>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(1,882)</w:t>
            </w:r>
          </w:p>
        </w:tc>
        <w:tc>
          <w:tcPr>
            <w:tcW w:w="820" w:type="dxa"/>
            <w:vAlign w:val="bottom"/>
            <w:gridSpan w:val="2"/>
          </w:tcPr>
          <w:p>
            <w:pPr>
              <w:jc w:val="right"/>
              <w:ind w:right="596"/>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(4,058)</w:t>
            </w:r>
          </w:p>
        </w:tc>
      </w:tr>
      <w:tr>
        <w:trPr>
          <w:trHeight w:val="171"/>
        </w:trPr>
        <w:tc>
          <w:tcPr>
            <w:tcW w:w="7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provided by (used in) financing activities</w:t>
            </w:r>
          </w:p>
        </w:tc>
        <w:tc>
          <w:tcPr>
            <w:tcW w:w="76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w:t>
            </w:r>
          </w:p>
        </w:tc>
        <w:tc>
          <w:tcPr>
            <w:tcW w:w="80" w:type="dxa"/>
            <w:vAlign w:val="bottom"/>
          </w:tcPr>
          <w:p>
            <w:pPr>
              <w:spacing w:after="0"/>
              <w:rPr>
                <w:sz w:val="14"/>
                <w:szCs w:val="14"/>
                <w:color w:val="auto"/>
              </w:rPr>
            </w:pPr>
          </w:p>
        </w:tc>
        <w:tc>
          <w:tcPr>
            <w:tcW w:w="74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842</w:t>
            </w:r>
          </w:p>
        </w:tc>
      </w:tr>
      <w:tr>
        <w:trPr>
          <w:trHeight w:val="159"/>
        </w:trPr>
        <w:tc>
          <w:tcPr>
            <w:tcW w:w="7540" w:type="dxa"/>
            <w:vAlign w:val="bottom"/>
            <w:tcBorders>
              <w:bottom w:val="single" w:sz="8" w:color="CCEEFF"/>
            </w:tcBorders>
          </w:tcPr>
          <w:p>
            <w:pPr>
              <w:ind w:left="440"/>
              <w:spacing w:after="0" w:line="148" w:lineRule="exact"/>
              <w:rPr>
                <w:sz w:val="20"/>
                <w:szCs w:val="20"/>
                <w:color w:val="auto"/>
              </w:rPr>
            </w:pPr>
            <w:r>
              <w:rPr>
                <w:rFonts w:ascii="Arial" w:cs="Arial" w:eastAsia="Arial" w:hAnsi="Arial"/>
                <w:sz w:val="13"/>
                <w:szCs w:val="13"/>
                <w:color w:val="auto"/>
              </w:rPr>
              <w:t>Effect of exchange rate changes on cash and cash equivalents</w:t>
            </w:r>
          </w:p>
        </w:tc>
        <w:tc>
          <w:tcPr>
            <w:tcW w:w="7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r>
      <w:tr>
        <w:trPr>
          <w:trHeight w:val="162"/>
        </w:trPr>
        <w:tc>
          <w:tcPr>
            <w:tcW w:w="7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increase (decrease) in cash and cash equivalents</w:t>
            </w:r>
          </w:p>
        </w:tc>
        <w:tc>
          <w:tcPr>
            <w:tcW w:w="760" w:type="dxa"/>
            <w:vAlign w:val="bottom"/>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35</w:t>
            </w:r>
          </w:p>
        </w:tc>
        <w:tc>
          <w:tcPr>
            <w:tcW w:w="80" w:type="dxa"/>
            <w:vAlign w:val="bottom"/>
          </w:tcPr>
          <w:p>
            <w:pPr>
              <w:spacing w:after="0"/>
              <w:rPr>
                <w:sz w:val="14"/>
                <w:szCs w:val="14"/>
                <w:color w:val="auto"/>
              </w:rPr>
            </w:pPr>
          </w:p>
        </w:tc>
        <w:tc>
          <w:tcPr>
            <w:tcW w:w="740" w:type="dxa"/>
            <w:vAlign w:val="bottom"/>
            <w:shd w:val="clear" w:color="auto" w:fill="CCEEFF"/>
          </w:tcPr>
          <w:p>
            <w:pPr>
              <w:jc w:val="right"/>
              <w:ind w:right="596"/>
              <w:spacing w:after="0"/>
              <w:rPr>
                <w:sz w:val="20"/>
                <w:szCs w:val="20"/>
                <w:color w:val="auto"/>
              </w:rPr>
            </w:pPr>
            <w:r>
              <w:rPr>
                <w:rFonts w:ascii="Arial" w:cs="Arial" w:eastAsia="Arial" w:hAnsi="Arial"/>
                <w:sz w:val="13"/>
                <w:szCs w:val="13"/>
                <w:b w:val="1"/>
                <w:bCs w:val="1"/>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(587)</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Activities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Net cash provided by operating activity of $2,125 million for the year ended December 31, 2023 was primarily related to net income of $1,018 and depreciation and amortization of $1,451 million. Other drivers for the period include lower share based compensation of $150 million and deferred income taxes of $50 million. Unfavorable working capital of $506 million include a decrease of trade and other payables of $190 million driven by lower customer prepayments, an increase in receivables and prepayments of $169 million and favorable movements in inventory of $148 million due to higher shipments.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Investing Activities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Cash used in investing activities was $1,882 million for the year ended December 31, 2023, compared to cash used in investing activities of $4,058 million for the year ended December 31, 2022, reflecting a $2,176 million decrease. The year-over-year change was primarily attributable to lower purchases of property, plant, equipment and intangibles of $1,255 million, lower net outflows related to net proceeds of marketable securities of $522 million, proceeds from the sale of our East Fishkill facility of $236 million received in 2023, and higher proceeds from government grants of $138 million.</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Cash used in financing activities was $212 million for the year ended December 31, 2023, compared to cash provided by financing activities of $842 million for the year ended December 31, 2022, reflecting a $1,054 million change. The year-over-year changes were due to a decrease in proceeds from borrowing of $925 million, reduced proceeds from the issuance of equity instruments of $126 million and $88 million reduction in proceeds from government grants due to reclassification of proceeds in government grant from a financing activity to an investing activity in 2023. This was offset by lower repayments of debt and finance lease obligations of $85 million.</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Contractual Obligations</w:t>
      </w:r>
    </w:p>
    <w:p>
      <w:pPr>
        <w:spacing w:after="0" w:line="84"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As of December 31, 2023, we had $3.9 billion of unconditional purchase commitments, $1.1 billion of which related to contracts for capital expenditures, and $2.8 billion of contracts related to operating expenditures. Of the total balance as of December 31, 2023, $970 million is due within the next 12 months. See Note 31 to our Annual Consolidated Financial Statements for additional details.</w:t>
      </w:r>
    </w:p>
    <w:p>
      <w:pPr>
        <w:spacing w:after="0" w:line="37" w:lineRule="exact"/>
        <w:rPr>
          <w:sz w:val="20"/>
          <w:szCs w:val="20"/>
          <w:color w:val="auto"/>
        </w:rPr>
      </w:pPr>
    </w:p>
    <w:p>
      <w:pPr>
        <w:ind w:left="260" w:hanging="255"/>
        <w:spacing w:after="0"/>
        <w:tabs>
          <w:tab w:leader="none" w:pos="26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Research and Development, Patents and Licenses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Refer to “Item 4. Information on the Company” for discussion on our research and development and intellectual property.</w:t>
      </w:r>
    </w:p>
    <w:p>
      <w:pPr>
        <w:spacing w:after="0" w:line="84" w:lineRule="exact"/>
        <w:rPr>
          <w:sz w:val="20"/>
          <w:szCs w:val="20"/>
          <w:color w:val="auto"/>
        </w:rPr>
      </w:pPr>
    </w:p>
    <w:p>
      <w:pPr>
        <w:ind w:left="260" w:hanging="255"/>
        <w:spacing w:after="0"/>
        <w:tabs>
          <w:tab w:leader="none" w:pos="26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Trend information</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Our financial condition and results of operations have been, and will continue to be, affected by numerous factors and trends, including the following:</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Global Demand for Semiconductor Products</w:t>
      </w:r>
    </w:p>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Demand for our products is dependent on market conditions in the end markets in which our customers operate, which are generally subject to seasonality, as well as cyclical and competitive conditions. Additionally, we derive a portion of our net revenue from sales to customers that purchase large volumes of our products. Customers generally provide periodic forecasts of their requirements, but these forecasts do not commit such customers to minimum purchases except when long-term contracts are in place.</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semiconductor industry is susceptible to uncertain economic conditions that could impact demand. We remain cautious regarding the macroeconomic headwinds facing our industry in 2024. We continue to implement a long-term partnership-driven model with our industry, which is driving improved visibility for our business through this period of uncertainty.</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Single-sourced Revenue Mix</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manufacture products based on a combination of our own technologies and our customers’ IP, resulting in a significant number of products that can only be sourced from us. Our sales and marketing strategy centers on deepening relationships with top customers and investing in technologies to become their single-source supplier for mission-critical applications. We believe a key measure of our success as a differentiated technology partner to our customers is the mix of our wafer shipment volume attributable to single-sourced business, which represented approximately 62% of wafer shipment volume in 2023. We define single-sourced products as those that we believe can only be manufactured with our technology and cannot be manufactured elsewhere without significant customer redesigns.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7" w:right="319" w:bottom="1440" w:gutter="0" w:footer="0" w:header="0"/>
        </w:sectPr>
      </w:pPr>
    </w:p>
    <w:bookmarkStart w:id="54" w:name="page55"/>
    <w:bookmarkEnd w:id="54"/>
    <w:p>
      <w:pPr>
        <w:spacing w:after="0"/>
        <w:rPr>
          <w:sz w:val="20"/>
          <w:szCs w:val="20"/>
          <w:color w:val="auto"/>
        </w:rPr>
      </w:pPr>
      <w:r>
        <w:rPr>
          <w:rFonts w:ascii="Arial" w:cs="Arial" w:eastAsia="Arial" w:hAnsi="Arial"/>
          <w:sz w:val="13"/>
          <w:szCs w:val="13"/>
          <w:i w:val="1"/>
          <w:iCs w:val="1"/>
          <w:color w:val="auto"/>
        </w:rPr>
        <w:t>Technology Solution Mix and Pricing</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Product mix is among the most important factors affecting revenue and margins, as our wafer price varies significantly across technology platforms. The value of a wafer is determined principally by the uniqueness and complexity of the technology, performance characteristics, yield and defect density. Devices with richer feature sets, higher performance, better yields and greater system-level integration require more substantial R&amp;D investments and more complex manufacturing expertise and equipment, and thus generally command higher wafer prices.</w:t>
      </w:r>
    </w:p>
    <w:p>
      <w:pPr>
        <w:spacing w:after="0" w:line="6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Pricing and margins depend on the volumes and features of the solutions we deliver. We continually monitor and work to reduce the cost of our products and improve the potential value that our solutions deliver to our customers as we target new win opportunities. While individual product prices may decline, we believe our R&amp;D investments, differentiated product and single-sourced strategy should lead to improvements in pricing mix and overall ASPs if we compete effectively.</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Long-Term Agreements.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We have entered into multiple LTAs with leading companies in the industry. Many of these contracts include customer advanced payments and capacity reservation fees in order to secure future supply.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We have approximately $20 billion in aggregate revenue commitment over the term of the agreements as of December 31, 2023.</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During 2023, some customers under LTAs have requested to adjust their short term demand outlook downward. From time to time our wafer revenue consists of restructuring or underutilization payments from customers unable to meet their volume commitments. We expect certain of our customers under LTAs will continue to request for similar adjustments in 2024. We continue to collaborate closely with our customers to support the acceleration of their inventory depletion, while seeking to preserve the economic value of these commercial agreements.</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Shipment Utilization</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define shipment utilization as the ratio of wafer shipment volume divided by our estimated total capacity for wafer manufacturing in a specified period. Shipment utilization remains a very important factor in driving our financial performance, as we incur significant costs regardless of the number of wafers we actually produce. These fixed costs include staffing, electricity, infrastructure, depreciation and maintenance costs at each fab.</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average shipment utilization rate across our global fabs was 81% and 101% for the years ended December 31, 2023 and 2022, respectively. Factors affecting shipment utilization rates include efficiency in production facilities, complexity and mix of wafer types ordered by customers, including the impact of export controls and other regulatory changes affecting customers and competitors. Our production capacity is determined based on the capacity ratings of the equipment in the fab, adjusted for expected down time due to set up for production runs and maintenance and R&amp;D. In 2023, we operated below our production capacity driven by customer demand and market conditions.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CHIPS and Science Act</w:t>
      </w:r>
    </w:p>
    <w:p>
      <w:pPr>
        <w:spacing w:after="0" w:line="93"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In February 2024, the U.S. Department of Commerce announced $1.5 billion in planned direct funding for GF as part of the CHIPS and Science Act. This planned investment will enable us to expand and create new manufacturing capacity and capabilities to securely produce more essential chips for automotive, IoT, aerospace, defense, and other vital markets. The proposed funding will support three potential GF projects: expansion of our existing Fab 8 facility, construction of a new state-of-art fab on the Fab 8 campus, and modernization of our Fab 9 facility. In support of the two Fab 8 projects, the State of New York also announced that it intends to provide $575 million in planned direct funding. The preliminary awards are non-binding commitments, and receipt of any funding will be subject to certain terms and conditions, including us hitting specific milestones. Subject to market requirements and customer demand as well as receipt of expected government funding, among other factors, GF plans to invest more than $12 billion over the next 10 or more years across its two U.S. sites. While GF intends to begin work as soon as reasonably possible, there is no guarantee at this time as to when GF will be able to start work and how (or to what degree) the total $12 billion investment will be allocated to each year over the next 10 or more years (or that the total amount actually invested will be $12 billion or more). GF intends to execute such investments through public-private partnerships with support from the federal and state governments as well as from its ecosystem partners, including anticipated key strategic customers, but such plans are subject to GF receiving such support in the manner and on the timelines expected, and may be subject to change.</w:t>
      </w:r>
    </w:p>
    <w:p>
      <w:pPr>
        <w:spacing w:after="0" w:line="327"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E.</w:t>
      </w:r>
      <w:r>
        <w:rPr>
          <w:sz w:val="20"/>
          <w:szCs w:val="20"/>
          <w:color w:val="auto"/>
        </w:rPr>
        <w:tab/>
      </w:r>
      <w:r>
        <w:rPr>
          <w:rFonts w:ascii="Arial" w:cs="Arial" w:eastAsia="Arial" w:hAnsi="Arial"/>
          <w:sz w:val="12"/>
          <w:szCs w:val="12"/>
          <w:b w:val="1"/>
          <w:bCs w:val="1"/>
          <w:color w:val="auto"/>
        </w:rPr>
        <w:t>Critical Accounting Policies and Estimates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consolidated financial statements included elsewhere in this annual report have been prepared in accordance with IFRS as issued by the International Accounting Standard Board (“IASB”). Management must make certain estimates and assumptions that affect the amounts reported in the financial statements, based on experience, existing and known circumstances, authoritative accounting guidance and pronouncements and other factors that management believes to be reasonable, but actual results could differ materially from these estimates. To the extent there are differences between our estimates and actual results, our future financial statement presentation, financial condition, results of operations and cash flows will be affected.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7" w:right="319" w:bottom="1440" w:gutter="0" w:footer="0" w:header="0"/>
        </w:sectPr>
      </w:pPr>
    </w:p>
    <w:bookmarkStart w:id="55" w:name="page56"/>
    <w:bookmarkEnd w:id="55"/>
    <w:p>
      <w:pPr>
        <w:jc w:val="both"/>
        <w:spacing w:after="0" w:line="266" w:lineRule="auto"/>
        <w:rPr>
          <w:sz w:val="20"/>
          <w:szCs w:val="20"/>
          <w:color w:val="auto"/>
        </w:rPr>
      </w:pPr>
      <w:r>
        <w:rPr>
          <w:rFonts w:ascii="Arial" w:cs="Arial" w:eastAsia="Arial" w:hAnsi="Arial"/>
          <w:sz w:val="13"/>
          <w:szCs w:val="13"/>
          <w:color w:val="auto"/>
        </w:rPr>
        <w:t>We believe that the accounting policies described below involve a degree of judgment and complexity. Accordingly, these are the policies we believe are the most critical to aid in fully understanding and evaluating our consolidated financial condition and results of operations.</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Revenue Recognition</w:t>
      </w:r>
      <w:r>
        <w:rPr>
          <w:rFonts w:ascii="Arial" w:cs="Arial" w:eastAsia="Arial" w:hAnsi="Arial"/>
          <w:sz w:val="13"/>
          <w:szCs w:val="13"/>
          <w:color w:val="auto"/>
        </w:rPr>
        <w:t>—The Company generates revenue primarily from fabricating semiconductor wafers for its customers using the manufacturing processes based on their own or third parties’</w:t>
      </w:r>
      <w:r>
        <w:rPr>
          <w:rFonts w:ascii="Arial" w:cs="Arial" w:eastAsia="Arial" w:hAnsi="Arial"/>
          <w:sz w:val="13"/>
          <w:szCs w:val="13"/>
          <w:b w:val="1"/>
          <w:bCs w:val="1"/>
          <w:color w:val="auto"/>
        </w:rPr>
        <w:t xml:space="preserve"> </w:t>
      </w:r>
      <w:r>
        <w:rPr>
          <w:rFonts w:ascii="Arial" w:cs="Arial" w:eastAsia="Arial" w:hAnsi="Arial"/>
          <w:sz w:val="13"/>
          <w:szCs w:val="13"/>
          <w:color w:val="auto"/>
        </w:rPr>
        <w:t>proprietary IC designs and, to a lesser extent, the Company also generates revenue from engineering and other pre-fabrication services such as non-recurring engineering (“NRE”) services, which include design services and mask production.</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recognizes revenue when performance obligations are satisfied. The performance obligations are satisfied at the point at which control of the wafers is transferred to the customer, which is determined to be at the point of wafer shipment from the Company’s facilities or delivery to the customer location. NRE services are recognized over time as the Company performs the services based on a percentage of costs incurred over total expected costs.</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accounts for the breakage fee arising from not meeting the minimum purchase requirements under certain LTAs with customers as variable consideration and includes such fee in the contract transaction price if not constrained, and accordingly, recognizes as revenue upon satisfaction of performance obligations for wafers over the expected term of the agreement. Given the volumes under these arrangements are usually not guaranteed and subject to subsequent negotiations or changes, breakage fees that are constrained are not included in the contract transaction price for revenue recognition purposes.</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estimates the variable consideration related to volume rebates and yield adjustments for certain contracts that may be refundable to customers through the issuance of a credit note, and accordingly, recognizes revenue in accordance with the pattern applicable to the performance obligation, subject to a constraint. The Company determines the amounts to be recognized based on the amount of potential refund required by the contract, historical experience and other surrounding facts and circumstances. These potential revenue adjustments are accrued and netted against accounts receivable on the consolidated statements of financial position.</w:t>
      </w:r>
    </w:p>
    <w:p>
      <w:pPr>
        <w:spacing w:after="0" w:line="59"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Our contracts may be subsequently modified to reflect changes in scope or customer requirements. Generally, our contract modifications are for goods or services that are distinct from the existing contract and are accounted for as a new contract and performance obligation, which are recognized prospectively. If contract modifications are for goods or services that are not distinct from the existing contract, they are accounted for as if they are part of the original contract with the effect of the contract modification recognized as an adjustment to revenue on a cumulative catch-up basis.</w:t>
      </w:r>
    </w:p>
    <w:p>
      <w:pPr>
        <w:spacing w:after="0" w:line="3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 contract asset (“unbilled accounts receivables”) is recognized when the Company has recognized revenue, but not issued an invoice for payment. The Company has determined that unbilled accounts receivables are not considered a significant financing component of the Company’s contracts. Contract assets are included in receivables, prepayments and other assets on the consolidated statements of financial position and are transferred to trade receivables when invoiced (see Note 6).</w:t>
      </w:r>
    </w:p>
    <w:p>
      <w:pPr>
        <w:spacing w:after="0" w:line="6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A contract liability is recognized when the Company receives payments in advance of the satisfaction of performance obligations and are included as deferred revenue on the consolidated statements of financial position (see Note 11). This includes upfront non-refundable capacity access fees under certain LTAs with customers which are accounted for as additional wafer price considerations and recognized as revenue upon satisfaction of performance obligations for wafers over the expected term of the agreements.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color w:val="auto"/>
        </w:rPr>
        <w:t>Determination of useful lives of property, plant and equipment</w:t>
      </w:r>
      <w:r>
        <w:rPr>
          <w:rFonts w:ascii="Arial" w:cs="Arial" w:eastAsia="Arial" w:hAnsi="Arial"/>
          <w:sz w:val="13"/>
          <w:szCs w:val="13"/>
          <w:color w:val="auto"/>
        </w:rPr>
        <w:t>—The Company periodically assesses the estimated useful lives of property, plant and equipment. As a result of a review completed</w:t>
      </w:r>
      <w:r>
        <w:rPr>
          <w:rFonts w:ascii="Arial" w:cs="Arial" w:eastAsia="Arial" w:hAnsi="Arial"/>
          <w:sz w:val="13"/>
          <w:szCs w:val="13"/>
          <w:b w:val="1"/>
          <w:bCs w:val="1"/>
          <w:color w:val="auto"/>
        </w:rPr>
        <w:t xml:space="preserve"> </w:t>
      </w:r>
      <w:r>
        <w:rPr>
          <w:rFonts w:ascii="Arial" w:cs="Arial" w:eastAsia="Arial" w:hAnsi="Arial"/>
          <w:sz w:val="13"/>
          <w:szCs w:val="13"/>
          <w:color w:val="auto"/>
        </w:rPr>
        <w:t>in April 2023, the Company concluded the estimated maximum useful life of certain buildings should be increased from 26 years to 50 years. This change in estimate was applied prospectively, effective beginning in the first quarter of 2023. The impact of the change in estimated useful lives of certain buildings resulted in an increase to income before income taxes of $76 million for the year ended December 31, 2023.</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6" w:name="page57"/>
    <w:bookmarkEnd w:id="56"/>
    <w:p>
      <w:pPr>
        <w:jc w:val="both"/>
        <w:spacing w:after="0" w:line="261" w:lineRule="auto"/>
        <w:rPr>
          <w:sz w:val="20"/>
          <w:szCs w:val="20"/>
          <w:color w:val="auto"/>
        </w:rPr>
      </w:pPr>
      <w:r>
        <w:rPr>
          <w:rFonts w:ascii="Arial" w:cs="Arial" w:eastAsia="Arial" w:hAnsi="Arial"/>
          <w:sz w:val="13"/>
          <w:szCs w:val="13"/>
          <w:b w:val="1"/>
          <w:bCs w:val="1"/>
          <w:color w:val="auto"/>
        </w:rPr>
        <w:t>Inventory Valuation</w:t>
      </w:r>
      <w:r>
        <w:rPr>
          <w:rFonts w:ascii="Arial" w:cs="Arial" w:eastAsia="Arial" w:hAnsi="Arial"/>
          <w:sz w:val="13"/>
          <w:szCs w:val="13"/>
          <w:color w:val="auto"/>
        </w:rPr>
        <w:t>—Inventory is based on a standard cost process with appropriate adjustments for purchasing and manufacturing variances, which approximates weighted average cost. The cost</w:t>
      </w:r>
      <w:r>
        <w:rPr>
          <w:rFonts w:ascii="Arial" w:cs="Arial" w:eastAsia="Arial" w:hAnsi="Arial"/>
          <w:sz w:val="13"/>
          <w:szCs w:val="13"/>
          <w:b w:val="1"/>
          <w:bCs w:val="1"/>
          <w:color w:val="auto"/>
        </w:rPr>
        <w:t xml:space="preserve"> </w:t>
      </w:r>
      <w:r>
        <w:rPr>
          <w:rFonts w:ascii="Arial" w:cs="Arial" w:eastAsia="Arial" w:hAnsi="Arial"/>
          <w:sz w:val="13"/>
          <w:szCs w:val="13"/>
          <w:color w:val="auto"/>
        </w:rPr>
        <w:t>of raw materials is determined using applicable raw material purchase prices. The cost of supplies is determined based on a weighted-average cost formula. Work in process and finished goods are valued at the cost of direct materials and a proportion of manufacturing labor and overhead costs based on normal operating capacity.</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Inventory allowances are made on an item-by-item basis, except where it may be appropriate to group similar or related items. An allowance is made for the estimated losses due to obsolescence based on expected future demand and market conditions. Net realizable value is the estimated selling price in the ordinary course of business, less estimated costs of completion and the estimated costs necessary to make the sale.</w:t>
      </w:r>
    </w:p>
    <w:p>
      <w:pPr>
        <w:spacing w:after="0" w:line="5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color w:val="auto"/>
        </w:rPr>
        <w:t>Impairment Assessment of Non-Financial Assets</w:t>
      </w:r>
      <w:r>
        <w:rPr>
          <w:rFonts w:ascii="Arial" w:cs="Arial" w:eastAsia="Arial" w:hAnsi="Arial"/>
          <w:sz w:val="13"/>
          <w:szCs w:val="13"/>
          <w:color w:val="auto"/>
        </w:rPr>
        <w:t>—Impairment exists when the carrying value of an asset or CGU exceeds its recoverable amount, which is the higher of its fair value less costs of</w:t>
      </w:r>
      <w:r>
        <w:rPr>
          <w:rFonts w:ascii="Arial" w:cs="Arial" w:eastAsia="Arial" w:hAnsi="Arial"/>
          <w:sz w:val="13"/>
          <w:szCs w:val="13"/>
          <w:b w:val="1"/>
          <w:bCs w:val="1"/>
          <w:color w:val="auto"/>
        </w:rPr>
        <w:t xml:space="preserve"> </w:t>
      </w:r>
      <w:r>
        <w:rPr>
          <w:rFonts w:ascii="Arial" w:cs="Arial" w:eastAsia="Arial" w:hAnsi="Arial"/>
          <w:sz w:val="13"/>
          <w:szCs w:val="13"/>
          <w:color w:val="auto"/>
        </w:rPr>
        <w:t>disposal and its value in use. The fair value less costs to sell calculation is based on a discounted cash flow analysis that a potential buyer would perform in determining a transaction value of the CGU less incremental costs for disposing of the asset. The value in use calculation is based on a discounted cash flow model. When preparing the discounted cash flow analysis, the Company makes judgments in determining the independent cash flows that can be related to a specific CGU based on its asset usage model and manufacturing capabilities in addition to the discount rate used in the analysis. In addition, because judgments are made regarding the remaining useful lives of assets and expected future revenue and expenses associated with the assets, changes in these estimates based on changes in economic conditions or business strategies could result in material impairment charges in future periods.</w:t>
      </w:r>
    </w:p>
    <w:p>
      <w:pPr>
        <w:spacing w:after="0" w:line="7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b w:val="1"/>
          <w:bCs w:val="1"/>
          <w:color w:val="auto"/>
        </w:rPr>
        <w:t>Income Taxes and Realization of Deferred Tax Assets</w:t>
      </w:r>
      <w:r>
        <w:rPr>
          <w:rFonts w:ascii="Arial" w:cs="Arial" w:eastAsia="Arial" w:hAnsi="Arial"/>
          <w:sz w:val="13"/>
          <w:szCs w:val="13"/>
          <w:color w:val="auto"/>
        </w:rPr>
        <w:t>—In determining taxable income for financial statement reporting purposes, management makes certain estimates and judgments specific to</w:t>
      </w:r>
      <w:r>
        <w:rPr>
          <w:rFonts w:ascii="Arial" w:cs="Arial" w:eastAsia="Arial" w:hAnsi="Arial"/>
          <w:sz w:val="13"/>
          <w:szCs w:val="13"/>
          <w:b w:val="1"/>
          <w:bCs w:val="1"/>
          <w:color w:val="auto"/>
        </w:rPr>
        <w:t xml:space="preserve"> </w:t>
      </w:r>
      <w:r>
        <w:rPr>
          <w:rFonts w:ascii="Arial" w:cs="Arial" w:eastAsia="Arial" w:hAnsi="Arial"/>
          <w:sz w:val="13"/>
          <w:szCs w:val="13"/>
          <w:color w:val="auto"/>
        </w:rPr>
        <w:t>taxation issues. These estimates and judgments are applied in the calculation of certain tax liabilities and in the determination of the recoverability of deferred tax assets, which arise from temporary differences between the recognition of assets and liabilities for income tax and financial statement reporting purposes.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Deferred taxes are recognized for unused losses, among other factors, to the extent that it is probable that taxable profit will be available against which the losses can be utilized.</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This evaluation requires the exercise of judgment with respect to, among other things, benefits that could be realized from available tax strategies and future taxable income, as well as other positive and negative factors. The ultimate realization of deferred tax assets is dependent upon, among other things, the Company’s ability to generate future taxable income that is sufficient to utilize loss carry-forwards or tax credits before their expiration or the Company’s ability to implement prudent and feasible tax planning strategies.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If estimates of projected future taxable income and benefits from available tax strategies are reduced as a result of a change in the assessment or due to other factors, or if changes in current tax regulations are enacted that impose restrictions on the timing or extent of the Company’s ability to utilize net operating losses and tax credit carry-forwards in the future, the Company may be required to reduce the amount of total deferred tax assets resulting in a decrease of total assets. Likewise, a change in the tax rates applicable in the various jurisdictions or unfavorable outcomes of any ongoing tax audits could have a material impact on the future tax provisions in the periods in which these changes could occur.</w:t>
      </w:r>
    </w:p>
    <w:p>
      <w:pPr>
        <w:spacing w:after="0" w:line="5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the calculation of tax liabilities involves dealing with uncertainties in the application of complex tax rules and the potential for future adjustment of uncertain tax positions by the tax authorities in the countries in which the Company operates. If estimates of these taxes are greater or less than actual results, an additional tax benefit or charge may result.</w:t>
      </w:r>
    </w:p>
    <w:p>
      <w:pPr>
        <w:spacing w:after="0" w:line="6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color w:val="auto"/>
        </w:rPr>
        <w:t>Share-based compensation</w:t>
      </w:r>
      <w:r>
        <w:rPr>
          <w:rFonts w:ascii="Arial" w:cs="Arial" w:eastAsia="Arial" w:hAnsi="Arial"/>
          <w:sz w:val="13"/>
          <w:szCs w:val="13"/>
          <w:color w:val="auto"/>
        </w:rPr>
        <w:t>—Share-based compensation expense is recognized based on the grant date fair value of the awards. The fair value of Restricted Share Units (“RSUs”) is determined</w:t>
      </w:r>
      <w:r>
        <w:rPr>
          <w:rFonts w:ascii="Arial" w:cs="Arial" w:eastAsia="Arial" w:hAnsi="Arial"/>
          <w:sz w:val="13"/>
          <w:szCs w:val="13"/>
          <w:b w:val="1"/>
          <w:bCs w:val="1"/>
          <w:color w:val="auto"/>
        </w:rPr>
        <w:t xml:space="preserve"> </w:t>
      </w:r>
      <w:r>
        <w:rPr>
          <w:rFonts w:ascii="Arial" w:cs="Arial" w:eastAsia="Arial" w:hAnsi="Arial"/>
          <w:sz w:val="13"/>
          <w:szCs w:val="13"/>
          <w:color w:val="auto"/>
        </w:rPr>
        <w:t>based on the closing price of the ordinary stock on the date of grant. The fair value of stock options is estimated using the Black-Scholes option pricing model for options. The fair value of Performance Share Units (“PSUs”) is estimated using a Monte Carlo simulation. Both models require management to make certain assumptions of future expectations based on historical and current data. The assumptions include the estimated fair value of the Company’s stock, expected term of the awards, expected volatility, dividend yield, and risk-free interest rate. These estimates involve inherent uncertainties and the application of management’s judgment.</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principles of modification accounting are applied when a new share-based payment is granted as a replacement for another share-based payment that is cancelled. When modification accounting is applied, the entity accounts for any incremental fair value in addition to the grant-date fair value of the original award. In the case of a replacement, the incremental fair value is the difference between the fair value of the replacement award and the net fair value of the cancelled award, both measured at the date on which the replacement award is issued. The net fair value is the fair value of the cancelled award measured immediately before the cancellation, less any payment made to the employees on cancellation.</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 package of modifications might include several changes to the terms of a grant, some of which are favorable to the employee and some not. In the event the net effect is not beneficial to the employee, cancellation accounting will be applied. Cancellations or settlements of equity-settled share-based payments during the vesting period by the Company are accounted for as accelerated vesting; therefore, the amount that would otherwise have been recognized for services received is recognized immediately.</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7" w:name="page58"/>
    <w:bookmarkEnd w:id="57"/>
    <w:p>
      <w:pPr>
        <w:jc w:val="both"/>
        <w:spacing w:after="0" w:line="261" w:lineRule="auto"/>
        <w:rPr>
          <w:sz w:val="20"/>
          <w:szCs w:val="20"/>
          <w:color w:val="auto"/>
        </w:rPr>
      </w:pPr>
      <w:r>
        <w:rPr>
          <w:rFonts w:ascii="Arial" w:cs="Arial" w:eastAsia="Arial" w:hAnsi="Arial"/>
          <w:sz w:val="13"/>
          <w:szCs w:val="13"/>
          <w:color w:val="auto"/>
        </w:rPr>
        <w:t>In September 2023, the people and compensation committee of GlobalFoundries approved a modification to the 2023 PSUs, to adjust the return on invested capital (“ROIC”) performance threshold. The modification did not increase the fair value of the 2023 PSUs as the non-market performance condition was not considered when determining the fair value on the modification date. The Company will cumulatively adjust the expense based on the number of shares probable of vesting based on ROIC metrics and the grant date fair value.</w:t>
      </w: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 Balance Sheet Arrangements</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Safe Harbor</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See “Cautionary Statement Regarding Forward-Looking Information.”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8" w:name="page59"/>
    <w:bookmarkEnd w:id="58"/>
    <w:p>
      <w:pPr>
        <w:spacing w:after="0"/>
        <w:tabs>
          <w:tab w:leader="none" w:pos="5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color w:val="auto"/>
        </w:rPr>
        <w:t>DIRECTORS, SENIOR MANAGEMENT AND EMPLOYEES</w:t>
      </w:r>
    </w:p>
    <w:p>
      <w:pPr>
        <w:spacing w:after="0" w:line="126" w:lineRule="exact"/>
        <w:rPr>
          <w:sz w:val="20"/>
          <w:szCs w:val="20"/>
          <w:color w:val="auto"/>
        </w:rPr>
      </w:pPr>
    </w:p>
    <w:p>
      <w:pPr>
        <w:ind w:left="260" w:hanging="255"/>
        <w:spacing w:after="0"/>
        <w:tabs>
          <w:tab w:leader="none" w:pos="26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Directors and Senior Management</w:t>
      </w:r>
    </w:p>
    <w:p>
      <w:pPr>
        <w:spacing w:after="0" w:line="94" w:lineRule="exact"/>
        <w:rPr>
          <w:rFonts w:ascii="Arial" w:cs="Arial" w:eastAsia="Arial" w:hAnsi="Arial"/>
          <w:sz w:val="13"/>
          <w:szCs w:val="13"/>
          <w:b w:val="1"/>
          <w:bCs w:val="1"/>
          <w:color w:val="auto"/>
        </w:rPr>
      </w:pPr>
    </w:p>
    <w:p>
      <w:pPr>
        <w:ind w:left="260"/>
        <w:spacing w:after="0"/>
        <w:rPr>
          <w:rFonts w:ascii="Arial" w:cs="Arial" w:eastAsia="Arial" w:hAnsi="Arial"/>
          <w:sz w:val="13"/>
          <w:szCs w:val="13"/>
          <w:b w:val="1"/>
          <w:bCs w:val="1"/>
          <w:color w:val="auto"/>
        </w:rPr>
      </w:pPr>
      <w:r>
        <w:rPr>
          <w:rFonts w:ascii="Arial" w:cs="Arial" w:eastAsia="Arial" w:hAnsi="Arial"/>
          <w:sz w:val="13"/>
          <w:szCs w:val="13"/>
          <w:color w:val="auto"/>
        </w:rPr>
        <w:t>The following table sets forth information for our executive officers and directors as of the date of this Annual Report: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2120" w:type="dxa"/>
            <w:vAlign w:val="bottom"/>
          </w:tcPr>
          <w:p>
            <w:pPr>
              <w:jc w:val="right"/>
              <w:ind w:right="356"/>
              <w:spacing w:after="0"/>
              <w:rPr>
                <w:sz w:val="20"/>
                <w:szCs w:val="20"/>
                <w:color w:val="auto"/>
              </w:rPr>
            </w:pPr>
            <w:r>
              <w:rPr>
                <w:rFonts w:ascii="Arial" w:cs="Arial" w:eastAsia="Arial" w:hAnsi="Arial"/>
                <w:sz w:val="13"/>
                <w:szCs w:val="13"/>
                <w:b w:val="1"/>
                <w:bCs w:val="1"/>
                <w:color w:val="auto"/>
              </w:rPr>
              <w:t>Age</w:t>
            </w:r>
          </w:p>
        </w:tc>
        <w:tc>
          <w:tcPr>
            <w:tcW w:w="6160" w:type="dxa"/>
            <w:vAlign w:val="bottom"/>
          </w:tcPr>
          <w:p>
            <w:pPr>
              <w:ind w:left="220"/>
              <w:spacing w:after="0"/>
              <w:rPr>
                <w:sz w:val="20"/>
                <w:szCs w:val="20"/>
                <w:color w:val="auto"/>
              </w:rPr>
            </w:pPr>
            <w:r>
              <w:rPr>
                <w:rFonts w:ascii="Arial" w:cs="Arial" w:eastAsia="Arial" w:hAnsi="Arial"/>
                <w:sz w:val="13"/>
                <w:szCs w:val="13"/>
                <w:b w:val="1"/>
                <w:bCs w:val="1"/>
                <w:color w:val="auto"/>
              </w:rPr>
              <w:t>Title</w:t>
            </w:r>
          </w:p>
        </w:tc>
      </w:tr>
      <w:tr>
        <w:trPr>
          <w:trHeight w:val="251"/>
        </w:trPr>
        <w:tc>
          <w:tcPr>
            <w:tcW w:w="30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6160" w:type="dxa"/>
            <w:vAlign w:val="bottom"/>
          </w:tcPr>
          <w:p>
            <w:pPr>
              <w:spacing w:after="0"/>
              <w:rPr>
                <w:sz w:val="21"/>
                <w:szCs w:val="21"/>
                <w:color w:val="auto"/>
              </w:rPr>
            </w:pPr>
          </w:p>
        </w:tc>
      </w:tr>
      <w:tr>
        <w:trPr>
          <w:trHeight w:val="170"/>
        </w:trPr>
        <w:tc>
          <w:tcPr>
            <w:tcW w:w="3000" w:type="dxa"/>
            <w:vAlign w:val="bottom"/>
            <w:shd w:val="clear" w:color="auto" w:fill="D2EDFD"/>
          </w:tcPr>
          <w:p>
            <w:pPr>
              <w:ind w:left="140"/>
              <w:spacing w:after="0"/>
              <w:rPr>
                <w:sz w:val="20"/>
                <w:szCs w:val="20"/>
                <w:color w:val="auto"/>
              </w:rPr>
            </w:pPr>
            <w:r>
              <w:rPr>
                <w:rFonts w:ascii="Arial" w:cs="Arial" w:eastAsia="Arial" w:hAnsi="Arial"/>
                <w:sz w:val="13"/>
                <w:szCs w:val="13"/>
                <w:b w:val="1"/>
                <w:bCs w:val="1"/>
                <w:i w:val="1"/>
                <w:iCs w:val="1"/>
                <w:color w:val="auto"/>
              </w:rPr>
              <w:t>Executive Officers*</w:t>
            </w:r>
          </w:p>
        </w:tc>
        <w:tc>
          <w:tcPr>
            <w:tcW w:w="2120" w:type="dxa"/>
            <w:vAlign w:val="bottom"/>
            <w:shd w:val="clear" w:color="auto" w:fill="D2EDFD"/>
          </w:tcPr>
          <w:p>
            <w:pPr>
              <w:spacing w:after="0"/>
              <w:rPr>
                <w:sz w:val="14"/>
                <w:szCs w:val="14"/>
                <w:color w:val="auto"/>
              </w:rPr>
            </w:pPr>
          </w:p>
        </w:tc>
        <w:tc>
          <w:tcPr>
            <w:tcW w:w="6160" w:type="dxa"/>
            <w:vAlign w:val="bottom"/>
            <w:shd w:val="clear" w:color="auto" w:fill="D2EDFD"/>
          </w:tcPr>
          <w:p>
            <w:pPr>
              <w:spacing w:after="0"/>
              <w:rPr>
                <w:sz w:val="14"/>
                <w:szCs w:val="14"/>
                <w:color w:val="auto"/>
              </w:rPr>
            </w:pPr>
          </w:p>
        </w:tc>
      </w:tr>
      <w:tr>
        <w:trPr>
          <w:trHeight w:val="169"/>
        </w:trPr>
        <w:tc>
          <w:tcPr>
            <w:tcW w:w="3000" w:type="dxa"/>
            <w:vAlign w:val="bottom"/>
          </w:tcPr>
          <w:p>
            <w:pPr>
              <w:ind w:left="140"/>
              <w:spacing w:after="0"/>
              <w:rPr>
                <w:sz w:val="20"/>
                <w:szCs w:val="20"/>
                <w:color w:val="auto"/>
              </w:rPr>
            </w:pPr>
            <w:r>
              <w:rPr>
                <w:rFonts w:ascii="Arial" w:cs="Arial" w:eastAsia="Arial" w:hAnsi="Arial"/>
                <w:sz w:val="13"/>
                <w:szCs w:val="13"/>
                <w:color w:val="auto"/>
              </w:rPr>
              <w:t>Dr. Thomas Caulfield</w:t>
            </w:r>
          </w:p>
        </w:tc>
        <w:tc>
          <w:tcPr>
            <w:tcW w:w="2120" w:type="dxa"/>
            <w:vAlign w:val="bottom"/>
          </w:tcPr>
          <w:p>
            <w:pPr>
              <w:jc w:val="right"/>
              <w:ind w:right="136"/>
              <w:spacing w:after="0"/>
              <w:rPr>
                <w:sz w:val="20"/>
                <w:szCs w:val="20"/>
                <w:color w:val="auto"/>
              </w:rPr>
            </w:pPr>
            <w:r>
              <w:rPr>
                <w:rFonts w:ascii="Arial" w:cs="Arial" w:eastAsia="Arial" w:hAnsi="Arial"/>
                <w:sz w:val="13"/>
                <w:szCs w:val="13"/>
                <w:color w:val="auto"/>
              </w:rPr>
              <w:t>65</w:t>
            </w:r>
          </w:p>
        </w:tc>
        <w:tc>
          <w:tcPr>
            <w:tcW w:w="6160" w:type="dxa"/>
            <w:vAlign w:val="bottom"/>
          </w:tcPr>
          <w:p>
            <w:pPr>
              <w:ind w:left="220"/>
              <w:spacing w:after="0"/>
              <w:rPr>
                <w:sz w:val="20"/>
                <w:szCs w:val="20"/>
                <w:color w:val="auto"/>
              </w:rPr>
            </w:pPr>
            <w:r>
              <w:rPr>
                <w:rFonts w:ascii="Arial" w:cs="Arial" w:eastAsia="Arial" w:hAnsi="Arial"/>
                <w:sz w:val="13"/>
                <w:szCs w:val="13"/>
                <w:color w:val="auto"/>
              </w:rPr>
              <w:t>President and Chief Executive Officer, Board Director</w:t>
            </w:r>
          </w:p>
        </w:tc>
      </w:tr>
      <w:tr>
        <w:trPr>
          <w:trHeight w:val="171"/>
        </w:trPr>
        <w:tc>
          <w:tcPr>
            <w:tcW w:w="3000" w:type="dxa"/>
            <w:vAlign w:val="bottom"/>
            <w:shd w:val="clear" w:color="auto" w:fill="D2EDFD"/>
          </w:tcPr>
          <w:p>
            <w:pPr>
              <w:ind w:left="140"/>
              <w:spacing w:after="0"/>
              <w:rPr>
                <w:sz w:val="20"/>
                <w:szCs w:val="20"/>
                <w:color w:val="auto"/>
              </w:rPr>
            </w:pPr>
            <w:r>
              <w:rPr>
                <w:rFonts w:ascii="Arial" w:cs="Arial" w:eastAsia="Arial" w:hAnsi="Arial"/>
                <w:sz w:val="13"/>
                <w:szCs w:val="13"/>
                <w:color w:val="auto"/>
              </w:rPr>
              <w:t>John Hollister*</w:t>
            </w:r>
          </w:p>
        </w:tc>
        <w:tc>
          <w:tcPr>
            <w:tcW w:w="2120" w:type="dxa"/>
            <w:vAlign w:val="bottom"/>
            <w:shd w:val="clear" w:color="auto" w:fill="D2EDFD"/>
          </w:tcPr>
          <w:p>
            <w:pPr>
              <w:jc w:val="right"/>
              <w:ind w:right="136"/>
              <w:spacing w:after="0"/>
              <w:rPr>
                <w:sz w:val="20"/>
                <w:szCs w:val="20"/>
                <w:color w:val="auto"/>
              </w:rPr>
            </w:pPr>
            <w:r>
              <w:rPr>
                <w:rFonts w:ascii="Arial" w:cs="Arial" w:eastAsia="Arial" w:hAnsi="Arial"/>
                <w:sz w:val="13"/>
                <w:szCs w:val="13"/>
                <w:color w:val="auto"/>
              </w:rPr>
              <w:t>54</w:t>
            </w:r>
          </w:p>
        </w:tc>
        <w:tc>
          <w:tcPr>
            <w:tcW w:w="6160" w:type="dxa"/>
            <w:vAlign w:val="bottom"/>
            <w:shd w:val="clear" w:color="auto" w:fill="D2EDFD"/>
          </w:tcPr>
          <w:p>
            <w:pPr>
              <w:ind w:left="220"/>
              <w:spacing w:after="0"/>
              <w:rPr>
                <w:sz w:val="20"/>
                <w:szCs w:val="20"/>
                <w:color w:val="auto"/>
              </w:rPr>
            </w:pPr>
            <w:r>
              <w:rPr>
                <w:rFonts w:ascii="Arial" w:cs="Arial" w:eastAsia="Arial" w:hAnsi="Arial"/>
                <w:sz w:val="13"/>
                <w:szCs w:val="13"/>
                <w:color w:val="auto"/>
              </w:rPr>
              <w:t>Chief Financial Officer</w:t>
            </w:r>
          </w:p>
        </w:tc>
      </w:tr>
      <w:tr>
        <w:trPr>
          <w:trHeight w:val="169"/>
        </w:trPr>
        <w:tc>
          <w:tcPr>
            <w:tcW w:w="3000" w:type="dxa"/>
            <w:vAlign w:val="bottom"/>
          </w:tcPr>
          <w:p>
            <w:pPr>
              <w:ind w:left="140"/>
              <w:spacing w:after="0"/>
              <w:rPr>
                <w:sz w:val="20"/>
                <w:szCs w:val="20"/>
                <w:color w:val="auto"/>
              </w:rPr>
            </w:pPr>
            <w:r>
              <w:rPr>
                <w:rFonts w:ascii="Arial" w:cs="Arial" w:eastAsia="Arial" w:hAnsi="Arial"/>
                <w:sz w:val="13"/>
                <w:szCs w:val="13"/>
                <w:color w:val="auto"/>
              </w:rPr>
              <w:t>Niels Anderskouv</w:t>
            </w:r>
          </w:p>
        </w:tc>
        <w:tc>
          <w:tcPr>
            <w:tcW w:w="2120" w:type="dxa"/>
            <w:vAlign w:val="bottom"/>
          </w:tcPr>
          <w:p>
            <w:pPr>
              <w:jc w:val="right"/>
              <w:ind w:right="136"/>
              <w:spacing w:after="0"/>
              <w:rPr>
                <w:sz w:val="20"/>
                <w:szCs w:val="20"/>
                <w:color w:val="auto"/>
              </w:rPr>
            </w:pPr>
            <w:r>
              <w:rPr>
                <w:rFonts w:ascii="Arial" w:cs="Arial" w:eastAsia="Arial" w:hAnsi="Arial"/>
                <w:sz w:val="13"/>
                <w:szCs w:val="13"/>
                <w:color w:val="auto"/>
              </w:rPr>
              <w:t>55</w:t>
            </w:r>
          </w:p>
        </w:tc>
        <w:tc>
          <w:tcPr>
            <w:tcW w:w="6160" w:type="dxa"/>
            <w:vAlign w:val="bottom"/>
          </w:tcPr>
          <w:p>
            <w:pPr>
              <w:ind w:left="220"/>
              <w:spacing w:after="0"/>
              <w:rPr>
                <w:sz w:val="20"/>
                <w:szCs w:val="20"/>
                <w:color w:val="auto"/>
              </w:rPr>
            </w:pPr>
            <w:r>
              <w:rPr>
                <w:rFonts w:ascii="Arial" w:cs="Arial" w:eastAsia="Arial" w:hAnsi="Arial"/>
                <w:sz w:val="13"/>
                <w:szCs w:val="13"/>
                <w:color w:val="auto"/>
              </w:rPr>
              <w:t>Chief Business Officer</w:t>
            </w:r>
          </w:p>
        </w:tc>
      </w:tr>
      <w:tr>
        <w:trPr>
          <w:trHeight w:val="171"/>
        </w:trPr>
        <w:tc>
          <w:tcPr>
            <w:tcW w:w="3000" w:type="dxa"/>
            <w:vAlign w:val="bottom"/>
            <w:shd w:val="clear" w:color="auto" w:fill="D2EDFD"/>
          </w:tcPr>
          <w:p>
            <w:pPr>
              <w:ind w:left="140"/>
              <w:spacing w:after="0"/>
              <w:rPr>
                <w:sz w:val="20"/>
                <w:szCs w:val="20"/>
                <w:color w:val="auto"/>
              </w:rPr>
            </w:pPr>
            <w:r>
              <w:rPr>
                <w:rFonts w:ascii="Arial" w:cs="Arial" w:eastAsia="Arial" w:hAnsi="Arial"/>
                <w:sz w:val="13"/>
                <w:szCs w:val="13"/>
                <w:color w:val="auto"/>
              </w:rPr>
              <w:t>Saam Azar</w:t>
            </w:r>
          </w:p>
        </w:tc>
        <w:tc>
          <w:tcPr>
            <w:tcW w:w="2120" w:type="dxa"/>
            <w:vAlign w:val="bottom"/>
            <w:shd w:val="clear" w:color="auto" w:fill="D2EDFD"/>
          </w:tcPr>
          <w:p>
            <w:pPr>
              <w:jc w:val="right"/>
              <w:ind w:right="136"/>
              <w:spacing w:after="0"/>
              <w:rPr>
                <w:sz w:val="20"/>
                <w:szCs w:val="20"/>
                <w:color w:val="auto"/>
              </w:rPr>
            </w:pPr>
            <w:r>
              <w:rPr>
                <w:rFonts w:ascii="Arial" w:cs="Arial" w:eastAsia="Arial" w:hAnsi="Arial"/>
                <w:sz w:val="13"/>
                <w:szCs w:val="13"/>
                <w:color w:val="auto"/>
              </w:rPr>
              <w:t>47</w:t>
            </w:r>
          </w:p>
        </w:tc>
        <w:tc>
          <w:tcPr>
            <w:tcW w:w="6160" w:type="dxa"/>
            <w:vAlign w:val="bottom"/>
            <w:shd w:val="clear" w:color="auto" w:fill="D2EDFD"/>
          </w:tcPr>
          <w:p>
            <w:pPr>
              <w:ind w:left="220"/>
              <w:spacing w:after="0"/>
              <w:rPr>
                <w:sz w:val="20"/>
                <w:szCs w:val="20"/>
                <w:color w:val="auto"/>
              </w:rPr>
            </w:pPr>
            <w:r>
              <w:rPr>
                <w:rFonts w:ascii="Arial" w:cs="Arial" w:eastAsia="Arial" w:hAnsi="Arial"/>
                <w:sz w:val="13"/>
                <w:szCs w:val="13"/>
                <w:color w:val="auto"/>
              </w:rPr>
              <w:t>Chief Legal Officer</w:t>
            </w:r>
          </w:p>
        </w:tc>
      </w:tr>
      <w:tr>
        <w:trPr>
          <w:trHeight w:val="169"/>
        </w:trPr>
        <w:tc>
          <w:tcPr>
            <w:tcW w:w="3000" w:type="dxa"/>
            <w:vAlign w:val="bottom"/>
          </w:tcPr>
          <w:p>
            <w:pPr>
              <w:ind w:left="140"/>
              <w:spacing w:after="0"/>
              <w:rPr>
                <w:sz w:val="20"/>
                <w:szCs w:val="20"/>
                <w:color w:val="auto"/>
              </w:rPr>
            </w:pPr>
            <w:r>
              <w:rPr>
                <w:rFonts w:ascii="Arial" w:cs="Arial" w:eastAsia="Arial" w:hAnsi="Arial"/>
                <w:sz w:val="13"/>
                <w:szCs w:val="13"/>
                <w:color w:val="auto"/>
              </w:rPr>
              <w:t>Tim Breen</w:t>
            </w:r>
          </w:p>
        </w:tc>
        <w:tc>
          <w:tcPr>
            <w:tcW w:w="2120" w:type="dxa"/>
            <w:vAlign w:val="bottom"/>
          </w:tcPr>
          <w:p>
            <w:pPr>
              <w:jc w:val="right"/>
              <w:ind w:right="136"/>
              <w:spacing w:after="0"/>
              <w:rPr>
                <w:sz w:val="20"/>
                <w:szCs w:val="20"/>
                <w:color w:val="auto"/>
              </w:rPr>
            </w:pPr>
            <w:r>
              <w:rPr>
                <w:rFonts w:ascii="Arial" w:cs="Arial" w:eastAsia="Arial" w:hAnsi="Arial"/>
                <w:sz w:val="13"/>
                <w:szCs w:val="13"/>
                <w:color w:val="auto"/>
              </w:rPr>
              <w:t>46</w:t>
            </w:r>
          </w:p>
        </w:tc>
        <w:tc>
          <w:tcPr>
            <w:tcW w:w="6160" w:type="dxa"/>
            <w:vAlign w:val="bottom"/>
          </w:tcPr>
          <w:p>
            <w:pPr>
              <w:ind w:left="220"/>
              <w:spacing w:after="0"/>
              <w:rPr>
                <w:sz w:val="20"/>
                <w:szCs w:val="20"/>
                <w:color w:val="auto"/>
              </w:rPr>
            </w:pPr>
            <w:r>
              <w:rPr>
                <w:rFonts w:ascii="Arial" w:cs="Arial" w:eastAsia="Arial" w:hAnsi="Arial"/>
                <w:sz w:val="13"/>
                <w:szCs w:val="13"/>
                <w:color w:val="auto"/>
              </w:rPr>
              <w:t>Chief Operating Officer, Board Director</w:t>
            </w:r>
          </w:p>
        </w:tc>
      </w:tr>
      <w:tr>
        <w:trPr>
          <w:trHeight w:val="171"/>
        </w:trPr>
        <w:tc>
          <w:tcPr>
            <w:tcW w:w="3000" w:type="dxa"/>
            <w:vAlign w:val="bottom"/>
            <w:shd w:val="clear" w:color="auto" w:fill="D2EDFD"/>
          </w:tcPr>
          <w:p>
            <w:pPr>
              <w:ind w:left="140"/>
              <w:spacing w:after="0"/>
              <w:rPr>
                <w:sz w:val="20"/>
                <w:szCs w:val="20"/>
                <w:color w:val="auto"/>
              </w:rPr>
            </w:pPr>
            <w:r>
              <w:rPr>
                <w:rFonts w:ascii="Arial" w:cs="Arial" w:eastAsia="Arial" w:hAnsi="Arial"/>
                <w:sz w:val="13"/>
                <w:szCs w:val="13"/>
                <w:color w:val="auto"/>
              </w:rPr>
              <w:t>Pradheepa Raman</w:t>
            </w:r>
          </w:p>
        </w:tc>
        <w:tc>
          <w:tcPr>
            <w:tcW w:w="2120" w:type="dxa"/>
            <w:vAlign w:val="bottom"/>
            <w:shd w:val="clear" w:color="auto" w:fill="D2EDFD"/>
          </w:tcPr>
          <w:p>
            <w:pPr>
              <w:jc w:val="right"/>
              <w:ind w:right="136"/>
              <w:spacing w:after="0"/>
              <w:rPr>
                <w:sz w:val="20"/>
                <w:szCs w:val="20"/>
                <w:color w:val="auto"/>
              </w:rPr>
            </w:pPr>
            <w:r>
              <w:rPr>
                <w:rFonts w:ascii="Arial" w:cs="Arial" w:eastAsia="Arial" w:hAnsi="Arial"/>
                <w:sz w:val="13"/>
                <w:szCs w:val="13"/>
                <w:color w:val="auto"/>
              </w:rPr>
              <w:t>43</w:t>
            </w:r>
          </w:p>
        </w:tc>
        <w:tc>
          <w:tcPr>
            <w:tcW w:w="6160" w:type="dxa"/>
            <w:vAlign w:val="bottom"/>
            <w:shd w:val="clear" w:color="auto" w:fill="D2EDFD"/>
          </w:tcPr>
          <w:p>
            <w:pPr>
              <w:ind w:left="220"/>
              <w:spacing w:after="0"/>
              <w:rPr>
                <w:sz w:val="20"/>
                <w:szCs w:val="20"/>
                <w:color w:val="auto"/>
              </w:rPr>
            </w:pPr>
            <w:r>
              <w:rPr>
                <w:rFonts w:ascii="Arial" w:cs="Arial" w:eastAsia="Arial" w:hAnsi="Arial"/>
                <w:sz w:val="13"/>
                <w:szCs w:val="13"/>
                <w:color w:val="auto"/>
              </w:rPr>
              <w:t>Chief People Officer</w:t>
            </w:r>
          </w:p>
        </w:tc>
      </w:tr>
      <w:tr>
        <w:trPr>
          <w:trHeight w:val="212"/>
        </w:trPr>
        <w:tc>
          <w:tcPr>
            <w:tcW w:w="30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60" w:type="dxa"/>
            <w:vAlign w:val="bottom"/>
          </w:tcPr>
          <w:p>
            <w:pPr>
              <w:spacing w:after="0"/>
              <w:rPr>
                <w:sz w:val="18"/>
                <w:szCs w:val="18"/>
                <w:color w:val="auto"/>
              </w:rPr>
            </w:pPr>
          </w:p>
        </w:tc>
      </w:tr>
      <w:tr>
        <w:trPr>
          <w:trHeight w:val="170"/>
        </w:trPr>
        <w:tc>
          <w:tcPr>
            <w:tcW w:w="3000" w:type="dxa"/>
            <w:vAlign w:val="bottom"/>
            <w:shd w:val="clear" w:color="auto" w:fill="D2EDFD"/>
          </w:tcPr>
          <w:p>
            <w:pPr>
              <w:ind w:left="140"/>
              <w:spacing w:after="0"/>
              <w:rPr>
                <w:sz w:val="20"/>
                <w:szCs w:val="20"/>
                <w:color w:val="auto"/>
              </w:rPr>
            </w:pPr>
            <w:r>
              <w:rPr>
                <w:rFonts w:ascii="Arial" w:cs="Arial" w:eastAsia="Arial" w:hAnsi="Arial"/>
                <w:sz w:val="13"/>
                <w:szCs w:val="13"/>
                <w:b w:val="1"/>
                <w:bCs w:val="1"/>
                <w:i w:val="1"/>
                <w:iCs w:val="1"/>
                <w:color w:val="auto"/>
              </w:rPr>
              <w:t>Board of Directors</w:t>
            </w:r>
          </w:p>
        </w:tc>
        <w:tc>
          <w:tcPr>
            <w:tcW w:w="2120" w:type="dxa"/>
            <w:vAlign w:val="bottom"/>
            <w:shd w:val="clear" w:color="auto" w:fill="D2EDFD"/>
          </w:tcPr>
          <w:p>
            <w:pPr>
              <w:spacing w:after="0"/>
              <w:rPr>
                <w:sz w:val="14"/>
                <w:szCs w:val="14"/>
                <w:color w:val="auto"/>
              </w:rPr>
            </w:pPr>
          </w:p>
        </w:tc>
        <w:tc>
          <w:tcPr>
            <w:tcW w:w="6160" w:type="dxa"/>
            <w:vAlign w:val="bottom"/>
            <w:shd w:val="clear" w:color="auto" w:fill="D2EDFD"/>
          </w:tcPr>
          <w:p>
            <w:pPr>
              <w:spacing w:after="0"/>
              <w:rPr>
                <w:sz w:val="14"/>
                <w:szCs w:val="14"/>
                <w:color w:val="auto"/>
              </w:rPr>
            </w:pPr>
          </w:p>
        </w:tc>
      </w:tr>
      <w:tr>
        <w:trPr>
          <w:trHeight w:val="169"/>
        </w:trPr>
        <w:tc>
          <w:tcPr>
            <w:tcW w:w="3000" w:type="dxa"/>
            <w:vAlign w:val="bottom"/>
          </w:tcPr>
          <w:p>
            <w:pPr>
              <w:ind w:left="140"/>
              <w:spacing w:after="0"/>
              <w:rPr>
                <w:sz w:val="20"/>
                <w:szCs w:val="20"/>
                <w:color w:val="auto"/>
              </w:rPr>
            </w:pPr>
            <w:r>
              <w:rPr>
                <w:rFonts w:ascii="Arial" w:cs="Arial" w:eastAsia="Arial" w:hAnsi="Arial"/>
                <w:sz w:val="13"/>
                <w:szCs w:val="13"/>
                <w:color w:val="auto"/>
              </w:rPr>
              <w:t>Ahmed Yahia</w:t>
            </w:r>
          </w:p>
        </w:tc>
        <w:tc>
          <w:tcPr>
            <w:tcW w:w="2120" w:type="dxa"/>
            <w:vAlign w:val="bottom"/>
          </w:tcPr>
          <w:p>
            <w:pPr>
              <w:jc w:val="right"/>
              <w:ind w:right="136"/>
              <w:spacing w:after="0"/>
              <w:rPr>
                <w:sz w:val="20"/>
                <w:szCs w:val="20"/>
                <w:color w:val="auto"/>
              </w:rPr>
            </w:pPr>
            <w:r>
              <w:rPr>
                <w:rFonts w:ascii="Arial" w:cs="Arial" w:eastAsia="Arial" w:hAnsi="Arial"/>
                <w:sz w:val="13"/>
                <w:szCs w:val="13"/>
                <w:color w:val="auto"/>
              </w:rPr>
              <w:t>51</w:t>
            </w:r>
          </w:p>
        </w:tc>
        <w:tc>
          <w:tcPr>
            <w:tcW w:w="6160" w:type="dxa"/>
            <w:vAlign w:val="bottom"/>
          </w:tcPr>
          <w:p>
            <w:pPr>
              <w:ind w:left="220"/>
              <w:spacing w:after="0"/>
              <w:rPr>
                <w:sz w:val="20"/>
                <w:szCs w:val="20"/>
                <w:color w:val="auto"/>
              </w:rPr>
            </w:pPr>
            <w:r>
              <w:rPr>
                <w:rFonts w:ascii="Arial" w:cs="Arial" w:eastAsia="Arial" w:hAnsi="Arial"/>
                <w:sz w:val="13"/>
                <w:szCs w:val="13"/>
                <w:color w:val="auto"/>
              </w:rPr>
              <w:t>Chairman of the Board, Chairman of Strategy and Technology Committee</w:t>
            </w:r>
          </w:p>
        </w:tc>
      </w:tr>
      <w:tr>
        <w:trPr>
          <w:trHeight w:val="171"/>
        </w:trPr>
        <w:tc>
          <w:tcPr>
            <w:tcW w:w="3000" w:type="dxa"/>
            <w:vAlign w:val="bottom"/>
            <w:shd w:val="clear" w:color="auto" w:fill="D2EDFD"/>
          </w:tcPr>
          <w:p>
            <w:pPr>
              <w:ind w:left="140"/>
              <w:spacing w:after="0"/>
              <w:rPr>
                <w:sz w:val="20"/>
                <w:szCs w:val="20"/>
                <w:color w:val="auto"/>
              </w:rPr>
            </w:pPr>
            <w:r>
              <w:rPr>
                <w:rFonts w:ascii="Arial" w:cs="Arial" w:eastAsia="Arial" w:hAnsi="Arial"/>
                <w:sz w:val="13"/>
                <w:szCs w:val="13"/>
                <w:color w:val="auto"/>
              </w:rPr>
              <w:t>Dr. Thomas Caulfield</w:t>
            </w:r>
          </w:p>
        </w:tc>
        <w:tc>
          <w:tcPr>
            <w:tcW w:w="2120" w:type="dxa"/>
            <w:vAlign w:val="bottom"/>
            <w:shd w:val="clear" w:color="auto" w:fill="D2EDFD"/>
          </w:tcPr>
          <w:p>
            <w:pPr>
              <w:jc w:val="right"/>
              <w:ind w:right="136"/>
              <w:spacing w:after="0"/>
              <w:rPr>
                <w:sz w:val="20"/>
                <w:szCs w:val="20"/>
                <w:color w:val="auto"/>
              </w:rPr>
            </w:pPr>
            <w:r>
              <w:rPr>
                <w:rFonts w:ascii="Arial" w:cs="Arial" w:eastAsia="Arial" w:hAnsi="Arial"/>
                <w:sz w:val="13"/>
                <w:szCs w:val="13"/>
                <w:color w:val="auto"/>
              </w:rPr>
              <w:t>65</w:t>
            </w:r>
          </w:p>
        </w:tc>
        <w:tc>
          <w:tcPr>
            <w:tcW w:w="6160" w:type="dxa"/>
            <w:vAlign w:val="bottom"/>
            <w:shd w:val="clear" w:color="auto" w:fill="D2EDFD"/>
          </w:tcPr>
          <w:p>
            <w:pPr>
              <w:ind w:left="220"/>
              <w:spacing w:after="0"/>
              <w:rPr>
                <w:sz w:val="20"/>
                <w:szCs w:val="20"/>
                <w:color w:val="auto"/>
              </w:rPr>
            </w:pPr>
            <w:r>
              <w:rPr>
                <w:rFonts w:ascii="Arial" w:cs="Arial" w:eastAsia="Arial" w:hAnsi="Arial"/>
                <w:sz w:val="13"/>
                <w:szCs w:val="13"/>
                <w:color w:val="auto"/>
              </w:rPr>
              <w:t>President and Chief Executive Officer, Board Director</w:t>
            </w:r>
          </w:p>
        </w:tc>
      </w:tr>
      <w:tr>
        <w:trPr>
          <w:trHeight w:val="169"/>
        </w:trPr>
        <w:tc>
          <w:tcPr>
            <w:tcW w:w="3000" w:type="dxa"/>
            <w:vAlign w:val="bottom"/>
          </w:tcPr>
          <w:p>
            <w:pPr>
              <w:ind w:left="140"/>
              <w:spacing w:after="0"/>
              <w:rPr>
                <w:sz w:val="20"/>
                <w:szCs w:val="20"/>
                <w:color w:val="auto"/>
              </w:rPr>
            </w:pPr>
            <w:r>
              <w:rPr>
                <w:rFonts w:ascii="Arial" w:cs="Arial" w:eastAsia="Arial" w:hAnsi="Arial"/>
                <w:sz w:val="13"/>
                <w:szCs w:val="13"/>
                <w:color w:val="auto"/>
              </w:rPr>
              <w:t>Ahmed Saeed Al Calily</w:t>
            </w:r>
          </w:p>
        </w:tc>
        <w:tc>
          <w:tcPr>
            <w:tcW w:w="2120" w:type="dxa"/>
            <w:vAlign w:val="bottom"/>
          </w:tcPr>
          <w:p>
            <w:pPr>
              <w:jc w:val="right"/>
              <w:ind w:right="136"/>
              <w:spacing w:after="0"/>
              <w:rPr>
                <w:sz w:val="20"/>
                <w:szCs w:val="20"/>
                <w:color w:val="auto"/>
              </w:rPr>
            </w:pPr>
            <w:r>
              <w:rPr>
                <w:rFonts w:ascii="Arial" w:cs="Arial" w:eastAsia="Arial" w:hAnsi="Arial"/>
                <w:sz w:val="13"/>
                <w:szCs w:val="13"/>
                <w:color w:val="auto"/>
              </w:rPr>
              <w:t>51</w:t>
            </w:r>
          </w:p>
        </w:tc>
        <w:tc>
          <w:tcPr>
            <w:tcW w:w="6160" w:type="dxa"/>
            <w:vAlign w:val="bottom"/>
          </w:tcPr>
          <w:p>
            <w:pPr>
              <w:ind w:left="220"/>
              <w:spacing w:after="0"/>
              <w:rPr>
                <w:sz w:val="20"/>
                <w:szCs w:val="20"/>
                <w:color w:val="auto"/>
              </w:rPr>
            </w:pPr>
            <w:r>
              <w:rPr>
                <w:rFonts w:ascii="Arial" w:cs="Arial" w:eastAsia="Arial" w:hAnsi="Arial"/>
                <w:sz w:val="13"/>
                <w:szCs w:val="13"/>
                <w:color w:val="auto"/>
              </w:rPr>
              <w:t>Board Director</w:t>
            </w:r>
          </w:p>
        </w:tc>
      </w:tr>
      <w:tr>
        <w:trPr>
          <w:trHeight w:val="171"/>
        </w:trPr>
        <w:tc>
          <w:tcPr>
            <w:tcW w:w="3000" w:type="dxa"/>
            <w:vAlign w:val="bottom"/>
            <w:shd w:val="clear" w:color="auto" w:fill="D2EDFD"/>
          </w:tcPr>
          <w:p>
            <w:pPr>
              <w:ind w:left="140"/>
              <w:spacing w:after="0"/>
              <w:rPr>
                <w:sz w:val="20"/>
                <w:szCs w:val="20"/>
                <w:color w:val="auto"/>
              </w:rPr>
            </w:pPr>
            <w:r>
              <w:rPr>
                <w:rFonts w:ascii="Arial" w:cs="Arial" w:eastAsia="Arial" w:hAnsi="Arial"/>
                <w:sz w:val="13"/>
                <w:szCs w:val="13"/>
                <w:color w:val="auto"/>
              </w:rPr>
              <w:t>Tim Breen</w:t>
            </w:r>
          </w:p>
        </w:tc>
        <w:tc>
          <w:tcPr>
            <w:tcW w:w="2120" w:type="dxa"/>
            <w:vAlign w:val="bottom"/>
            <w:shd w:val="clear" w:color="auto" w:fill="D2EDFD"/>
          </w:tcPr>
          <w:p>
            <w:pPr>
              <w:jc w:val="right"/>
              <w:ind w:right="136"/>
              <w:spacing w:after="0"/>
              <w:rPr>
                <w:sz w:val="20"/>
                <w:szCs w:val="20"/>
                <w:color w:val="auto"/>
              </w:rPr>
            </w:pPr>
            <w:r>
              <w:rPr>
                <w:rFonts w:ascii="Arial" w:cs="Arial" w:eastAsia="Arial" w:hAnsi="Arial"/>
                <w:sz w:val="13"/>
                <w:szCs w:val="13"/>
                <w:color w:val="auto"/>
              </w:rPr>
              <w:t>46</w:t>
            </w:r>
          </w:p>
        </w:tc>
        <w:tc>
          <w:tcPr>
            <w:tcW w:w="6160" w:type="dxa"/>
            <w:vAlign w:val="bottom"/>
            <w:shd w:val="clear" w:color="auto" w:fill="D2EDFD"/>
          </w:tcPr>
          <w:p>
            <w:pPr>
              <w:ind w:left="220"/>
              <w:spacing w:after="0"/>
              <w:rPr>
                <w:sz w:val="20"/>
                <w:szCs w:val="20"/>
                <w:color w:val="auto"/>
              </w:rPr>
            </w:pPr>
            <w:r>
              <w:rPr>
                <w:rFonts w:ascii="Arial" w:cs="Arial" w:eastAsia="Arial" w:hAnsi="Arial"/>
                <w:sz w:val="13"/>
                <w:szCs w:val="13"/>
                <w:color w:val="auto"/>
              </w:rPr>
              <w:t>Chief Operating Officer, Board Director</w:t>
            </w:r>
          </w:p>
        </w:tc>
      </w:tr>
      <w:tr>
        <w:trPr>
          <w:trHeight w:val="169"/>
        </w:trPr>
        <w:tc>
          <w:tcPr>
            <w:tcW w:w="3000" w:type="dxa"/>
            <w:vAlign w:val="bottom"/>
          </w:tcPr>
          <w:p>
            <w:pPr>
              <w:ind w:left="140"/>
              <w:spacing w:after="0"/>
              <w:rPr>
                <w:sz w:val="20"/>
                <w:szCs w:val="20"/>
                <w:color w:val="auto"/>
              </w:rPr>
            </w:pPr>
            <w:r>
              <w:rPr>
                <w:rFonts w:ascii="Arial" w:cs="Arial" w:eastAsia="Arial" w:hAnsi="Arial"/>
                <w:sz w:val="13"/>
                <w:szCs w:val="13"/>
                <w:color w:val="auto"/>
              </w:rPr>
              <w:t>Glenda Dorchak</w:t>
            </w:r>
          </w:p>
        </w:tc>
        <w:tc>
          <w:tcPr>
            <w:tcW w:w="2120" w:type="dxa"/>
            <w:vAlign w:val="bottom"/>
          </w:tcPr>
          <w:p>
            <w:pPr>
              <w:jc w:val="right"/>
              <w:ind w:right="136"/>
              <w:spacing w:after="0"/>
              <w:rPr>
                <w:sz w:val="20"/>
                <w:szCs w:val="20"/>
                <w:color w:val="auto"/>
              </w:rPr>
            </w:pPr>
            <w:r>
              <w:rPr>
                <w:rFonts w:ascii="Arial" w:cs="Arial" w:eastAsia="Arial" w:hAnsi="Arial"/>
                <w:sz w:val="13"/>
                <w:szCs w:val="13"/>
                <w:color w:val="auto"/>
              </w:rPr>
              <w:t>69</w:t>
            </w:r>
          </w:p>
        </w:tc>
        <w:tc>
          <w:tcPr>
            <w:tcW w:w="6160" w:type="dxa"/>
            <w:vAlign w:val="bottom"/>
          </w:tcPr>
          <w:p>
            <w:pPr>
              <w:ind w:left="220"/>
              <w:spacing w:after="0"/>
              <w:rPr>
                <w:sz w:val="20"/>
                <w:szCs w:val="20"/>
                <w:color w:val="auto"/>
              </w:rPr>
            </w:pPr>
            <w:r>
              <w:rPr>
                <w:rFonts w:ascii="Arial" w:cs="Arial" w:eastAsia="Arial" w:hAnsi="Arial"/>
                <w:sz w:val="13"/>
                <w:szCs w:val="13"/>
                <w:color w:val="auto"/>
              </w:rPr>
              <w:t>Board Director</w:t>
            </w:r>
          </w:p>
        </w:tc>
      </w:tr>
      <w:tr>
        <w:trPr>
          <w:trHeight w:val="171"/>
        </w:trPr>
        <w:tc>
          <w:tcPr>
            <w:tcW w:w="3000" w:type="dxa"/>
            <w:vAlign w:val="bottom"/>
            <w:shd w:val="clear" w:color="auto" w:fill="D2EDFD"/>
          </w:tcPr>
          <w:p>
            <w:pPr>
              <w:ind w:left="140"/>
              <w:spacing w:after="0"/>
              <w:rPr>
                <w:sz w:val="20"/>
                <w:szCs w:val="20"/>
                <w:color w:val="auto"/>
              </w:rPr>
            </w:pPr>
            <w:r>
              <w:rPr>
                <w:rFonts w:ascii="Arial" w:cs="Arial" w:eastAsia="Arial" w:hAnsi="Arial"/>
                <w:sz w:val="13"/>
                <w:szCs w:val="13"/>
                <w:color w:val="auto"/>
              </w:rPr>
              <w:t>Martin L. Edelman</w:t>
            </w:r>
          </w:p>
        </w:tc>
        <w:tc>
          <w:tcPr>
            <w:tcW w:w="2120" w:type="dxa"/>
            <w:vAlign w:val="bottom"/>
            <w:shd w:val="clear" w:color="auto" w:fill="D2EDFD"/>
          </w:tcPr>
          <w:p>
            <w:pPr>
              <w:jc w:val="right"/>
              <w:ind w:right="136"/>
              <w:spacing w:after="0"/>
              <w:rPr>
                <w:sz w:val="20"/>
                <w:szCs w:val="20"/>
                <w:color w:val="auto"/>
              </w:rPr>
            </w:pPr>
            <w:r>
              <w:rPr>
                <w:rFonts w:ascii="Arial" w:cs="Arial" w:eastAsia="Arial" w:hAnsi="Arial"/>
                <w:sz w:val="13"/>
                <w:szCs w:val="13"/>
                <w:color w:val="auto"/>
              </w:rPr>
              <w:t>82</w:t>
            </w:r>
          </w:p>
        </w:tc>
        <w:tc>
          <w:tcPr>
            <w:tcW w:w="6160" w:type="dxa"/>
            <w:vAlign w:val="bottom"/>
            <w:shd w:val="clear" w:color="auto" w:fill="D2EDFD"/>
          </w:tcPr>
          <w:p>
            <w:pPr>
              <w:ind w:left="220"/>
              <w:spacing w:after="0"/>
              <w:rPr>
                <w:sz w:val="20"/>
                <w:szCs w:val="20"/>
                <w:color w:val="auto"/>
              </w:rPr>
            </w:pPr>
            <w:r>
              <w:rPr>
                <w:rFonts w:ascii="Arial" w:cs="Arial" w:eastAsia="Arial" w:hAnsi="Arial"/>
                <w:sz w:val="13"/>
                <w:szCs w:val="13"/>
                <w:color w:val="auto"/>
              </w:rPr>
              <w:t>Board Director, Chairman of Nominating and Governance Committee</w:t>
            </w:r>
          </w:p>
        </w:tc>
      </w:tr>
      <w:tr>
        <w:trPr>
          <w:trHeight w:val="169"/>
        </w:trPr>
        <w:tc>
          <w:tcPr>
            <w:tcW w:w="3000" w:type="dxa"/>
            <w:vAlign w:val="bottom"/>
          </w:tcPr>
          <w:p>
            <w:pPr>
              <w:ind w:left="140"/>
              <w:spacing w:after="0"/>
              <w:rPr>
                <w:sz w:val="20"/>
                <w:szCs w:val="20"/>
                <w:color w:val="auto"/>
              </w:rPr>
            </w:pPr>
            <w:r>
              <w:rPr>
                <w:rFonts w:ascii="Arial" w:cs="Arial" w:eastAsia="Arial" w:hAnsi="Arial"/>
                <w:sz w:val="13"/>
                <w:szCs w:val="13"/>
                <w:color w:val="auto"/>
              </w:rPr>
              <w:t>David Kerko</w:t>
            </w:r>
          </w:p>
        </w:tc>
        <w:tc>
          <w:tcPr>
            <w:tcW w:w="2120" w:type="dxa"/>
            <w:vAlign w:val="bottom"/>
          </w:tcPr>
          <w:p>
            <w:pPr>
              <w:jc w:val="right"/>
              <w:ind w:right="136"/>
              <w:spacing w:after="0"/>
              <w:rPr>
                <w:sz w:val="20"/>
                <w:szCs w:val="20"/>
                <w:color w:val="auto"/>
              </w:rPr>
            </w:pPr>
            <w:r>
              <w:rPr>
                <w:rFonts w:ascii="Arial" w:cs="Arial" w:eastAsia="Arial" w:hAnsi="Arial"/>
                <w:sz w:val="13"/>
                <w:szCs w:val="13"/>
                <w:color w:val="auto"/>
              </w:rPr>
              <w:t>51</w:t>
            </w:r>
          </w:p>
        </w:tc>
        <w:tc>
          <w:tcPr>
            <w:tcW w:w="6160" w:type="dxa"/>
            <w:vAlign w:val="bottom"/>
          </w:tcPr>
          <w:p>
            <w:pPr>
              <w:ind w:left="220"/>
              <w:spacing w:after="0"/>
              <w:rPr>
                <w:sz w:val="20"/>
                <w:szCs w:val="20"/>
                <w:color w:val="auto"/>
              </w:rPr>
            </w:pPr>
            <w:r>
              <w:rPr>
                <w:rFonts w:ascii="Arial" w:cs="Arial" w:eastAsia="Arial" w:hAnsi="Arial"/>
                <w:sz w:val="13"/>
                <w:szCs w:val="13"/>
                <w:color w:val="auto"/>
              </w:rPr>
              <w:t>Lead Independent Director, Chairman of People and Compensation Committee</w:t>
            </w:r>
          </w:p>
        </w:tc>
      </w:tr>
      <w:tr>
        <w:trPr>
          <w:trHeight w:val="171"/>
        </w:trPr>
        <w:tc>
          <w:tcPr>
            <w:tcW w:w="3000" w:type="dxa"/>
            <w:vAlign w:val="bottom"/>
            <w:shd w:val="clear" w:color="auto" w:fill="D2EDFD"/>
          </w:tcPr>
          <w:p>
            <w:pPr>
              <w:ind w:left="140"/>
              <w:spacing w:after="0"/>
              <w:rPr>
                <w:sz w:val="20"/>
                <w:szCs w:val="20"/>
                <w:color w:val="auto"/>
              </w:rPr>
            </w:pPr>
            <w:r>
              <w:rPr>
                <w:rFonts w:ascii="Arial" w:cs="Arial" w:eastAsia="Arial" w:hAnsi="Arial"/>
                <w:sz w:val="13"/>
                <w:szCs w:val="13"/>
                <w:color w:val="auto"/>
              </w:rPr>
              <w:t>Jack Lazar</w:t>
            </w:r>
          </w:p>
        </w:tc>
        <w:tc>
          <w:tcPr>
            <w:tcW w:w="2120" w:type="dxa"/>
            <w:vAlign w:val="bottom"/>
            <w:shd w:val="clear" w:color="auto" w:fill="D2EDFD"/>
          </w:tcPr>
          <w:p>
            <w:pPr>
              <w:jc w:val="right"/>
              <w:ind w:right="136"/>
              <w:spacing w:after="0"/>
              <w:rPr>
                <w:sz w:val="20"/>
                <w:szCs w:val="20"/>
                <w:color w:val="auto"/>
              </w:rPr>
            </w:pPr>
            <w:r>
              <w:rPr>
                <w:rFonts w:ascii="Arial" w:cs="Arial" w:eastAsia="Arial" w:hAnsi="Arial"/>
                <w:sz w:val="13"/>
                <w:szCs w:val="13"/>
                <w:color w:val="auto"/>
              </w:rPr>
              <w:t>58</w:t>
            </w:r>
          </w:p>
        </w:tc>
        <w:tc>
          <w:tcPr>
            <w:tcW w:w="6160" w:type="dxa"/>
            <w:vAlign w:val="bottom"/>
            <w:shd w:val="clear" w:color="auto" w:fill="D2EDFD"/>
          </w:tcPr>
          <w:p>
            <w:pPr>
              <w:ind w:left="220"/>
              <w:spacing w:after="0"/>
              <w:rPr>
                <w:sz w:val="20"/>
                <w:szCs w:val="20"/>
                <w:color w:val="auto"/>
              </w:rPr>
            </w:pPr>
            <w:r>
              <w:rPr>
                <w:rFonts w:ascii="Arial" w:cs="Arial" w:eastAsia="Arial" w:hAnsi="Arial"/>
                <w:sz w:val="13"/>
                <w:szCs w:val="13"/>
                <w:color w:val="auto"/>
              </w:rPr>
              <w:t>Board Director, Chairman of Audit, Risk and Compliance Committee</w:t>
            </w:r>
          </w:p>
        </w:tc>
      </w:tr>
      <w:tr>
        <w:trPr>
          <w:trHeight w:val="169"/>
        </w:trPr>
        <w:tc>
          <w:tcPr>
            <w:tcW w:w="3000" w:type="dxa"/>
            <w:vAlign w:val="bottom"/>
          </w:tcPr>
          <w:p>
            <w:pPr>
              <w:ind w:left="140"/>
              <w:spacing w:after="0"/>
              <w:rPr>
                <w:sz w:val="20"/>
                <w:szCs w:val="20"/>
                <w:color w:val="auto"/>
              </w:rPr>
            </w:pPr>
            <w:r>
              <w:rPr>
                <w:rFonts w:ascii="Arial" w:cs="Arial" w:eastAsia="Arial" w:hAnsi="Arial"/>
                <w:sz w:val="13"/>
                <w:szCs w:val="13"/>
                <w:color w:val="auto"/>
              </w:rPr>
              <w:t>Elissa E. Murphy</w:t>
            </w:r>
          </w:p>
        </w:tc>
        <w:tc>
          <w:tcPr>
            <w:tcW w:w="2120" w:type="dxa"/>
            <w:vAlign w:val="bottom"/>
          </w:tcPr>
          <w:p>
            <w:pPr>
              <w:jc w:val="right"/>
              <w:ind w:right="136"/>
              <w:spacing w:after="0"/>
              <w:rPr>
                <w:sz w:val="20"/>
                <w:szCs w:val="20"/>
                <w:color w:val="auto"/>
              </w:rPr>
            </w:pPr>
            <w:r>
              <w:rPr>
                <w:rFonts w:ascii="Arial" w:cs="Arial" w:eastAsia="Arial" w:hAnsi="Arial"/>
                <w:sz w:val="13"/>
                <w:szCs w:val="13"/>
                <w:color w:val="auto"/>
              </w:rPr>
              <w:t>55</w:t>
            </w:r>
          </w:p>
        </w:tc>
        <w:tc>
          <w:tcPr>
            <w:tcW w:w="6160" w:type="dxa"/>
            <w:vAlign w:val="bottom"/>
          </w:tcPr>
          <w:p>
            <w:pPr>
              <w:ind w:left="220"/>
              <w:spacing w:after="0"/>
              <w:rPr>
                <w:sz w:val="20"/>
                <w:szCs w:val="20"/>
                <w:color w:val="auto"/>
              </w:rPr>
            </w:pPr>
            <w:r>
              <w:rPr>
                <w:rFonts w:ascii="Arial" w:cs="Arial" w:eastAsia="Arial" w:hAnsi="Arial"/>
                <w:sz w:val="13"/>
                <w:szCs w:val="13"/>
                <w:color w:val="auto"/>
              </w:rPr>
              <w:t>Board Director</w:t>
            </w:r>
          </w:p>
        </w:tc>
      </w:tr>
      <w:tr>
        <w:trPr>
          <w:trHeight w:val="171"/>
        </w:trPr>
        <w:tc>
          <w:tcPr>
            <w:tcW w:w="3000" w:type="dxa"/>
            <w:vAlign w:val="bottom"/>
            <w:shd w:val="clear" w:color="auto" w:fill="D2EDFD"/>
          </w:tcPr>
          <w:p>
            <w:pPr>
              <w:ind w:left="140"/>
              <w:spacing w:after="0"/>
              <w:rPr>
                <w:sz w:val="20"/>
                <w:szCs w:val="20"/>
                <w:color w:val="auto"/>
              </w:rPr>
            </w:pPr>
            <w:r>
              <w:rPr>
                <w:rFonts w:ascii="Arial" w:cs="Arial" w:eastAsia="Arial" w:hAnsi="Arial"/>
                <w:sz w:val="13"/>
                <w:szCs w:val="13"/>
                <w:color w:val="auto"/>
              </w:rPr>
              <w:t>Carlos Obeid</w:t>
            </w:r>
          </w:p>
        </w:tc>
        <w:tc>
          <w:tcPr>
            <w:tcW w:w="2120" w:type="dxa"/>
            <w:vAlign w:val="bottom"/>
            <w:shd w:val="clear" w:color="auto" w:fill="D2EDFD"/>
          </w:tcPr>
          <w:p>
            <w:pPr>
              <w:jc w:val="right"/>
              <w:ind w:right="136"/>
              <w:spacing w:after="0"/>
              <w:rPr>
                <w:sz w:val="20"/>
                <w:szCs w:val="20"/>
                <w:color w:val="auto"/>
              </w:rPr>
            </w:pPr>
            <w:r>
              <w:rPr>
                <w:rFonts w:ascii="Arial" w:cs="Arial" w:eastAsia="Arial" w:hAnsi="Arial"/>
                <w:sz w:val="13"/>
                <w:szCs w:val="13"/>
                <w:color w:val="auto"/>
              </w:rPr>
              <w:t>59</w:t>
            </w:r>
          </w:p>
        </w:tc>
        <w:tc>
          <w:tcPr>
            <w:tcW w:w="6160" w:type="dxa"/>
            <w:vAlign w:val="bottom"/>
            <w:shd w:val="clear" w:color="auto" w:fill="D2EDFD"/>
          </w:tcPr>
          <w:p>
            <w:pPr>
              <w:ind w:left="220"/>
              <w:spacing w:after="0"/>
              <w:rPr>
                <w:sz w:val="20"/>
                <w:szCs w:val="20"/>
                <w:color w:val="auto"/>
              </w:rPr>
            </w:pPr>
            <w:r>
              <w:rPr>
                <w:rFonts w:ascii="Arial" w:cs="Arial" w:eastAsia="Arial" w:hAnsi="Arial"/>
                <w:sz w:val="13"/>
                <w:szCs w:val="13"/>
                <w:color w:val="auto"/>
              </w:rPr>
              <w:t>Board Director</w:t>
            </w:r>
          </w:p>
        </w:tc>
      </w:tr>
      <w:tr>
        <w:trPr>
          <w:trHeight w:val="167"/>
        </w:trPr>
        <w:tc>
          <w:tcPr>
            <w:tcW w:w="3000" w:type="dxa"/>
            <w:vAlign w:val="bottom"/>
          </w:tcPr>
          <w:p>
            <w:pPr>
              <w:ind w:left="140"/>
              <w:spacing w:after="0"/>
              <w:rPr>
                <w:sz w:val="20"/>
                <w:szCs w:val="20"/>
                <w:color w:val="auto"/>
              </w:rPr>
            </w:pPr>
            <w:r>
              <w:rPr>
                <w:rFonts w:ascii="Arial" w:cs="Arial" w:eastAsia="Arial" w:hAnsi="Arial"/>
                <w:sz w:val="13"/>
                <w:szCs w:val="13"/>
                <w:color w:val="auto"/>
              </w:rPr>
              <w:t>Dr. Bobby Yerramilli-Rao</w:t>
            </w:r>
          </w:p>
        </w:tc>
        <w:tc>
          <w:tcPr>
            <w:tcW w:w="2120" w:type="dxa"/>
            <w:vAlign w:val="bottom"/>
          </w:tcPr>
          <w:p>
            <w:pPr>
              <w:jc w:val="right"/>
              <w:ind w:right="136"/>
              <w:spacing w:after="0"/>
              <w:rPr>
                <w:sz w:val="20"/>
                <w:szCs w:val="20"/>
                <w:color w:val="auto"/>
              </w:rPr>
            </w:pPr>
            <w:r>
              <w:rPr>
                <w:rFonts w:ascii="Arial" w:cs="Arial" w:eastAsia="Arial" w:hAnsi="Arial"/>
                <w:sz w:val="13"/>
                <w:szCs w:val="13"/>
                <w:color w:val="auto"/>
              </w:rPr>
              <w:t>57</w:t>
            </w:r>
          </w:p>
        </w:tc>
        <w:tc>
          <w:tcPr>
            <w:tcW w:w="6160" w:type="dxa"/>
            <w:vAlign w:val="bottom"/>
          </w:tcPr>
          <w:p>
            <w:pPr>
              <w:ind w:left="220"/>
              <w:spacing w:after="0"/>
              <w:rPr>
                <w:sz w:val="20"/>
                <w:szCs w:val="20"/>
                <w:color w:val="auto"/>
              </w:rPr>
            </w:pPr>
            <w:r>
              <w:rPr>
                <w:rFonts w:ascii="Arial" w:cs="Arial" w:eastAsia="Arial" w:hAnsi="Arial"/>
                <w:sz w:val="13"/>
                <w:szCs w:val="13"/>
                <w:color w:val="auto"/>
              </w:rPr>
              <w:t>Board Director</w:t>
            </w:r>
          </w:p>
        </w:tc>
      </w:tr>
    </w:tbl>
    <w:p>
      <w:pPr>
        <w:ind w:left="20"/>
        <w:spacing w:after="0"/>
        <w:rPr>
          <w:sz w:val="20"/>
          <w:szCs w:val="20"/>
          <w:color w:val="auto"/>
        </w:rPr>
      </w:pPr>
      <w:r>
        <w:rPr>
          <w:rFonts w:ascii="Arial" w:cs="Arial" w:eastAsia="Arial" w:hAnsi="Arial"/>
          <w:sz w:val="10"/>
          <w:szCs w:val="10"/>
          <w:i w:val="1"/>
          <w:iCs w:val="1"/>
          <w:color w:val="auto"/>
        </w:rPr>
        <w:t>*</w:t>
      </w:r>
      <w:r>
        <w:rPr>
          <w:rFonts w:ascii="Arial" w:cs="Arial" w:eastAsia="Arial" w:hAnsi="Arial"/>
          <w:sz w:val="10"/>
          <w:szCs w:val="10"/>
          <w:color w:val="auto"/>
        </w:rPr>
        <w:t>David Reeder was CFO on December 31, 2023. John Hollister succeeded Mr. Reeder as CFO on February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1530" cy="87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8763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Officers</w:t>
      </w:r>
    </w:p>
    <w:p>
      <w:pPr>
        <w:spacing w:after="0" w:line="84" w:lineRule="exact"/>
        <w:rPr>
          <w:sz w:val="20"/>
          <w:szCs w:val="20"/>
          <w:color w:val="auto"/>
        </w:rPr>
      </w:pPr>
    </w:p>
    <w:p>
      <w:pPr>
        <w:jc w:val="both"/>
        <w:spacing w:after="0" w:line="242" w:lineRule="auto"/>
        <w:rPr>
          <w:sz w:val="20"/>
          <w:szCs w:val="20"/>
          <w:color w:val="auto"/>
        </w:rPr>
      </w:pPr>
      <w:r>
        <w:rPr>
          <w:rFonts w:ascii="Arial" w:cs="Arial" w:eastAsia="Arial" w:hAnsi="Arial"/>
          <w:sz w:val="13"/>
          <w:szCs w:val="13"/>
          <w:b w:val="1"/>
          <w:bCs w:val="1"/>
          <w:i w:val="1"/>
          <w:iCs w:val="1"/>
          <w:color w:val="auto"/>
        </w:rPr>
        <w:t xml:space="preserve">Dr. Thomas Caulfield </w:t>
      </w:r>
      <w:r>
        <w:rPr>
          <w:rFonts w:ascii="Arial" w:cs="Arial" w:eastAsia="Arial" w:hAnsi="Arial"/>
          <w:sz w:val="13"/>
          <w:szCs w:val="13"/>
          <w:color w:val="auto"/>
        </w:rPr>
        <w:t>is the President and Chief Executive Officer (“CEO”) of GF, a position he has held since March 2018. He was also elected to the Board of Directors in March 2018. Dr. Caulfield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joined the Company in May 2014 as Senior Vice President and General Manager of the Company’s Fab 8 semiconductor wafer manufacturing facility in Malta, New York, where he led operations, process development, and the expansion and ramp-up of semiconductor manufacturing production. Dr. Caulfield has an extensive career spanning engineering, executive management and global operational leadership with leading technology companies. Prior to joining GF, Dr. Caulfield served as President and Chief Operations Officer at Soraa from May 2012 to May 2014, a leading developer of GaN on GaN</w:t>
      </w:r>
      <w:r>
        <w:rPr>
          <w:rFonts w:ascii="Arial" w:cs="Arial" w:eastAsia="Arial" w:hAnsi="Arial"/>
          <w:sz w:val="16"/>
          <w:szCs w:val="16"/>
          <w:color w:val="auto"/>
          <w:vertAlign w:val="superscript"/>
        </w:rPr>
        <w:t>TM</w:t>
      </w:r>
      <w:r>
        <w:rPr>
          <w:rFonts w:ascii="Arial" w:cs="Arial" w:eastAsia="Arial" w:hAnsi="Arial"/>
          <w:sz w:val="13"/>
          <w:szCs w:val="13"/>
          <w:color w:val="auto"/>
        </w:rPr>
        <w:t xml:space="preserve"> (gallium nitride on gallium nitride) solid-state lighting technology. Before Soraa, Dr. Caulfield served as President and COO of Ausra from 2009 to 2010, a leading provider of large-scale concentrated solar power solutions for electrical power generation and industrial steam production. Prior to leading at Ausra, Dr. Caulfield served as Executive Vice President of Sales, Marketing and Customer Service at Novellus Systems, Inc. Before that, Dr. Caulfield spent 17 years at IBM in a variety of senior leadership roles, ultimately serving as Vice President of 300mm semiconductor operations for IBM’s Microelectronics division, leading its wafer fabrication and R&amp;D operations in East Fishkill, New York. He currently serves as a member of the board of directors for Western Digital Corporation and has been a Trustee for Union College since 2018. Dr. Caulfield earned a Bachelor of Science in Physics from St. Lawrence University before entering Columbia University’s Fu Foundation School of Engineering and Applied Science, where he earned both his Bachelor and Master of Science in Materials Science and Engineering as well as a Doctorate in Materials Science and Engineering. Dr. Caulfield was also a postdoctoral fellow at Columbia’s Engineering Center for Strategic Materials.</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John Hollister </w:t>
      </w:r>
      <w:r>
        <w:rPr>
          <w:rFonts w:ascii="Arial" w:cs="Arial" w:eastAsia="Arial" w:hAnsi="Arial"/>
          <w:sz w:val="13"/>
          <w:szCs w:val="13"/>
          <w:color w:val="auto"/>
        </w:rPr>
        <w:t>is the Chief Financial Officer (“CFO”) at GF, a position he has held since February 2024. Mr. Hollister is responsible for the Company’s financial operations and strategy. Mr. Hollister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brings more than two decades of finance and operations experience in the semiconductor industry and a proven track record as a CFO of a publicly traded company. Prior to his role at GF, Mr. Hollister was at Silicon Labs from 2004 to early 2024, serving as CFO and Senior Vice President for 10 years and leading the company’s growth in broad-based semiconductor and Internet of Things (IoT) markets. Prior to his role at Silicon Labs, John held various finance positions at Cicada Semiconductor, Cirrus Logic, Veritas DGC, 3-D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59" w:name="page60"/>
    <w:bookmarkEnd w:id="59"/>
    <w:p>
      <w:pPr>
        <w:jc w:val="both"/>
        <w:spacing w:after="0" w:line="266" w:lineRule="auto"/>
        <w:rPr>
          <w:sz w:val="20"/>
          <w:szCs w:val="20"/>
          <w:color w:val="auto"/>
        </w:rPr>
      </w:pPr>
      <w:r>
        <w:rPr>
          <w:rFonts w:ascii="Arial" w:cs="Arial" w:eastAsia="Arial" w:hAnsi="Arial"/>
          <w:sz w:val="13"/>
          <w:szCs w:val="13"/>
          <w:color w:val="auto"/>
        </w:rPr>
        <w:t>Geophysical and PricewaterhouseCoopers LLP. Mr. Hollister currently serves as a member of the board of directors of MacroFab. Mr. Hollister is a Certified Public Accountant and holds a master’s degree in professional accounting as well as a bachelor’s degree in business administration from The University of Texas at Austin.</w:t>
      </w:r>
    </w:p>
    <w:p>
      <w:pPr>
        <w:spacing w:after="0" w:line="6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Niels Anderskouv </w:t>
      </w:r>
      <w:r>
        <w:rPr>
          <w:rFonts w:ascii="Arial" w:cs="Arial" w:eastAsia="Arial" w:hAnsi="Arial"/>
          <w:sz w:val="13"/>
          <w:szCs w:val="13"/>
          <w:color w:val="auto"/>
        </w:rPr>
        <w:t>is Chief Business Officer (“CBO”) at GF, a position he has held since May 2023. Mr. Anderskouv is responsible for leading GF’s product and technology roadmap, business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commercial strategy as well as its go-to-market execution. As CBO, Mr. Anderskouv also oversees GF’s product management, design platforms and business strategy and planning teams. Mr. Anderskouv brings more than 25 years of experience spanning engineering, executive management and global leadership in the semiconductor industry. Most recently, from 2017 to 2021, Mr. Anderskouv served as Senior Vice President and Executive Officer at Texas Instruments, where he was responsible for the company’s multi-billion-dollar Analog Power business. He is an expert in power management, analog and mixed-signal technologies and has a track record of driving and delivering financial performance. Mr. Anderskouv has been the Chairman of the board of directors of KeepIt since 2017. Mr. Anderskouv earned a Master of Science degree in Electrical Engineering from the Technical University of Denmark (DTU) in Copenhagen.</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auto"/>
        </w:rPr>
        <w:t xml:space="preserve">Saam Azar </w:t>
      </w:r>
      <w:r>
        <w:rPr>
          <w:rFonts w:ascii="Arial" w:cs="Arial" w:eastAsia="Arial" w:hAnsi="Arial"/>
          <w:sz w:val="13"/>
          <w:szCs w:val="13"/>
          <w:color w:val="auto"/>
        </w:rPr>
        <w:t>is Chief Legal Officer for GF, a position he has held since January 2017. He oversees all legal, compliance, government relations, environmental, health, safety and security matters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worldwide. Mr. Azar also serves as Secretary to the GF Board of Directors and has been involved with the Company since its founding in 2009. From 2006 to 2017, Mr. Azar has also served in various roles at Mubadala Investment Company, as a senior member of its Legal &amp; Compliance Unit, working primarily on complex, cross border partnerships. Prior to Mubadala, he worked as a corporate associate at the international law firm of Cleary Gottlieb in New York, where he supported numerous corporate transactions with an emphasis on debt and equity capital markets. Mr. Azar holds a J.D. from New York University School of Law and a Bachelor of Science degree in Civil and Environmental Engineering and Public Policy from Duke University.</w:t>
      </w:r>
    </w:p>
    <w:p>
      <w:pPr>
        <w:spacing w:after="0" w:line="5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Tim Breen </w:t>
      </w:r>
      <w:r>
        <w:rPr>
          <w:rFonts w:ascii="Arial" w:cs="Arial" w:eastAsia="Arial" w:hAnsi="Arial"/>
          <w:sz w:val="13"/>
          <w:szCs w:val="13"/>
          <w:color w:val="auto"/>
        </w:rPr>
        <w:t>is the Chief Operating Officer (“COO”) of GF, a position he has held since September 2023, and was elected to the Board of Directors in January 2018. In this role, he oversees GF’s global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operations, including the manufacturing, quality, supply chain, and digital transformation teams. Prior to becoming COO, he served as senior advisor to the CEO with a focus on supporting GF’s business, supply chain and digital transformations. Starting in 2018, he supported the Company in various executive roles including leading strategy, business transformation and finance. Since 2010, Mr. Breen served as a member of the senior leadership team of GF’s founding shareholder, Mubadala Investment Company. He also serves on the board of directors of a number of Mubadala’s private North American investments, including as Chairman of the board of directors of NOVA Chemicals. Prior to joining Mubadala, Mr. Breen was a Partner with McKinsey in Abu Dhabi. He holds a Master of Business Administration degree from London Business School.</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auto"/>
        </w:rPr>
        <w:t xml:space="preserve">Pradheepa Raman </w:t>
      </w:r>
      <w:r>
        <w:rPr>
          <w:rFonts w:ascii="Arial" w:cs="Arial" w:eastAsia="Arial" w:hAnsi="Arial"/>
          <w:sz w:val="13"/>
          <w:szCs w:val="13"/>
          <w:color w:val="auto"/>
        </w:rPr>
        <w:t>is Chief People Officer at GF, a position she was appointed to in 2022. She has global responsibility for GF’s human resources practice areas including talent acquisition,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development and retention, creation and delivery of people solutions, total rewards, organizational development and expanding on GF’s culture of innovation, diversity, inclusion and safety. Prior to joining GF, Ms. Raman was Global Head of Human Resources and Chief Transformation Officer for the Global Tools &amp; Storage business unit of Stanley Black &amp; Decker, Chief Talent Officer of Stanley Black &amp; Decker, and held senior human resources positions at Samsung Electronics America and Avaya. Ms. Raman began her career as a software developer. Ms. Raman holds a Bachelor’s degree in Electronics and Communication Engineering from Anna University in India, and a Master’s degree in Human Resources from Rutgers University.</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of Directors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auto"/>
        </w:rPr>
        <w:t xml:space="preserve">Ahmed Yahia </w:t>
      </w:r>
      <w:r>
        <w:rPr>
          <w:rFonts w:ascii="Arial" w:cs="Arial" w:eastAsia="Arial" w:hAnsi="Arial"/>
          <w:sz w:val="13"/>
          <w:szCs w:val="13"/>
          <w:color w:val="auto"/>
        </w:rPr>
        <w:t>was elected to the Board of Directors as Chairman in December 2013. Mr. Yahia is currently the Chief Executive Officer, Direct Investments at Mubadala Investment Company with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oversight of the Technology, Life Sciences, Financial Services, Consumer, Industrials &amp; Business Services, and Energy &amp; Sustainability portfolios. Mr. Yahia is also Chief Executive Officer of MGX, an artificial intelligence-focused investment company. Mr. Yahia is a member of Mubadala's Investment Committee, which develops Mubadala's investment policies and reviews proposed projects. Prior to joining Mubadala, Mr. Yahia was a Partner at McKinsey &amp; Company, where he co-led the Principal Investor practice and was also the Managing Partner of the Abu Dhabi practice. He was formerly a Marketing Manager at Procter &amp; Gamble, where he led several flagship brands. He serves as Chairman of the board of directors of Compañía Española de Petróleos and is a member of the board of directors of Abu Dhabi Investment Council, Mubadala Capital, and Emirates Global Aluminum . Previously, he served as a board member of Advanced Micro Devices Inc. from 2012 to 2019. Mr. Yahia holds a Bachelor of Science in Industrial Engineering from École Centrale Paris and a Master of Science in Mechanical Engineering/Product Strategy from the Massachusetts Institute of Technology. Mr. Yahia is an independent, non-executive director pursuant to applicable Nasdaq rules.</w:t>
      </w:r>
    </w:p>
    <w:p>
      <w:pPr>
        <w:spacing w:after="0" w:line="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Dr. Thomas Caulfield </w:t>
      </w:r>
      <w:r>
        <w:rPr>
          <w:rFonts w:ascii="Arial" w:cs="Arial" w:eastAsia="Arial" w:hAnsi="Arial"/>
          <w:sz w:val="13"/>
          <w:szCs w:val="13"/>
          <w:color w:val="auto"/>
        </w:rPr>
        <w:t>is the President and CEO of GF and was elected to the Board of Directors in March 2018. Please see “Item 6. Directors, Senior Management and Employees—A. Directors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Senior Management—Executive Officers” for a description of Dr. Caulfield’s business experience.</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Ahmed Saeed Al Calily </w:t>
      </w:r>
      <w:r>
        <w:rPr>
          <w:rFonts w:ascii="Arial" w:cs="Arial" w:eastAsia="Arial" w:hAnsi="Arial"/>
          <w:sz w:val="13"/>
          <w:szCs w:val="13"/>
          <w:color w:val="auto"/>
        </w:rPr>
        <w:t>was elected to the Board of Directors in March 2018. Mr. Al Calily is the Chief Strategy &amp; Risk Officer for Mubadala Investment Company, overseeing portfolio strategy,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enterprise risk management, and responsible investing. Prior to that, Mr. Al Calily was the Chief Executive Officer of Energy at Mubadala, where he oversaw the company’s energy assets. Prior to re-joining Mubadala, Mr. Al Calily was Director General of the Abu Dhabi Technology Development Committee and Chief Executive Officer and managing director of the Abu Dhabi Ports Company. Mr. Al Calily</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60" w:name="page61"/>
    <w:bookmarkEnd w:id="60"/>
    <w:p>
      <w:pPr>
        <w:jc w:val="both"/>
        <w:spacing w:after="0" w:line="261" w:lineRule="auto"/>
        <w:rPr>
          <w:sz w:val="20"/>
          <w:szCs w:val="20"/>
          <w:color w:val="auto"/>
        </w:rPr>
      </w:pPr>
      <w:r>
        <w:rPr>
          <w:rFonts w:ascii="Arial" w:cs="Arial" w:eastAsia="Arial" w:hAnsi="Arial"/>
          <w:sz w:val="13"/>
          <w:szCs w:val="13"/>
          <w:color w:val="auto"/>
        </w:rPr>
        <w:t>also served as Deputy Director of the Infrastructure and Services unit at Mubadala. He currently serves as a member of the board of directors at Abu Dhabi Future Energy Company, Abu Dhabi Investment Council, Mubadala Capital, and Emirates Global Aluminum. Mr. Al Calily holds a bachelor’s degree in Economics and Political Science from Boston University. Mr. Al Calily is an independent, non-executive director pursuant to applicable Nasdaq rules.</w:t>
      </w:r>
    </w:p>
    <w:p>
      <w:pPr>
        <w:spacing w:after="0" w:line="53"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b w:val="1"/>
          <w:bCs w:val="1"/>
          <w:i w:val="1"/>
          <w:iCs w:val="1"/>
          <w:color w:val="auto"/>
        </w:rPr>
        <w:t xml:space="preserve">Tim Breen </w:t>
      </w:r>
      <w:r>
        <w:rPr>
          <w:rFonts w:ascii="Arial" w:cs="Arial" w:eastAsia="Arial" w:hAnsi="Arial"/>
          <w:sz w:val="13"/>
          <w:szCs w:val="13"/>
          <w:color w:val="auto"/>
        </w:rPr>
        <w:t>is the Chief Operating Officer of GF and was elected to the Board of Directors in January 2018. Please see “Item 6. Directors, Senior Management and Employees—A. Directors and Senior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Management—Executive Officers” for a description of Mr. Breen’s business experience.</w:t>
      </w:r>
    </w:p>
    <w:p>
      <w:pPr>
        <w:spacing w:after="0" w:line="4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b w:val="1"/>
          <w:bCs w:val="1"/>
          <w:i w:val="1"/>
          <w:iCs w:val="1"/>
          <w:color w:val="auto"/>
        </w:rPr>
        <w:t xml:space="preserve">Glenda Dorchak </w:t>
      </w:r>
      <w:r>
        <w:rPr>
          <w:rFonts w:ascii="Arial" w:cs="Arial" w:eastAsia="Arial" w:hAnsi="Arial"/>
          <w:sz w:val="13"/>
          <w:szCs w:val="13"/>
          <w:color w:val="auto"/>
        </w:rPr>
        <w:t>was elected to the Board of Directors in June 2019. Ms. Dorchak spent over thirty years in operational leadership roles in the technology industry, most recently as Executive Vice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President and General Manager of Global Business with Spansion, Inc., a flash memory manufacturer. She started her career with 20 years at IBM where she held a range of operating roles including General Manager PC Direct. She later moved to e-retailer Value America where she was part of the IPO team eventually becoming Chairman and Chief Executive Officer. Ms. Dorchak subsequently joined Intel Corp. as Vice President and COO of Intel Communications Group, then went on to serve as Vice President and General Manager, Broadband Products Group and later, Vice President and General Manager, Consumer Electronics Group. After Intel, Ms. Dorchak was Chairperson and Chief Executive Officer of Intrinsyc Software and Vice Chairman and Chief Executive Officer of VirtualLogix. Ms. Dorchak currently does advisory and board work and serves as a member of the board of directors at ANSYS, Inc. and Wolfspeed Inc. Ms. Dorchak is an independent, non-executive director pursuant to applicable Nasdaq rules.</w:t>
      </w:r>
    </w:p>
    <w:p>
      <w:pPr>
        <w:spacing w:after="0" w:line="7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auto"/>
        </w:rPr>
        <w:t xml:space="preserve">Martin L. Edelman </w:t>
      </w:r>
      <w:r>
        <w:rPr>
          <w:rFonts w:ascii="Arial" w:cs="Arial" w:eastAsia="Arial" w:hAnsi="Arial"/>
          <w:sz w:val="13"/>
          <w:szCs w:val="13"/>
          <w:color w:val="auto"/>
        </w:rPr>
        <w:t>was elected to the Board of Directors in February 2017. Mr. Edelman is General Counsel of G42 and MGX, and Of Counsel of Paul Hastings LLP. He is an advisor to Mubadala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is a partner at Fisher Brothers, a real estate partnership. Mr. Edelman serves as Executive Chairman at Manchester Life. He is also a director of Equity Commonwealth, Aldar Properties, City Football Group, and currently serves on the boards of various nongovernmental organizations. He has more than 40 years of experience and concentrates his practice on real estate and corporate mergers and international transactions. Mr. Edelman holds a Bachelor of Arts degree from Princeton University and a law degree from Columbia Law School. Mr. Edelman is an independent, non-executive director pursuant to applicable Nasdaq rules.</w:t>
      </w:r>
    </w:p>
    <w:p>
      <w:pPr>
        <w:spacing w:after="0" w:line="7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auto"/>
        </w:rPr>
        <w:t xml:space="preserve">David Kerko </w:t>
      </w:r>
      <w:r>
        <w:rPr>
          <w:rFonts w:ascii="Arial" w:cs="Arial" w:eastAsia="Arial" w:hAnsi="Arial"/>
          <w:sz w:val="13"/>
          <w:szCs w:val="13"/>
          <w:color w:val="auto"/>
        </w:rPr>
        <w:t>was elected to the Board of Directors in January 2018. Mr. Kerko is Head of North America Private Equity at Elliott Investment Management L.P. Prior to joining Elliott, Mr. Kerko was 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advisor, member and co-head of the Technology Group at Kohlberg Kravis Roberts &amp; Co. Inc. (“KKR”). Prior to joining KKR, he worked for Gleacher NatWest Inc. on mergers and acquisition transactions and financing. Mr. Kerko is a member of the board of directors of Cubic Corporation, Nielsen and Cloud Software Group. Mr. Kerko holds a Bachelor of Science degree and a Bachelor of Science in Engineering degree, summa cum laude, from the University of Pennsylvania. Mr. Kerko is an independent, non-executive director pursuant to applicable Nasdaq rules and serves as Lead Independent Director.</w:t>
      </w:r>
    </w:p>
    <w:p>
      <w:pPr>
        <w:spacing w:after="0" w:line="73" w:lineRule="exact"/>
        <w:rPr>
          <w:sz w:val="20"/>
          <w:szCs w:val="20"/>
          <w:color w:val="auto"/>
        </w:rPr>
      </w:pPr>
    </w:p>
    <w:p>
      <w:pPr>
        <w:jc w:val="both"/>
        <w:spacing w:after="0" w:line="248" w:lineRule="auto"/>
        <w:rPr>
          <w:sz w:val="20"/>
          <w:szCs w:val="20"/>
          <w:color w:val="auto"/>
        </w:rPr>
      </w:pPr>
      <w:r>
        <w:rPr>
          <w:rFonts w:ascii="Arial" w:cs="Arial" w:eastAsia="Arial" w:hAnsi="Arial"/>
          <w:sz w:val="13"/>
          <w:szCs w:val="13"/>
          <w:b w:val="1"/>
          <w:bCs w:val="1"/>
          <w:i w:val="1"/>
          <w:iCs w:val="1"/>
          <w:color w:val="auto"/>
        </w:rPr>
        <w:t xml:space="preserve">Jack Lazar </w:t>
      </w:r>
      <w:r>
        <w:rPr>
          <w:rFonts w:ascii="Arial" w:cs="Arial" w:eastAsia="Arial" w:hAnsi="Arial"/>
          <w:sz w:val="13"/>
          <w:szCs w:val="13"/>
          <w:color w:val="auto"/>
        </w:rPr>
        <w:t>was elected to the Board of Directors in July 2021. Mr. Lazar has spent over thirty years in operational and finance leadership roles at technology companies across multiple industries,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most recently as Chief Financial Officer of GoPro, Inc., which he helped to take public in 2014. Prior to GoPro, Mr. Lazar served as Senior Vice President of Corporate Development and General Manager of Qualcomm Atheros, Inc. From 2003 until the time in which it was acquired by Qualcomm in 2011, he served in a variety of leadership roles at Atheros Communications, Inc., most recently as Chief Financial Officer and Senior Vice President of Corporate Development. In 2004, Mr. Lazar was part of the team that took Atheros public. He also served in leadership roles at NetRatings, Apptitude, and Electronics for Imaging, Inc. Mr. Lazar currently serves as a member of the board of directors of several publicly traded companies including Astera Labs, Box, Resideo Technologies, and thredUP. Mr. Lazar holds a Bachelor of Science in Commerce degree with an emphasis in Accounting from Santa Clara University and is a certified public accountant (inactive). Mr. Lazar is an independent, non-executive director pursuant to applicable Nasdaq rules.</w:t>
      </w:r>
    </w:p>
    <w:p>
      <w:pPr>
        <w:spacing w:after="0" w:line="6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auto"/>
        </w:rPr>
        <w:t xml:space="preserve">Elissa Murphy </w:t>
      </w:r>
      <w:r>
        <w:rPr>
          <w:rFonts w:ascii="Arial" w:cs="Arial" w:eastAsia="Arial" w:hAnsi="Arial"/>
          <w:sz w:val="13"/>
          <w:szCs w:val="13"/>
          <w:color w:val="auto"/>
        </w:rPr>
        <w:t>was elected to the Board of Directors in September 2021. Ms. Murphy is Senior Vice President at Cisco Systems, Inc. Prior to Cisco, she served as a Vice President of Engineering at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Google, Inc. from 2016 to April 2023. Before Google, she was the Chief Technology Officer and Executive Vice President of Cloud Platforms at GoDaddy from 2013 to 2016. Ms. Murphy previously served as Vice President of Engineering at Yahoo! from late 2010 to 2013, where she oversaw the world’s largest private Hadoop cluster, a technology essential to massive-scale computing that is the basis of big data today. Prior to her time at Yahoo!, Ms. Murphy spent 13 years at Microsoft in various engineering positions including part of the original team responsible for Microsoft’s shift to the cloud, which led to the creation of Azure, and as a member of the High Performance Computing team. Ms. Murphy began her technology career designing and building many of the best-selling computer security and system utilities with 5th Generation Systems, Quarterdeck and the Norton Group, a division at Symantec responsible for Norton Antivirus and other Norton products. Previously, Ms. Murphy served on the board of directors of Inphi from 2015 to 2021. Ms. Murphy brings expertise in global-scale platforms, AI/ML, big data, distributed systems, and security. Ms. Murphy is an independent, non-executive director pursuant to applicable Nasdaq rules.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 xml:space="preserve">Carlos Obeid </w:t>
      </w:r>
      <w:r>
        <w:rPr>
          <w:rFonts w:ascii="Arial" w:cs="Arial" w:eastAsia="Arial" w:hAnsi="Arial"/>
          <w:sz w:val="13"/>
          <w:szCs w:val="13"/>
          <w:color w:val="auto"/>
        </w:rPr>
        <w:t>was elected to the Board of Directors in January 2012. Mr. Obeid is currently the Chief Financial Officer of Mubadala Investment Company, with oversight of its commercial functions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including treasury, investor relations, financial planning, business performance, financial governance and reporting. Before joining Mubadala, Mr. Obeid worked with the United Arab Emirates Offset Program Bureau where he led a wide range of initiatives including privatization, utilities and financial services. He is a member of the board of directors of Mubadala Capital LLC, Abu Dhabi Commercial Bank PJSC and Abu Dhabi Investment Council. Mr. Obeid holds a Bachelor of Science in Electrical Engineering degree from American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61" w:name="page62"/>
    <w:bookmarkEnd w:id="61"/>
    <w:p>
      <w:pPr>
        <w:jc w:val="both"/>
        <w:spacing w:after="0" w:line="266" w:lineRule="auto"/>
        <w:rPr>
          <w:sz w:val="20"/>
          <w:szCs w:val="20"/>
          <w:color w:val="auto"/>
        </w:rPr>
      </w:pPr>
      <w:r>
        <w:rPr>
          <w:rFonts w:ascii="Arial" w:cs="Arial" w:eastAsia="Arial" w:hAnsi="Arial"/>
          <w:sz w:val="13"/>
          <w:szCs w:val="13"/>
          <w:color w:val="auto"/>
        </w:rPr>
        <w:t>University of Beirut, Lebanon, and a Master of Business Administration degree from INSEAD in Fontainebleau, France. Mr. Obeid is an independent, non-executive director pursuant to applicable Nasdaq rules.</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2"/>
          <w:szCs w:val="12"/>
          <w:b w:val="1"/>
          <w:bCs w:val="1"/>
          <w:i w:val="1"/>
          <w:iCs w:val="1"/>
          <w:color w:val="auto"/>
        </w:rPr>
        <w:t xml:space="preserve">Dr. Bobby Yerramilli-Rao </w:t>
      </w:r>
      <w:r>
        <w:rPr>
          <w:rFonts w:ascii="Arial" w:cs="Arial" w:eastAsia="Arial" w:hAnsi="Arial"/>
          <w:sz w:val="12"/>
          <w:szCs w:val="12"/>
          <w:color w:val="auto"/>
        </w:rPr>
        <w:t>was elected to the Board of Directors in March 2022. Dr. Yerramilli-Rao has served as Chief Strategy Officer and Corporate Vice President, Corporate Strategy at Microsoft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Corporation since 2020. Prior to Microsoft, he was Co-founder and Managing Partner of Fusion Global Capital, from 2011 to 2020. Dr. Yerramilli-Rao previously served as Corporate Strategy Director and Internet Services Director of Vodafone, from 2006 to 2010, where he was responsible for strategy and acquisitions related to digital services, serving on the company’s Investment Committee. Prior to his time at Vodafone, Dr. Yerramilli-Rao spent more than a decade at McKinsey, having been elected Partner in 2000. He helped co-lead the telecom, media and technology practice. Dr. Yerramilli-Rao also served as a member of the board of directors of Cambridge Epigenetix Ltd. from 2012 to 2023. He holds a Master of Arts degree in Electrical Engineering from the University of Cambridge and a Doctorate in Robotics from the University of Oxford. Dr. Yerramilli-Rao is an independent, non-executive director pursuant to applicable Nasdaq rules.</w:t>
      </w:r>
    </w:p>
    <w:p>
      <w:pPr>
        <w:spacing w:after="0" w:line="49" w:lineRule="exact"/>
        <w:rPr>
          <w:sz w:val="20"/>
          <w:szCs w:val="20"/>
          <w:color w:val="auto"/>
        </w:rPr>
      </w:pPr>
    </w:p>
    <w:p>
      <w:pPr>
        <w:ind w:right="160"/>
        <w:spacing w:after="0" w:line="283" w:lineRule="auto"/>
        <w:rPr>
          <w:sz w:val="20"/>
          <w:szCs w:val="20"/>
          <w:color w:val="auto"/>
        </w:rPr>
      </w:pPr>
      <w:r>
        <w:rPr>
          <w:rFonts w:ascii="Arial" w:cs="Arial" w:eastAsia="Arial" w:hAnsi="Arial"/>
          <w:sz w:val="13"/>
          <w:szCs w:val="13"/>
          <w:color w:val="auto"/>
        </w:rPr>
        <w:t>For information on the role of the Shareholder’s Agreement and the Memorandum and Articles of Association in leadership selection, see “Item 6. Directors, Senior Management and Employees—C. Board Practices—Composition of our Board of Directors.”</w:t>
      </w:r>
    </w:p>
    <w:p>
      <w:pPr>
        <w:spacing w:after="0" w:line="40" w:lineRule="exact"/>
        <w:rPr>
          <w:sz w:val="20"/>
          <w:szCs w:val="20"/>
          <w:color w:val="auto"/>
        </w:rPr>
      </w:pPr>
    </w:p>
    <w:p>
      <w:pPr>
        <w:ind w:left="260" w:hanging="255"/>
        <w:spacing w:after="0"/>
        <w:tabs>
          <w:tab w:leader="none" w:pos="26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Compensation</w:t>
      </w:r>
    </w:p>
    <w:p>
      <w:pPr>
        <w:spacing w:after="0" w:line="8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Under Cayman Islands law, we are not required to disclose compensation paid to our directors and executive officers on an individual basis and we have not otherwise publicly disclosed this information elsewhere.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Compensation Philosophy</w:t>
      </w:r>
    </w:p>
    <w:p>
      <w:pPr>
        <w:spacing w:after="0" w:line="8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Our executive compensation programs are designed to attract, motivate, reward and retain the high-caliber executives necessary to accomplish our strategy. GF’s compensation philosophy includes the following key design principles:</w:t>
      </w:r>
    </w:p>
    <w:p>
      <w:pPr>
        <w:spacing w:after="0" w:line="40" w:lineRule="exact"/>
        <w:rPr>
          <w:sz w:val="20"/>
          <w:szCs w:val="20"/>
          <w:color w:val="auto"/>
        </w:rPr>
      </w:pPr>
    </w:p>
    <w:p>
      <w:pPr>
        <w:ind w:left="760" w:hanging="246"/>
        <w:spacing w:after="0"/>
        <w:tabs>
          <w:tab w:leader="none" w:pos="7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Align with shareholder interest;</w:t>
      </w:r>
    </w:p>
    <w:p>
      <w:pPr>
        <w:spacing w:after="0" w:line="94" w:lineRule="exact"/>
        <w:rPr>
          <w:rFonts w:ascii="Arial" w:cs="Arial" w:eastAsia="Arial" w:hAnsi="Arial"/>
          <w:sz w:val="13"/>
          <w:szCs w:val="13"/>
          <w:color w:val="auto"/>
        </w:rPr>
      </w:pPr>
    </w:p>
    <w:p>
      <w:pPr>
        <w:ind w:left="760" w:hanging="246"/>
        <w:spacing w:after="0"/>
        <w:tabs>
          <w:tab w:leader="none" w:pos="7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Strong link between pay and performance; and</w:t>
      </w:r>
    </w:p>
    <w:p>
      <w:pPr>
        <w:spacing w:after="0" w:line="83" w:lineRule="exact"/>
        <w:rPr>
          <w:rFonts w:ascii="Arial" w:cs="Arial" w:eastAsia="Arial" w:hAnsi="Arial"/>
          <w:sz w:val="13"/>
          <w:szCs w:val="13"/>
          <w:color w:val="auto"/>
        </w:rPr>
      </w:pPr>
    </w:p>
    <w:p>
      <w:pPr>
        <w:ind w:left="760" w:hanging="246"/>
        <w:spacing w:after="0"/>
        <w:tabs>
          <w:tab w:leader="none" w:pos="7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Motivate our talent to achieve short-term and long-term goals that lead to sustainable long-term shareholder value creation.</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Our executive officers receive fixed and variable compensation. They also receive benefits in line with market practice and with the benefits extended to our broad-based employee population.</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Certain of our executive officers are entitled to certain benefits upon termination, including a cash severance payment if we terminate their employment without cause.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Base Salary</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fixed component of compensation consists of base salary. This provides a fixed source of income and acts as the foundation for other pay components. The base salary is reflective of the executive role, responsibility, and individual performance, and it is designed to be market-competitive at the median of our peer group and industry and attract and retain critical talent. We review base salaries annually, and make adjustments as appropriate based on market, performance and any change in responsibility.</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Variable Incentive Programs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2023, the variable pay elements of our executive officers’ compensation consisted of an annual incentive program (“AIP”) and awards of performance stock units (“PSUs”) and restricted stock units (“RSUs”) under our 2021 Equity Compensation Plan.</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Aggregate Compensation</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For the year ended December 31, 2023, the aggregate compensation paid by us and our subsidiaries for our directors and executive officers for services in all capacities to us and our subsidiaries was $51.3 million* which includes both benefits paid in kind and compensation, as well as grants of, in the aggregate, 308,253 RSUs and 360,548 PSUs, pursuant to the terms and conditions of our 2021 Equity Compensation Plan. RSUs and PSUs vest as set forth in “2021 Equity Compensation Plan” below.</w:t>
      </w:r>
    </w:p>
    <w:p>
      <w:pPr>
        <w:spacing w:after="0" w:line="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Of the amounts above, for the year ended December 31, 2023, $59,400 was set aside or accrued by us or our subsidiaries to provide defined contribution retirement benefits or similar benefits to our directors and executive officers.</w:t>
      </w:r>
    </w:p>
    <w:p>
      <w:pPr>
        <w:spacing w:after="0" w:line="137" w:lineRule="exact"/>
        <w:rPr>
          <w:sz w:val="20"/>
          <w:szCs w:val="20"/>
          <w:color w:val="auto"/>
        </w:rPr>
      </w:pPr>
    </w:p>
    <w:p>
      <w:pPr>
        <w:ind w:firstLine="5"/>
        <w:spacing w:after="0" w:line="280" w:lineRule="auto"/>
        <w:tabs>
          <w:tab w:leader="none" w:pos="97" w:val="left"/>
        </w:tabs>
        <w:numPr>
          <w:ilvl w:val="0"/>
          <w:numId w:val="42"/>
        </w:numPr>
        <w:rPr>
          <w:rFonts w:ascii="Arial" w:cs="Arial" w:eastAsia="Arial" w:hAnsi="Arial"/>
          <w:sz w:val="13"/>
          <w:szCs w:val="13"/>
          <w:i w:val="1"/>
          <w:iCs w:val="1"/>
          <w:color w:val="auto"/>
        </w:rPr>
      </w:pPr>
      <w:r>
        <w:rPr>
          <w:rFonts w:ascii="Arial" w:cs="Arial" w:eastAsia="Arial" w:hAnsi="Arial"/>
          <w:sz w:val="13"/>
          <w:szCs w:val="13"/>
          <w:i w:val="1"/>
          <w:iCs w:val="1"/>
          <w:color w:val="auto"/>
        </w:rPr>
        <w:t>This aggregate number includes reimbursements by GF to Mubadala in connection with Mr. Tim Breen’s service as COO, senior advisor to the CEO and as a member of the Board of Directors. Please see “Item 7. Major Shareholders and Related Party Transactions—B. Related Party Transactions—Mubadala—Secondments” for further information on payments made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62" w:name="page63"/>
    <w:bookmarkEnd w:id="62"/>
    <w:p>
      <w:pPr>
        <w:ind w:right="240"/>
        <w:spacing w:after="0" w:line="381" w:lineRule="auto"/>
        <w:rPr>
          <w:sz w:val="20"/>
          <w:szCs w:val="20"/>
          <w:color w:val="auto"/>
        </w:rPr>
      </w:pPr>
      <w:r>
        <w:rPr>
          <w:rFonts w:ascii="Arial" w:cs="Arial" w:eastAsia="Arial" w:hAnsi="Arial"/>
          <w:sz w:val="13"/>
          <w:szCs w:val="13"/>
          <w:i w:val="1"/>
          <w:iCs w:val="1"/>
          <w:color w:val="auto"/>
        </w:rPr>
        <w:t xml:space="preserve">to Mubadala in connection with secondments. The aggregate number also includes compensation paid to Mr. David Reeder in connection with Mr. Reeder’s service as CFO during fiscal year 2023. </w:t>
      </w:r>
      <w:r>
        <w:rPr>
          <w:rFonts w:ascii="Arial" w:cs="Arial" w:eastAsia="Arial" w:hAnsi="Arial"/>
          <w:sz w:val="13"/>
          <w:szCs w:val="13"/>
          <w:b w:val="1"/>
          <w:bCs w:val="1"/>
          <w:color w:val="auto"/>
        </w:rPr>
        <w:t>Annual Incentive Program</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AIP is a short-term annual cash incentive that incentivizes and rewards our executive officers for achieving critical company financial and operational goals, as well as individual goals. Each of our executives has an AIP target opportunity, set as a percentage of their base salary, which is reviewed annually to assure that both our performance and pay opportunities are aligned with competitive practices and that our rewards are reflective of Company and individual performance.</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In 2023, our executive officers’ awards under the AIP were determined as follows:</w:t>
      </w:r>
    </w:p>
    <w:p>
      <w:pPr>
        <w:spacing w:after="0" w:line="84" w:lineRule="exact"/>
        <w:rPr>
          <w:sz w:val="20"/>
          <w:szCs w:val="20"/>
          <w:color w:val="auto"/>
        </w:rPr>
      </w:pPr>
    </w:p>
    <w:p>
      <w:pPr>
        <w:ind w:left="760" w:hanging="246"/>
        <w:spacing w:after="0"/>
        <w:tabs>
          <w:tab w:leader="none" w:pos="7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Financial and operational performance: 70% for our CEO and CFO and 50% for other executives;</w:t>
      </w:r>
    </w:p>
    <w:p>
      <w:pPr>
        <w:spacing w:after="0" w:line="94" w:lineRule="exact"/>
        <w:rPr>
          <w:rFonts w:ascii="Arial" w:cs="Arial" w:eastAsia="Arial" w:hAnsi="Arial"/>
          <w:sz w:val="13"/>
          <w:szCs w:val="13"/>
          <w:color w:val="auto"/>
        </w:rPr>
      </w:pPr>
    </w:p>
    <w:p>
      <w:pPr>
        <w:ind w:left="760" w:hanging="246"/>
        <w:spacing w:after="0"/>
        <w:tabs>
          <w:tab w:leader="none" w:pos="7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Strategic scorecard performance: 30% for our CEO and CFO and 50% for other executives; and</w:t>
      </w:r>
    </w:p>
    <w:p>
      <w:pPr>
        <w:spacing w:after="0" w:line="83" w:lineRule="exact"/>
        <w:rPr>
          <w:rFonts w:ascii="Arial" w:cs="Arial" w:eastAsia="Arial" w:hAnsi="Arial"/>
          <w:sz w:val="13"/>
          <w:szCs w:val="13"/>
          <w:color w:val="auto"/>
        </w:rPr>
      </w:pPr>
    </w:p>
    <w:p>
      <w:pPr>
        <w:ind w:left="760" w:hanging="246"/>
        <w:spacing w:after="0" w:line="283" w:lineRule="auto"/>
        <w:tabs>
          <w:tab w:leader="none" w:pos="751"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Individual Modifier (0.8x-1.2x): Based on the discretion of the Board, People and Compensation Committee or CEO, as appropriate, including but not limited to considerations of leadership, employee engagement, diversity and inclusion, collaboration, business process improvement, strategic contributions and business context.</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Long-term Incentive Programs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maintain a number of long-term incentive plans (the “Long-term Incentive Plans”), including the GlobalFoundries Inc. Share Incentive Plan (the “2017 Plan”), the GlobalFoundries 2018 Share Incentive Plan (the “2018 Plan”) and the GlobalFoundries 2021 Equity Compensation Plan (the “2021 Plan”) to enable our executives and other high performing and high potential participants to share in the value creation of the Company as we execute our business plan and deliver returns to our shareholders. Our Long-Term Incentive Plans are administered by the People and Compensation Committee, which was delegated authority to administer these plans by our Board of Directors.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Our Long-term Incentive Plans consist of non-qualified stock options, RSUs and PSUs for eligible participants.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In 2023, our executive officers received a combination of PSU and RSU awards as follows:</w:t>
      </w:r>
    </w:p>
    <w:p>
      <w:pPr>
        <w:spacing w:after="0" w:line="95" w:lineRule="exact"/>
        <w:rPr>
          <w:sz w:val="20"/>
          <w:szCs w:val="20"/>
          <w:color w:val="auto"/>
        </w:rPr>
      </w:pPr>
    </w:p>
    <w:p>
      <w:pPr>
        <w:ind w:left="760" w:hanging="246"/>
        <w:spacing w:after="0"/>
        <w:tabs>
          <w:tab w:leader="none" w:pos="7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70% PSU and 30% RSU for our CEO and CFO; and</w:t>
      </w:r>
    </w:p>
    <w:p>
      <w:pPr>
        <w:spacing w:after="0" w:line="83" w:lineRule="exact"/>
        <w:rPr>
          <w:rFonts w:ascii="Arial" w:cs="Arial" w:eastAsia="Arial" w:hAnsi="Arial"/>
          <w:sz w:val="13"/>
          <w:szCs w:val="13"/>
          <w:color w:val="auto"/>
        </w:rPr>
      </w:pPr>
    </w:p>
    <w:p>
      <w:pPr>
        <w:ind w:left="760" w:hanging="246"/>
        <w:spacing w:after="0"/>
        <w:tabs>
          <w:tab w:leader="none" w:pos="7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60% PSU and 40% RSU for other executive officers</w:t>
      </w:r>
    </w:p>
    <w:p>
      <w:pPr>
        <w:spacing w:after="0" w:line="83" w:lineRule="exact"/>
        <w:rPr>
          <w:rFonts w:ascii="Arial" w:cs="Arial" w:eastAsia="Arial" w:hAnsi="Arial"/>
          <w:sz w:val="13"/>
          <w:szCs w:val="13"/>
          <w:color w:val="auto"/>
        </w:rPr>
      </w:pPr>
    </w:p>
    <w:p>
      <w:pPr>
        <w:jc w:val="both"/>
        <w:ind w:left="1280" w:hanging="257"/>
        <w:spacing w:after="0" w:line="261" w:lineRule="auto"/>
        <w:tabs>
          <w:tab w:leader="none" w:pos="1283" w:val="left"/>
        </w:tabs>
        <w:numPr>
          <w:ilvl w:val="1"/>
          <w:numId w:val="44"/>
        </w:numPr>
        <w:rPr>
          <w:rFonts w:ascii="Arial" w:cs="Arial" w:eastAsia="Arial" w:hAnsi="Arial"/>
          <w:sz w:val="13"/>
          <w:szCs w:val="13"/>
          <w:color w:val="auto"/>
        </w:rPr>
      </w:pPr>
      <w:r>
        <w:rPr>
          <w:rFonts w:ascii="Arial" w:cs="Arial" w:eastAsia="Arial" w:hAnsi="Arial"/>
          <w:sz w:val="13"/>
          <w:szCs w:val="13"/>
          <w:color w:val="auto"/>
        </w:rPr>
        <w:t>The final number of PSUs will range from 0% to 200% of the PSUs granted, based on achievement of performance targets related to absolute Return on Invested Capital (“ROIC”) and relative Total Shareholder Return (“TSR”) versus the SOX Index, and 100% will vest after three years, subject to continued employment through the end of the performance period.</w:t>
      </w:r>
    </w:p>
    <w:p>
      <w:pPr>
        <w:spacing w:after="0" w:line="63" w:lineRule="exact"/>
        <w:rPr>
          <w:rFonts w:ascii="Arial" w:cs="Arial" w:eastAsia="Arial" w:hAnsi="Arial"/>
          <w:sz w:val="13"/>
          <w:szCs w:val="13"/>
          <w:color w:val="auto"/>
        </w:rPr>
      </w:pPr>
    </w:p>
    <w:p>
      <w:pPr>
        <w:ind w:left="1280" w:hanging="257"/>
        <w:spacing w:after="0" w:line="266" w:lineRule="auto"/>
        <w:tabs>
          <w:tab w:leader="none" w:pos="1272" w:val="left"/>
        </w:tabs>
        <w:numPr>
          <w:ilvl w:val="1"/>
          <w:numId w:val="44"/>
        </w:numPr>
        <w:rPr>
          <w:rFonts w:ascii="Arial" w:cs="Arial" w:eastAsia="Arial" w:hAnsi="Arial"/>
          <w:sz w:val="13"/>
          <w:szCs w:val="13"/>
          <w:color w:val="auto"/>
        </w:rPr>
      </w:pPr>
      <w:r>
        <w:rPr>
          <w:rFonts w:ascii="Arial" w:cs="Arial" w:eastAsia="Arial" w:hAnsi="Arial"/>
          <w:sz w:val="13"/>
          <w:szCs w:val="13"/>
          <w:color w:val="auto"/>
        </w:rPr>
        <w:t>RSUs will generally vest in three annual installments, with 33.33% vesting on each one-year anniversary of the vesting commencement date subject to the employee’s continued employment with the Company.</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Additional information on our Long-Term Incentive Programs are as follows: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2017 Plan</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 small number of current employees continue to hold vested share options that were granted under the 2017 Plan. Share options granted under the 2017 Plan became exercisable upon the first anniversary of our IPO following the vesting date but during the term of the share option. In connection with the establishment and adoption of the 2018 Plan, we ceased making awards under the 2017 Plan. As of December 31, 2023, there are 4,515 non-qualified share options (“options”) to buy ordinary shares outstanding under the 2017 Plan.</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2018 Plan</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Awards under the 2018 Plan may be granted in the form of options, share awards, or share unit awards.</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Participants in the 2018 Plan typically received a one-time grant upon hire or promotion into an eligible role. The majority of options granted in 2019 vest over five years, with 20% of the options vesting on the later of December 31 of the first five years following the grant date and the six-month anniversary of the consummation of our IPO, subject to continued employment through the applicable vesting date (with limited exceptions for certain qualifying terminations). Generally, awards of options granted in 2020 or later vest over four years, with 25% of the options vesting on the later of December 31 of the first four years following the grant date and the six-month anniversary of the consummation of our IPO, subject to continued employment through the applicable vesting date (with limited exceptions for certain qualifying terminations). Options held by U.S. taxpayers that vested on the six-month anniversary of our IPO were exercisable for a period commencing on the vesting date and ending on December 2, 2022. Any outstanding in the money exercisable options not exercised as of December 2, 2022, were automatically exercised on that date. All other outstanding options held by U.S. taxpayers will become exercisable for a period commencing on January 1 of the year following the year in which such</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7" w:right="319" w:bottom="1440" w:gutter="0" w:footer="0" w:header="0"/>
        </w:sectPr>
      </w:pPr>
    </w:p>
    <w:bookmarkStart w:id="63" w:name="page64"/>
    <w:bookmarkEnd w:id="63"/>
    <w:p>
      <w:pPr>
        <w:jc w:val="both"/>
        <w:spacing w:after="0" w:line="253" w:lineRule="auto"/>
        <w:rPr>
          <w:sz w:val="20"/>
          <w:szCs w:val="20"/>
          <w:color w:val="auto"/>
        </w:rPr>
      </w:pPr>
      <w:r>
        <w:rPr>
          <w:rFonts w:ascii="Arial" w:cs="Arial" w:eastAsia="Arial" w:hAnsi="Arial"/>
          <w:sz w:val="13"/>
          <w:szCs w:val="13"/>
          <w:color w:val="auto"/>
        </w:rPr>
        <w:t>options vest and ending on a fixed date in such year, with any outstanding exercisable options not exercised as of the end of such period being automatically exercised as of a fixed date in that year. Options held by non-U.S. taxpayers will become exercisable on the date such options vest and will remain exercisable, pursuant to normal option exercise procedures under the terms and conditions of the 2018 Plan for the duration of the term of the option, with any outstanding exercisable options not exercised before the expiration of such options in accordance with their terms being automatically exercised as of the expiration date of the options by means of “net exercise” in order to satisfy the exercise price and applicable taxes due in respect of such options.</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Awards of RSUs vest over four years, with 25% of the share units vesting on each of the first four anniversaries of the earlier of the grant date or the participant’s hire or promotion date, subject to continued employment through the applicable vesting date (with limited exceptions for certain qualifying terminations). Certain RSU grants made to certain current and former non-employee members of our Board of Directors in connection with our IPO generally vest over three years, with 33% of the share units vesting on the first three anniversaries of the grant date, subject to their continued provision of services (whether as a non-employee director or otherwise) to the Company through the applicable vesting date.</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Under the 2018 Plan, as of December 31, 2023, there are 1.6 million options to buy ordinary shares and 326,504 RSU awards to our employees outstanding.</w:t>
      </w:r>
    </w:p>
    <w:p>
      <w:pPr>
        <w:spacing w:after="0" w:line="95"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color w:val="auto"/>
        </w:rPr>
        <w:t>In addition, under the 2018 Plan there are 3,211,764 ordinary shares that remain available for grant. No awards may be granted under the 2018 Equity Plan after our Board of Directors terminates the 2018 Equity Plan or ten years from its effective date, whichever is earlier.</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Shareholder Proceeds Bonus Program</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Between 2019 and 2021, we maintained a bonus program (the “Shareholder Proceeds Bonus Program”) pursuant to which eligible option holders under our 2018 Equity Plan may receive cash awards depending on financial results linked to annual operating cash flow and other financial metrics.</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During those years, if our Board of Directors determined that any amounts are to be paid under the Shareholder Proceeds Bonus Program, the aggregate amount of the cash payment to be received by any participant is based on the per share bonus payment amount, a multiple determined by the Board and the number of outstanding share options to which the award under the Shareholder Proceeds Bonus Program relates, with the aggregate cash payment pro-rated based on the number of vested share options as of each payment date over the vesting schedule of the share option. Payment of any amounts under the Shareholder Proceeds Bonus Program is independent of and not contingent upon the exercise of any share options.</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No new awards have been granted under the Shareholder Proceeds Bonus Program since calendar year 2021. All existing awards will continue to be paid out on their current payment schedule.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2021 Plan</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connection with our IPO, our Board of Directors adopted, and Mubadala approved, the 2021 Plan. The 2021 Plan provides for the issuance of incentive share options, non-qualified share options, share awards, share units, share appreciation rights, and other share-based awards.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2023, the Company granted RSUs and PSUs under the 2021 Plan. The RSUs have a time-based vesting requirement, which provides that the RSUs will generally vest in three annual installments, with 33.33% vesting on each anniversary of the vesting commencement date subject to the employee’s continued employment with the Company. The Company may make awards with different vesting conditions to help the Company achieve its talent strategy. The PSUs vest subject to achievement of performance targets based on an absolute ROIC and relative TSR versus the SOX Index over a 3-year performance period subject to the grantee remaining employed by the Company through the end of the applicable performance period.</w:t>
      </w:r>
    </w:p>
    <w:p>
      <w:pPr>
        <w:spacing w:after="0" w:line="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As of December 31, 2023, there are 3.8 million RSUs and 1.2 million PSUs outstanding under the 2021 Plan. In addition, as of December 31, 2023, there are 17 million ordinary shares that remain available for grant under the 2021 Plan.</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 Stock Purchase Plan</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connection with, and prior to the consummation of the Company's IPO in 2021, the Company's Board of Directors adopted the GLOBALFOUNDRIES Inc. 2021 Employee Stock Purchase Plan (the “ESPP”). The ESPP is administered by the Company's Board of Directors or, as applicable, its delegate (the “ESPP Administrator”).</w:t>
      </w:r>
    </w:p>
    <w:p>
      <w:pPr>
        <w:spacing w:after="0" w:line="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ESPP provides eligible employees with an opportunity to purchase ordinary shares of the Company through payroll deduction of up to 10% of their eligible compensation. A participant may purchase a maximum of 2,500 ordinary shares during a purchase period. Amounts deducted and accumulated by the participant are used to purchase ordinary shares at the end of each six-month purchase period. Participants in the ESPP receive a one-time grant of 50 RSUs upon first time enrollment in the ESPP. The Company matches 20% of each employee’s contribution on an after-tax basis.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Subject to certain equitable adjustments in connection with certain events affecting the outstanding ordinary shares reserved for issuance as awards, the maximum aggregate number of our ordinary shares that may be issued or transferred under the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64" w:name="page65"/>
    <w:bookmarkEnd w:id="64"/>
    <w:p>
      <w:pPr>
        <w:jc w:val="both"/>
        <w:spacing w:after="0" w:line="253" w:lineRule="auto"/>
        <w:rPr>
          <w:sz w:val="20"/>
          <w:szCs w:val="20"/>
          <w:color w:val="auto"/>
        </w:rPr>
      </w:pPr>
      <w:r>
        <w:rPr>
          <w:rFonts w:ascii="Arial" w:cs="Arial" w:eastAsia="Arial" w:hAnsi="Arial"/>
          <w:sz w:val="13"/>
          <w:szCs w:val="13"/>
          <w:color w:val="auto"/>
        </w:rPr>
        <w:t>ESPP with respect to awards is 7,500,000 ordinary shares; provided that the share reserve under the ESPP will, unless otherwise determined by our Board of Directors, automatically increase on January 1 of each year for 8 years commencing on January 1, 2023 and ending on (and including) January 1, 2031 in an amount equal to 0.25% of the total number of ordinary shares outstanding on December 31 of the preceding year. In no event will the number of ordinary shares that may be issued or transferred pursuant to rights granted under the ESPP exceed 18,750,000, in the aggregate, subject to the adjustments described above.</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2023, of the Company has issued 1.47 million shares under this plan reflecting employees’ contribution and the 20% Company match.</w:t>
      </w:r>
    </w:p>
    <w:p>
      <w:pPr>
        <w:spacing w:after="0" w:line="360" w:lineRule="exact"/>
        <w:rPr>
          <w:sz w:val="20"/>
          <w:szCs w:val="20"/>
          <w:color w:val="auto"/>
        </w:rPr>
      </w:pPr>
    </w:p>
    <w:p>
      <w:pPr>
        <w:ind w:left="260" w:hanging="255"/>
        <w:spacing w:after="0"/>
        <w:tabs>
          <w:tab w:leader="none" w:pos="260"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Board Practices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Composition of our Board of Directors</w:t>
      </w:r>
    </w:p>
    <w:p>
      <w:pPr>
        <w:spacing w:after="0" w:line="95"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Our Board of Directors currently consists of eleven members, all of whom were elected pursuant to our Memorandum and Articles of Association. The Board is divided into three classes designated as Class I, Class II and Class III, with the members of each class each serving staggered, three-year terms. The terms of our Class I directors will expire at the 2025 annual general meeting of shareholders; the terms of our Class II directors will expire at the 2026 annual meeting of shareholders; and the terms of our Class III directors will expire at the 2024 annual meeting of shareholders. At the expiration of the respective terms of the Class I, Class II and Class III directors, new Class I, Class II and Class III directors will be elected to serve for a full term of the three years respectively.</w:t>
      </w:r>
    </w:p>
    <w:p>
      <w:pPr>
        <w:spacing w:after="0" w:line="4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Dr. Thomas Caulfield, Ahmed Saeed Al Calily, Tim Breen and Glenda Dorchak serve as Class I directors (with terms expiring in 2025). Martin L. Edelman, David Kerko, Jack Lazar and Carlos Obeid serve as Class II directors (with terms expiring in 2026). Ahmed Yahia, Elissa E. Murphy and Bobby Yerramilli-Rao serve as Class III directors (with terms expiring in 2024).</w:t>
      </w:r>
    </w:p>
    <w:p>
      <w:pPr>
        <w:spacing w:after="0" w:line="4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selecting Board members, our Nominating and Governance Committee and Board of Directors consider a broad range of factors relating to the qualifications and background of nominees, including those factors set out in the Statement on Diversity and Member Section of our Board Charter (which include but are not limited to race, gender, sexual orientation, cultural background and membership in underrepresented groups). Our Nominating and Governance Committee’s and Board of Directors’ priority in selecting Board members is identification of persons who will further the interests of our shareholders through their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 Under a shareholder’s agreement entered into with Mubadala through two of its subsidiaries holding our ordinary shares, Mubadala Technology Investment Company (“MTIC”) and MTI International Investment Company LLC (“MTIIIC”) (the “Shareholder’s Agreement”) prior to the consummation of our IPO in 2021, we agreed to nominate for election to our Board of Directors a certain number of designees selected by Mubadala. See “Item 7. Major Shareholders and Related Party Transactions—B. Related Party Transactions—Mubadala—Shareholder’s Agreement.”</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There is no Cayman Islands law requirement that a director must hold office for a certain term and stand for re-election unless the resolutions appointing the director impose a term on the appointment.</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We do not have any age limit requirements relating to our director’s term of office.</w:t>
      </w:r>
    </w:p>
    <w:p>
      <w:pPr>
        <w:spacing w:after="0" w:line="76"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The Shareholder’s Agreement provides that, for so long as MTIC, MTIIIC and certain of their affiliates (the “Mubadala Entities”), in the aggregate, beneficially own 50% or more of the ordinary shares held by the Mubadala Entities upon consummation of our IPO, MTIC will be entitled to nominate a number of designees (the “Mubadala Designees”) to our Board of Directors representing a majority of our directors. MTIC designated the following directors as Mubadala Designees as of the date of our IPO: Ahmed Yahia, Ahmed Saeed Al Calily, Tim Breen, Martin L. Edelman, and Carlos Obeid. By making such designation, MTIC retains the right to appoint any additional Mubadala Designees in accordance with the Shareholder’s Agreement and the Memorandum and Articles of Association.</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Memorandum and Articles of Association also provide that our directors may only be removed for cause by an affirmative vote of 75% of our shareholders, provided that (1) a Mubadala Designee may only be removed with or without cause by MTIC, and (2) as long as the Mubadala Entities beneficially own in the aggregate at least 50% of our outstanding ordinary shares, directors other than Mubadala Designees may be removed with or without cause by a majority of shareholders. Any vacancy resulting from an enlargement of our Board of Directors (which shall not exceed any maximum number stated in our Memorandum and Articles of Association), may be filled by ordinary resolution or by vote of a majority of our directors then in office; provided that any vacancy with respect to a Mubadala Designee may only be filled by a decision of majority of the Mubadala Designees then in office, or if there are none, by MTIC.</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Board’s Role in Risk Oversight</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our operations and corporate functions, our Board of Directors addresses the primary risks associated with those operations and corporate functions. In addition, our Board of Directors reviews the risks associated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65" w:name="page66"/>
    <w:bookmarkEnd w:id="65"/>
    <w:p>
      <w:pPr>
        <w:spacing w:after="0"/>
        <w:rPr>
          <w:sz w:val="20"/>
          <w:szCs w:val="20"/>
          <w:color w:val="auto"/>
        </w:rPr>
      </w:pPr>
      <w:r>
        <w:rPr>
          <w:rFonts w:ascii="Arial" w:cs="Arial" w:eastAsia="Arial" w:hAnsi="Arial"/>
          <w:sz w:val="13"/>
          <w:szCs w:val="13"/>
          <w:color w:val="auto"/>
        </w:rPr>
        <w:t>with our business strategies periodically throughout the year as part of its consideration of undertaking any such business strategies.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Each of our Board committees also oversees the management of our risk that falls within the committee’s areas of responsibility. In performing this function, each committee has full access to management, as well as the ability to engage advisors. Our Chief Financial Officer provides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Financial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The Board met eight times in 2023. From the time each director became a member of the Board, attendance or participation at Board meetings in 2023 was 98%.</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Board Committees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Board of Directors has established an Audit Committee, a People and Compensation Committee, a Strategy and Technology Committee and a Nominating and Governance Committee, each of which operates pursuant to a separate charter adopted by our Board of Directors.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Risk and Compliance Committee</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Glenda Dorchak, Jack Lazar and Elissa E. Murphy currently serve on the Audit Committee, which is chaired by Jack Lazar. Our Board of Directors has determined that each member of the Committee is “independent” for Audit Committee purposes as that term is defined in the rules of the SEC and the applicable rules of Nasdaq. The Audit Committee’s responsibilities include:</w:t>
      </w:r>
    </w:p>
    <w:p>
      <w:pPr>
        <w:spacing w:after="0" w:line="40" w:lineRule="exact"/>
        <w:rPr>
          <w:sz w:val="20"/>
          <w:szCs w:val="20"/>
          <w:color w:val="auto"/>
        </w:rPr>
      </w:pPr>
    </w:p>
    <w:p>
      <w:pPr>
        <w:ind w:left="500" w:hanging="240"/>
        <w:spacing w:after="0"/>
        <w:tabs>
          <w:tab w:leader="none" w:pos="500" w:val="left"/>
        </w:tabs>
        <w:numPr>
          <w:ilvl w:val="0"/>
          <w:numId w:val="46"/>
        </w:numPr>
        <w:rPr>
          <w:rFonts w:ascii="Arial" w:cs="Arial" w:eastAsia="Arial" w:hAnsi="Arial"/>
          <w:sz w:val="12"/>
          <w:szCs w:val="12"/>
          <w:color w:val="auto"/>
        </w:rPr>
      </w:pPr>
      <w:r>
        <w:rPr>
          <w:rFonts w:ascii="Arial" w:cs="Arial" w:eastAsia="Arial" w:hAnsi="Arial"/>
          <w:sz w:val="12"/>
          <w:szCs w:val="12"/>
          <w:color w:val="auto"/>
        </w:rPr>
        <w:t>appointing our independent registered public accounting firm, and approving the audit and permitted non-audit services to be provided by our independent registered public accounting firm;</w:t>
      </w:r>
    </w:p>
    <w:p>
      <w:pPr>
        <w:spacing w:after="0" w:line="95" w:lineRule="exact"/>
        <w:rPr>
          <w:rFonts w:ascii="Arial" w:cs="Arial" w:eastAsia="Arial" w:hAnsi="Arial"/>
          <w:sz w:val="12"/>
          <w:szCs w:val="12"/>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evaluating the performance and independence of our independent registered public accounting firm;</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monitoring the integrity of our financial statements and our compliance with legal and regulatory requirements as they relate to our financial statements or accounting matters;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reviewing the adequacy and effectiveness of our accounting and internal control policies and procedures;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establishing and overseeing procedures for the receipt, retention and treatment of accounting-related complaints and concerns;</w:t>
      </w:r>
    </w:p>
    <w:p>
      <w:pPr>
        <w:spacing w:after="0" w:line="83"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reviewing and discussing with the independent registered public accounting firm the results of our year-end audit, and recommending to our Board of Directors, based upon such review and discussions, whether our financial statements shall be included in our Annual Report on Form 20-F;</w:t>
      </w:r>
    </w:p>
    <w:p>
      <w:pPr>
        <w:spacing w:after="0" w:line="61" w:lineRule="exact"/>
        <w:rPr>
          <w:rFonts w:ascii="Arial" w:cs="Arial" w:eastAsia="Arial" w:hAnsi="Arial"/>
          <w:sz w:val="13"/>
          <w:szCs w:val="13"/>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reviewing all related party transactions for potential conflict of interest situations, approving all such transactions and overseeing the Company’s director conflict of interest policy;</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overseeing the Company’s ESG programs and periodically reporting to the Board of Directors;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reviewing with management cybersecurity, privacy and IT risks, including the initiatives, action plans and programs to manage such risks;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overseeing and reviewing major corporate risks and periodically reporting to the Board of Directors.</w:t>
      </w:r>
    </w:p>
    <w:p>
      <w:pPr>
        <w:spacing w:after="0" w:line="8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We have one financial expert as of the date hereof. Our Board of Directors has determined that Jack Lazar qualifies as an “audit committee financial expert” as defined in SEC rules and satisfies the financial sophistication requirements of the Nasdaq.</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Audit Committee met nine times in 2023. From the time each director became a member of the Committee, attendance or participation at Audit Committee meetings in 2023 was 100%.</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People and Compensation Committee</w:t>
      </w:r>
    </w:p>
    <w:p>
      <w:pPr>
        <w:spacing w:after="0" w:line="8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Ahmed Saeed Al Calily, David Kerko and Elissa E. Murphy currently serve on the People and Compensation Committee, which is chaired by David Kerko. The People and Compensation Committee’s responsibilities include:</w:t>
      </w:r>
    </w:p>
    <w:p>
      <w:pPr>
        <w:spacing w:after="0" w:line="61" w:lineRule="exact"/>
        <w:rPr>
          <w:sz w:val="20"/>
          <w:szCs w:val="20"/>
          <w:color w:val="auto"/>
        </w:rPr>
      </w:pPr>
    </w:p>
    <w:p>
      <w:pPr>
        <w:ind w:left="500" w:hanging="24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establishing and reviewing the goals and objectives of our executive compensation plans;</w:t>
      </w:r>
    </w:p>
    <w:p>
      <w:pPr>
        <w:spacing w:after="0" w:line="83"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47"/>
        </w:numPr>
        <w:rPr>
          <w:rFonts w:ascii="Arial" w:cs="Arial" w:eastAsia="Arial" w:hAnsi="Arial"/>
          <w:sz w:val="13"/>
          <w:szCs w:val="13"/>
          <w:color w:val="auto"/>
        </w:rPr>
      </w:pPr>
      <w:r>
        <w:rPr>
          <w:rFonts w:ascii="Arial" w:cs="Arial" w:eastAsia="Arial" w:hAnsi="Arial"/>
          <w:sz w:val="13"/>
          <w:szCs w:val="13"/>
          <w:color w:val="auto"/>
        </w:rPr>
        <w:t>establishing the goals and objectives relevant to Chief Executive Officer compensation, and making recommendations to our Board of Directors in evaluating our Chief Executive Officer’s performance in light of these goals and objectives;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66" w:name="page67"/>
    <w:bookmarkEnd w:id="66"/>
    <w:p>
      <w:pPr>
        <w:ind w:left="520" w:hanging="260"/>
        <w:spacing w:after="0" w:line="266" w:lineRule="auto"/>
        <w:tabs>
          <w:tab w:leader="none" w:pos="511" w:val="left"/>
        </w:tabs>
        <w:numPr>
          <w:ilvl w:val="0"/>
          <w:numId w:val="48"/>
        </w:numPr>
        <w:rPr>
          <w:rFonts w:ascii="Arial" w:cs="Arial" w:eastAsia="Arial" w:hAnsi="Arial"/>
          <w:sz w:val="13"/>
          <w:szCs w:val="13"/>
          <w:color w:val="auto"/>
        </w:rPr>
      </w:pPr>
      <w:r>
        <w:rPr>
          <w:rFonts w:ascii="Arial" w:cs="Arial" w:eastAsia="Arial" w:hAnsi="Arial"/>
          <w:sz w:val="13"/>
          <w:szCs w:val="13"/>
          <w:color w:val="auto"/>
        </w:rPr>
        <w:t>evaluating the performance of our executive officers in light of the goals and objectives of our executive compensation plans and making recommendations to our Board of Directors with respect to the compensation of our executive officers, including our Chief Executive Officer;</w:t>
      </w:r>
    </w:p>
    <w:p>
      <w:pPr>
        <w:spacing w:after="0" w:line="61" w:lineRule="exact"/>
        <w:rPr>
          <w:rFonts w:ascii="Arial" w:cs="Arial" w:eastAsia="Arial" w:hAnsi="Arial"/>
          <w:sz w:val="13"/>
          <w:szCs w:val="13"/>
          <w:color w:val="auto"/>
        </w:rPr>
      </w:pPr>
    </w:p>
    <w:p>
      <w:pPr>
        <w:ind w:left="500" w:hanging="240"/>
        <w:spacing w:after="0"/>
        <w:tabs>
          <w:tab w:leader="none" w:pos="5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making recommendations to our Board of Directors with respect to improvement of existing, or adoption of new, employee compensation plans and programs;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retaining and approving executive compensation advisors and other advisors advising the People and Compensation Committee.</w:t>
      </w:r>
    </w:p>
    <w:p>
      <w:pPr>
        <w:spacing w:after="0" w:line="9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People and Compensation Committee met seven times in 2023. From the time each director became a member of the Committee, attendance or participation at People and Compensation Committee meetings in 2023 was 100%.</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Strategy and Technology Committee</w:t>
      </w:r>
    </w:p>
    <w:p>
      <w:pPr>
        <w:spacing w:after="0" w:line="9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Ahmed Yahia, Dr. Thomas Caulfield, Tim Breen, David Kerko and Dr. Bobby Yerramilli-Rao currently serve on the Strategy and Technology Committee, which is chaired by Ahmed Yahia. The Strategy and Technology Committee’s responsibilities include:</w:t>
      </w:r>
    </w:p>
    <w:p>
      <w:pPr>
        <w:spacing w:after="0" w:line="61" w:lineRule="exact"/>
        <w:rPr>
          <w:sz w:val="20"/>
          <w:szCs w:val="20"/>
          <w:color w:val="auto"/>
        </w:rPr>
      </w:pPr>
    </w:p>
    <w:p>
      <w:pPr>
        <w:ind w:left="500" w:hanging="240"/>
        <w:spacing w:after="0"/>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assisting our Board of Directors in reviewing significant investments, divestment, joint ventures, partnerships, and other strategic agreements;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providing guidance to our Board of Directors on long-range strategy and business plans;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assisting our Board of Directors in reviewing our technology road map; and</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assisting our Board of Directors in reviewing strategic long-term customer and supplier agreements.</w:t>
      </w:r>
    </w:p>
    <w:p>
      <w:pPr>
        <w:spacing w:after="0" w:line="8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Strategy and Technology Committee met four times in 2023. From the time each director became a member of the Committee, attendance or participation at Strategy and Technology Committee meetings in 2023 was 95%.</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Nominating and Governance Committee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Ahmed Yahia, Glenda Dorchak, Martin L. Edelman and David Kerko currently serve on the Nominating and Governance Committee, which is chaired by Martin L. Edelman. The Nominating and</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Governance Committee’s responsibilities include:</w:t>
      </w:r>
    </w:p>
    <w:p>
      <w:pPr>
        <w:spacing w:after="0" w:line="76" w:lineRule="exact"/>
        <w:rPr>
          <w:sz w:val="20"/>
          <w:szCs w:val="20"/>
          <w:color w:val="auto"/>
        </w:rPr>
      </w:pPr>
    </w:p>
    <w:p>
      <w:pPr>
        <w:ind w:left="500" w:hanging="240"/>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assisting our Board of Directors in identifying prospective director nominees and recommending nominees for election by the shareholders or appointment by our Board of Directors;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reviewing and assessing the adequacy of our corporate governance guidelines and recommending proposed changes to our Board of Directors; and</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overseeing the evaluation of our Board of Directors.</w:t>
      </w:r>
    </w:p>
    <w:p>
      <w:pPr>
        <w:spacing w:after="0" w:line="8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Nominating and Governance Committee met two times in 2023. From the time each director became a member of the Committee, attendance or participation at Nominating and Governance Committee meetings in 2023 was 100%.</w:t>
      </w:r>
    </w:p>
    <w:p>
      <w:pPr>
        <w:spacing w:after="0" w:line="125" w:lineRule="exact"/>
        <w:rPr>
          <w:sz w:val="20"/>
          <w:szCs w:val="20"/>
          <w:color w:val="auto"/>
        </w:rPr>
      </w:pPr>
    </w:p>
    <w:p>
      <w:pPr>
        <w:ind w:left="260" w:hanging="255"/>
        <w:spacing w:after="0"/>
        <w:tabs>
          <w:tab w:leader="none" w:pos="26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Employees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have a highly skilled employee base and as of December 31, 2023, we employed approximately 12,000 employees primarily located at our manufacturing sites. As of December 31, 2023, approximately 37% of our employees were located in North America, approximately 25% in EMEA, and approximately 38% in APAC. We also engage temporary employees and consultants. Overall, we believe we have good relations with our employees. As of December 31, 2023, approximately 71% of our employees were engineers or technicians.</w:t>
      </w:r>
    </w:p>
    <w:p>
      <w:pPr>
        <w:spacing w:after="0" w:line="149"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E.</w:t>
      </w:r>
      <w:r>
        <w:rPr>
          <w:sz w:val="20"/>
          <w:szCs w:val="20"/>
          <w:color w:val="auto"/>
        </w:rPr>
        <w:tab/>
      </w:r>
      <w:r>
        <w:rPr>
          <w:rFonts w:ascii="Arial" w:cs="Arial" w:eastAsia="Arial" w:hAnsi="Arial"/>
          <w:sz w:val="12"/>
          <w:szCs w:val="12"/>
          <w:b w:val="1"/>
          <w:bCs w:val="1"/>
          <w:color w:val="auto"/>
        </w:rPr>
        <w:t>Share Ownership</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Refer to “Item 7. Major Shareholders and Related Party Transactions” below for information on share ownership.</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See “Item 6. Directors, Senior Management and Employees—B. Compensation” for information on our arrangements for involving employees in the capital of the Company.</w:t>
      </w:r>
    </w:p>
    <w:p>
      <w:pPr>
        <w:spacing w:after="0" w:line="370" w:lineRule="exact"/>
        <w:rPr>
          <w:sz w:val="20"/>
          <w:szCs w:val="20"/>
          <w:color w:val="auto"/>
        </w:rPr>
      </w:pPr>
    </w:p>
    <w:p>
      <w:pPr>
        <w:ind w:left="280" w:hanging="275"/>
        <w:spacing w:after="0"/>
        <w:tabs>
          <w:tab w:leader="none" w:pos="28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Disclosure of a Registrant’s Action to Recover Erroneously Awarded Compensation</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67" w:name="page68"/>
    <w:bookmarkEnd w:id="67"/>
    <w:p>
      <w:pPr>
        <w:spacing w:after="0"/>
        <w:tabs>
          <w:tab w:leader="none" w:pos="5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2"/>
          <w:szCs w:val="12"/>
          <w:b w:val="1"/>
          <w:bCs w:val="1"/>
          <w:color w:val="auto"/>
        </w:rPr>
        <w:t>MAJOR SHAREHOLDERS AND RELATED PARTY TRANSACTIONS</w:t>
      </w:r>
    </w:p>
    <w:p>
      <w:pPr>
        <w:spacing w:after="0" w:line="126" w:lineRule="exact"/>
        <w:rPr>
          <w:sz w:val="20"/>
          <w:szCs w:val="20"/>
          <w:color w:val="auto"/>
        </w:rPr>
      </w:pPr>
    </w:p>
    <w:p>
      <w:pPr>
        <w:ind w:left="260" w:hanging="255"/>
        <w:spacing w:after="0"/>
        <w:tabs>
          <w:tab w:leader="none" w:pos="26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Major Shareholders</w:t>
      </w:r>
    </w:p>
    <w:p>
      <w:pPr>
        <w:spacing w:after="0" w:line="9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following table sets forth certain information with respect to the beneficial ownership of our ordinary shares as of December 31, 2023 for (i) each person known by us to be the beneficial owner of more than 5% of our outstanding shares of ordinary shares and (ii) all of our directors and executive officers as a group. Our majority shareholder, Mubadala, does not have different voting rights from those of other shareholders. As discussed below, prior to the consummation of our IPO in 2021, we entered into a Shareholder’s Agreement with Mubadala through two of its subsidiaries.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spacing w:after="0"/>
              <w:rPr>
                <w:sz w:val="20"/>
                <w:szCs w:val="20"/>
                <w:color w:val="auto"/>
              </w:rPr>
            </w:pPr>
            <w:r>
              <w:rPr>
                <w:rFonts w:ascii="Arial" w:cs="Arial" w:eastAsia="Arial" w:hAnsi="Arial"/>
                <w:sz w:val="13"/>
                <w:szCs w:val="13"/>
                <w:b w:val="1"/>
                <w:bCs w:val="1"/>
                <w:color w:val="auto"/>
              </w:rPr>
              <w:t>Number of</w:t>
            </w:r>
          </w:p>
        </w:tc>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Percentage of</w:t>
            </w:r>
          </w:p>
        </w:tc>
        <w:tc>
          <w:tcPr>
            <w:tcW w:w="0" w:type="dxa"/>
            <w:vAlign w:val="bottom"/>
          </w:tcPr>
          <w:p>
            <w:pPr>
              <w:spacing w:after="0"/>
              <w:rPr>
                <w:sz w:val="1"/>
                <w:szCs w:val="1"/>
                <w:color w:val="auto"/>
              </w:rPr>
            </w:pPr>
          </w:p>
        </w:tc>
      </w:tr>
      <w:tr>
        <w:trPr>
          <w:trHeight w:val="149"/>
        </w:trPr>
        <w:tc>
          <w:tcPr>
            <w:tcW w:w="7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of Beneficial Owner</w:t>
            </w:r>
          </w:p>
        </w:tc>
        <w:tc>
          <w:tcPr>
            <w:tcW w:w="100" w:type="dxa"/>
            <w:vAlign w:val="bottom"/>
            <w:vMerge w:val="restart"/>
          </w:tcPr>
          <w:p>
            <w:pPr>
              <w:spacing w:after="0"/>
              <w:rPr>
                <w:sz w:val="12"/>
                <w:szCs w:val="12"/>
                <w:color w:val="auto"/>
              </w:rPr>
            </w:pPr>
          </w:p>
        </w:tc>
        <w:tc>
          <w:tcPr>
            <w:tcW w:w="1660" w:type="dxa"/>
            <w:vAlign w:val="bottom"/>
            <w:gridSpan w:val="2"/>
          </w:tcPr>
          <w:p>
            <w:pPr>
              <w:spacing w:after="0"/>
              <w:rPr>
                <w:sz w:val="20"/>
                <w:szCs w:val="20"/>
                <w:color w:val="auto"/>
              </w:rPr>
            </w:pPr>
            <w:r>
              <w:rPr>
                <w:rFonts w:ascii="Arial" w:cs="Arial" w:eastAsia="Arial" w:hAnsi="Arial"/>
                <w:sz w:val="13"/>
                <w:szCs w:val="13"/>
                <w:b w:val="1"/>
                <w:bCs w:val="1"/>
                <w:color w:val="auto"/>
              </w:rPr>
              <w:t>Ordinary</w:t>
            </w:r>
          </w:p>
        </w:tc>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Ordinary</w:t>
            </w:r>
          </w:p>
        </w:tc>
        <w:tc>
          <w:tcPr>
            <w:tcW w:w="0" w:type="dxa"/>
            <w:vAlign w:val="bottom"/>
          </w:tcPr>
          <w:p>
            <w:pPr>
              <w:spacing w:after="0"/>
              <w:rPr>
                <w:sz w:val="1"/>
                <w:szCs w:val="1"/>
                <w:color w:val="auto"/>
              </w:rPr>
            </w:pPr>
          </w:p>
        </w:tc>
      </w:tr>
      <w:tr>
        <w:trPr>
          <w:trHeight w:val="177"/>
        </w:trPr>
        <w:tc>
          <w:tcPr>
            <w:tcW w:w="7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Shares Owned</w:t>
            </w:r>
          </w:p>
        </w:tc>
        <w:tc>
          <w:tcPr>
            <w:tcW w:w="8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Shares Owned</w:t>
            </w:r>
          </w:p>
        </w:tc>
        <w:tc>
          <w:tcPr>
            <w:tcW w:w="0" w:type="dxa"/>
            <w:vAlign w:val="bottom"/>
          </w:tcPr>
          <w:p>
            <w:pPr>
              <w:spacing w:after="0"/>
              <w:rPr>
                <w:sz w:val="1"/>
                <w:szCs w:val="1"/>
                <w:color w:val="auto"/>
              </w:rPr>
            </w:pPr>
          </w:p>
        </w:tc>
      </w:tr>
      <w:tr>
        <w:trPr>
          <w:trHeight w:val="185"/>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Mubadala</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469,501,994</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84.8 %</w:t>
            </w:r>
          </w:p>
        </w:tc>
        <w:tc>
          <w:tcPr>
            <w:tcW w:w="0" w:type="dxa"/>
            <w:vAlign w:val="bottom"/>
          </w:tcPr>
          <w:p>
            <w:pPr>
              <w:spacing w:after="0"/>
              <w:rPr>
                <w:sz w:val="1"/>
                <w:szCs w:val="1"/>
                <w:color w:val="auto"/>
              </w:rPr>
            </w:pPr>
          </w:p>
        </w:tc>
      </w:tr>
      <w:tr>
        <w:trPr>
          <w:trHeight w:val="191"/>
        </w:trPr>
        <w:tc>
          <w:tcPr>
            <w:tcW w:w="7940" w:type="dxa"/>
            <w:vAlign w:val="bottom"/>
            <w:gridSpan w:val="2"/>
          </w:tcPr>
          <w:p>
            <w:pPr>
              <w:ind w:left="20"/>
              <w:spacing w:after="0"/>
              <w:rPr>
                <w:sz w:val="20"/>
                <w:szCs w:val="20"/>
                <w:color w:val="auto"/>
              </w:rPr>
            </w:pPr>
            <w:r>
              <w:rPr>
                <w:rFonts w:ascii="Arial" w:cs="Arial" w:eastAsia="Arial" w:hAnsi="Arial"/>
                <w:sz w:val="13"/>
                <w:szCs w:val="13"/>
                <w:color w:val="auto"/>
              </w:rPr>
              <w:t>FMR LLC</w:t>
            </w:r>
            <w:r>
              <w:rPr>
                <w:rFonts w:ascii="Arial" w:cs="Arial" w:eastAsia="Arial" w:hAnsi="Arial"/>
                <w:sz w:val="16"/>
                <w:szCs w:val="16"/>
                <w:color w:val="auto"/>
                <w:vertAlign w:val="superscript"/>
              </w:rPr>
              <w:t>(1)</w:t>
            </w:r>
          </w:p>
        </w:tc>
        <w:tc>
          <w:tcPr>
            <w:tcW w:w="1580" w:type="dxa"/>
            <w:vAlign w:val="bottom"/>
          </w:tcPr>
          <w:p>
            <w:pPr>
              <w:jc w:val="right"/>
              <w:spacing w:after="0"/>
              <w:rPr>
                <w:sz w:val="20"/>
                <w:szCs w:val="20"/>
                <w:color w:val="auto"/>
              </w:rPr>
            </w:pPr>
            <w:r>
              <w:rPr>
                <w:rFonts w:ascii="Arial" w:cs="Arial" w:eastAsia="Arial" w:hAnsi="Arial"/>
                <w:sz w:val="13"/>
                <w:szCs w:val="13"/>
                <w:color w:val="auto"/>
              </w:rPr>
              <w:t>34,899,797</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6.3 %</w:t>
            </w:r>
          </w:p>
        </w:tc>
        <w:tc>
          <w:tcPr>
            <w:tcW w:w="0" w:type="dxa"/>
            <w:vAlign w:val="bottom"/>
          </w:tcPr>
          <w:p>
            <w:pPr>
              <w:spacing w:after="0"/>
              <w:rPr>
                <w:sz w:val="1"/>
                <w:szCs w:val="1"/>
                <w:color w:val="auto"/>
              </w:rPr>
            </w:pPr>
          </w:p>
        </w:tc>
      </w:tr>
      <w:tr>
        <w:trPr>
          <w:trHeight w:val="191"/>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Directors and named executive officers:</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40" w:type="dxa"/>
            <w:vAlign w:val="bottom"/>
            <w:gridSpan w:val="2"/>
          </w:tcPr>
          <w:p>
            <w:pPr>
              <w:ind w:left="20"/>
              <w:spacing w:after="0"/>
              <w:rPr>
                <w:sz w:val="20"/>
                <w:szCs w:val="20"/>
                <w:color w:val="auto"/>
              </w:rPr>
            </w:pPr>
            <w:r>
              <w:rPr>
                <w:rFonts w:ascii="Arial" w:cs="Arial" w:eastAsia="Arial" w:hAnsi="Arial"/>
                <w:sz w:val="13"/>
                <w:szCs w:val="13"/>
                <w:color w:val="auto"/>
              </w:rPr>
              <w:t>Dr. Thomas Caulfield</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David Reeder</w:t>
            </w:r>
            <w:r>
              <w:rPr>
                <w:rFonts w:ascii="Arial" w:cs="Arial" w:eastAsia="Arial" w:hAnsi="Arial"/>
                <w:sz w:val="16"/>
                <w:szCs w:val="16"/>
                <w:color w:val="auto"/>
                <w:vertAlign w:val="superscript"/>
              </w:rPr>
              <w:t>(2)</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7940" w:type="dxa"/>
            <w:vAlign w:val="bottom"/>
            <w:gridSpan w:val="2"/>
          </w:tcPr>
          <w:p>
            <w:pPr>
              <w:ind w:left="20"/>
              <w:spacing w:after="0"/>
              <w:rPr>
                <w:sz w:val="20"/>
                <w:szCs w:val="20"/>
                <w:color w:val="auto"/>
              </w:rPr>
            </w:pPr>
            <w:r>
              <w:rPr>
                <w:rFonts w:ascii="Arial" w:cs="Arial" w:eastAsia="Arial" w:hAnsi="Arial"/>
                <w:sz w:val="13"/>
                <w:szCs w:val="13"/>
                <w:color w:val="auto"/>
              </w:rPr>
              <w:t>Niels Anderskouv</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Saam Azar</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7940" w:type="dxa"/>
            <w:vAlign w:val="bottom"/>
            <w:gridSpan w:val="2"/>
          </w:tcPr>
          <w:p>
            <w:pPr>
              <w:ind w:left="20"/>
              <w:spacing w:after="0"/>
              <w:rPr>
                <w:sz w:val="20"/>
                <w:szCs w:val="20"/>
                <w:color w:val="auto"/>
              </w:rPr>
            </w:pPr>
            <w:r>
              <w:rPr>
                <w:rFonts w:ascii="Arial" w:cs="Arial" w:eastAsia="Arial" w:hAnsi="Arial"/>
                <w:sz w:val="13"/>
                <w:szCs w:val="13"/>
                <w:color w:val="auto"/>
              </w:rPr>
              <w:t>Tim Breen</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Pradheepa Raman</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7940" w:type="dxa"/>
            <w:vAlign w:val="bottom"/>
            <w:gridSpan w:val="2"/>
          </w:tcPr>
          <w:p>
            <w:pPr>
              <w:ind w:left="20"/>
              <w:spacing w:after="0"/>
              <w:rPr>
                <w:sz w:val="20"/>
                <w:szCs w:val="20"/>
                <w:color w:val="auto"/>
              </w:rPr>
            </w:pPr>
            <w:r>
              <w:rPr>
                <w:rFonts w:ascii="Arial" w:cs="Arial" w:eastAsia="Arial" w:hAnsi="Arial"/>
                <w:sz w:val="13"/>
                <w:szCs w:val="13"/>
                <w:color w:val="auto"/>
              </w:rPr>
              <w:t>Ahmed Yahia</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Ahmed Saeed Al Calily</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7940" w:type="dxa"/>
            <w:vAlign w:val="bottom"/>
            <w:gridSpan w:val="2"/>
          </w:tcPr>
          <w:p>
            <w:pPr>
              <w:ind w:left="20"/>
              <w:spacing w:after="0"/>
              <w:rPr>
                <w:sz w:val="20"/>
                <w:szCs w:val="20"/>
                <w:color w:val="auto"/>
              </w:rPr>
            </w:pPr>
            <w:r>
              <w:rPr>
                <w:rFonts w:ascii="Arial" w:cs="Arial" w:eastAsia="Arial" w:hAnsi="Arial"/>
                <w:sz w:val="13"/>
                <w:szCs w:val="13"/>
                <w:color w:val="auto"/>
              </w:rPr>
              <w:t>Glenda Dorchak</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Martin L. Edelman</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7940" w:type="dxa"/>
            <w:vAlign w:val="bottom"/>
            <w:gridSpan w:val="2"/>
          </w:tcPr>
          <w:p>
            <w:pPr>
              <w:ind w:left="20"/>
              <w:spacing w:after="0"/>
              <w:rPr>
                <w:sz w:val="20"/>
                <w:szCs w:val="20"/>
                <w:color w:val="auto"/>
              </w:rPr>
            </w:pPr>
            <w:r>
              <w:rPr>
                <w:rFonts w:ascii="Arial" w:cs="Arial" w:eastAsia="Arial" w:hAnsi="Arial"/>
                <w:sz w:val="13"/>
                <w:szCs w:val="13"/>
                <w:color w:val="auto"/>
              </w:rPr>
              <w:t>David Kerko</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Jack Lazar</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7940" w:type="dxa"/>
            <w:vAlign w:val="bottom"/>
            <w:gridSpan w:val="2"/>
          </w:tcPr>
          <w:p>
            <w:pPr>
              <w:ind w:left="20"/>
              <w:spacing w:after="0"/>
              <w:rPr>
                <w:sz w:val="20"/>
                <w:szCs w:val="20"/>
                <w:color w:val="auto"/>
              </w:rPr>
            </w:pPr>
            <w:r>
              <w:rPr>
                <w:rFonts w:ascii="Arial" w:cs="Arial" w:eastAsia="Arial" w:hAnsi="Arial"/>
                <w:sz w:val="13"/>
                <w:szCs w:val="13"/>
                <w:color w:val="auto"/>
              </w:rPr>
              <w:t>Elissa E. Murphy</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Carlos Obeid</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7940" w:type="dxa"/>
            <w:vAlign w:val="bottom"/>
            <w:gridSpan w:val="2"/>
          </w:tcPr>
          <w:p>
            <w:pPr>
              <w:ind w:left="20"/>
              <w:spacing w:after="0"/>
              <w:rPr>
                <w:sz w:val="20"/>
                <w:szCs w:val="20"/>
                <w:color w:val="auto"/>
              </w:rPr>
            </w:pPr>
            <w:r>
              <w:rPr>
                <w:rFonts w:ascii="Arial" w:cs="Arial" w:eastAsia="Arial" w:hAnsi="Arial"/>
                <w:sz w:val="13"/>
                <w:szCs w:val="13"/>
                <w:color w:val="auto"/>
              </w:rPr>
              <w:t>Bobby Yerramilli-Rao</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8"/>
        </w:trPr>
        <w:tc>
          <w:tcPr>
            <w:tcW w:w="7940" w:type="dxa"/>
            <w:vAlign w:val="bottom"/>
            <w:gridSpan w:val="2"/>
          </w:tcPr>
          <w:p>
            <w:pPr>
              <w:spacing w:after="0"/>
              <w:rPr>
                <w:sz w:val="20"/>
                <w:szCs w:val="20"/>
                <w:color w:val="auto"/>
              </w:rPr>
            </w:pPr>
            <w:r>
              <w:rPr>
                <w:rFonts w:ascii="Arial" w:cs="Arial" w:eastAsia="Arial" w:hAnsi="Arial"/>
                <w:sz w:val="13"/>
                <w:szCs w:val="13"/>
                <w:color w:val="auto"/>
              </w:rPr>
              <w:t>*Represents beneficial ownership of less than 1% of our issued and outstanding ordinary shares.</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7940" w:type="dxa"/>
            <w:vAlign w:val="bottom"/>
            <w:gridSpan w:val="2"/>
          </w:tcPr>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According to report on Schedule 13G filed with the SEC on February 9, 2024, by FMR LLC.</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940" w:type="dxa"/>
            <w:vAlign w:val="bottom"/>
            <w:gridSpan w:val="2"/>
          </w:tcPr>
          <w:p>
            <w:pPr>
              <w:spacing w:after="0"/>
              <w:rPr>
                <w:sz w:val="20"/>
                <w:szCs w:val="20"/>
                <w:color w:val="auto"/>
              </w:rPr>
            </w:pPr>
            <w:r>
              <w:rPr>
                <w:rFonts w:ascii="Arial" w:cs="Arial" w:eastAsia="Arial" w:hAnsi="Arial"/>
                <w:sz w:val="16"/>
                <w:szCs w:val="16"/>
                <w:color w:val="auto"/>
                <w:vertAlign w:val="superscript"/>
              </w:rPr>
              <w:t>(2)</w:t>
            </w:r>
            <w:r>
              <w:rPr>
                <w:rFonts w:ascii="Arial" w:cs="Arial" w:eastAsia="Arial" w:hAnsi="Arial"/>
                <w:sz w:val="13"/>
                <w:szCs w:val="13"/>
                <w:color w:val="auto"/>
              </w:rPr>
              <w:t>David Reeder was CFO on December 31, 2023. John Hollister succeeded Mr. Reeder as CFO on February 5, 2024.</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0"/>
        </w:trPr>
        <w:tc>
          <w:tcPr>
            <w:tcW w:w="7940" w:type="dxa"/>
            <w:vAlign w:val="bottom"/>
            <w:gridSpan w:val="2"/>
          </w:tcPr>
          <w:p>
            <w:pPr>
              <w:spacing w:after="0"/>
              <w:rPr>
                <w:sz w:val="20"/>
                <w:szCs w:val="20"/>
                <w:color w:val="auto"/>
              </w:rPr>
            </w:pPr>
            <w:r>
              <w:rPr>
                <w:rFonts w:ascii="Arial" w:cs="Arial" w:eastAsia="Arial" w:hAnsi="Arial"/>
                <w:sz w:val="13"/>
                <w:szCs w:val="13"/>
                <w:b w:val="1"/>
                <w:bCs w:val="1"/>
                <w:color w:val="auto"/>
              </w:rPr>
              <w:t>B. Related Party Transactions</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940" w:type="dxa"/>
            <w:vAlign w:val="bottom"/>
            <w:gridSpan w:val="2"/>
          </w:tcPr>
          <w:p>
            <w:pPr>
              <w:spacing w:after="0"/>
              <w:rPr>
                <w:sz w:val="20"/>
                <w:szCs w:val="20"/>
                <w:color w:val="auto"/>
              </w:rPr>
            </w:pPr>
            <w:r>
              <w:rPr>
                <w:rFonts w:ascii="Arial" w:cs="Arial" w:eastAsia="Arial" w:hAnsi="Arial"/>
                <w:sz w:val="13"/>
                <w:szCs w:val="13"/>
                <w:b w:val="1"/>
                <w:bCs w:val="1"/>
                <w:color w:val="auto"/>
              </w:rPr>
              <w:t>Mubadala</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Secondments</w:t>
      </w:r>
    </w:p>
    <w:p>
      <w:pPr>
        <w:spacing w:after="0" w:line="84"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Between January 1, 2023, and the date of this Annual Report, Mubadala has seconded a limited number of persons to us, including Tim Breen, who serves as our COO and is a member of our Board of Directors and continues to be seconded to us as of the date of this Annual Report. From January 1, 2023 to December 31, 2023, we paid Mubadala approximately $5 million* in consideration of the services provided by the secondees, pursuant to individual secondment agreements with Mubadala. On November 7, 2023, we entered into a new secondment agreement that sets forth the terms of Mr. Breen’s secondment to GF, including Mr. Breen’s compensation and GF’s reimbursement obligations to Mubadala, beginning in January 1, 2024, for Mr. Breen’s compensation.</w:t>
      </w:r>
    </w:p>
    <w:p>
      <w:pPr>
        <w:spacing w:after="0" w:line="5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secondment agreements relating to other Mubadala secondees have been superseded by a Consulting Service Agreement, dated January 1, 2024, between Mubadala and GF (the “Consulting Services Agreement”). The Consulting Services Agreement sets forth the terms of all other employee secondments by Mubadala to GF, including employee compensation and related reimbursement obligations, and provides Mubadala and GF with the flexibility to second additional employees from Mubadala to GF in the future, as appropriate. Under the terms of the Consulting Services Agreement, Mubadala Performance Partners will provide services including strategic planning and execution support, operational process optimization, talent acquisition and management, supply chain and logistics optimization, cost efficiency improvement support, and analysis of M&amp;A and corporate development opportunities. The Company will pay Mubadala Performance Partners an annual fee of $8 million for such services. The Company may terminate the Consulting Services Agreement at any time by providing written notice, and the Consulting Services Agreement includes other customary termination provisions.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68" w:name="page69"/>
    <w:bookmarkEnd w:id="68"/>
    <w:p>
      <w:pPr>
        <w:ind w:firstLine="5"/>
        <w:spacing w:after="0" w:line="266" w:lineRule="auto"/>
        <w:tabs>
          <w:tab w:leader="none" w:pos="11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portion of this amount paid in consideration of the services provided by Mr. Breen to GF is also included in the aggregate compensation amount reported in “Item 6. Directors, Senior Management and Employees—B. Compensation—Aggregate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Shareholder’s Agreement</w:t>
      </w:r>
    </w:p>
    <w:p>
      <w:pPr>
        <w:spacing w:after="0" w:line="8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Prior to the consummation of our IPO in 2021, we entered into the Shareholder’s Agreement with Mubadala through two of its subsidiaries holding our ordinary shares, MTIC and MTIIIC. The Shareholder’s Agreement provides that, for so long as the Mubadala Entities, in the aggregate, beneficially own 50% or more of the ordinary shares held by the Mubadala Entities, MTIC is entitled to nominate a number of Mubadala Designees to our Board of Directors representing a majority of our directors. The Shareholder’s Agreement specifies how such nomination rights decrease as the Mubadala Entities’ beneficial ownership of our ordinary shares decreases. Specifically, for so long as the Mubadala Entities, in the aggregate, beneficially own (i) 40% or more, but less than 50%, (ii) 30% or more, but less than 40%, (iii) 20% or more, but less than 30%, and (iv) 5% or more, but less than 20%, of the ordinary shares held by the Mubadala Entities, MTIC shall be entitled to Mubadala Designees on our Board of Directors representing at least 50%, 40%, 30% and 20%, respectively, of our directors. The Shareholder’s Agreement provides that for so long as MTIC is entitled to nominate at least 30% of our directors, the chairman of our Board of Directors shall be appointed by a majority vote of the Mubadala Designees directors.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Shareholder’s Agreement specifies that, where there is a vacant Board position in respect of a Mubadala Designee director, such vacancy shall be filled only by a decision of a majority of the Mubadala Designee directors then in office or, if there are no such directors then in office, by MTIC. Additionally, we will include the Mubadala Designees on the slate that is included in our proxy statement relating to the appointment of directors of the class to which such persons belong and provide the highest level of support for the appointment of each such person as we provide to any other individual standing for appointment as a director.</w:t>
      </w:r>
    </w:p>
    <w:p>
      <w:pPr>
        <w:spacing w:after="0" w:line="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Shareholder’s Agreement also specifies that until such time as the Mubadala Entities no longer beneficially own at least 30% of our outstanding ordinary shares, we will not, nor will we permit our subsidiaries, to take certain significant actions specified therein without the prior consent of MTIC. These actions include:</w:t>
      </w:r>
    </w:p>
    <w:p>
      <w:pPr>
        <w:spacing w:after="0" w:line="40" w:lineRule="exact"/>
        <w:rPr>
          <w:sz w:val="20"/>
          <w:szCs w:val="20"/>
          <w:color w:val="auto"/>
        </w:rPr>
      </w:pPr>
    </w:p>
    <w:p>
      <w:pPr>
        <w:ind w:left="520" w:hanging="6"/>
        <w:spacing w:after="0" w:line="283" w:lineRule="auto"/>
        <w:tabs>
          <w:tab w:leader="none" w:pos="603" w:val="left"/>
        </w:tabs>
        <w:numPr>
          <w:ilvl w:val="0"/>
          <w:numId w:val="55"/>
        </w:numPr>
        <w:rPr>
          <w:rFonts w:ascii="Arial" w:cs="Arial" w:eastAsia="Arial" w:hAnsi="Arial"/>
          <w:sz w:val="13"/>
          <w:szCs w:val="13"/>
          <w:color w:val="auto"/>
        </w:rPr>
      </w:pPr>
      <w:r>
        <w:rPr>
          <w:rFonts w:ascii="Arial" w:cs="Arial" w:eastAsia="Arial" w:hAnsi="Arial"/>
          <w:sz w:val="13"/>
          <w:szCs w:val="13"/>
          <w:color w:val="auto"/>
        </w:rPr>
        <w:t>amendments or modifications to, or repealing of, (whether by merger, consolidation or otherwise) any provisions of our organizational documents in a manner that would adversely affect the Mubadala Entities beneficially owning outstanding ordinary shares;</w:t>
      </w:r>
    </w:p>
    <w:p>
      <w:pPr>
        <w:spacing w:after="0" w:line="40" w:lineRule="exact"/>
        <w:rPr>
          <w:rFonts w:ascii="Arial" w:cs="Arial" w:eastAsia="Arial" w:hAnsi="Arial"/>
          <w:sz w:val="13"/>
          <w:szCs w:val="13"/>
          <w:color w:val="auto"/>
        </w:rPr>
      </w:pPr>
    </w:p>
    <w:p>
      <w:pPr>
        <w:ind w:left="600" w:hanging="86"/>
        <w:spacing w:after="0"/>
        <w:tabs>
          <w:tab w:leader="none" w:pos="6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issuances of equity securities, subject to customary exceptions;</w:t>
      </w:r>
    </w:p>
    <w:p>
      <w:pPr>
        <w:spacing w:after="0" w:line="83" w:lineRule="exact"/>
        <w:rPr>
          <w:rFonts w:ascii="Arial" w:cs="Arial" w:eastAsia="Arial" w:hAnsi="Arial"/>
          <w:sz w:val="13"/>
          <w:szCs w:val="13"/>
          <w:color w:val="auto"/>
        </w:rPr>
      </w:pPr>
    </w:p>
    <w:p>
      <w:pPr>
        <w:ind w:left="600" w:hanging="86"/>
        <w:spacing w:after="0"/>
        <w:tabs>
          <w:tab w:leader="none" w:pos="6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acquisitions or dispositions in an amount exceeding $300 million in any single transaction or $500 million in any calendar year, other than pursuant to ordinary course transactions;</w:t>
      </w:r>
    </w:p>
    <w:p>
      <w:pPr>
        <w:spacing w:after="0" w:line="94" w:lineRule="exact"/>
        <w:rPr>
          <w:rFonts w:ascii="Arial" w:cs="Arial" w:eastAsia="Arial" w:hAnsi="Arial"/>
          <w:sz w:val="13"/>
          <w:szCs w:val="13"/>
          <w:color w:val="auto"/>
        </w:rPr>
      </w:pPr>
    </w:p>
    <w:p>
      <w:pPr>
        <w:ind w:left="600" w:hanging="86"/>
        <w:spacing w:after="0"/>
        <w:tabs>
          <w:tab w:leader="none" w:pos="6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mergers, consolidations, or other transactions that would involve a change of control of our company;</w:t>
      </w:r>
    </w:p>
    <w:p>
      <w:pPr>
        <w:spacing w:after="0" w:line="83" w:lineRule="exact"/>
        <w:rPr>
          <w:rFonts w:ascii="Arial" w:cs="Arial" w:eastAsia="Arial" w:hAnsi="Arial"/>
          <w:sz w:val="13"/>
          <w:szCs w:val="13"/>
          <w:color w:val="auto"/>
        </w:rPr>
      </w:pPr>
    </w:p>
    <w:p>
      <w:pPr>
        <w:ind w:left="600" w:hanging="86"/>
        <w:spacing w:after="0"/>
        <w:tabs>
          <w:tab w:leader="none" w:pos="6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incurring financial indebtedness in an amount exceeding $200 million, subject to certain exceptions;</w:t>
      </w:r>
    </w:p>
    <w:p>
      <w:pPr>
        <w:spacing w:after="0" w:line="94" w:lineRule="exact"/>
        <w:rPr>
          <w:rFonts w:ascii="Arial" w:cs="Arial" w:eastAsia="Arial" w:hAnsi="Arial"/>
          <w:sz w:val="13"/>
          <w:szCs w:val="13"/>
          <w:color w:val="auto"/>
        </w:rPr>
      </w:pPr>
    </w:p>
    <w:p>
      <w:pPr>
        <w:ind w:left="600" w:hanging="86"/>
        <w:spacing w:after="0"/>
        <w:tabs>
          <w:tab w:leader="none" w:pos="6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hiring or terminating our Chief Executive Officer, Chief Financial Officer or Chief Legal Officer or designating any replacement thereto;</w:t>
      </w:r>
    </w:p>
    <w:p>
      <w:pPr>
        <w:spacing w:after="0" w:line="83" w:lineRule="exact"/>
        <w:rPr>
          <w:rFonts w:ascii="Arial" w:cs="Arial" w:eastAsia="Arial" w:hAnsi="Arial"/>
          <w:sz w:val="13"/>
          <w:szCs w:val="13"/>
          <w:color w:val="auto"/>
        </w:rPr>
      </w:pPr>
    </w:p>
    <w:p>
      <w:pPr>
        <w:ind w:left="600" w:hanging="86"/>
        <w:spacing w:after="0"/>
        <w:tabs>
          <w:tab w:leader="none" w:pos="6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liquidation, dissolution or winding up of our company;</w:t>
      </w:r>
    </w:p>
    <w:p>
      <w:pPr>
        <w:spacing w:after="0" w:line="83" w:lineRule="exact"/>
        <w:rPr>
          <w:rFonts w:ascii="Arial" w:cs="Arial" w:eastAsia="Arial" w:hAnsi="Arial"/>
          <w:sz w:val="13"/>
          <w:szCs w:val="13"/>
          <w:color w:val="auto"/>
        </w:rPr>
      </w:pPr>
    </w:p>
    <w:p>
      <w:pPr>
        <w:ind w:left="600" w:hanging="86"/>
        <w:spacing w:after="0"/>
        <w:tabs>
          <w:tab w:leader="none" w:pos="6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any material change in the nature of the business of our company and our subsidiaries, taken as a whole; or</w:t>
      </w:r>
    </w:p>
    <w:p>
      <w:pPr>
        <w:spacing w:after="0" w:line="94" w:lineRule="exact"/>
        <w:rPr>
          <w:rFonts w:ascii="Arial" w:cs="Arial" w:eastAsia="Arial" w:hAnsi="Arial"/>
          <w:sz w:val="13"/>
          <w:szCs w:val="13"/>
          <w:color w:val="auto"/>
        </w:rPr>
      </w:pPr>
    </w:p>
    <w:p>
      <w:pPr>
        <w:ind w:left="600" w:hanging="86"/>
        <w:spacing w:after="0"/>
        <w:tabs>
          <w:tab w:leader="none" w:pos="6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changes to the size of our Board of Directors.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Shareholder’s Agreement entitles the Mubadala Entities to certain information rights. The Mubadala Entities are permitted to share such disclosed information with other Mubadala Entities and their directors, officers, employees, consultants, advisers, and financing providers, provided that the recipient maintain the confidentiality of such disclosed information.</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will use our reasonable best efforts, if permitted by applicable law and regulation (including, in particular, our Audit Committee’s responsibilities under U.S. securities laws and regulations) and if in the best interests of the company, to select the same independent certified public accounting firm, or auditor, used by Mubadala (or an affiliate of such auditor) and to provide to Mubadala as much prior notice as reasonably practical of any change in our auditor until the first fiscal year end occurring after the date on which Mubadala and any entities owned by the Government of Abu Dhabi, together with their subsidiaries, no longer own in aggregate at least 25% of the voting power of our then outstanding securities. When selecting our auditor, we have agreed that we will give due consideration to the benefits arising to our company from the use of the same auditor as Mubadala (or an affiliate of such auditor).</w:t>
      </w:r>
    </w:p>
    <w:p>
      <w:pPr>
        <w:spacing w:after="0" w:line="5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Shareholder’s Agreement is governed by Cayman Islands law and will terminate on the earlier to occur of (i) such time as the Mubadala Entities, in aggregate, cease to beneficially own 5% or more of our outstanding ordinary shares, and (ii) upon the delivery of a written notice by MTIC to us requesting its termination.</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Certain of the provisions of the Shareholder’s Agreement have been included in our Memorandum and Articles of Association.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69" w:name="page70"/>
    <w:bookmarkEnd w:id="69"/>
    <w:p>
      <w:pPr>
        <w:spacing w:after="0"/>
        <w:rPr>
          <w:sz w:val="20"/>
          <w:szCs w:val="20"/>
          <w:color w:val="auto"/>
        </w:rPr>
      </w:pPr>
      <w:r>
        <w:rPr>
          <w:rFonts w:ascii="Arial" w:cs="Arial" w:eastAsia="Arial" w:hAnsi="Arial"/>
          <w:sz w:val="13"/>
          <w:szCs w:val="13"/>
          <w:b w:val="1"/>
          <w:bCs w:val="1"/>
          <w:i w:val="1"/>
          <w:iCs w:val="1"/>
          <w:color w:val="auto"/>
        </w:rPr>
        <w:t>Registration Rights Agreement</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Prior to the consummation of our IPO in 2021, we entered into a registration rights agreement with MTIC and MTIIIC, pursuant to which those holders of ordinary shares are entitled to demand the registration of the sale of certain or all of our ordinary shares that they beneficially own (the “Registration Rights Agreement”). Among other things, under the terms of the Registration Rights Agreement:</w:t>
      </w:r>
    </w:p>
    <w:p>
      <w:pPr>
        <w:spacing w:after="0" w:line="64" w:lineRule="exact"/>
        <w:rPr>
          <w:sz w:val="20"/>
          <w:szCs w:val="20"/>
          <w:color w:val="auto"/>
        </w:rPr>
      </w:pPr>
    </w:p>
    <w:p>
      <w:pPr>
        <w:jc w:val="both"/>
        <w:ind w:left="520" w:hanging="6"/>
        <w:spacing w:after="0" w:line="252" w:lineRule="auto"/>
        <w:tabs>
          <w:tab w:leader="none" w:pos="607" w:val="left"/>
        </w:tabs>
        <w:numPr>
          <w:ilvl w:val="0"/>
          <w:numId w:val="56"/>
        </w:numPr>
        <w:rPr>
          <w:rFonts w:ascii="Arial" w:cs="Arial" w:eastAsia="Arial" w:hAnsi="Arial"/>
          <w:sz w:val="13"/>
          <w:szCs w:val="13"/>
          <w:color w:val="auto"/>
        </w:rPr>
      </w:pPr>
      <w:r>
        <w:rPr>
          <w:rFonts w:ascii="Arial" w:cs="Arial" w:eastAsia="Arial" w:hAnsi="Arial"/>
          <w:sz w:val="13"/>
          <w:szCs w:val="13"/>
          <w:color w:val="auto"/>
        </w:rPr>
        <w:t>Each holder has an unlimited right, subject to certain conditions and exceptions, to request that we file registration statements with the SEC for one or more underwritten offerings of all or part of our ordinary shares that the holder beneficially owns, and we are required to cause any such registration statements (a) to be filed with the SEC as promptly as practicable and (b) to use commercially reasonable efforts to cause such registration statements to become effective as soon as reasonably practicable;</w:t>
      </w:r>
    </w:p>
    <w:p>
      <w:pPr>
        <w:spacing w:after="0" w:line="70" w:lineRule="exact"/>
        <w:rPr>
          <w:rFonts w:ascii="Arial" w:cs="Arial" w:eastAsia="Arial" w:hAnsi="Arial"/>
          <w:sz w:val="13"/>
          <w:szCs w:val="13"/>
          <w:color w:val="auto"/>
        </w:rPr>
      </w:pPr>
    </w:p>
    <w:p>
      <w:pPr>
        <w:jc w:val="both"/>
        <w:ind w:left="520" w:hanging="6"/>
        <w:spacing w:after="0" w:line="261" w:lineRule="auto"/>
        <w:tabs>
          <w:tab w:leader="none" w:pos="608" w:val="left"/>
        </w:tabs>
        <w:numPr>
          <w:ilvl w:val="0"/>
          <w:numId w:val="56"/>
        </w:numPr>
        <w:rPr>
          <w:rFonts w:ascii="Arial" w:cs="Arial" w:eastAsia="Arial" w:hAnsi="Arial"/>
          <w:sz w:val="13"/>
          <w:szCs w:val="13"/>
          <w:color w:val="auto"/>
        </w:rPr>
      </w:pPr>
      <w:r>
        <w:rPr>
          <w:rFonts w:ascii="Arial" w:cs="Arial" w:eastAsia="Arial" w:hAnsi="Arial"/>
          <w:sz w:val="13"/>
          <w:szCs w:val="13"/>
          <w:color w:val="auto"/>
        </w:rPr>
        <w:t>If we propose to file certain types of registration statements under the Securities Act with respect to an offering of equity securities by us, we are required to use commercially reasonable efforts to offer the other parties to the Registration Rights Agreement, if any, the opportunity to register the sale of all or part of their shares on the terms and conditions set forth in the Registration Rights Agreement (customarily known as “piggyback rights”); and</w:t>
      </w:r>
    </w:p>
    <w:p>
      <w:pPr>
        <w:spacing w:after="0" w:line="53" w:lineRule="exact"/>
        <w:rPr>
          <w:rFonts w:ascii="Arial" w:cs="Arial" w:eastAsia="Arial" w:hAnsi="Arial"/>
          <w:sz w:val="13"/>
          <w:szCs w:val="13"/>
          <w:color w:val="auto"/>
        </w:rPr>
      </w:pPr>
    </w:p>
    <w:p>
      <w:pPr>
        <w:ind w:left="600" w:hanging="86"/>
        <w:spacing w:after="0"/>
        <w:tabs>
          <w:tab w:leader="none" w:pos="6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All expenses of registration under the Registration Rights Agreement, including the legal fees of one counsel retained by or on behalf of the holders, will be paid by us.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registration rights granted in the Registration Rights Agreement are subject to customary restrictions such as minimum offering sizes, blackout periods and, if a registration is underwritten, any limitations on the number of shares to be included in the underwritten offering as reasonably advised by the managing underwriter. The rights of the holders under the Registration Rights Agreement are assignable to certain transferees of the holders’ ordinary shares. The Registration Rights Agreement also contains customary indemnification and contribution provisions. The Registration Rights Agreement is governed by New York law.</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SMP</w:t>
      </w:r>
    </w:p>
    <w:p>
      <w:pPr>
        <w:spacing w:after="0" w:line="84"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Silicon Manufacturing Partners Pte Ltd. (“SMP”) is a joint venture between Avago Technologies International Sales Pte. Limited (“Avago Singapore”) and Globalfoundries Singapore Pte. Ltd. During 2022, Avago Singapore acquired 51% of the shares in the share capital of SMP from LSI Technology (Singapore) Pte. Ltd. (“LSI”) and the rights and obligations of LSI under the existing Joint Venture Agreement were novated to Avago Singapore. We hold a 49% interest in SMP and manage all aspects of its manufacturing operations. In the year ended December 31, 2023, we purchased products, primarily wafers, from SMP for an aggregate of $61 million. We also reimbursed expenses of and contributed tools to SMP in that period, with an aggregate expense of $61 million.</w:t>
      </w:r>
    </w:p>
    <w:p>
      <w:pPr>
        <w:spacing w:after="0" w:line="139" w:lineRule="exact"/>
        <w:rPr>
          <w:sz w:val="20"/>
          <w:szCs w:val="20"/>
          <w:color w:val="auto"/>
        </w:rPr>
      </w:pPr>
    </w:p>
    <w:p>
      <w:pPr>
        <w:ind w:left="260" w:hanging="255"/>
        <w:spacing w:after="0"/>
        <w:tabs>
          <w:tab w:leader="none" w:pos="260"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Interests of Experts and Counsel.</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2"/>
          <w:szCs w:val="12"/>
          <w:b w:val="1"/>
          <w:bCs w:val="1"/>
          <w:color w:val="auto"/>
        </w:rPr>
        <w:t>FINANCIAL INFORMATION</w:t>
      </w:r>
    </w:p>
    <w:p>
      <w:pPr>
        <w:spacing w:after="0" w:line="126" w:lineRule="exact"/>
        <w:rPr>
          <w:sz w:val="20"/>
          <w:szCs w:val="20"/>
          <w:color w:val="auto"/>
        </w:rPr>
      </w:pPr>
    </w:p>
    <w:p>
      <w:pPr>
        <w:ind w:left="260" w:hanging="255"/>
        <w:spacing w:after="0"/>
        <w:tabs>
          <w:tab w:leader="none" w:pos="260"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Consolidated Financial Statements and Other Financial Information</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Please see “Item 18. Financial Statements”. Other than as disclosed elsewhere in this Annual Report, no significant change has occurred since the date of the Annual Consolidated Financial Statements.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Legal Proceedings</w:t>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On April 28, 2021, IBM sent us a letter alleging for the first time that we did not fulfill our obligations under the contracts we entered into with IBM in 2014 and 2015 associated with our acquisition of IBM’s Microelectronics division. IBM asserted that we engaged in fraudulent misrepresentations during the underlying negotiations, and claimed we owed them $2.5 billion in damages and restitution. On June 7, 2021, the Company filed a complaint with the New York State Supreme Court (the “Court”) seeking a declaratory judgment that the Company did not breach the relevant contracts. IBM subsequently filed its complaint with the Court on June 8, 2021. On September 14, 2021, the Court granted our motion to dismiss IBM’s claims of fraud, unjust enrichment and breach of the implied covenant of good faith and fair dealing. IBM appealed the dismissal of its fraud claim, and on April 7, 2022, the New York Appellate Division reversed the Court’s decision. Discovery and dispositive motion practice have been completed and the parties are awaiting a trial date. The Company believes, based on discussions with legal counsel, that the Company has meritorious defenses against IBM’s claims. The Company disputes IBM’s claims and intends to vigorously defend against IBM. We do not currently anticipate this proceeding to have a material impact on our results of operations, financial condition, business and prospects.</w:t>
      </w:r>
    </w:p>
    <w:p>
      <w:pPr>
        <w:spacing w:after="0" w:line="7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 addition to the foregoing proceeding, from time to time, we become involved in legal proceedings arising in the ordinary course of our business, such as claims brought by our customers in connection with commercial disputes, product liability claims, employment claims made by our current or former employees or claims of infringement raised by intellectual property owners, in connection with the technology used in our manufacturing operations. Based on the information currently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70" w:name="page71"/>
    <w:bookmarkEnd w:id="70"/>
    <w:p>
      <w:pPr>
        <w:ind w:right="1580"/>
        <w:spacing w:after="0" w:line="383" w:lineRule="auto"/>
        <w:rPr>
          <w:sz w:val="20"/>
          <w:szCs w:val="20"/>
          <w:color w:val="auto"/>
        </w:rPr>
      </w:pPr>
      <w:r>
        <w:rPr>
          <w:rFonts w:ascii="Arial" w:cs="Arial" w:eastAsia="Arial" w:hAnsi="Arial"/>
          <w:sz w:val="13"/>
          <w:szCs w:val="13"/>
          <w:color w:val="auto"/>
        </w:rPr>
        <w:t xml:space="preserve">available to us, we believe that the outcome of these proceedings would not have a material impact on our results of operations, financial condition, business and prospects. </w:t>
      </w:r>
      <w:r>
        <w:rPr>
          <w:rFonts w:ascii="Arial" w:cs="Arial" w:eastAsia="Arial" w:hAnsi="Arial"/>
          <w:sz w:val="13"/>
          <w:szCs w:val="13"/>
          <w:b w:val="1"/>
          <w:bCs w:val="1"/>
          <w:color w:val="auto"/>
        </w:rPr>
        <w:t>Dividends and Dividend Policy</w:t>
      </w:r>
    </w:p>
    <w:p>
      <w:pPr>
        <w:jc w:val="both"/>
        <w:spacing w:after="0" w:line="249" w:lineRule="auto"/>
        <w:rPr>
          <w:sz w:val="20"/>
          <w:szCs w:val="20"/>
          <w:color w:val="auto"/>
        </w:rPr>
      </w:pPr>
      <w:r>
        <w:rPr>
          <w:rFonts w:ascii="Arial" w:cs="Arial" w:eastAsia="Arial" w:hAnsi="Arial"/>
          <w:sz w:val="13"/>
          <w:szCs w:val="13"/>
          <w:color w:val="auto"/>
        </w:rPr>
        <w:t>We currently intend to retain all available funds and any future earnings to fund the development and growth of our business. Therefore, we do not anticipate declaring or paying any cash dividends to our shareholders in the foreseeable future. Any future determination as to the declaration and payment of dividends, if any, will be at the discretion of our Board of Directors, subject to applicable laws, and will depend on a number of factors, including our business prospects, results of operations, financial condition, cash requirements and availability, debt repayment obligations, capital expenditure needs, covenants in the agreements governing our current and future indebtedness, other contractual restrictions, industry trends and any other factors or considerations our Board of Directors may regard as relevant.</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Under Cayman Islands law, dividends may be declared and paid only out of funds legally available therefor, namely out of either profit or distributable reserves, including our share premium account, and provided further that a dividend may not be paid if this would result in us being unable to pay our debts as they fall due in the ordinary course of business.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additional information, see “Item 3. Key Information—D. Risk Factors—Risk Factors—Risks Related to our Ordinary Shares—We do not expect to declare or pay any dividends on our ordinary shares for the foreseeable future.”</w:t>
      </w:r>
    </w:p>
    <w:p>
      <w:pPr>
        <w:spacing w:after="0" w:line="51" w:lineRule="exact"/>
        <w:rPr>
          <w:sz w:val="20"/>
          <w:szCs w:val="20"/>
          <w:color w:val="auto"/>
        </w:rPr>
      </w:pPr>
    </w:p>
    <w:p>
      <w:pPr>
        <w:ind w:left="520" w:right="9800" w:hanging="515"/>
        <w:spacing w:after="0" w:line="420" w:lineRule="auto"/>
        <w:tabs>
          <w:tab w:leader="none" w:pos="265"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Significant Changes </w:t>
      </w:r>
      <w:r>
        <w:rPr>
          <w:rFonts w:ascii="Arial" w:cs="Arial" w:eastAsia="Arial" w:hAnsi="Arial"/>
          <w:sz w:val="13"/>
          <w:szCs w:val="13"/>
          <w:color w:val="auto"/>
        </w:rPr>
        <w:t>None.</w:t>
      </w:r>
    </w:p>
    <w:p>
      <w:pPr>
        <w:spacing w:after="0" w:line="39"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color w:val="auto"/>
        </w:rPr>
        <w:t>THE OFFER AND LISTING</w:t>
      </w:r>
    </w:p>
    <w:p>
      <w:pPr>
        <w:spacing w:after="0" w:line="126" w:lineRule="exact"/>
        <w:rPr>
          <w:sz w:val="20"/>
          <w:szCs w:val="20"/>
          <w:color w:val="auto"/>
        </w:rPr>
      </w:pPr>
    </w:p>
    <w:p>
      <w:pPr>
        <w:ind w:left="260" w:hanging="255"/>
        <w:spacing w:after="0"/>
        <w:tabs>
          <w:tab w:leader="none" w:pos="260" w:val="left"/>
        </w:tabs>
        <w:numPr>
          <w:ilvl w:val="0"/>
          <w:numId w:val="60"/>
        </w:numPr>
        <w:rPr>
          <w:rFonts w:ascii="Arial" w:cs="Arial" w:eastAsia="Arial" w:hAnsi="Arial"/>
          <w:sz w:val="13"/>
          <w:szCs w:val="13"/>
          <w:b w:val="1"/>
          <w:bCs w:val="1"/>
          <w:color w:val="auto"/>
        </w:rPr>
      </w:pPr>
      <w:r>
        <w:rPr>
          <w:rFonts w:ascii="Arial" w:cs="Arial" w:eastAsia="Arial" w:hAnsi="Arial"/>
          <w:sz w:val="13"/>
          <w:szCs w:val="13"/>
          <w:b w:val="1"/>
          <w:bCs w:val="1"/>
          <w:color w:val="auto"/>
        </w:rPr>
        <w:t>Offer and Listing Details</w:t>
      </w:r>
    </w:p>
    <w:p>
      <w:pPr>
        <w:spacing w:after="0" w:line="9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On November 1, 2021, we completed our IPO. The principal trading market for our ordinary shares is Nasdaq. Our ordinary shares have been listed on Nasdaq under the symbol “GFS” since October 28, 2021.</w:t>
      </w:r>
    </w:p>
    <w:p>
      <w:pPr>
        <w:spacing w:after="0" w:line="61" w:lineRule="exact"/>
        <w:rPr>
          <w:sz w:val="20"/>
          <w:szCs w:val="20"/>
          <w:color w:val="auto"/>
        </w:rPr>
      </w:pPr>
    </w:p>
    <w:p>
      <w:pPr>
        <w:ind w:left="260" w:right="9840" w:hanging="255"/>
        <w:spacing w:after="0" w:line="405" w:lineRule="auto"/>
        <w:tabs>
          <w:tab w:leader="none" w:pos="260" w:val="left"/>
        </w:tabs>
        <w:numPr>
          <w:ilvl w:val="0"/>
          <w:numId w:val="6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Plan of Distribution </w:t>
      </w:r>
      <w:r>
        <w:rPr>
          <w:rFonts w:ascii="Arial" w:cs="Arial" w:eastAsia="Arial" w:hAnsi="Arial"/>
          <w:sz w:val="12"/>
          <w:szCs w:val="12"/>
          <w:color w:val="auto"/>
        </w:rPr>
        <w:t>Not applicable.</w:t>
      </w:r>
    </w:p>
    <w:p>
      <w:pPr>
        <w:spacing w:after="0" w:line="1" w:lineRule="exact"/>
        <w:rPr>
          <w:rFonts w:ascii="Arial" w:cs="Arial" w:eastAsia="Arial" w:hAnsi="Arial"/>
          <w:sz w:val="12"/>
          <w:szCs w:val="12"/>
          <w:b w:val="1"/>
          <w:bCs w:val="1"/>
          <w:color w:val="auto"/>
        </w:rPr>
      </w:pPr>
    </w:p>
    <w:p>
      <w:pPr>
        <w:ind w:left="260" w:hanging="255"/>
        <w:spacing w:after="0"/>
        <w:tabs>
          <w:tab w:leader="none" w:pos="260"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Markets</w:t>
      </w:r>
    </w:p>
    <w:p>
      <w:pPr>
        <w:spacing w:after="0" w:line="94" w:lineRule="exact"/>
        <w:rPr>
          <w:rFonts w:ascii="Arial" w:cs="Arial" w:eastAsia="Arial" w:hAnsi="Arial"/>
          <w:sz w:val="13"/>
          <w:szCs w:val="13"/>
          <w:b w:val="1"/>
          <w:bCs w:val="1"/>
          <w:color w:val="auto"/>
        </w:rPr>
      </w:pPr>
    </w:p>
    <w:p>
      <w:pPr>
        <w:ind w:left="260"/>
        <w:spacing w:after="0"/>
        <w:rPr>
          <w:rFonts w:ascii="Arial" w:cs="Arial" w:eastAsia="Arial" w:hAnsi="Arial"/>
          <w:sz w:val="13"/>
          <w:szCs w:val="13"/>
          <w:b w:val="1"/>
          <w:bCs w:val="1"/>
          <w:color w:val="auto"/>
        </w:rPr>
      </w:pPr>
      <w:r>
        <w:rPr>
          <w:rFonts w:ascii="Arial" w:cs="Arial" w:eastAsia="Arial" w:hAnsi="Arial"/>
          <w:sz w:val="13"/>
          <w:szCs w:val="13"/>
          <w:color w:val="auto"/>
        </w:rPr>
        <w:t>See “Item 9. The Offer and Listing—A. Offer and Listing Details” above.</w:t>
      </w:r>
    </w:p>
    <w:p>
      <w:pPr>
        <w:spacing w:after="0" w:line="83" w:lineRule="exact"/>
        <w:rPr>
          <w:rFonts w:ascii="Arial" w:cs="Arial" w:eastAsia="Arial" w:hAnsi="Arial"/>
          <w:sz w:val="13"/>
          <w:szCs w:val="13"/>
          <w:b w:val="1"/>
          <w:bCs w:val="1"/>
          <w:color w:val="auto"/>
        </w:rPr>
      </w:pPr>
    </w:p>
    <w:p>
      <w:pPr>
        <w:ind w:left="260" w:right="9760" w:hanging="255"/>
        <w:spacing w:after="0" w:line="415" w:lineRule="auto"/>
        <w:tabs>
          <w:tab w:leader="none" w:pos="260" w:val="left"/>
        </w:tabs>
        <w:numPr>
          <w:ilvl w:val="0"/>
          <w:numId w:val="6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Selling Shareholders </w:t>
      </w:r>
      <w:r>
        <w:rPr>
          <w:rFonts w:ascii="Arial" w:cs="Arial" w:eastAsia="Arial" w:hAnsi="Arial"/>
          <w:sz w:val="12"/>
          <w:szCs w:val="12"/>
          <w:color w:val="auto"/>
        </w:rPr>
        <w:t>Not applicable.</w:t>
      </w:r>
    </w:p>
    <w:p>
      <w:pPr>
        <w:ind w:left="260" w:hanging="255"/>
        <w:spacing w:after="0"/>
        <w:tabs>
          <w:tab w:leader="none" w:pos="260"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Dilution</w:t>
      </w:r>
    </w:p>
    <w:p>
      <w:pPr>
        <w:spacing w:after="0" w:line="83" w:lineRule="exact"/>
        <w:rPr>
          <w:rFonts w:ascii="Arial" w:cs="Arial" w:eastAsia="Arial" w:hAnsi="Arial"/>
          <w:sz w:val="13"/>
          <w:szCs w:val="13"/>
          <w:b w:val="1"/>
          <w:bCs w:val="1"/>
          <w:color w:val="auto"/>
        </w:rPr>
      </w:pPr>
    </w:p>
    <w:p>
      <w:pPr>
        <w:ind w:left="260"/>
        <w:spacing w:after="0"/>
        <w:rPr>
          <w:rFonts w:ascii="Arial" w:cs="Arial" w:eastAsia="Arial" w:hAnsi="Arial"/>
          <w:sz w:val="13"/>
          <w:szCs w:val="13"/>
          <w:b w:val="1"/>
          <w:bCs w:val="1"/>
          <w:color w:val="auto"/>
        </w:rPr>
      </w:pPr>
      <w:r>
        <w:rPr>
          <w:rFonts w:ascii="Arial" w:cs="Arial" w:eastAsia="Arial" w:hAnsi="Arial"/>
          <w:sz w:val="13"/>
          <w:szCs w:val="13"/>
          <w:color w:val="auto"/>
        </w:rPr>
        <w:t>Not applicable.</w:t>
      </w:r>
    </w:p>
    <w:p>
      <w:pPr>
        <w:spacing w:after="0" w:line="94" w:lineRule="exact"/>
        <w:rPr>
          <w:rFonts w:ascii="Arial" w:cs="Arial" w:eastAsia="Arial" w:hAnsi="Arial"/>
          <w:sz w:val="13"/>
          <w:szCs w:val="13"/>
          <w:b w:val="1"/>
          <w:bCs w:val="1"/>
          <w:color w:val="auto"/>
        </w:rPr>
      </w:pPr>
    </w:p>
    <w:p>
      <w:pPr>
        <w:ind w:left="260" w:right="9700" w:hanging="255"/>
        <w:spacing w:after="0" w:line="403" w:lineRule="auto"/>
        <w:tabs>
          <w:tab w:leader="none" w:pos="242"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Expenses of the Issue </w:t>
      </w:r>
      <w:r>
        <w:rPr>
          <w:rFonts w:ascii="Arial" w:cs="Arial" w:eastAsia="Arial" w:hAnsi="Arial"/>
          <w:sz w:val="13"/>
          <w:szCs w:val="13"/>
          <w:color w:val="auto"/>
        </w:rPr>
        <w:t>Not applicable.</w:t>
      </w:r>
    </w:p>
    <w:p>
      <w:pPr>
        <w:spacing w:after="0" w:line="60"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color w:val="auto"/>
        </w:rPr>
        <w:t>ADDITIONAL INFORMATION</w:t>
      </w:r>
    </w:p>
    <w:p>
      <w:pPr>
        <w:spacing w:after="0" w:line="126" w:lineRule="exact"/>
        <w:rPr>
          <w:sz w:val="20"/>
          <w:szCs w:val="20"/>
          <w:color w:val="auto"/>
        </w:rPr>
      </w:pPr>
    </w:p>
    <w:p>
      <w:pPr>
        <w:jc w:val="both"/>
        <w:ind w:left="260" w:right="10180" w:hanging="255"/>
        <w:spacing w:after="0" w:line="415" w:lineRule="auto"/>
        <w:tabs>
          <w:tab w:leader="none" w:pos="260" w:val="left"/>
        </w:tabs>
        <w:numPr>
          <w:ilvl w:val="0"/>
          <w:numId w:val="6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Share Capital </w:t>
      </w:r>
      <w:r>
        <w:rPr>
          <w:rFonts w:ascii="Arial" w:cs="Arial" w:eastAsia="Arial" w:hAnsi="Arial"/>
          <w:sz w:val="12"/>
          <w:szCs w:val="12"/>
          <w:color w:val="auto"/>
        </w:rPr>
        <w:t>Not applicable.</w:t>
      </w:r>
    </w:p>
    <w:p>
      <w:pPr>
        <w:ind w:left="260" w:hanging="255"/>
        <w:spacing w:after="0"/>
        <w:tabs>
          <w:tab w:leader="none" w:pos="260"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Memorandum and Articles of Association</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information required to be disclosed under this item is incorporated by reference to Exhibit 2.3 to this Annual Report on Form 20-F.</w:t>
      </w: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Differences in Corporate Law</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Cayman Companies Act was modelled originally after similar laws in England and Wales but does not follow subsequent statutory enactments in England and Wales. In addition, the Cayman Companies Act differs from laws applicable to U.S. corporations and their shareholders. Set forth below is a summary of the significant differences between the provisions of the Cayman Companies Act applicable to us and the laws applicable to companies incorporated in the United States and their shareholders.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Mergers and Similar Arrangements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71" w:name="page72"/>
    <w:bookmarkEnd w:id="71"/>
    <w:p>
      <w:pPr>
        <w:jc w:val="both"/>
        <w:spacing w:after="0" w:line="266" w:lineRule="auto"/>
        <w:rPr>
          <w:sz w:val="20"/>
          <w:szCs w:val="20"/>
          <w:color w:val="auto"/>
        </w:rPr>
      </w:pPr>
      <w:r>
        <w:rPr>
          <w:rFonts w:ascii="Arial" w:cs="Arial" w:eastAsia="Arial" w:hAnsi="Arial"/>
          <w:sz w:val="13"/>
          <w:szCs w:val="13"/>
          <w:color w:val="auto"/>
        </w:rPr>
        <w:t>The Cayman Companies Act permits mergers or consolidations between two Cayman Islands companies, or between a Cayman Islands company and a company incorporated in another jurisdiction (provided that is facilitated by the laws of that other jurisdiction).</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Where the merger or consolidation is between two Cayman Islands companies, the directors of each company must approve a written plan of merger or consolidation, which must then be authorized by (a) a special resolution of the shareholders of each company; and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Cayman Companies Act (which includes certain other formalities) have been complied with, the Registrar of Companies will register the plan of merger or consolidation. Where the merger or consolidation involves a foreign company, the procedure is similar, save that with respect to the foreign company, the director of the Cayman Islands company is required to make a declaration to the effect that, having made due inquiry, the director is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company in any foreign jurisdictions; (iii) that no receiver, trustee, administrator or other similar person has been appointed in any jurisdiction and is acting in respect of the foreign company, its affairs or property or any part thereof; and (iv) that no scheme, order, compromise or similar arrangement has been entered into or made in any jurisdiction whereby the rights of creditors of the foreign company are and continue to be suspended or restricted.</w:t>
      </w:r>
    </w:p>
    <w:p>
      <w:pPr>
        <w:spacing w:after="0" w:line="6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Where the surviving company is the Cayman Islands company, the director of the Cayman Islands company is further required to make a declaration to the effect that, having made due inquiry, the director is of the opinion that the requirements set out below have been met: (i) 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6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Where the above procedures are adopted, the Cayman Companies Act provides for a right of dissenting shareholders to be paid a payment of the fair value of his shares upon their dissenting to the merger or consolidation if they follow a prescribed procedure. In essence, that procedure is as follows:</w:t>
      </w:r>
    </w:p>
    <w:p>
      <w:pPr>
        <w:spacing w:after="0" w:line="40" w:lineRule="exact"/>
        <w:rPr>
          <w:sz w:val="20"/>
          <w:szCs w:val="20"/>
          <w:color w:val="auto"/>
        </w:rPr>
      </w:pPr>
    </w:p>
    <w:p>
      <w:pPr>
        <w:ind w:left="1020" w:hanging="251"/>
        <w:spacing w:after="0" w:line="266" w:lineRule="auto"/>
        <w:tabs>
          <w:tab w:leader="none" w:pos="10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shareholder must give the shareholder’s written objection to the merger or consolidation to the constituent company before the vote on the merger or consolidation, including a statement that the shareholder proposes to demand payment for the shareholder’s shares if the merger or consolidation is authorized by the vote;</w:t>
      </w:r>
    </w:p>
    <w:p>
      <w:pPr>
        <w:spacing w:after="0" w:line="61" w:lineRule="exact"/>
        <w:rPr>
          <w:rFonts w:ascii="Arial" w:cs="Arial" w:eastAsia="Arial" w:hAnsi="Arial"/>
          <w:sz w:val="13"/>
          <w:szCs w:val="13"/>
          <w:color w:val="auto"/>
        </w:rPr>
      </w:pPr>
    </w:p>
    <w:p>
      <w:pPr>
        <w:ind w:left="1020" w:hanging="251"/>
        <w:spacing w:after="0" w:line="266" w:lineRule="auto"/>
        <w:tabs>
          <w:tab w:leader="none" w:pos="10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within 20 days following the date on which the merger or consolidation is approved by the shareholders, the constituent company must give written notice to each shareholder who made a written objection;</w:t>
      </w:r>
    </w:p>
    <w:p>
      <w:pPr>
        <w:spacing w:after="0" w:line="61" w:lineRule="exact"/>
        <w:rPr>
          <w:rFonts w:ascii="Arial" w:cs="Arial" w:eastAsia="Arial" w:hAnsi="Arial"/>
          <w:sz w:val="13"/>
          <w:szCs w:val="13"/>
          <w:color w:val="auto"/>
        </w:rPr>
      </w:pPr>
    </w:p>
    <w:p>
      <w:pPr>
        <w:ind w:left="1020" w:hanging="251"/>
        <w:spacing w:after="0" w:line="266" w:lineRule="auto"/>
        <w:tabs>
          <w:tab w:leader="none" w:pos="1013" w:val="left"/>
        </w:tabs>
        <w:numPr>
          <w:ilvl w:val="0"/>
          <w:numId w:val="63"/>
        </w:numPr>
        <w:rPr>
          <w:rFonts w:ascii="Arial" w:cs="Arial" w:eastAsia="Arial" w:hAnsi="Arial"/>
          <w:sz w:val="13"/>
          <w:szCs w:val="13"/>
          <w:color w:val="auto"/>
        </w:rPr>
      </w:pPr>
      <w:r>
        <w:rPr>
          <w:rFonts w:ascii="Arial" w:cs="Arial" w:eastAsia="Arial" w:hAnsi="Arial"/>
          <w:sz w:val="13"/>
          <w:szCs w:val="13"/>
          <w:color w:val="auto"/>
        </w:rPr>
        <w:t>a shareholder must within 20 days following receipt of such notice from the constituent company, give the constituent company a written notice of the shareholder’s intention to dissent including, among other details, a demand for payment of the fair value of his shares;</w:t>
      </w:r>
    </w:p>
    <w:p>
      <w:pPr>
        <w:spacing w:after="0" w:line="50" w:lineRule="exact"/>
        <w:rPr>
          <w:rFonts w:ascii="Arial" w:cs="Arial" w:eastAsia="Arial" w:hAnsi="Arial"/>
          <w:sz w:val="13"/>
          <w:szCs w:val="13"/>
          <w:color w:val="auto"/>
        </w:rPr>
      </w:pPr>
    </w:p>
    <w:p>
      <w:pPr>
        <w:jc w:val="both"/>
        <w:ind w:left="1020" w:hanging="251"/>
        <w:spacing w:after="0" w:line="259" w:lineRule="auto"/>
        <w:tabs>
          <w:tab w:leader="none" w:pos="10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within seven days following the date of the expiration of the period set out in paragraph (c) above or seven days following the date on which the plan of merger or consolidation is filed, whichever is later, the constituent company, the surviving company or the consolidated company must make a written offer to each dissenting shareholder to purchase the shareholder’s shares at a price that the company determines is the fair value and if the company and the shareholder agree the price within 30 days following the date on which the offer was made, the company must pay the shareholder such amount; and</w:t>
      </w:r>
    </w:p>
    <w:p>
      <w:pPr>
        <w:spacing w:after="0" w:line="54" w:lineRule="exact"/>
        <w:rPr>
          <w:rFonts w:ascii="Arial" w:cs="Arial" w:eastAsia="Arial" w:hAnsi="Arial"/>
          <w:sz w:val="13"/>
          <w:szCs w:val="13"/>
          <w:color w:val="auto"/>
        </w:rPr>
      </w:pPr>
    </w:p>
    <w:p>
      <w:pPr>
        <w:jc w:val="both"/>
        <w:ind w:left="1020" w:hanging="251"/>
        <w:spacing w:after="0" w:line="281" w:lineRule="auto"/>
        <w:tabs>
          <w:tab w:leader="none" w:pos="10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if the company and the shareholder fail to agree a price within such 30-day period, within 20 days following the date on which such 30-day period expires, the company (and any dissenting shareholder) must file a petition with the Grand Court of the Cayman Islands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w:t>
      </w:r>
    </w:p>
    <w:p>
      <w:pPr>
        <w:spacing w:after="0" w:line="43"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Any dissenting shareholder whose name appears on the list filed by the company may participate fully in all proceedings until the determination of fair value is reached. These rights of a dissenting shareholder are not available in certain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72" w:name="page73"/>
    <w:bookmarkEnd w:id="72"/>
    <w:p>
      <w:pPr>
        <w:jc w:val="both"/>
        <w:spacing w:after="0" w:line="266" w:lineRule="auto"/>
        <w:rPr>
          <w:sz w:val="20"/>
          <w:szCs w:val="20"/>
          <w:color w:val="auto"/>
        </w:rPr>
      </w:pPr>
      <w:r>
        <w:rPr>
          <w:rFonts w:ascii="Arial" w:cs="Arial" w:eastAsia="Arial" w:hAnsi="Arial"/>
          <w:sz w:val="13"/>
          <w:szCs w:val="13"/>
          <w:color w:val="auto"/>
        </w:rPr>
        <w:t>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61"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Moreover, Cayman Islands law also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is sought pursuant to a scheme of arrangement (the procedures of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in the case of a creditors’ scheme who must in addition represent three-fourths in value of each such class of creditors, that are present and voting either in person or by proxy at a meeting, or meetings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62" w:lineRule="exact"/>
        <w:rPr>
          <w:sz w:val="20"/>
          <w:szCs w:val="20"/>
          <w:color w:val="auto"/>
        </w:rPr>
      </w:pPr>
    </w:p>
    <w:p>
      <w:pPr>
        <w:ind w:left="1020" w:hanging="251"/>
        <w:spacing w:after="0"/>
        <w:tabs>
          <w:tab w:leader="none" w:pos="10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we are not proposing to act illegally or beyond the scope of our corporate authority and the statutory provisions as to majority vote have been complied with;</w:t>
      </w:r>
    </w:p>
    <w:p>
      <w:pPr>
        <w:spacing w:after="0" w:line="83" w:lineRule="exact"/>
        <w:rPr>
          <w:rFonts w:ascii="Arial" w:cs="Arial" w:eastAsia="Arial" w:hAnsi="Arial"/>
          <w:sz w:val="13"/>
          <w:szCs w:val="13"/>
          <w:color w:val="auto"/>
        </w:rPr>
      </w:pPr>
    </w:p>
    <w:p>
      <w:pPr>
        <w:ind w:left="1020" w:hanging="251"/>
        <w:spacing w:after="0"/>
        <w:tabs>
          <w:tab w:leader="none" w:pos="10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shareholders have been fairly represented at the meeting in question;</w:t>
      </w:r>
    </w:p>
    <w:p>
      <w:pPr>
        <w:spacing w:after="0" w:line="83" w:lineRule="exact"/>
        <w:rPr>
          <w:rFonts w:ascii="Arial" w:cs="Arial" w:eastAsia="Arial" w:hAnsi="Arial"/>
          <w:sz w:val="13"/>
          <w:szCs w:val="13"/>
          <w:color w:val="auto"/>
        </w:rPr>
      </w:pPr>
    </w:p>
    <w:p>
      <w:pPr>
        <w:ind w:left="1020" w:hanging="251"/>
        <w:spacing w:after="0"/>
        <w:tabs>
          <w:tab w:leader="none" w:pos="10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arrangement is such as a businessman would reasonably approve; and</w:t>
      </w:r>
    </w:p>
    <w:p>
      <w:pPr>
        <w:spacing w:after="0" w:line="94" w:lineRule="exact"/>
        <w:rPr>
          <w:rFonts w:ascii="Arial" w:cs="Arial" w:eastAsia="Arial" w:hAnsi="Arial"/>
          <w:sz w:val="13"/>
          <w:szCs w:val="13"/>
          <w:color w:val="auto"/>
        </w:rPr>
      </w:pPr>
    </w:p>
    <w:p>
      <w:pPr>
        <w:ind w:left="1020" w:hanging="251"/>
        <w:spacing w:after="0"/>
        <w:tabs>
          <w:tab w:leader="none" w:pos="10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arrangement is not one that would more properly be sanctioned under some other provision of the Cayman Companies Act or that would amount to a “fraud on the minority.”</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If a scheme of arrangement or takeover offer (as described below) is approved, any dissenting shareholder would have no rights comparable to appraisal rights, which would otherwise ordinarily be available to dissenting shareholders of U.S. corporations, providing rights to receive payment in cash for the judicially determined value of the shares.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Memorandum and Articles of Association provide that until such time as the Mubadala Entities no longer beneficially own at least 30% of our outstanding ordinary shares, the Board of Directors shall not cause our company to merge or consolidate with another entity without the prior written approval of MTIC.</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Squeeze-out Provisions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When a takeover offer is made and accepted by holders of 90% of the shares to whom the offer is made within four months, the offeror may, within a two-month period, require the holders of the remaining shares to transfer such shares on the terms of the offer. An objection may be made to the Grand Court of the Cayman Islands but is unlikely to succeed unless there is evidence of fraud, bad faith, collusion or inequitable treatment of the shareholders.</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If the arrangement and reconstruction is thus approved, the dissenting shareholder would have no rights comparable to appraisal rights, which might otherwise ordinarily be available to dissenting shareholders of United States corporations and allow such dissenting shareholders to receive payment in cash for the judicially determined value of the shares. However, appraisal rights would also not be available to shareholders of a Delaware target in a business combination transaction if the shares of the target were listed on a national securities exchange and target shareholders receive only shares of a corporation which shares are also listed on a national securities exchange.</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Further, transactions similar to a merger, reconstruction and/or an amalgamation may in some circumstances be achieved through other means to these statutory provisions, such as a share capital exchange, asset acquisition or control, through contractual arrangements, of an operating business.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Shareholders’ Suits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 shareholder of a Delaware corporation has the right to bring a derivative action on behalf of the corporation if the shareholder was a shareholder of the corporation at the time of the transaction in question.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70" w:lineRule="exact"/>
        <w:rPr>
          <w:sz w:val="20"/>
          <w:szCs w:val="20"/>
          <w:color w:val="auto"/>
        </w:rPr>
      </w:pPr>
    </w:p>
    <w:p>
      <w:pPr>
        <w:ind w:left="1020" w:hanging="251"/>
        <w:spacing w:after="0"/>
        <w:tabs>
          <w:tab w:leader="none" w:pos="10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 company is acting or proposing to act illegally or beyond the scope of its authority;</w:t>
      </w:r>
    </w:p>
    <w:p>
      <w:pPr>
        <w:spacing w:after="0" w:line="83" w:lineRule="exact"/>
        <w:rPr>
          <w:rFonts w:ascii="Arial" w:cs="Arial" w:eastAsia="Arial" w:hAnsi="Arial"/>
          <w:sz w:val="13"/>
          <w:szCs w:val="13"/>
          <w:color w:val="auto"/>
        </w:rPr>
      </w:pPr>
    </w:p>
    <w:p>
      <w:pPr>
        <w:ind w:left="1020" w:hanging="251"/>
        <w:spacing w:after="0"/>
        <w:tabs>
          <w:tab w:leader="none" w:pos="10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the act complained of, although not beyond the scope of the authority, could be effected if duly authorized by more than the number of votes which have actually been obtained; and</w:t>
      </w:r>
    </w:p>
    <w:p>
      <w:pPr>
        <w:spacing w:after="0" w:line="95" w:lineRule="exact"/>
        <w:rPr>
          <w:rFonts w:ascii="Arial" w:cs="Arial" w:eastAsia="Arial" w:hAnsi="Arial"/>
          <w:sz w:val="12"/>
          <w:szCs w:val="12"/>
          <w:color w:val="auto"/>
        </w:rPr>
      </w:pPr>
    </w:p>
    <w:p>
      <w:pPr>
        <w:ind w:left="1020" w:hanging="251"/>
        <w:spacing w:after="0"/>
        <w:tabs>
          <w:tab w:leader="none" w:pos="10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those who control the company are perpetrating a “fraud on the minority.”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73" w:name="page74"/>
    <w:bookmarkEnd w:id="73"/>
    <w:p>
      <w:pPr>
        <w:spacing w:after="0"/>
        <w:rPr>
          <w:sz w:val="20"/>
          <w:szCs w:val="20"/>
          <w:color w:val="auto"/>
        </w:rPr>
      </w:pPr>
      <w:r>
        <w:rPr>
          <w:rFonts w:ascii="Arial" w:cs="Arial" w:eastAsia="Arial" w:hAnsi="Arial"/>
          <w:sz w:val="13"/>
          <w:szCs w:val="13"/>
          <w:color w:val="auto"/>
        </w:rPr>
        <w:t>A shareholder may have a direct right of action against us where the individual rights of that shareholder have been infringed or are about to be infringed.</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Memorandum and Articles of Association provide that each shareholder agrees to waive any claim or right of action he or she might have, whether individually or by or in the right of our Company, against any director or officer on account of any action taken by such director or officer, or the failure of such director to take any action in the performance of their duties with or for our company. However, such waiver shall not extend to any matter in respect of any dishonesty, actual fraud or willful default which may attach to such director or officer.</w:t>
      </w:r>
    </w:p>
    <w:p>
      <w:pPr>
        <w:spacing w:after="0" w:line="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Maples and Calder (Cayman) LLP, our Cayman Islands counsel, is not aware of any reported class action suits having been brought in a Cayman Islands court. However, a class action suit could nonetheless be brought in the United States courts pursuant to an alleged violation of the securities laws of the United States.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Directors’ Fiduciary Duties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a matter of Cayman Islands law, a director of a Cayman Islands company is in the position of a fiduciary with respect to the company. Accordingly, directors and officers owe the following fiduciary duties:</w:t>
      </w:r>
    </w:p>
    <w:p>
      <w:pPr>
        <w:spacing w:after="0" w:line="61" w:lineRule="exact"/>
        <w:rPr>
          <w:sz w:val="20"/>
          <w:szCs w:val="20"/>
          <w:color w:val="auto"/>
        </w:rPr>
      </w:pPr>
    </w:p>
    <w:p>
      <w:pPr>
        <w:ind w:left="1020" w:hanging="251"/>
        <w:spacing w:after="0"/>
        <w:tabs>
          <w:tab w:leader="none" w:pos="10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duty to act in good faith in what the director or officer believes to be in the best interests of the company as a whole;</w:t>
      </w:r>
    </w:p>
    <w:p>
      <w:pPr>
        <w:spacing w:after="0" w:line="83" w:lineRule="exact"/>
        <w:rPr>
          <w:rFonts w:ascii="Arial" w:cs="Arial" w:eastAsia="Arial" w:hAnsi="Arial"/>
          <w:sz w:val="13"/>
          <w:szCs w:val="13"/>
          <w:color w:val="auto"/>
        </w:rPr>
      </w:pPr>
    </w:p>
    <w:p>
      <w:pPr>
        <w:ind w:left="1020" w:hanging="251"/>
        <w:spacing w:after="0"/>
        <w:tabs>
          <w:tab w:leader="none" w:pos="10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duty to exercise powers for the purposes for which those powers were conferred and not for a collateral purpose;</w:t>
      </w:r>
    </w:p>
    <w:p>
      <w:pPr>
        <w:spacing w:after="0" w:line="83" w:lineRule="exact"/>
        <w:rPr>
          <w:rFonts w:ascii="Arial" w:cs="Arial" w:eastAsia="Arial" w:hAnsi="Arial"/>
          <w:sz w:val="13"/>
          <w:szCs w:val="13"/>
          <w:color w:val="auto"/>
        </w:rPr>
      </w:pPr>
    </w:p>
    <w:p>
      <w:pPr>
        <w:ind w:left="1020" w:hanging="251"/>
        <w:spacing w:after="0"/>
        <w:tabs>
          <w:tab w:leader="none" w:pos="10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directors should not improperly fetter the exercise of future discretion;</w:t>
      </w:r>
    </w:p>
    <w:p>
      <w:pPr>
        <w:spacing w:after="0" w:line="94" w:lineRule="exact"/>
        <w:rPr>
          <w:rFonts w:ascii="Arial" w:cs="Arial" w:eastAsia="Arial" w:hAnsi="Arial"/>
          <w:sz w:val="13"/>
          <w:szCs w:val="13"/>
          <w:color w:val="auto"/>
        </w:rPr>
      </w:pPr>
    </w:p>
    <w:p>
      <w:pPr>
        <w:ind w:left="1020" w:hanging="251"/>
        <w:spacing w:after="0"/>
        <w:tabs>
          <w:tab w:leader="none" w:pos="10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duty to exercise powers fairly as between different sections of shareholders;</w:t>
      </w:r>
    </w:p>
    <w:p>
      <w:pPr>
        <w:spacing w:after="0" w:line="83" w:lineRule="exact"/>
        <w:rPr>
          <w:rFonts w:ascii="Arial" w:cs="Arial" w:eastAsia="Arial" w:hAnsi="Arial"/>
          <w:sz w:val="13"/>
          <w:szCs w:val="13"/>
          <w:color w:val="auto"/>
        </w:rPr>
      </w:pPr>
    </w:p>
    <w:p>
      <w:pPr>
        <w:ind w:left="1020" w:hanging="251"/>
        <w:spacing w:after="0"/>
        <w:tabs>
          <w:tab w:leader="none" w:pos="10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duty to exercise independent judgment; and</w:t>
      </w:r>
    </w:p>
    <w:p>
      <w:pPr>
        <w:spacing w:after="0" w:line="83" w:lineRule="exact"/>
        <w:rPr>
          <w:rFonts w:ascii="Arial" w:cs="Arial" w:eastAsia="Arial" w:hAnsi="Arial"/>
          <w:sz w:val="13"/>
          <w:szCs w:val="13"/>
          <w:color w:val="auto"/>
        </w:rPr>
      </w:pPr>
    </w:p>
    <w:p>
      <w:pPr>
        <w:ind w:left="1020" w:hanging="251"/>
        <w:spacing w:after="0"/>
        <w:tabs>
          <w:tab w:leader="none" w:pos="10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duty not to put themselves in a position in which there is a conflict between their duty to the company and their personal interests.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However, this obligation may be varied by the company’s articles of association, which may permit a director to vote on a matter in which the director has a personal interest provided that the director has disclosed that nature of his interest to the board of directors. With respect to the duty of directors to avoid conflicts of interest, our Memorandum and Articles of Association vary from the applicable provisions of Cayman Islands law mentioned above by providing that a director must disclose the nature and extent of the director’s interest in any contract or proposed contract or arrangement, and following such disclosure and subject to any separate requirement under applicable law or applicable listing rules, and unless disqualified by the chairman of the relevant meeting, such director may vote in respect of any transaction or arrangement in which the director is interested and may be counted in the quorum at the meeting.</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to the above, under Cayman Islands law,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w:t>
      </w:r>
    </w:p>
    <w:p>
      <w:pPr>
        <w:spacing w:after="0" w:line="5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Memorandum and Articles of Association or alternatively by shareholder approval at general meetings. The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Accordingly, as a result of multiple business affiliations, our officers and directors may have similar legal obligations relating to presenting business opportunities meeting the above-listed criteria to multiple entities. In addition, conflicts of interest may arise when our Board evaluates a particular business opportunity with respect to the above-listed criteria. However, under our Memorandum and Articles of Association, we renounced our interest in any corporate opportunity offered to any director or officer. Additionally, any such director or officer shall be permitted to pursue competing opportunities without any liability to us. Furthermore, each of our officers and directors may have pre-existing fiduciary obligations to other businesses of which they are officers or directors.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 director of a Cayman Islands company also owes to the company duties to exercise independent judgment in carrying out his functions and to exercise reasonable skill, care and diligence, which has both objective and subjective elements. Recent Cayman Islands case law confirmed that directors must exercise the care, skill and diligence that would be exercised by a reasonably diligent person having the general knowledge, skill and experience reasonably to be expected of a person acting as a director. Additionally, a director must exercise the knowledge, skill and experience which the director actually possesses.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74" w:name="page75"/>
    <w:bookmarkEnd w:id="74"/>
    <w:p>
      <w:pPr>
        <w:spacing w:after="0"/>
        <w:rPr>
          <w:sz w:val="20"/>
          <w:szCs w:val="20"/>
          <w:color w:val="auto"/>
        </w:rPr>
      </w:pPr>
      <w:r>
        <w:rPr>
          <w:rFonts w:ascii="Arial" w:cs="Arial" w:eastAsia="Arial" w:hAnsi="Arial"/>
          <w:sz w:val="13"/>
          <w:szCs w:val="13"/>
          <w:color w:val="auto"/>
        </w:rPr>
        <w:t>A general notice may be given to the board of directors to the effect that:</w:t>
      </w:r>
    </w:p>
    <w:p>
      <w:pPr>
        <w:spacing w:after="0" w:line="84" w:lineRule="exact"/>
        <w:rPr>
          <w:sz w:val="20"/>
          <w:szCs w:val="20"/>
          <w:color w:val="auto"/>
        </w:rPr>
      </w:pPr>
    </w:p>
    <w:p>
      <w:pPr>
        <w:ind w:left="1020" w:hanging="251"/>
        <w:spacing w:after="0" w:line="283" w:lineRule="auto"/>
        <w:tabs>
          <w:tab w:leader="none" w:pos="1011"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director is a member or officer of a specified company or firm and is to be regarded as interested in any contract or arrangement which may after the date of the notice be made with that company or firm; or</w:t>
      </w:r>
    </w:p>
    <w:p>
      <w:pPr>
        <w:spacing w:after="0" w:line="40" w:lineRule="exact"/>
        <w:rPr>
          <w:rFonts w:ascii="Arial" w:cs="Arial" w:eastAsia="Arial" w:hAnsi="Arial"/>
          <w:sz w:val="13"/>
          <w:szCs w:val="13"/>
          <w:color w:val="auto"/>
        </w:rPr>
      </w:pPr>
    </w:p>
    <w:p>
      <w:pPr>
        <w:ind w:left="1020" w:hanging="251"/>
        <w:spacing w:after="0" w:line="283" w:lineRule="auto"/>
        <w:tabs>
          <w:tab w:leader="none" w:pos="1011"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director is to be regarded as interested in any contract or arrangement which may after the date of the notice to the board of directors be made with a specified person who is connected with the director, will be deemed sufficient declaration of interest.</w:t>
      </w:r>
    </w:p>
    <w:p>
      <w:pPr>
        <w:spacing w:after="0" w:line="40"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This notice shall specify the nature of the interest in question. Following the disclosure being made pursuant to our Memorandum and Articles of Association and subject to any separate requirement under applicable law or applicable listing rules, a director may vote in respect of any transaction or arrangement in which the director is interested and may be counted in the quorum at the meeting.</w:t>
      </w:r>
    </w:p>
    <w:p>
      <w:pPr>
        <w:spacing w:after="0" w:line="3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 comparison,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directors must inform themselves of, and disclose to shareholders, all material information reasonably available regarding a significant transaction. The duty of loyalty requires that directors act in a manner they reasonably believe to be in the best interests of the corporation. They must not use their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Shareholder Action by Written Consent</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Under the Delaware General Corporation Law, a corporation may eliminate the right of shareholders to act by written consent by amendment to its certificate of incorporation. Cayman Islands law and our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Shareholder Proposals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Cayman Companies Act does not provide shareholders with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one or more shareholders representing not less than one-third of the voting rights entitled to vote at general meetings, the Board will convene an extraordinary general meeting and put the resolutions so requisitioned to a vote at such meeting. Our Memorandum and Articles of Association provide no other right to put any proposals before annual general meetings or extraordinary general meetings.</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Cumulative Voting</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our Memorandum and Articles of Association do not provide for cumulative voting. As a result, our shareholders are not afforded any less protections or rights on this issue than shareholders of a Delaware corporation.</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Removal of Directors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Under the Delaware General Corporation Law, a director of a corporation may be removed with the approval of a majority of the outstanding shares entitled to vote, unless the certificate of incorporation provides otherwise. Under our Memorandum and Articles of Association, directors can be removed for cause by an affirmative vote of at least 75% of shareholders, provided that (1) Mubadala Designees may only be removed with or without cause by MTIC and (2) as long as the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75" w:name="page76"/>
    <w:bookmarkEnd w:id="75"/>
    <w:p>
      <w:pPr>
        <w:spacing w:after="0" w:line="266" w:lineRule="auto"/>
        <w:rPr>
          <w:sz w:val="20"/>
          <w:szCs w:val="20"/>
          <w:color w:val="auto"/>
        </w:rPr>
      </w:pPr>
      <w:r>
        <w:rPr>
          <w:rFonts w:ascii="Arial" w:cs="Arial" w:eastAsia="Arial" w:hAnsi="Arial"/>
          <w:sz w:val="13"/>
          <w:szCs w:val="13"/>
          <w:color w:val="auto"/>
        </w:rPr>
        <w:t>Mubadala Entities beneficially own in the aggregate at least 50% of the outstanding shares, directors other than the Mubadala Designees may be removed with or without cause by a majority of shareholders.</w:t>
      </w:r>
    </w:p>
    <w:p>
      <w:pPr>
        <w:spacing w:after="0" w:line="61"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notice of general meeting must contain a statement of the intention to remove the director and must be served on the director not less than ten calendar days before the meeting. The director is entitled to attend the meeting and be heard on the motion for his removal.</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The office of a director will be vacated automatically if the director:</w:t>
      </w:r>
    </w:p>
    <w:p>
      <w:pPr>
        <w:spacing w:after="0" w:line="84" w:lineRule="exact"/>
        <w:rPr>
          <w:sz w:val="20"/>
          <w:szCs w:val="20"/>
          <w:color w:val="auto"/>
        </w:rPr>
      </w:pPr>
    </w:p>
    <w:p>
      <w:pPr>
        <w:ind w:left="1020" w:hanging="251"/>
        <w:spacing w:after="0"/>
        <w:tabs>
          <w:tab w:leader="none" w:pos="10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becomes prohibited by law from being a director;</w:t>
      </w:r>
    </w:p>
    <w:p>
      <w:pPr>
        <w:spacing w:after="0" w:line="83" w:lineRule="exact"/>
        <w:rPr>
          <w:rFonts w:ascii="Arial" w:cs="Arial" w:eastAsia="Arial" w:hAnsi="Arial"/>
          <w:sz w:val="13"/>
          <w:szCs w:val="13"/>
          <w:color w:val="auto"/>
        </w:rPr>
      </w:pPr>
    </w:p>
    <w:p>
      <w:pPr>
        <w:ind w:left="1020" w:hanging="251"/>
        <w:spacing w:after="0"/>
        <w:tabs>
          <w:tab w:leader="none" w:pos="10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becomes bankrupt or makes an arrangement or composition with the director’s creditors;</w:t>
      </w:r>
    </w:p>
    <w:p>
      <w:pPr>
        <w:spacing w:after="0" w:line="94" w:lineRule="exact"/>
        <w:rPr>
          <w:rFonts w:ascii="Arial" w:cs="Arial" w:eastAsia="Arial" w:hAnsi="Arial"/>
          <w:sz w:val="13"/>
          <w:szCs w:val="13"/>
          <w:color w:val="auto"/>
        </w:rPr>
      </w:pPr>
    </w:p>
    <w:p>
      <w:pPr>
        <w:ind w:left="1020" w:hanging="251"/>
        <w:spacing w:after="0"/>
        <w:tabs>
          <w:tab w:leader="none" w:pos="10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dies or is in the opinion of all the director’s co-directors, incapable by reason of mental disorder of discharging his duties as director;</w:t>
      </w:r>
    </w:p>
    <w:p>
      <w:pPr>
        <w:spacing w:after="0" w:line="83" w:lineRule="exact"/>
        <w:rPr>
          <w:rFonts w:ascii="Arial" w:cs="Arial" w:eastAsia="Arial" w:hAnsi="Arial"/>
          <w:sz w:val="13"/>
          <w:szCs w:val="13"/>
          <w:color w:val="auto"/>
        </w:rPr>
      </w:pPr>
    </w:p>
    <w:p>
      <w:pPr>
        <w:ind w:left="1020" w:hanging="251"/>
        <w:spacing w:after="0"/>
        <w:tabs>
          <w:tab w:leader="none" w:pos="10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resigns the director’s office by notice to us; or</w:t>
      </w:r>
    </w:p>
    <w:p>
      <w:pPr>
        <w:spacing w:after="0" w:line="94" w:lineRule="exact"/>
        <w:rPr>
          <w:rFonts w:ascii="Arial" w:cs="Arial" w:eastAsia="Arial" w:hAnsi="Arial"/>
          <w:sz w:val="13"/>
          <w:szCs w:val="13"/>
          <w:color w:val="auto"/>
        </w:rPr>
      </w:pPr>
    </w:p>
    <w:p>
      <w:pPr>
        <w:ind w:left="1020" w:hanging="251"/>
        <w:spacing w:after="0" w:line="266" w:lineRule="auto"/>
        <w:tabs>
          <w:tab w:leader="none" w:pos="1011" w:val="left"/>
        </w:tabs>
        <w:numPr>
          <w:ilvl w:val="0"/>
          <w:numId w:val="68"/>
        </w:numPr>
        <w:rPr>
          <w:rFonts w:ascii="Arial" w:cs="Arial" w:eastAsia="Arial" w:hAnsi="Arial"/>
          <w:sz w:val="13"/>
          <w:szCs w:val="13"/>
          <w:color w:val="auto"/>
        </w:rPr>
      </w:pPr>
      <w:r>
        <w:rPr>
          <w:rFonts w:ascii="Arial" w:cs="Arial" w:eastAsia="Arial" w:hAnsi="Arial"/>
          <w:sz w:val="13"/>
          <w:szCs w:val="13"/>
          <w:color w:val="auto"/>
        </w:rPr>
        <w:t>has for more than six months been absent without permission of the directors from meetings of the Board of Directors held during that period, and the remaining directors resolve that the director’s office be vacated.</w:t>
      </w:r>
    </w:p>
    <w:p>
      <w:pPr>
        <w:spacing w:after="0" w:line="5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Memorandum and Articles of Association provide that any vacancy on the Board of Directors in respect of a Mubadala Designee may only be filled by a decision of majority of the Mubadala Designees then in office, or if there are none, by MTIC.</w:t>
      </w: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Proceedings of the Board of Directors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business is to be managed and conducted by the Board of Directors. The quorum necessary for any meeting of our Board of Directors shall consist of a simple majority of the members provided that, for so long as the Mubadala Entities are entitled to nominate one Mubadala Designee to our Board of Directors, the presence of at least one Mubadala Designee shall be required on first call to a meeting of the Board of Directors.</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Subject to the provisions of our Memorandum and Articles of Association, the Board of Directors may regulate its proceedings as they determine is appropriate.</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Subject to the provisions of our Memorandum and Articles of Association, to any directions given by ordinary resolution of the shareholders and applicable listing rules, the Board of Directors may from time to time at its discretion exercise all of our powers, including, subject to the Cayman Companies Act, the power to issue debentures, bonds and other securities of the company, whether outright or as collateral security for any debt, liability or obligation of our company or of any third party.</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Transactions with Interested Shareholders</w:t>
      </w:r>
    </w:p>
    <w:p>
      <w:pPr>
        <w:spacing w:after="0" w:line="95"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group who owns or owned 15% or more of the target’s outstanding voting shares within the past three years. This has the effect of limiting the ability of a potential acquiror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acquiror of a Delaware corporation to negotiate the terms of any acquisition transaction with the target’s board of directors.</w:t>
      </w:r>
    </w:p>
    <w:p>
      <w:pPr>
        <w:spacing w:after="0" w:line="4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the board of directors owes duties to ensure that these transactions are entered into bona fide in the best interests of the company and for a proper corporate purpose and, as noted above, a transaction may be subject to challenge if it has the effect of constituting a fraud on the minority shareholders.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Dissolution; Winding Up</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Under the Delaware General Corporation Law, unless the board of directors approves the proposal to dissolve, dissolution must be approved by shareholders holding 100% of the total voting power of the corporation. If the dissolution is initiated by the board of directors, it may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resolves by ordinary resolution that it be wound up because it is unable to pay its debts as they fall due. The court has authority to order winding up in a number of specified circumstances including where it is, in the opinion of the court, just and equitable to do so.</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76" w:name="page77"/>
    <w:bookmarkEnd w:id="76"/>
    <w:p>
      <w:pPr>
        <w:jc w:val="both"/>
        <w:spacing w:after="0" w:line="266" w:lineRule="auto"/>
        <w:rPr>
          <w:sz w:val="20"/>
          <w:szCs w:val="20"/>
          <w:color w:val="auto"/>
        </w:rPr>
      </w:pPr>
      <w:r>
        <w:rPr>
          <w:rFonts w:ascii="Arial" w:cs="Arial" w:eastAsia="Arial" w:hAnsi="Arial"/>
          <w:sz w:val="13"/>
          <w:szCs w:val="13"/>
          <w:color w:val="auto"/>
        </w:rPr>
        <w:t>Under the Cayman Companies Act, we may be dissolved, liquidated or wound up by a special resolution of shareholders (requiring a two-thirds majority vote of those shareholders attending and voting at a quorate meeting). Our Memorandum and Articles of Association also give our Board of Directors the authority to petition the Cayman Islands Court for our wind up.</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Variation of Rights of Shares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vary the rights attached to any class without the consent of the holders of the issued shares of that class where such variation is considered by the directors not to have a material adverse effect upon such rights. Otherwise, all or any of the special rights attached to any class of shares may be varied with either the written consent of the beneficial holders of two-thirds of the issued shares of that class, or with the approval of a special resolution passed at a general meeting of the holders of the shares of that class.</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rights conferred upon the holders of the shares of any class issued with preferred or other rights shall not, subject to any rights or restrictions for the time being attached to the shares of that class, be deemed to be materially adversely affected by the creation, allotment or issuance of further shares (whether ranking in priority to, pari passu or subordinated to them) pursuant to the Board of Director’s ability to issue preference shares. The rights of the beneficial holders of the issued shares shall not be deemed to be materially adversely varied by the creation, allotment or issuance of shares with preferred or other rights including, without limitation, the creation of shares with enhanced or weighted voting rights.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Amendment of Governing Documents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Under the Delaware General Corporation Law, a corporation’s governing documents may be amended with the approval of a majority of the outstanding shares entitled to vote, unless the certificate of incorporation provides otherwise. Under Cayman Islands law, our Memorandum and Articles of Association generally (and save for certain amendments to share capital described in this section) may only be amended by special resolution of shareholders (requiring a two-thirds majority vote of those shareholders attending and voting at a quorate meeting).</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Indemnification of Directors and Executive Officers and Limitation of Liability</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Cayman Companies Act does not limit the extent to which a company’s articles of association may provide for indemnification of directors and officers, except to the extent that it may be held by the Cayman Islands courts to be contrary to public policy, such as to provide indemnification against civil fraud or the consequences of committing a crime. Our Memorandum and Articles of Association provide that we shall indemnify and hold harmless our directors and officers against any liability, action, proceeding, claim, demand, costs, damages or expenses, including legal expenses, whatsoever which they or any of them may incur as a result of any act or failure to act in carrying out their functions in connection with the company other than such liability (if any) that they may incur by reason of their own actual fraud, dishonesty, willful neglect or willful default. We will also bear the expenses of any reasonable attorneys’ fees and other costs and expenses incurred in connection with the defense of any action, suit, proceeding or investigation involving such director or officer, upon such person’s undertaking to repay any amounts paid, advanced, or reimbursed by us if it is ultimately determined that any such person shall not have been entitled to indemnification. No director or officer shall be liable to our company for any loss or damage incurred by our company as a result (whether direct or indirect) of the carrying out of their functions unless that liability arises through the actual fraud, dishonesty, willful neglect or willful default of such officer or director. This standard of conduct is generally the same as permitted under the Delaware General Corporation Law for a Delaware corporation.</w:t>
      </w:r>
    </w:p>
    <w:p>
      <w:pPr>
        <w:spacing w:after="0" w:line="6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Insofar as indemnification for liabilities arising under the Securities Act may be permitted to our directors, officers or persons controlling us under the foregoing provisions, we have been informed that, in the opinion of the SEC, this indemnification is against public policy as expressed in the Securities Act and is therefore unenforceable.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Enforcement of Civil Liabilities</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have been advised by Maples and Calder (Cayman) LLP, our Cayman Islands legal counsel, that the courts of the Cayman Islands are unlikely (i) to recognize or enforce against us judgments of courts of the United States predicated upon the civil liability provisions of the federal securities laws of the United States or any state in the United States; and (ii) in original actions brought in the Cayman Islands, to impose liabilities against us predicated upon the civil liability provisions of the federal securities laws of the United States or any state in the United States,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77" w:name="page78"/>
    <w:bookmarkEnd w:id="77"/>
    <w:p>
      <w:pPr>
        <w:ind w:left="260" w:hanging="255"/>
        <w:spacing w:after="0"/>
        <w:tabs>
          <w:tab w:leader="none" w:pos="260"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Material Contracts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For information concerning certain contracts important to our business, see “Item 4. Information on the Company—B. Business Overview—Raw Materials” and “Item 7. Major Shareholders and Related Party Transactions—B. Related Party Transactions.”</w:t>
      </w:r>
    </w:p>
    <w:p>
      <w:pPr>
        <w:spacing w:after="0" w:line="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color w:val="auto"/>
        </w:rPr>
        <w:t>2021 SGD EDB Loan</w:t>
      </w:r>
      <w:r>
        <w:rPr>
          <w:rFonts w:ascii="Arial" w:cs="Arial" w:eastAsia="Arial" w:hAnsi="Arial"/>
          <w:sz w:val="13"/>
          <w:szCs w:val="13"/>
          <w:color w:val="auto"/>
        </w:rPr>
        <w:t>—On September 3, 2021, the Company entered into a loan agreement with Singapore Economic Development Board (“EDB”), which provided loan facilities with maximum</w:t>
      </w:r>
      <w:r>
        <w:rPr>
          <w:rFonts w:ascii="Arial" w:cs="Arial" w:eastAsia="Arial" w:hAnsi="Arial"/>
          <w:sz w:val="13"/>
          <w:szCs w:val="13"/>
          <w:b w:val="1"/>
          <w:bCs w:val="1"/>
          <w:color w:val="auto"/>
        </w:rPr>
        <w:t xml:space="preserve"> </w:t>
      </w:r>
      <w:r>
        <w:rPr>
          <w:rFonts w:ascii="Arial" w:cs="Arial" w:eastAsia="Arial" w:hAnsi="Arial"/>
          <w:sz w:val="13"/>
          <w:szCs w:val="13"/>
          <w:color w:val="auto"/>
        </w:rPr>
        <w:t>drawdown of $1,149 million (SGD 1,541 million) at a fixed nominal interest rate of 1.4%. The difference between the nominal interest rate of the loan and the market interest rate for an equivalent loan is recognized as a government grant. The loan matures on June 3, 2041, with interest-only payments for the first 5 years and principal repayments commence thereafter, payable on a semi-annual basis.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color w:val="auto"/>
        </w:rPr>
        <w:t>2023 Soitec MSA Addendum</w:t>
      </w:r>
      <w:r>
        <w:rPr>
          <w:rFonts w:ascii="Arial" w:cs="Arial" w:eastAsia="Arial" w:hAnsi="Arial"/>
          <w:sz w:val="13"/>
          <w:szCs w:val="13"/>
          <w:color w:val="auto"/>
        </w:rPr>
        <w:t>—On December 14, 2023, the Company executed an addendum to the 2017 Materials Supply Agreement (“MSA”) with Soitec S.A. for 300mm RFSOI, PDSOI, Silicon</w:t>
      </w:r>
      <w:r>
        <w:rPr>
          <w:rFonts w:ascii="Arial" w:cs="Arial" w:eastAsia="Arial" w:hAnsi="Arial"/>
          <w:sz w:val="13"/>
          <w:szCs w:val="13"/>
          <w:b w:val="1"/>
          <w:bCs w:val="1"/>
          <w:color w:val="auto"/>
        </w:rPr>
        <w:t xml:space="preserve"> </w:t>
      </w:r>
      <w:r>
        <w:rPr>
          <w:rFonts w:ascii="Arial" w:cs="Arial" w:eastAsia="Arial" w:hAnsi="Arial"/>
          <w:sz w:val="13"/>
          <w:szCs w:val="13"/>
          <w:color w:val="auto"/>
        </w:rPr>
        <w:t>Photonics and FD Products. The addendum establishes the required supply volumes, pricing and other terms for materials essential to our processes through September 30, 2024.</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Except as otherwise described in this Annual Report on Form 20-F (including the documents filed as exhibits to this Annual Report on Form 20-F), we have not entered into any material contracts other than in the ordinary course of business.</w:t>
      </w:r>
    </w:p>
    <w:p>
      <w:pPr>
        <w:spacing w:after="0" w:line="51" w:lineRule="exact"/>
        <w:rPr>
          <w:sz w:val="20"/>
          <w:szCs w:val="20"/>
          <w:color w:val="auto"/>
        </w:rPr>
      </w:pPr>
    </w:p>
    <w:p>
      <w:pPr>
        <w:ind w:left="260" w:hanging="255"/>
        <w:spacing w:after="0"/>
        <w:tabs>
          <w:tab w:leader="none" w:pos="260"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Exchange Controls</w:t>
      </w:r>
    </w:p>
    <w:p>
      <w:pPr>
        <w:spacing w:after="0" w:line="94" w:lineRule="exact"/>
        <w:rPr>
          <w:rFonts w:ascii="Arial" w:cs="Arial" w:eastAsia="Arial" w:hAnsi="Arial"/>
          <w:sz w:val="13"/>
          <w:szCs w:val="13"/>
          <w:b w:val="1"/>
          <w:bCs w:val="1"/>
          <w:color w:val="auto"/>
        </w:rPr>
      </w:pPr>
    </w:p>
    <w:p>
      <w:pPr>
        <w:ind w:left="260"/>
        <w:spacing w:after="0"/>
        <w:rPr>
          <w:rFonts w:ascii="Arial" w:cs="Arial" w:eastAsia="Arial" w:hAnsi="Arial"/>
          <w:sz w:val="13"/>
          <w:szCs w:val="13"/>
          <w:b w:val="1"/>
          <w:bCs w:val="1"/>
          <w:color w:val="auto"/>
        </w:rPr>
      </w:pPr>
      <w:r>
        <w:rPr>
          <w:rFonts w:ascii="Arial" w:cs="Arial" w:eastAsia="Arial" w:hAnsi="Arial"/>
          <w:sz w:val="13"/>
          <w:szCs w:val="13"/>
          <w:color w:val="auto"/>
        </w:rPr>
        <w:t>The Cayman Islands currently has no exchange control restrictions.</w:t>
      </w:r>
    </w:p>
    <w:p>
      <w:pPr>
        <w:spacing w:after="0" w:line="83" w:lineRule="exact"/>
        <w:rPr>
          <w:rFonts w:ascii="Arial" w:cs="Arial" w:eastAsia="Arial" w:hAnsi="Arial"/>
          <w:sz w:val="13"/>
          <w:szCs w:val="13"/>
          <w:b w:val="1"/>
          <w:bCs w:val="1"/>
          <w:color w:val="auto"/>
        </w:rPr>
      </w:pPr>
    </w:p>
    <w:p>
      <w:pPr>
        <w:ind w:left="260" w:hanging="255"/>
        <w:spacing w:after="0"/>
        <w:tabs>
          <w:tab w:leader="none" w:pos="260"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Taxation</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Cayman Islands Tax Considerations</w:t>
      </w:r>
    </w:p>
    <w:p>
      <w:pPr>
        <w:spacing w:after="0" w:line="95"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The following summary contains a description of certain Cayman Islands tax consequences of the acquisition, ownership and disposition of our ordinary shares, but it does not purport to be a comprehensive description of all the tax considerations that may be relevant to a decision to purchase our ordinary shares. The summary is based upon the tax laws of Cayman Islands and regulations thereunder as of the date hereof, which are subject to change. If you are considering the purchase of our ordinary shares, you should consult your own tax advisors concerning the particular tax consequences to you of the purchase, ownership and disposition of our ordinary shares, as well as the consequences to you arising under the laws of your country of citizenship, residence or domicile.</w:t>
      </w:r>
    </w:p>
    <w:p>
      <w:pPr>
        <w:spacing w:after="0" w:line="4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following is a discussion of certain Cayman Islands income tax consequences of an investment in our ordinary shares. The discussion is a general summary of present law, which is subject to prospective and retroactive change. It is not intended to be tax advice, does not consider any investor’s particular circumstances, and does not consider tax consequences other than those arising under Cayman Islands law.</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Under Existing Cayman Islands Laws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Payments of dividends and capital in respect of our ordinary shares will not be subject to taxation in the Cayman Islands and no withholding will be required on the payment of interest and principal or a dividend or capital to any holder of our ordinary shares, as the case may be, nor will gains derived from the disposal of our ordinary shares be subject to Cayman Islands income or corporation tax. The Cayman Islands currently has no income, corporation or capital gains tax and no estate duty, inheritance tax or gift tax. The Cayman Islands have not yet indicated any changes to their taxation rules in response to the Organization for Economic Co-operation and Development (“OECD”) Pillar Two global minimum tax rates.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No stamp duty is payable in respect of the issue of ordinary shares or on an instrument of transfer in respect of an ordinary share.</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were incorporated under the laws of the Cayman Islands as an exempted company with limited liability and, as such, has received an undertaking from the Governor in Cabinet of the Cayman Islands in substantially the following form:</w:t>
      </w:r>
    </w:p>
    <w:p>
      <w:pPr>
        <w:spacing w:after="0" w:line="61"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The Tax Concessions Law</w:t>
      </w:r>
    </w:p>
    <w:p>
      <w:pPr>
        <w:spacing w:after="0" w:line="84"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(1999 Revision)</w:t>
      </w:r>
    </w:p>
    <w:p>
      <w:pPr>
        <w:spacing w:after="0" w:line="95"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Undertaking as to Tax Concessions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In accordance with Section 6 of the Tax Concessions Law (1999 Revision) the Governor in Cabinet undertakes with GLOBALFOUNDRIES Inc.:</w:t>
      </w:r>
    </w:p>
    <w:p>
      <w:pPr>
        <w:spacing w:after="0" w:line="84" w:lineRule="exact"/>
        <w:rPr>
          <w:sz w:val="20"/>
          <w:szCs w:val="20"/>
          <w:color w:val="auto"/>
        </w:rPr>
      </w:pPr>
    </w:p>
    <w:p>
      <w:pPr>
        <w:ind w:left="760" w:hanging="246"/>
        <w:spacing w:after="0"/>
        <w:tabs>
          <w:tab w:leader="none" w:pos="7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that no Law which is hereafter enacted in the Islands imposing any tax to be levied on profits, income, gains or appreciations shall apply to us the company or our operations; and</w:t>
      </w:r>
    </w:p>
    <w:p>
      <w:pPr>
        <w:spacing w:after="0" w:line="94" w:lineRule="exact"/>
        <w:rPr>
          <w:rFonts w:ascii="Arial" w:cs="Arial" w:eastAsia="Arial" w:hAnsi="Arial"/>
          <w:sz w:val="13"/>
          <w:szCs w:val="13"/>
          <w:color w:val="auto"/>
        </w:rPr>
      </w:pPr>
    </w:p>
    <w:p>
      <w:pPr>
        <w:ind w:left="760" w:right="2040" w:hanging="246"/>
        <w:spacing w:after="0" w:line="403" w:lineRule="auto"/>
        <w:tabs>
          <w:tab w:leader="none" w:pos="756" w:val="left"/>
        </w:tabs>
        <w:numPr>
          <w:ilvl w:val="0"/>
          <w:numId w:val="71"/>
        </w:numPr>
        <w:rPr>
          <w:rFonts w:ascii="Arial" w:cs="Arial" w:eastAsia="Arial" w:hAnsi="Arial"/>
          <w:sz w:val="13"/>
          <w:szCs w:val="13"/>
          <w:color w:val="auto"/>
        </w:rPr>
      </w:pPr>
      <w:r>
        <w:rPr>
          <w:rFonts w:ascii="Arial" w:cs="Arial" w:eastAsia="Arial" w:hAnsi="Arial"/>
          <w:sz w:val="13"/>
          <w:szCs w:val="13"/>
          <w:color w:val="auto"/>
        </w:rPr>
        <w:t>in addition, that no tax to be levied on profits, income, gains or appreciations or which is in the nature of estate duty or inheritance tax shall be payable: a. on or in respect of the shares, debentures or other obligations of the company; or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78" w:name="page79"/>
    <w:bookmarkEnd w:id="78"/>
    <w:p>
      <w:pPr>
        <w:ind w:right="2360" w:firstLine="769"/>
        <w:spacing w:after="0" w:line="383" w:lineRule="auto"/>
        <w:tabs>
          <w:tab w:leader="none" w:pos="1019" w:val="left"/>
        </w:tabs>
        <w:numPr>
          <w:ilvl w:val="0"/>
          <w:numId w:val="72"/>
        </w:numPr>
        <w:rPr>
          <w:rFonts w:ascii="Arial" w:cs="Arial" w:eastAsia="Arial" w:hAnsi="Arial"/>
          <w:sz w:val="13"/>
          <w:szCs w:val="13"/>
          <w:color w:val="auto"/>
        </w:rPr>
      </w:pPr>
      <w:r>
        <w:rPr>
          <w:rFonts w:ascii="Arial" w:cs="Arial" w:eastAsia="Arial" w:hAnsi="Arial"/>
          <w:sz w:val="13"/>
          <w:szCs w:val="13"/>
          <w:color w:val="auto"/>
        </w:rPr>
        <w:t>by way of the withholding in whole or part, of any relevant payment as defined in Section 6(3) of the Tax Concessions Law (20181 Revision). These concessions shall be for a period of TWENTY years from 21st day of October 2008.</w:t>
      </w:r>
    </w:p>
    <w:p>
      <w:pPr>
        <w:spacing w:after="0"/>
        <w:rPr>
          <w:sz w:val="20"/>
          <w:szCs w:val="20"/>
          <w:color w:val="auto"/>
        </w:rPr>
      </w:pPr>
      <w:r>
        <w:rPr>
          <w:rFonts w:ascii="Arial" w:cs="Arial" w:eastAsia="Arial" w:hAnsi="Arial"/>
          <w:sz w:val="13"/>
          <w:szCs w:val="13"/>
          <w:b w:val="1"/>
          <w:bCs w:val="1"/>
          <w:color w:val="auto"/>
        </w:rPr>
        <w:t>United States Federal Income Taxation</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following is a summary of material U.S. federal income tax considerations that are likely to be relevant to the purchase, ownership and disposition of our ordinary shares by a U.S. Holder (as defined below).</w:t>
      </w:r>
    </w:p>
    <w:p>
      <w:pPr>
        <w:spacing w:after="0" w:line="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This summary is based on provisions of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This summary is not a comprehensive discussion of all of the tax considerations that may be relevant to a particular investor’s decision to purchase, hold, or dispose of ordinary shares. In particular, this summary is directed only to U.S. Holders that hold ordinary shares as capital assets and does not address particular tax consequences that may be applicable to U.S. Holders who may be subject to special tax rules, such as banks, brokers or dealers in securities or currencies, traders in securities electing to mark to market, financial institutions, life insurance companies, tax-exempt entities, regulated investment companies, real estate investment trusts, entities or arrangements that are treated as partnerships for U.S. federal income tax purposes (or partners therein), holders that own or are treated as owning 10% or more of our stock by vote or value, persons holding ordinary shares as part of a hedging or conversion transaction or a straddle, persons whose functional currency is not the U.S. dollar, or persons holding our ordinary shares in connection with a trade or business outside the United States. Moreover, this summary does not address state, local or foreign taxes, the U.S. federal estate and gift taxes, the Medicare contribution tax applicable to net investment income of certain non-corporate U.S. Holders, or alternative minimum tax consequences of acquiring, holding or disposing of ordinary shares.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color w:val="auto"/>
        </w:rPr>
        <w:t>For purposes of this summary, a “U.S. Holder” is a beneficial owner of ordinary shares that is a citizen or resident of the United States or a U.S. domestic corporation or that otherwise is subject to U.S.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federal income taxation on a net income basis in respect of such ordinary shares.</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You should consult your own tax advisors about the consequences of the acquisition, ownership, and disposition of the ordinary shares, including the relevance to your particular situation of the considerations discussed below and any consequences arising under foreign, state, local or other tax laws.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Taxation of Distributions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Subject to the discussion below under “Item 10. Additional Information—E. Taxation—United States Federal Income Taxation—Passive Foreign Investment Company Status,” the gross amount of any distribution of cash or property with respect to our shares that is paid out of our current or accumulated earnings and profits (as determined for U.S. federal income tax purposes) will generally be includible in your taxable income as ordinary dividend income on the day on which you receive the dividend and will not be eligible for the dividends-received deduction allowed to corporations under the Code.</w:t>
      </w:r>
    </w:p>
    <w:p>
      <w:pPr>
        <w:spacing w:after="0" w:line="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do not expect to maintain calculations of our earnings and profits in accordance with U.S. federal income tax principles. U.S. Holders therefore should expect that distributions generally will be treated as dividends for U.S. federal income tax purposes.</w:t>
      </w:r>
    </w:p>
    <w:p>
      <w:pPr>
        <w:spacing w:after="0" w:line="4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Subject to certain exceptions for short-term positions, dividends received by an individual with respect to the shares will be subject to taxation at a preferential rate if the dividends are “qualified dividends.” Dividends paid on the shares will be treated as qualified dividends if:</w:t>
      </w:r>
    </w:p>
    <w:p>
      <w:pPr>
        <w:spacing w:after="0" w:line="40" w:lineRule="exact"/>
        <w:rPr>
          <w:sz w:val="20"/>
          <w:szCs w:val="20"/>
          <w:color w:val="auto"/>
        </w:rPr>
      </w:pPr>
    </w:p>
    <w:p>
      <w:pPr>
        <w:ind w:left="520" w:hanging="260"/>
        <w:spacing w:after="0" w:line="266" w:lineRule="auto"/>
        <w:tabs>
          <w:tab w:leader="none" w:pos="511"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shares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61" w:lineRule="exact"/>
        <w:rPr>
          <w:rFonts w:ascii="Arial" w:cs="Arial" w:eastAsia="Arial" w:hAnsi="Arial"/>
          <w:sz w:val="13"/>
          <w:szCs w:val="13"/>
          <w:color w:val="auto"/>
        </w:rPr>
      </w:pPr>
    </w:p>
    <w:p>
      <w:pPr>
        <w:ind w:left="500" w:hanging="240"/>
        <w:spacing w:after="0"/>
        <w:tabs>
          <w:tab w:leader="none" w:pos="5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we were not, in the year prior to the year in which the dividend was paid, and are not, in the year in which the dividend is paid, a passive foreign investment company (a “PFIC”).</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ordinary shares are listed on Nasdaq, and will qualify as readily tradable on an established securities market in the United States so long as they are so listed. Based on our financial statements and relevant market and shareholder data, we believe that we were not treated as a PFIC for U.S. federal income tax purposes with respect to our 2022 and 2023 taxable years. In addition, based on our financial statements and our current expectations regarding the value and nature of our assets, the sources and nature of our income, and relevant market and shareholder data, we do not anticipate becoming a PFIC for our current taxable year or in the foreseeable future. Holders should consult their own tax advisors regarding the availability of the reduced dividend tax rate in light of their own particular circumstances.</w:t>
      </w:r>
    </w:p>
    <w:p>
      <w:pPr>
        <w:spacing w:after="0" w:line="5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Dividend distributions with respect to our shares generally will be treated as “passive category” income from sources outside the United States for purposes of determining a U.S. Holder’s U.S. foreign tax credit limitation.</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U.S. Holders that receive distributions of additional shares or rights to subscribe for shares as part of a pro rata distribution to all our shareholders generally will not be subject to U.S. federal income tax in respect of the distributions, unless the U.S.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79" w:name="page80"/>
    <w:bookmarkEnd w:id="79"/>
    <w:p>
      <w:pPr>
        <w:ind w:right="1700"/>
        <w:spacing w:after="0" w:line="383" w:lineRule="auto"/>
        <w:rPr>
          <w:sz w:val="20"/>
          <w:szCs w:val="20"/>
          <w:color w:val="auto"/>
        </w:rPr>
      </w:pPr>
      <w:r>
        <w:rPr>
          <w:rFonts w:ascii="Arial" w:cs="Arial" w:eastAsia="Arial" w:hAnsi="Arial"/>
          <w:sz w:val="13"/>
          <w:szCs w:val="13"/>
          <w:color w:val="auto"/>
        </w:rPr>
        <w:t xml:space="preserve">Holder has the right to receive cash or property instead, in which case the U.S. Holder will be treated as if it received cash equal to the fair market value of the distribution. </w:t>
      </w:r>
      <w:r>
        <w:rPr>
          <w:rFonts w:ascii="Arial" w:cs="Arial" w:eastAsia="Arial" w:hAnsi="Arial"/>
          <w:sz w:val="13"/>
          <w:szCs w:val="13"/>
          <w:b w:val="1"/>
          <w:bCs w:val="1"/>
          <w:i w:val="1"/>
          <w:iCs w:val="1"/>
          <w:color w:val="auto"/>
        </w:rPr>
        <w:t>Taxation of Dispositions of Shares</w:t>
      </w:r>
    </w:p>
    <w:p>
      <w:pPr>
        <w:jc w:val="both"/>
        <w:spacing w:after="0" w:line="249" w:lineRule="auto"/>
        <w:rPr>
          <w:sz w:val="20"/>
          <w:szCs w:val="20"/>
          <w:color w:val="auto"/>
        </w:rPr>
      </w:pPr>
      <w:r>
        <w:rPr>
          <w:rFonts w:ascii="Arial" w:cs="Arial" w:eastAsia="Arial" w:hAnsi="Arial"/>
          <w:sz w:val="13"/>
          <w:szCs w:val="13"/>
          <w:color w:val="auto"/>
        </w:rPr>
        <w:t>Subject to the discussion below under “Item 10. Additional Information—E. Taxation—United States Federal Income Taxation—Passive Foreign Investment Company Status,” upon a sale, exchange or other taxable disposition of the shares, U.S. Holders will realize gain or loss for U.S. federal income tax purposes in an amount equal to the difference between the amount realized on the disposition and the U.S. Holder’s adjusted tax basis in the shares, as determined in U.S. dollars as discussed below. Such gain or loss will be capital gain or loss, and will generally be long-term capital gain or loss if the shares have been held for more than one year. Long-term capital gain realized by a U.S. Holder that is an individual generally is subject to taxation at a preferential rate. The deductibility of capital losses is subject to limitations.</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Gain, if any, realized by a U.S. Holder on the sale or other disposition of the shares generally will be treated as U.S. source income.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Passive Foreign Investment Company Status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Special U.S. tax rules apply to companies that are considered to be PFICs. We will be classified as a PFIC in a particular taxable year if either:</w:t>
      </w:r>
    </w:p>
    <w:p>
      <w:pPr>
        <w:spacing w:after="0" w:line="84" w:lineRule="exact"/>
        <w:rPr>
          <w:sz w:val="20"/>
          <w:szCs w:val="20"/>
          <w:color w:val="auto"/>
        </w:rPr>
      </w:pPr>
    </w:p>
    <w:p>
      <w:pPr>
        <w:ind w:left="500" w:hanging="240"/>
        <w:spacing w:after="0"/>
        <w:tabs>
          <w:tab w:leader="none" w:pos="5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75% or more of our gross income for the taxable year is passive income; or</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average percentage of the value of our assets that produce or are held for the production of passive income is at least 50%.</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this purpose, passive income generally includes dividends, interest, gains from certain commodities transactions, rents, royalties and the excess of gains over losses from the disposition of assets that produce passive income.</w:t>
      </w:r>
    </w:p>
    <w:p>
      <w:pPr>
        <w:spacing w:after="0" w:line="5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believe, and this discussion assumes, that we were not a PFIC for our taxable year ending December 31, 2023 and that, based on the present composition of our income and assets and the manner in which we conduct our business, we will not be a PFIC in our current taxable year or in the foreseeable future. Whether we are a PFIC is a factual determination made annually, and our status could change depending, among other things, upon changes in the composition of our gross income and the relative quarterly average value of our assets. If we were a PFIC for any taxable year in which you hold ordinary shares, you generally would be subject to additional taxes on certain distributions and any gain realized from the sale or other taxable disposition of the ordinary shares regardless of whether we continued to be a PFIC in any subsequent year. You are encouraged to consult your own tax advisor as to our status as a PFIC, the tax consequences to you of such status, and the availability and desirability of making a mark-to-market election to mitigate the unfavorable rules mentioned in the preceding sentence.</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Foreign Financial Asset Reporting</w:t>
      </w:r>
    </w:p>
    <w:p>
      <w:pPr>
        <w:spacing w:after="0" w:line="8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Individual U.S. Holders that own “specified foreign financial assets” with an aggregate value in excess of US$50,000 on the last day of the taxable year or US$75,000 at any time during the taxable year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objective criteria. U.S. Holders who fail to report the required information could be subject to substantial penalties. In addition, the statute of limitations for assessment of tax would be suspended, in whole or part. Prospective investors are encouraged to consult with their own tax advisors regarding the possible application of these rules, including the application of the rules to their particular circumstances.</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Backup Withholding and Information Reporting</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Dividends paid on, and proceeds from the sale or other disposition of, the shares to a U.S. taxpayer generally may be subject to the information reporting requirements of the Code and may be subject to backup withholding unless the U.S. taxpayer provides an accurate taxpayer identification number and makes any other required certification or otherwise establishes an exemption. Backup withholding is not an additional tax. The amount of any backup withholding from a payment to a U.S. taxpayer will be allowed as a refund or credit against the U.S. taxpayer’s U.S. federal income tax liability, provided the required information is furnished to the U.S. Internal Revenue Service in a timely manner.</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A holder that is not a U.S. taxpayer may be required to comply with certification and identification procedures in order to establish its exemption from information reporting and backup withholding.</w:t>
      </w:r>
    </w:p>
    <w:p>
      <w:pPr>
        <w:spacing w:after="0" w:line="84" w:lineRule="exact"/>
        <w:rPr>
          <w:sz w:val="20"/>
          <w:szCs w:val="20"/>
          <w:color w:val="auto"/>
        </w:rPr>
      </w:pPr>
    </w:p>
    <w:p>
      <w:pPr>
        <w:ind w:left="260" w:right="9240" w:hanging="255"/>
        <w:spacing w:after="0" w:line="383" w:lineRule="auto"/>
        <w:tabs>
          <w:tab w:leader="none" w:pos="242" w:val="left"/>
        </w:tabs>
        <w:numPr>
          <w:ilvl w:val="0"/>
          <w:numId w:val="7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Dividends and Paying Agents </w:t>
      </w:r>
      <w:r>
        <w:rPr>
          <w:rFonts w:ascii="Arial" w:cs="Arial" w:eastAsia="Arial" w:hAnsi="Arial"/>
          <w:sz w:val="13"/>
          <w:szCs w:val="13"/>
          <w:color w:val="auto"/>
        </w:rPr>
        <w:t>Not applicable.</w:t>
      </w:r>
    </w:p>
    <w:p>
      <w:pPr>
        <w:ind w:left="260" w:right="9660" w:hanging="255"/>
        <w:spacing w:after="0" w:line="456" w:lineRule="auto"/>
        <w:tabs>
          <w:tab w:leader="none" w:pos="256" w:val="left"/>
        </w:tabs>
        <w:numPr>
          <w:ilvl w:val="0"/>
          <w:numId w:val="7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Statements by Experts </w:t>
      </w:r>
      <w:r>
        <w:rPr>
          <w:rFonts w:ascii="Arial" w:cs="Arial" w:eastAsia="Arial" w:hAnsi="Arial"/>
          <w:sz w:val="12"/>
          <w:szCs w:val="12"/>
          <w:color w:val="auto"/>
        </w:rPr>
        <w:t>Not applicable.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80" w:name="page81"/>
    <w:bookmarkEnd w:id="80"/>
    <w:p>
      <w:pPr>
        <w:ind w:left="260" w:hanging="255"/>
        <w:spacing w:after="0"/>
        <w:tabs>
          <w:tab w:leader="none" w:pos="260" w:val="left"/>
        </w:tabs>
        <w:numPr>
          <w:ilvl w:val="0"/>
          <w:numId w:val="76"/>
        </w:numPr>
        <w:rPr>
          <w:rFonts w:ascii="Arial" w:cs="Arial" w:eastAsia="Arial" w:hAnsi="Arial"/>
          <w:sz w:val="13"/>
          <w:szCs w:val="13"/>
          <w:b w:val="1"/>
          <w:bCs w:val="1"/>
          <w:color w:val="auto"/>
        </w:rPr>
      </w:pPr>
      <w:r>
        <w:rPr>
          <w:rFonts w:ascii="Arial" w:cs="Arial" w:eastAsia="Arial" w:hAnsi="Arial"/>
          <w:sz w:val="13"/>
          <w:szCs w:val="13"/>
          <w:b w:val="1"/>
          <w:bCs w:val="1"/>
          <w:color w:val="auto"/>
        </w:rPr>
        <w:t>Documents on Display</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SEC maintains a website www.sec.gov that contains reports and other information regarding registrants, including the Company, that file electronically with the SEC. Please note that copies of the Company’s annual reports on Form 20-F and reports on Form 6-K filed by us can be inspected at the website set forth above and are also available on our website at www.gf.com (the website does not form part of this Annual Report on Form 20-F).</w:t>
      </w:r>
    </w:p>
    <w:p>
      <w:pPr>
        <w:spacing w:after="0" w:line="64" w:lineRule="exact"/>
        <w:rPr>
          <w:sz w:val="20"/>
          <w:szCs w:val="20"/>
          <w:color w:val="auto"/>
        </w:rPr>
      </w:pPr>
    </w:p>
    <w:p>
      <w:pPr>
        <w:ind w:left="260" w:right="9640" w:hanging="255"/>
        <w:spacing w:after="0" w:line="456" w:lineRule="auto"/>
        <w:tabs>
          <w:tab w:leader="none" w:pos="256" w:val="left"/>
        </w:tabs>
        <w:numPr>
          <w:ilvl w:val="0"/>
          <w:numId w:val="77"/>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Subsidiary Information </w:t>
      </w:r>
      <w:r>
        <w:rPr>
          <w:rFonts w:ascii="Arial" w:cs="Arial" w:eastAsia="Arial" w:hAnsi="Arial"/>
          <w:sz w:val="12"/>
          <w:szCs w:val="12"/>
          <w:color w:val="auto"/>
        </w:rPr>
        <w:t>Not applicable.</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2"/>
          <w:szCs w:val="12"/>
          <w:b w:val="1"/>
          <w:bCs w:val="1"/>
          <w:color w:val="auto"/>
        </w:rPr>
        <w:t>QUANTITATIVE AND QUALITATIVE DISCLOSURES ABOUT MARKET RISKS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See Note 30 to our Annual Consolidated Financial Statements for additional details.</w:t>
      </w:r>
    </w:p>
    <w:p>
      <w:pPr>
        <w:spacing w:after="0" w:line="53" w:lineRule="exact"/>
        <w:rPr>
          <w:sz w:val="20"/>
          <w:szCs w:val="20"/>
          <w:color w:val="auto"/>
        </w:rPr>
      </w:pPr>
    </w:p>
    <w:p>
      <w:pPr>
        <w:jc w:val="both"/>
        <w:spacing w:after="0" w:line="275" w:lineRule="auto"/>
        <w:rPr>
          <w:sz w:val="20"/>
          <w:szCs w:val="20"/>
          <w:color w:val="auto"/>
        </w:rPr>
      </w:pPr>
      <w:r>
        <w:rPr>
          <w:rFonts w:ascii="Arial" w:cs="Arial" w:eastAsia="Arial" w:hAnsi="Arial"/>
          <w:sz w:val="12"/>
          <w:szCs w:val="12"/>
          <w:b w:val="1"/>
          <w:bCs w:val="1"/>
          <w:color w:val="auto"/>
        </w:rPr>
        <w:t>Foreign Currency Risk</w:t>
      </w:r>
      <w:r>
        <w:rPr>
          <w:rFonts w:ascii="Arial" w:cs="Arial" w:eastAsia="Arial" w:hAnsi="Arial"/>
          <w:sz w:val="12"/>
          <w:szCs w:val="12"/>
          <w:color w:val="auto"/>
        </w:rPr>
        <w:t>—As a result of foreign operations, we have costs, assets and liabilities denominated in foreign currencies, primarily the Euro, the Singapore dollar and the Japanese yen.</w:t>
      </w:r>
      <w:r>
        <w:rPr>
          <w:rFonts w:ascii="Arial" w:cs="Arial" w:eastAsia="Arial" w:hAnsi="Arial"/>
          <w:sz w:val="12"/>
          <w:szCs w:val="12"/>
          <w:b w:val="1"/>
          <w:bCs w:val="1"/>
          <w:color w:val="auto"/>
        </w:rPr>
        <w:t xml:space="preserve"> </w:t>
      </w:r>
      <w:r>
        <w:rPr>
          <w:rFonts w:ascii="Arial" w:cs="Arial" w:eastAsia="Arial" w:hAnsi="Arial"/>
          <w:sz w:val="12"/>
          <w:szCs w:val="12"/>
          <w:color w:val="auto"/>
        </w:rPr>
        <w:t>Therefore, movements in exchange rates could cause foreign currency-denominated expenses to increase as a percentage of net revenue, which are denominated in U.S. dollars, affecting profitability and cash flows. We use foreign currency forward contracts to reduce exposure to foreign currency fluctuations. We also incur a certain portion of our interest expenses in Euro and Singapore Dollar, exposing us to exchange rate fluctuations between U.S. dollar and Euro and Singapore Dollar. We use cross currency swaps to reduce our exposure to variability from foreign exchange impacting cash flows arising from our foreign currency-denominated debt cash flows to the extent that it is practicable and cost effective to do so. As of December 31, 2023, we do not believe that a hypothetical 10% change in the relative value of the U.S. dollar to currencies other than the Euro, Japanese Yen, and Singapore Dollar would have a material effect on our operating results.</w:t>
      </w:r>
    </w:p>
    <w:p>
      <w:pPr>
        <w:spacing w:after="0" w:line="4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b w:val="1"/>
          <w:bCs w:val="1"/>
          <w:color w:val="auto"/>
        </w:rPr>
        <w:t>Interest Rate Risk</w:t>
      </w:r>
      <w:r>
        <w:rPr>
          <w:rFonts w:ascii="Arial" w:cs="Arial" w:eastAsia="Arial" w:hAnsi="Arial"/>
          <w:sz w:val="13"/>
          <w:szCs w:val="13"/>
          <w:color w:val="auto"/>
        </w:rPr>
        <w:t>—The Company’s exposure to market risk for changes in interest rates relates primarily to interest-earning financial assets and interest-bearing financial liabilities. The Company’s</w:t>
      </w:r>
      <w:r>
        <w:rPr>
          <w:rFonts w:ascii="Arial" w:cs="Arial" w:eastAsia="Arial" w:hAnsi="Arial"/>
          <w:sz w:val="13"/>
          <w:szCs w:val="13"/>
          <w:b w:val="1"/>
          <w:bCs w:val="1"/>
          <w:color w:val="auto"/>
        </w:rPr>
        <w:t xml:space="preserve"> </w:t>
      </w:r>
      <w:r>
        <w:rPr>
          <w:rFonts w:ascii="Arial" w:cs="Arial" w:eastAsia="Arial" w:hAnsi="Arial"/>
          <w:sz w:val="13"/>
          <w:szCs w:val="13"/>
          <w:color w:val="auto"/>
        </w:rPr>
        <w:t>interest-earning financial assets are mostly highly liquid investments and includes money market funds, marketable securities and time deposits. As these financial assets have weighted-average maturity of less than one year with majority of the assets in fixed-rate instruments, the Company’s exposure to interest risk is not material. The Company’s interest-bearing financial liabilities include fixed and floating rate loans and lease obligations. Floating rate loans bear interest at Base Rate or SOFR or EURIBOR plus a premium, which is fixed. The Company uses pay-fixed / receive-float interest rate swaps to protect the Company against adverse fluctuations in interest rates and to reduce its exposure to variability in cash flows on the Company’s forecasted floating-rate debt facility to the extent that it is practicable and cost effective to do so. As of December 31, 2023, a hypothetical 10% change in existing interest rates would not have a material impact on our consolidated financial statements (see Note 30 to our Annual Consolidated Financial Statements).</w:t>
      </w:r>
    </w:p>
    <w:p>
      <w:pPr>
        <w:spacing w:after="0" w:line="62"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color w:val="auto"/>
        </w:rPr>
        <w:t>DESCRIPTION OF SECURITIES OTHER THAN EQUITY SECURITIES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None.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II</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color w:val="auto"/>
        </w:rPr>
        <w:t>DEFAULTS, DIVIDEND ARREARAGES AND DELINQUENCIES</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None.</w:t>
      </w:r>
    </w:p>
    <w:p>
      <w:pPr>
        <w:spacing w:after="0" w:line="84"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2"/>
          <w:szCs w:val="12"/>
          <w:b w:val="1"/>
          <w:bCs w:val="1"/>
          <w:color w:val="auto"/>
        </w:rPr>
        <w:t>MATERIAL MODIFICATIONS TO THE RIGHTS OF SECURITY HOLDERS AND USE OF PROCEEDS</w:t>
      </w:r>
    </w:p>
    <w:p>
      <w:pPr>
        <w:spacing w:after="0" w:line="126" w:lineRule="exact"/>
        <w:rPr>
          <w:sz w:val="20"/>
          <w:szCs w:val="20"/>
          <w:color w:val="auto"/>
        </w:rPr>
      </w:pPr>
    </w:p>
    <w:p>
      <w:pPr>
        <w:ind w:left="520" w:hanging="451"/>
        <w:spacing w:after="0"/>
        <w:tabs>
          <w:tab w:leader="none" w:pos="520" w:val="left"/>
        </w:tabs>
        <w:numPr>
          <w:ilvl w:val="0"/>
          <w:numId w:val="78"/>
        </w:numPr>
        <w:rPr>
          <w:rFonts w:ascii="Arial" w:cs="Arial" w:eastAsia="Arial" w:hAnsi="Arial"/>
          <w:sz w:val="13"/>
          <w:szCs w:val="13"/>
          <w:b w:val="1"/>
          <w:bCs w:val="1"/>
          <w:color w:val="auto"/>
        </w:rPr>
      </w:pPr>
      <w:r>
        <w:rPr>
          <w:rFonts w:ascii="Arial" w:cs="Arial" w:eastAsia="Arial" w:hAnsi="Arial"/>
          <w:sz w:val="13"/>
          <w:szCs w:val="13"/>
          <w:b w:val="1"/>
          <w:bCs w:val="1"/>
          <w:color w:val="auto"/>
        </w:rPr>
        <w:t>Material Modifications to Instruments</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Not applicable.</w:t>
      </w:r>
    </w:p>
    <w:p>
      <w:pPr>
        <w:spacing w:after="0" w:line="84" w:lineRule="exact"/>
        <w:rPr>
          <w:sz w:val="20"/>
          <w:szCs w:val="20"/>
          <w:color w:val="auto"/>
        </w:rPr>
      </w:pPr>
    </w:p>
    <w:p>
      <w:pPr>
        <w:ind w:left="520" w:hanging="451"/>
        <w:spacing w:after="0"/>
        <w:tabs>
          <w:tab w:leader="none" w:pos="520" w:val="left"/>
        </w:tabs>
        <w:numPr>
          <w:ilvl w:val="0"/>
          <w:numId w:val="79"/>
        </w:numPr>
        <w:rPr>
          <w:rFonts w:ascii="Arial" w:cs="Arial" w:eastAsia="Arial" w:hAnsi="Arial"/>
          <w:sz w:val="13"/>
          <w:szCs w:val="13"/>
          <w:b w:val="1"/>
          <w:bCs w:val="1"/>
          <w:color w:val="auto"/>
        </w:rPr>
      </w:pPr>
      <w:r>
        <w:rPr>
          <w:rFonts w:ascii="Arial" w:cs="Arial" w:eastAsia="Arial" w:hAnsi="Arial"/>
          <w:sz w:val="13"/>
          <w:szCs w:val="13"/>
          <w:b w:val="1"/>
          <w:bCs w:val="1"/>
          <w:color w:val="auto"/>
        </w:rPr>
        <w:t>Material Modifications to Rights</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Not applicable.</w:t>
      </w:r>
    </w:p>
    <w:p>
      <w:pPr>
        <w:spacing w:after="0" w:line="84" w:lineRule="exact"/>
        <w:rPr>
          <w:sz w:val="20"/>
          <w:szCs w:val="20"/>
          <w:color w:val="auto"/>
        </w:rPr>
      </w:pPr>
    </w:p>
    <w:p>
      <w:pPr>
        <w:ind w:left="520" w:hanging="451"/>
        <w:spacing w:after="0"/>
        <w:tabs>
          <w:tab w:leader="none" w:pos="520" w:val="left"/>
        </w:tabs>
        <w:numPr>
          <w:ilvl w:val="0"/>
          <w:numId w:val="80"/>
        </w:numPr>
        <w:rPr>
          <w:rFonts w:ascii="Arial" w:cs="Arial" w:eastAsia="Arial" w:hAnsi="Arial"/>
          <w:sz w:val="13"/>
          <w:szCs w:val="13"/>
          <w:b w:val="1"/>
          <w:bCs w:val="1"/>
          <w:color w:val="auto"/>
        </w:rPr>
      </w:pPr>
      <w:r>
        <w:rPr>
          <w:rFonts w:ascii="Arial" w:cs="Arial" w:eastAsia="Arial" w:hAnsi="Arial"/>
          <w:sz w:val="13"/>
          <w:szCs w:val="13"/>
          <w:b w:val="1"/>
          <w:bCs w:val="1"/>
          <w:color w:val="auto"/>
        </w:rPr>
        <w:t>Withdrawal or Substitution of Assets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Not applicable.</w:t>
      </w:r>
    </w:p>
    <w:p>
      <w:pPr>
        <w:spacing w:after="0" w:line="95" w:lineRule="exact"/>
        <w:rPr>
          <w:sz w:val="20"/>
          <w:szCs w:val="20"/>
          <w:color w:val="auto"/>
        </w:rPr>
      </w:pPr>
    </w:p>
    <w:p>
      <w:pPr>
        <w:ind w:left="520" w:hanging="451"/>
        <w:spacing w:after="0"/>
        <w:tabs>
          <w:tab w:leader="none" w:pos="520" w:val="left"/>
        </w:tabs>
        <w:numPr>
          <w:ilvl w:val="0"/>
          <w:numId w:val="81"/>
        </w:numPr>
        <w:rPr>
          <w:rFonts w:ascii="Arial" w:cs="Arial" w:eastAsia="Arial" w:hAnsi="Arial"/>
          <w:sz w:val="13"/>
          <w:szCs w:val="13"/>
          <w:b w:val="1"/>
          <w:bCs w:val="1"/>
          <w:color w:val="auto"/>
        </w:rPr>
      </w:pPr>
      <w:r>
        <w:rPr>
          <w:rFonts w:ascii="Arial" w:cs="Arial" w:eastAsia="Arial" w:hAnsi="Arial"/>
          <w:sz w:val="13"/>
          <w:szCs w:val="13"/>
          <w:b w:val="1"/>
          <w:bCs w:val="1"/>
          <w:color w:val="auto"/>
        </w:rPr>
        <w:t>Change in Trustees or Paying Agents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Not applicable.</w:t>
      </w:r>
    </w:p>
    <w:p>
      <w:pPr>
        <w:spacing w:after="0" w:line="84" w:lineRule="exact"/>
        <w:rPr>
          <w:sz w:val="20"/>
          <w:szCs w:val="20"/>
          <w:color w:val="auto"/>
        </w:rPr>
      </w:pPr>
    </w:p>
    <w:p>
      <w:pPr>
        <w:ind w:left="500" w:hanging="431"/>
        <w:spacing w:after="0"/>
        <w:tabs>
          <w:tab w:leader="none" w:pos="500" w:val="left"/>
        </w:tabs>
        <w:numPr>
          <w:ilvl w:val="0"/>
          <w:numId w:val="82"/>
        </w:numPr>
        <w:rPr>
          <w:rFonts w:ascii="Arial" w:cs="Arial" w:eastAsia="Arial" w:hAnsi="Arial"/>
          <w:sz w:val="13"/>
          <w:szCs w:val="13"/>
          <w:b w:val="1"/>
          <w:bCs w:val="1"/>
          <w:color w:val="auto"/>
        </w:rPr>
      </w:pPr>
      <w:r>
        <w:rPr>
          <w:rFonts w:ascii="Arial" w:cs="Arial" w:eastAsia="Arial" w:hAnsi="Arial"/>
          <w:sz w:val="13"/>
          <w:szCs w:val="13"/>
          <w:b w:val="1"/>
          <w:bCs w:val="1"/>
          <w:color w:val="auto"/>
        </w:rPr>
        <w:t>Use of Proceeds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81" w:name="page82"/>
    <w:bookmarkEnd w:id="81"/>
    <w:p>
      <w:pPr>
        <w:jc w:val="both"/>
        <w:spacing w:after="0" w:line="261" w:lineRule="auto"/>
        <w:rPr>
          <w:sz w:val="20"/>
          <w:szCs w:val="20"/>
          <w:color w:val="auto"/>
        </w:rPr>
      </w:pPr>
      <w:r>
        <w:rPr>
          <w:rFonts w:ascii="Arial" w:cs="Arial" w:eastAsia="Arial" w:hAnsi="Arial"/>
          <w:sz w:val="13"/>
          <w:szCs w:val="13"/>
          <w:color w:val="auto"/>
        </w:rPr>
        <w:t>The following “Use of Proceeds” information relates to the registration statement on Form F-1, as amended (File No. 333-260003), filed in relation to our IPO. We issued and sold an aggregate 31,845,744 ordinary shares in our IPO and the Private Placement at the IPO price of $47.00 per share, after deducting underwriting commissions of $43 million and estimated offering expenses payable by us of $30 million, for approximately $1.4 billion of net proceeds.</w:t>
      </w:r>
    </w:p>
    <w:p>
      <w:pPr>
        <w:spacing w:after="0" w:line="5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For the period from the closing of our IPO on November 1, 2021 to December 31, 2023, the Company applied $1.4 billion from the net proceeds of our IPO to support construction related to our fab in Singapore and capacity expansion projects in certain other facilities. There was no material change in the actual use of proceeds from what was described in the registration statement.</w:t>
      </w:r>
    </w:p>
    <w:p>
      <w:pPr>
        <w:spacing w:after="0" w:line="40"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color w:val="auto"/>
        </w:rPr>
        <w:t>CONTROLS AND PROCEDURES</w:t>
      </w:r>
    </w:p>
    <w:p>
      <w:pPr>
        <w:spacing w:after="0" w:line="126" w:lineRule="exact"/>
        <w:rPr>
          <w:sz w:val="20"/>
          <w:szCs w:val="20"/>
          <w:color w:val="auto"/>
        </w:rPr>
      </w:pPr>
    </w:p>
    <w:p>
      <w:pPr>
        <w:ind w:left="260" w:hanging="255"/>
        <w:spacing w:after="0"/>
        <w:tabs>
          <w:tab w:leader="none" w:pos="260" w:val="left"/>
        </w:tabs>
        <w:numPr>
          <w:ilvl w:val="0"/>
          <w:numId w:val="83"/>
        </w:numPr>
        <w:rPr>
          <w:rFonts w:ascii="Arial" w:cs="Arial" w:eastAsia="Arial" w:hAnsi="Arial"/>
          <w:sz w:val="13"/>
          <w:szCs w:val="13"/>
          <w:b w:val="1"/>
          <w:bCs w:val="1"/>
          <w:color w:val="auto"/>
        </w:rPr>
      </w:pPr>
      <w:r>
        <w:rPr>
          <w:rFonts w:ascii="Arial" w:cs="Arial" w:eastAsia="Arial" w:hAnsi="Arial"/>
          <w:sz w:val="13"/>
          <w:szCs w:val="13"/>
          <w:b w:val="1"/>
          <w:bCs w:val="1"/>
          <w:color w:val="auto"/>
        </w:rPr>
        <w:t>Disclosure Controls and Procedures.</w:t>
      </w:r>
    </w:p>
    <w:p>
      <w:pPr>
        <w:spacing w:after="0" w:line="9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At the end of the period covered by this report, we performed an evaluation of the effectiveness of our disclosure controls and procedures that are designed to ensure that the information required to be disclosed by the Company in the report that we file or submit pursuant to Rule 13(a)-15(b) of the Securities Exchange Act of 1934, as amended (the “Exchange Act”), is accumulated and communicated to our management, including our CEO and CFO, as appropriate to allow timely decisions regarding required disclosure.</w:t>
      </w:r>
    </w:p>
    <w:p>
      <w:pPr>
        <w:spacing w:after="0" w:line="53"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management, with the participation of our CEO and CFO, has evaluated the effectiveness of the design and operations of our disclosure controls and procedures as of December 31, 2023, which is the end of the period covered by this Annual Report on Form 20-F. Based on such evaluations, our CEO and CFO have concluded that as of December 31, 2023, our disclosure controls and procedures were not effective in light of material weaknesses in the design and implementation of our ICFR as described in “Item 15. Controls and Procedures - B. Management’s Annual Report on Internal Control over Financial Reporting” below. While the material weaknesses described below did not result in any identified material misstatements to the consolidated financial statements or any changes to previously released financial results or other disclosures in the Company’s prior period Annual Reports on Form 20-F that are filed with the SEC, the material weaknesses create a reasonable possibility that a material misstatement to our consolidated financial statements or other disclosures may not have been able to be prevented or detected on a timely basis. Of course, there are inherent limitations to the effectiveness of any system of disclosure controls and procedures, including the possibility of human error and the circumvention or overriding of the controls and procedures. As such, there is a risk of errors occurring even when a company’s disclosure controls and procedures are determined to be effective. Accordingly, effective disclosure controls and procedures can provide only reasonable assurance of achieving their control objectives.</w:t>
      </w:r>
    </w:p>
    <w:p>
      <w:pPr>
        <w:spacing w:after="0" w:line="63"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Notwithstanding the material weaknesses in internal control over financial reporting described below, management believes and has concluded that the consolidated financial statements included in this Annual Report on Form 20-F fairly present, in all material respects, our financial position, results of operations and cash flows for the periods presented in conformity with IFRS as issued by the</w:t>
      </w:r>
    </w:p>
    <w:p>
      <w:pPr>
        <w:spacing w:after="0"/>
        <w:rPr>
          <w:sz w:val="20"/>
          <w:szCs w:val="20"/>
          <w:color w:val="auto"/>
        </w:rPr>
      </w:pPr>
      <w:r>
        <w:rPr>
          <w:rFonts w:ascii="Arial" w:cs="Arial" w:eastAsia="Arial" w:hAnsi="Arial"/>
          <w:sz w:val="13"/>
          <w:szCs w:val="13"/>
          <w:color w:val="auto"/>
        </w:rPr>
        <w:t>IASB</w:t>
      </w:r>
    </w:p>
    <w:p>
      <w:pPr>
        <w:spacing w:after="0" w:line="83" w:lineRule="exact"/>
        <w:rPr>
          <w:sz w:val="20"/>
          <w:szCs w:val="20"/>
          <w:color w:val="auto"/>
        </w:rPr>
      </w:pPr>
    </w:p>
    <w:p>
      <w:pPr>
        <w:ind w:left="260" w:hanging="255"/>
        <w:spacing w:after="0"/>
        <w:tabs>
          <w:tab w:leader="none" w:pos="260" w:val="left"/>
        </w:tabs>
        <w:numPr>
          <w:ilvl w:val="0"/>
          <w:numId w:val="84"/>
        </w:numPr>
        <w:rPr>
          <w:rFonts w:ascii="Arial" w:cs="Arial" w:eastAsia="Arial" w:hAnsi="Arial"/>
          <w:sz w:val="13"/>
          <w:szCs w:val="13"/>
          <w:b w:val="1"/>
          <w:bCs w:val="1"/>
          <w:color w:val="auto"/>
        </w:rPr>
      </w:pPr>
      <w:r>
        <w:rPr>
          <w:rFonts w:ascii="Arial" w:cs="Arial" w:eastAsia="Arial" w:hAnsi="Arial"/>
          <w:sz w:val="13"/>
          <w:szCs w:val="13"/>
          <w:b w:val="1"/>
          <w:bCs w:val="1"/>
          <w:color w:val="auto"/>
        </w:rPr>
        <w:t>Management’s Annual Report on Internal Control over Financial Reporting</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management is responsible for establishing and maintaining adequate ICFR as defined in Rule 13a-15(f) or 15d-15(f) under the Exchange Act. ICFR is a process designed under the supervision of our principal executive and principal financial officers to provide reasonable assurance regarding the reliability of our financial reporting and the preparation of consolidated financial statements for external purposes in accordance with IFRS as issued by the IASB. Our ICFR includes those policies and procedures that:</w:t>
      </w:r>
    </w:p>
    <w:p>
      <w:pPr>
        <w:spacing w:after="0" w:line="53" w:lineRule="exact"/>
        <w:rPr>
          <w:sz w:val="20"/>
          <w:szCs w:val="20"/>
          <w:color w:val="auto"/>
        </w:rPr>
      </w:pPr>
    </w:p>
    <w:p>
      <w:pPr>
        <w:ind w:left="480" w:hanging="220"/>
        <w:spacing w:after="0"/>
        <w:tabs>
          <w:tab w:leader="none" w:pos="4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assets of the Company;</w:t>
      </w:r>
    </w:p>
    <w:p>
      <w:pPr>
        <w:spacing w:after="0" w:line="94" w:lineRule="exact"/>
        <w:rPr>
          <w:rFonts w:ascii="Arial" w:cs="Arial" w:eastAsia="Arial" w:hAnsi="Arial"/>
          <w:sz w:val="13"/>
          <w:szCs w:val="13"/>
          <w:color w:val="auto"/>
        </w:rPr>
      </w:pPr>
    </w:p>
    <w:p>
      <w:pPr>
        <w:ind w:left="520" w:hanging="260"/>
        <w:spacing w:after="0" w:line="266" w:lineRule="auto"/>
        <w:tabs>
          <w:tab w:leader="none" w:pos="529" w:val="left"/>
        </w:tabs>
        <w:numPr>
          <w:ilvl w:val="0"/>
          <w:numId w:val="85"/>
        </w:numPr>
        <w:rPr>
          <w:rFonts w:ascii="Arial" w:cs="Arial" w:eastAsia="Arial" w:hAnsi="Arial"/>
          <w:sz w:val="13"/>
          <w:szCs w:val="13"/>
          <w:color w:val="auto"/>
        </w:rPr>
      </w:pPr>
      <w:r>
        <w:rPr>
          <w:rFonts w:ascii="Arial" w:cs="Arial" w:eastAsia="Arial" w:hAnsi="Arial"/>
          <w:sz w:val="13"/>
          <w:szCs w:val="13"/>
          <w:color w:val="auto"/>
        </w:rPr>
        <w:t>Provide reasonable assurance that transactions are recorded as necessary to permit preparation of financial statements in accordance with IFRS, and that receipts and expenditures of the Company are being made only in accordance with authorizations of management and directors of the Company; and</w:t>
      </w:r>
    </w:p>
    <w:p>
      <w:pPr>
        <w:spacing w:after="0" w:line="50" w:lineRule="exact"/>
        <w:rPr>
          <w:rFonts w:ascii="Arial" w:cs="Arial" w:eastAsia="Arial" w:hAnsi="Arial"/>
          <w:sz w:val="13"/>
          <w:szCs w:val="13"/>
          <w:color w:val="auto"/>
        </w:rPr>
      </w:pPr>
    </w:p>
    <w:p>
      <w:pPr>
        <w:ind w:left="520" w:hanging="260"/>
        <w:spacing w:after="0" w:line="283" w:lineRule="auto"/>
        <w:tabs>
          <w:tab w:leader="none" w:pos="492" w:val="left"/>
        </w:tabs>
        <w:numPr>
          <w:ilvl w:val="0"/>
          <w:numId w:val="85"/>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4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Because of its inherent limitations, ICFR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40"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Management has documented and evaluated the effectiveness of the ICFR of the Company as of December 31, 2023, in accordance with the criteria established in the Internal Control - Integrated Framework (2013) issued by the Committee of Sponsoring Organizations of the Treadway Commission.</w:t>
      </w:r>
    </w:p>
    <w:p>
      <w:pPr>
        <w:spacing w:after="0" w:line="61"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Based on our assessment, management believes that, as of December 31, 2023, our ICFR was not effective based on these criteria, as the following material weaknesses were identified in our ICFR as of December 31, 2023.</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82" w:name="page83"/>
    <w:bookmarkEnd w:id="82"/>
    <w:p>
      <w:pPr>
        <w:jc w:val="both"/>
        <w:spacing w:after="0" w:line="266" w:lineRule="auto"/>
        <w:rPr>
          <w:sz w:val="20"/>
          <w:szCs w:val="20"/>
          <w:color w:val="auto"/>
        </w:rPr>
      </w:pPr>
      <w:r>
        <w:rPr>
          <w:rFonts w:ascii="Arial" w:cs="Arial" w:eastAsia="Arial" w:hAnsi="Arial"/>
          <w:sz w:val="13"/>
          <w:szCs w:val="13"/>
          <w:color w:val="auto"/>
        </w:rPr>
        <w:t>Our independent registered public accounting firm, KPMG LLP, who audited the consolidated financial statements included in this Annual Report on Form 20-F issued an adverse opinion on the effectiveness of the Company’s internal control over financial reporting, which is included herein.</w:t>
      </w: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Material Weaknesses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Management, with the participation of the CEO and CFO, and under the oversight of the Audit Committee, identified two material weaknesses in our ICFR as of December 31, 2023. As defined in the standards established by the SEC, a material weakness is a deficiency, or a combination of deficiencies, in ICFR, such that there is a reasonable possibility that a material misstatement of our annual or interim financial statements will not be prevented or detected on a timely basis. The Company has identified the following material weaknesses in ICFR due to the lack of an effective control environment including the retention of personnel with an appropriate level of expertise, knowledge and training in internal controls, and insufficient policies and procedures developed and documented to effectively design and implement control activities:</w:t>
      </w:r>
    </w:p>
    <w:p>
      <w:pPr>
        <w:spacing w:after="0" w:line="58" w:lineRule="exact"/>
        <w:rPr>
          <w:sz w:val="20"/>
          <w:szCs w:val="20"/>
          <w:color w:val="auto"/>
        </w:rPr>
      </w:pPr>
    </w:p>
    <w:p>
      <w:pPr>
        <w:jc w:val="both"/>
        <w:ind w:left="520" w:hanging="260"/>
        <w:spacing w:after="0" w:line="261" w:lineRule="auto"/>
        <w:tabs>
          <w:tab w:leader="none" w:pos="5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 material weakness in our ICFR related to the design and implementation of general IT user access controls for information systems that are relevant to the preparation of the consolidated financial statements. Other general IT and process-level automated controls that are dependent on the affected user access controls, and manual controls that rely on the integrity of data or reports from the affected IT systems, were also deemed ineffective because they could have been adversely impacted.</w:t>
      </w:r>
    </w:p>
    <w:p>
      <w:pPr>
        <w:spacing w:after="0" w:line="53" w:lineRule="exact"/>
        <w:rPr>
          <w:rFonts w:ascii="Arial" w:cs="Arial" w:eastAsia="Arial" w:hAnsi="Arial"/>
          <w:sz w:val="13"/>
          <w:szCs w:val="13"/>
          <w:color w:val="auto"/>
        </w:rPr>
      </w:pPr>
    </w:p>
    <w:p>
      <w:pPr>
        <w:ind w:left="520" w:hanging="260"/>
        <w:spacing w:after="0" w:line="283" w:lineRule="auto"/>
        <w:tabs>
          <w:tab w:leader="none" w:pos="5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 material weakness in the design and implementation of manual controls resulting from deficiencies across the Company’s business processes. The deficiencies include inadequate review and documentation of financial and other information used in manual controls over financial statement accounts and disclosures.</w:t>
      </w:r>
    </w:p>
    <w:p>
      <w:pPr>
        <w:spacing w:after="0" w:line="40"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These material weaknesses did not result in a material misstatement of the Company’s consolidated financial statements. However, these material weaknesses create a reasonable possibility that a material misstatement to our consolidated financial statements or other disclosures may not have been able to be prevented or detected on a timely basis.</w:t>
      </w:r>
    </w:p>
    <w:p>
      <w:pPr>
        <w:spacing w:after="0" w:line="337" w:lineRule="exact"/>
        <w:rPr>
          <w:sz w:val="20"/>
          <w:szCs w:val="20"/>
          <w:color w:val="auto"/>
        </w:rPr>
      </w:pPr>
    </w:p>
    <w:p>
      <w:pPr>
        <w:ind w:right="6540" w:firstLine="5"/>
        <w:spacing w:after="0" w:line="383" w:lineRule="auto"/>
        <w:tabs>
          <w:tab w:leader="none" w:pos="255" w:val="left"/>
        </w:tabs>
        <w:numPr>
          <w:ilvl w:val="0"/>
          <w:numId w:val="87"/>
        </w:numPr>
        <w:rPr>
          <w:rFonts w:ascii="Arial" w:cs="Arial" w:eastAsia="Arial" w:hAnsi="Arial"/>
          <w:sz w:val="13"/>
          <w:szCs w:val="13"/>
          <w:b w:val="1"/>
          <w:bCs w:val="1"/>
          <w:color w:val="auto"/>
        </w:rPr>
      </w:pPr>
      <w:r>
        <w:rPr>
          <w:rFonts w:ascii="Arial" w:cs="Arial" w:eastAsia="Arial" w:hAnsi="Arial"/>
          <w:sz w:val="13"/>
          <w:szCs w:val="13"/>
          <w:b w:val="1"/>
          <w:bCs w:val="1"/>
          <w:color w:val="auto"/>
        </w:rPr>
        <w:t>Attestation Report of the Independent Registered Public Accounting Firm. Report of Independent Registered Public Accounting Firm</w:t>
      </w:r>
    </w:p>
    <w:p>
      <w:pPr>
        <w:spacing w:after="0"/>
        <w:rPr>
          <w:sz w:val="20"/>
          <w:szCs w:val="20"/>
          <w:color w:val="auto"/>
        </w:rPr>
      </w:pPr>
      <w:r>
        <w:rPr>
          <w:rFonts w:ascii="Arial" w:cs="Arial" w:eastAsia="Arial" w:hAnsi="Arial"/>
          <w:sz w:val="13"/>
          <w:szCs w:val="13"/>
          <w:color w:val="auto"/>
        </w:rPr>
        <w:t>To the Stockholders and Board of Directors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GLOBALFOUNDRIES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Opinion on Internal Control Over Financial Reporting</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have audited GLOBALFOUNDRIES Inc. and subsidiaries’ (the Company) internal control over financial reporting as of December 31, 2023, based on criteria established in Internal Control – Integrated Framework (2013) issued by the Committee of Sponsoring Organizations of the Treadway Commission. In our opinion, because of the effect of the material weaknesses, described below, on the achievement of the objectives of the control criteria, the Company has not maintained effective internal control over financial reporting as of December 31, 2023, based on criteria established in Internal Control – Integrated Framework (2013) issued by the Committee of Sponsoring Organizations of the Treadway Commission.</w:t>
      </w:r>
    </w:p>
    <w:p>
      <w:pPr>
        <w:spacing w:after="0" w:line="59" w:lineRule="exact"/>
        <w:rPr>
          <w:sz w:val="20"/>
          <w:szCs w:val="20"/>
          <w:color w:val="auto"/>
        </w:rPr>
      </w:pPr>
    </w:p>
    <w:p>
      <w:pPr>
        <w:jc w:val="both"/>
        <w:spacing w:after="0" w:line="159" w:lineRule="exact"/>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consolidated statements of financial position of the Company as of December 31, 2023 and 2022, the related consolidated statements of operations, other comprehensive income (loss), changes in equity, and cash flows for each of the years in the three</w:t>
      </w:r>
      <w:r>
        <w:rPr>
          <w:rFonts w:ascii="MS PGothic" w:cs="MS PGothic" w:eastAsia="MS PGothic" w:hAnsi="MS PGothic"/>
          <w:sz w:val="13"/>
          <w:szCs w:val="13"/>
          <w:color w:val="auto"/>
        </w:rPr>
        <w:t>‑</w:t>
      </w:r>
      <w:r>
        <w:rPr>
          <w:rFonts w:ascii="Arial" w:cs="Arial" w:eastAsia="Arial" w:hAnsi="Arial"/>
          <w:sz w:val="13"/>
          <w:szCs w:val="13"/>
          <w:color w:val="auto"/>
        </w:rPr>
        <w:t>year period ended December 31, 2023, and the related notes (collectively, the consolidated financial statements), and our report dated April 29, 2024 expressed an unqualified opinion on those consolidated financial statements.</w:t>
      </w:r>
    </w:p>
    <w:p>
      <w:pPr>
        <w:spacing w:after="0" w:line="6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due to the lack of an effective control environment including the retention of personnel with an appropriate level of expertise, knowledge and training in internal controls, and insufficient policies and procedures developed and documented to effectively design and implement control activities have been identified and included in management’s assessment: (i) A material weakness in internal control over financial reporting related to the design and implementation of general information technology user access controls for information systems that are relevant to the preparation of the consolidated financial statements. Other general information technology and process-level automated controls that are dependent on the affected user access controls, and manual controls that rely on the integrity of data or reports from the affected information technology systems, were also deemed ineffective because they could have been adversely impacted; and (ii) A material weakness in the design and implementation of manual controls resulting from deficiencies across the Company’s business processes. The deficiencies include inadequate review and documentation of financial and other information used in manual controls over financial statement accounts and disclosures. The material weaknesses were considered in determining the nature, timing, and</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83" w:name="page84"/>
    <w:bookmarkEnd w:id="83"/>
    <w:p>
      <w:pPr>
        <w:spacing w:after="0"/>
        <w:rPr>
          <w:sz w:val="20"/>
          <w:szCs w:val="20"/>
          <w:color w:val="auto"/>
        </w:rPr>
      </w:pPr>
      <w:r>
        <w:rPr>
          <w:rFonts w:ascii="Arial" w:cs="Arial" w:eastAsia="Arial" w:hAnsi="Arial"/>
          <w:sz w:val="13"/>
          <w:szCs w:val="13"/>
          <w:color w:val="auto"/>
        </w:rPr>
        <w:t>extent of audit tests applied in our audit of the 2023 consolidated financial statements, and this report does not affect our report on those consolidated financial statements.</w:t>
      </w:r>
    </w:p>
    <w:p>
      <w:pPr>
        <w:spacing w:after="0" w:line="36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Basis for Opinion</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Definition and Limitations of Internal Control Over Financial Reporting</w:t>
      </w:r>
    </w:p>
    <w:p>
      <w:pPr>
        <w:spacing w:after="0" w:line="8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6" w:lineRule="exact"/>
        <w:rPr>
          <w:sz w:val="20"/>
          <w:szCs w:val="20"/>
          <w:color w:val="auto"/>
        </w:rPr>
      </w:pPr>
    </w:p>
    <w:p>
      <w:pPr>
        <w:spacing w:after="0"/>
        <w:rPr>
          <w:sz w:val="20"/>
          <w:szCs w:val="20"/>
          <w:color w:val="auto"/>
        </w:rPr>
      </w:pPr>
      <w:r>
        <w:rPr>
          <w:rFonts w:ascii="Arial" w:cs="Arial" w:eastAsia="Arial" w:hAnsi="Arial"/>
          <w:sz w:val="13"/>
          <w:szCs w:val="13"/>
          <w:color w:val="auto"/>
        </w:rPr>
        <w:t>/s/ KPMG LLP</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Singapore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April 29, 2024</w:t>
      </w:r>
    </w:p>
    <w:p>
      <w:pPr>
        <w:spacing w:after="0" w:line="370" w:lineRule="exact"/>
        <w:rPr>
          <w:sz w:val="20"/>
          <w:szCs w:val="20"/>
          <w:color w:val="auto"/>
        </w:rPr>
      </w:pPr>
    </w:p>
    <w:p>
      <w:pPr>
        <w:ind w:left="300" w:hanging="295"/>
        <w:spacing w:after="0"/>
        <w:tabs>
          <w:tab w:leader="none" w:pos="300" w:val="left"/>
        </w:tabs>
        <w:numPr>
          <w:ilvl w:val="0"/>
          <w:numId w:val="88"/>
        </w:numPr>
        <w:rPr>
          <w:rFonts w:ascii="Arial" w:cs="Arial" w:eastAsia="Arial" w:hAnsi="Arial"/>
          <w:sz w:val="13"/>
          <w:szCs w:val="13"/>
          <w:b w:val="1"/>
          <w:bCs w:val="1"/>
          <w:color w:val="auto"/>
        </w:rPr>
      </w:pPr>
      <w:r>
        <w:rPr>
          <w:rFonts w:ascii="Arial" w:cs="Arial" w:eastAsia="Arial" w:hAnsi="Arial"/>
          <w:sz w:val="13"/>
          <w:szCs w:val="13"/>
          <w:b w:val="1"/>
          <w:bCs w:val="1"/>
          <w:color w:val="auto"/>
        </w:rPr>
        <w:t>Changes in Internal Control over Financial Reporting.</w:t>
      </w:r>
    </w:p>
    <w:p>
      <w:pPr>
        <w:spacing w:after="0" w:line="8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Other than as described above, there were no changes in our internal control over financial reporting that occurred during the period covered by this Annual Report on Form 20-F that have materially affected, or that are reasonably likely to materially affect, our ICFR.</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Remediation Plan</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In response to the two material weaknesses described above, we are in the process of executing a remediation plan that includes the following actions:</w:t>
      </w:r>
    </w:p>
    <w:p>
      <w:pPr>
        <w:spacing w:after="0" w:line="95" w:lineRule="exact"/>
        <w:rPr>
          <w:sz w:val="20"/>
          <w:szCs w:val="20"/>
          <w:color w:val="auto"/>
        </w:rPr>
      </w:pPr>
    </w:p>
    <w:p>
      <w:pPr>
        <w:ind w:left="520" w:hanging="260"/>
        <w:spacing w:after="0" w:line="266" w:lineRule="auto"/>
        <w:tabs>
          <w:tab w:leader="none" w:pos="5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Conducting training activities dedicated to control owners to ensure control awareness and compliance with Sarbanes-Oxley requirements, with particular regard to formalized review of financial and other information used in manual controls over financial statement accounts and disclosures;</w:t>
      </w:r>
    </w:p>
    <w:p>
      <w:pPr>
        <w:spacing w:after="0" w:line="50" w:lineRule="exact"/>
        <w:rPr>
          <w:rFonts w:ascii="Arial" w:cs="Arial" w:eastAsia="Arial" w:hAnsi="Arial"/>
          <w:sz w:val="13"/>
          <w:szCs w:val="13"/>
          <w:color w:val="auto"/>
        </w:rPr>
      </w:pPr>
    </w:p>
    <w:p>
      <w:pPr>
        <w:ind w:left="520" w:hanging="260"/>
        <w:spacing w:after="0" w:line="283" w:lineRule="auto"/>
        <w:tabs>
          <w:tab w:leader="none" w:pos="5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Removing inappropriate user access, performing periodic activity reviews on all user access privileges, and develop a formalized plan related to the design and implementation of IT general controls; and</w:t>
      </w:r>
    </w:p>
    <w:p>
      <w:pPr>
        <w:spacing w:after="0" w:line="40" w:lineRule="exact"/>
        <w:rPr>
          <w:rFonts w:ascii="Arial" w:cs="Arial" w:eastAsia="Arial" w:hAnsi="Arial"/>
          <w:sz w:val="13"/>
          <w:szCs w:val="13"/>
          <w:color w:val="auto"/>
        </w:rPr>
      </w:pPr>
    </w:p>
    <w:p>
      <w:pPr>
        <w:ind w:left="520" w:hanging="260"/>
        <w:spacing w:after="0" w:line="283" w:lineRule="auto"/>
        <w:tabs>
          <w:tab w:leader="none" w:pos="513" w:val="left"/>
        </w:tabs>
        <w:numPr>
          <w:ilvl w:val="0"/>
          <w:numId w:val="89"/>
        </w:numPr>
        <w:rPr>
          <w:rFonts w:ascii="Arial" w:cs="Arial" w:eastAsia="Arial" w:hAnsi="Arial"/>
          <w:sz w:val="13"/>
          <w:szCs w:val="13"/>
          <w:color w:val="auto"/>
        </w:rPr>
      </w:pPr>
      <w:r>
        <w:rPr>
          <w:rFonts w:ascii="Arial" w:cs="Arial" w:eastAsia="Arial" w:hAnsi="Arial"/>
          <w:sz w:val="13"/>
          <w:szCs w:val="13"/>
          <w:color w:val="auto"/>
        </w:rPr>
        <w:t>Redesign certain manual review controls over financial statement accounts and disclosures, establish policies and procedures to effectively deploy controls as designed, and establish documentation requirements to sufficiently evidence the performance of the Company’s key controls.</w:t>
      </w:r>
    </w:p>
    <w:p>
      <w:pPr>
        <w:spacing w:after="0" w:line="31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These actions and any additional actions we intend to implement in the future are subject to ongoing management evaluation and will require validation and testing of the design, implementation, and operating effectiveness of internal</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84" w:name="page85"/>
    <w:bookmarkEnd w:id="84"/>
    <w:p>
      <w:pPr>
        <w:jc w:val="both"/>
        <w:spacing w:after="0" w:line="261" w:lineRule="auto"/>
        <w:rPr>
          <w:sz w:val="20"/>
          <w:szCs w:val="20"/>
          <w:color w:val="auto"/>
        </w:rPr>
      </w:pPr>
      <w:r>
        <w:rPr>
          <w:rFonts w:ascii="Arial" w:cs="Arial" w:eastAsia="Arial" w:hAnsi="Arial"/>
          <w:sz w:val="13"/>
          <w:szCs w:val="13"/>
          <w:color w:val="auto"/>
        </w:rPr>
        <w:t>controls over a sustained period of time. The above actions and any additional actions we intend to implement in the future are designed to effectively remediate the material weaknesses, and we believe that our successful completion of such actions will improve our ICFR environment. However, these material weaknesses in our ICFR will not be considered remediated (and we cannot come to any such conclusion) until our remediation plan has been fully implemented and the operation of the remediated controls are sufficiently tested.</w:t>
      </w:r>
    </w:p>
    <w:p>
      <w:pPr>
        <w:spacing w:after="0" w:line="53" w:lineRule="exact"/>
        <w:rPr>
          <w:sz w:val="20"/>
          <w:szCs w:val="20"/>
          <w:color w:val="auto"/>
        </w:rPr>
      </w:pPr>
    </w:p>
    <w:p>
      <w:pPr>
        <w:spacing w:after="0"/>
        <w:tabs>
          <w:tab w:leader="none" w:pos="740" w:val="left"/>
        </w:tabs>
        <w:rPr>
          <w:sz w:val="20"/>
          <w:szCs w:val="20"/>
          <w:color w:val="auto"/>
        </w:rPr>
      </w:pPr>
      <w:r>
        <w:rPr>
          <w:rFonts w:ascii="Arial" w:cs="Arial" w:eastAsia="Arial" w:hAnsi="Arial"/>
          <w:sz w:val="13"/>
          <w:szCs w:val="13"/>
          <w:b w:val="1"/>
          <w:bCs w:val="1"/>
          <w:color w:val="auto"/>
        </w:rPr>
        <w:t>ITEM 16A.</w:t>
      </w:r>
      <w:r>
        <w:rPr>
          <w:sz w:val="20"/>
          <w:szCs w:val="20"/>
          <w:color w:val="auto"/>
        </w:rPr>
        <w:tab/>
      </w:r>
      <w:r>
        <w:rPr>
          <w:rFonts w:ascii="Arial" w:cs="Arial" w:eastAsia="Arial" w:hAnsi="Arial"/>
          <w:sz w:val="12"/>
          <w:szCs w:val="12"/>
          <w:b w:val="1"/>
          <w:bCs w:val="1"/>
          <w:color w:val="auto"/>
        </w:rPr>
        <w:t>AUDIT COMMITTEE FINANCIAL EXPERT</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have one financial expert serving on our Audit Committee as of the date hereof. Our Board of Directors has determined that Jack Lazar qualifies as an “audit committee financial expert” as defined in SEC rules and satisfies the financial sophistication requirements of the Nasdaq. In addition, our Board of Directors has determined that Jack Lazar is “independent” for Audit Committee purposes as that term is defined in the rules of the SEC and the applicable rules of Nasdaq.</w:t>
      </w:r>
    </w:p>
    <w:p>
      <w:pPr>
        <w:spacing w:after="0" w:line="70" w:lineRule="exact"/>
        <w:rPr>
          <w:sz w:val="20"/>
          <w:szCs w:val="20"/>
          <w:color w:val="auto"/>
        </w:rPr>
      </w:pPr>
    </w:p>
    <w:p>
      <w:pPr>
        <w:spacing w:after="0"/>
        <w:tabs>
          <w:tab w:leader="none" w:pos="740" w:val="left"/>
        </w:tabs>
        <w:rPr>
          <w:sz w:val="20"/>
          <w:szCs w:val="20"/>
          <w:color w:val="auto"/>
        </w:rPr>
      </w:pPr>
      <w:r>
        <w:rPr>
          <w:rFonts w:ascii="Arial" w:cs="Arial" w:eastAsia="Arial" w:hAnsi="Arial"/>
          <w:sz w:val="13"/>
          <w:szCs w:val="13"/>
          <w:b w:val="1"/>
          <w:bCs w:val="1"/>
          <w:color w:val="auto"/>
        </w:rPr>
        <w:t>ITEM 16B.</w:t>
      </w:r>
      <w:r>
        <w:rPr>
          <w:sz w:val="20"/>
          <w:szCs w:val="20"/>
          <w:color w:val="auto"/>
        </w:rPr>
        <w:tab/>
      </w:r>
      <w:r>
        <w:rPr>
          <w:rFonts w:ascii="Arial" w:cs="Arial" w:eastAsia="Arial" w:hAnsi="Arial"/>
          <w:sz w:val="12"/>
          <w:szCs w:val="12"/>
          <w:b w:val="1"/>
          <w:bCs w:val="1"/>
          <w:color w:val="auto"/>
        </w:rPr>
        <w:t>CODE OF ETHICS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Board has adopted a code of conduct that applies to all of our directors, officers and employees (the “Code of Conduct”). Our Board has also adopted a code of ethics applicable to our executive officers and senior finance executives (the “Code of Ethics”), who must also comply with the Code of Conduct. Both the Code of Conduct and the Code of Ethics are available on our website: www.gf.com. We intend to disclose any amendments to the Code of Ethics, and any waivers of the Code of Ethics or the Code of Conduct for our directors, executive officers and senior finance executives, on our website to the extent required by applicable U.S. federal securities laws and the corporate governance rules of Nasdaq.</w:t>
      </w:r>
    </w:p>
    <w:p>
      <w:pPr>
        <w:spacing w:after="0" w:line="70" w:lineRule="exact"/>
        <w:rPr>
          <w:sz w:val="20"/>
          <w:szCs w:val="20"/>
          <w:color w:val="auto"/>
        </w:rPr>
      </w:pPr>
    </w:p>
    <w:p>
      <w:pPr>
        <w:spacing w:after="0"/>
        <w:tabs>
          <w:tab w:leader="none" w:pos="740" w:val="left"/>
        </w:tabs>
        <w:rPr>
          <w:sz w:val="20"/>
          <w:szCs w:val="20"/>
          <w:color w:val="auto"/>
        </w:rPr>
      </w:pPr>
      <w:r>
        <w:rPr>
          <w:rFonts w:ascii="Arial" w:cs="Arial" w:eastAsia="Arial" w:hAnsi="Arial"/>
          <w:sz w:val="13"/>
          <w:szCs w:val="13"/>
          <w:b w:val="1"/>
          <w:bCs w:val="1"/>
          <w:color w:val="auto"/>
        </w:rPr>
        <w:t>ITEM 16C.</w:t>
      </w:r>
      <w:r>
        <w:rPr>
          <w:sz w:val="20"/>
          <w:szCs w:val="20"/>
          <w:color w:val="auto"/>
        </w:rPr>
        <w:tab/>
      </w:r>
      <w:r>
        <w:rPr>
          <w:rFonts w:ascii="Arial" w:cs="Arial" w:eastAsia="Arial" w:hAnsi="Arial"/>
          <w:sz w:val="12"/>
          <w:szCs w:val="12"/>
          <w:b w:val="1"/>
          <w:bCs w:val="1"/>
          <w:color w:val="auto"/>
        </w:rPr>
        <w:t>PRINCIPAL ACCOUNTANT FEES AND SERVICES</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following table sets forth the aggregate fees in connection with certain professional services provided to us by KPMG LLP (PCAOB ID 1051), our independent registered public accounting firm during the years ended December 31, 2023 and 2022.</w:t>
      </w:r>
    </w:p>
    <w:p>
      <w:pPr>
        <w:spacing w:after="0" w:line="369"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666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(in thousands)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r>
      <w:tr>
        <w:trPr>
          <w:trHeight w:val="160"/>
        </w:trPr>
        <w:tc>
          <w:tcPr>
            <w:tcW w:w="66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Audit fees</w:t>
            </w:r>
          </w:p>
        </w:tc>
        <w:tc>
          <w:tcPr>
            <w:tcW w:w="1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$5,644</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$4,744</w:t>
            </w:r>
          </w:p>
        </w:tc>
      </w:tr>
      <w:tr>
        <w:trPr>
          <w:trHeight w:val="169"/>
        </w:trPr>
        <w:tc>
          <w:tcPr>
            <w:tcW w:w="6660" w:type="dxa"/>
            <w:vAlign w:val="bottom"/>
          </w:tcPr>
          <w:p>
            <w:pPr>
              <w:spacing w:after="0"/>
              <w:rPr>
                <w:sz w:val="20"/>
                <w:szCs w:val="20"/>
                <w:color w:val="auto"/>
              </w:rPr>
            </w:pPr>
            <w:r>
              <w:rPr>
                <w:rFonts w:ascii="Arial" w:cs="Arial" w:eastAsia="Arial" w:hAnsi="Arial"/>
                <w:sz w:val="13"/>
                <w:szCs w:val="13"/>
                <w:color w:val="auto"/>
              </w:rPr>
              <w:t>Audit-related fees</w:t>
            </w: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1480" w:type="dxa"/>
            <w:vAlign w:val="bottom"/>
          </w:tcPr>
          <w:p>
            <w:pPr>
              <w:jc w:val="center"/>
              <w:spacing w:after="0"/>
              <w:rPr>
                <w:sz w:val="20"/>
                <w:szCs w:val="20"/>
                <w:color w:val="auto"/>
              </w:rPr>
            </w:pPr>
            <w:r>
              <w:rPr>
                <w:rFonts w:ascii="Arial" w:cs="Arial" w:eastAsia="Arial" w:hAnsi="Arial"/>
                <w:sz w:val="13"/>
                <w:szCs w:val="13"/>
                <w:color w:val="auto"/>
              </w:rPr>
              <w:t>61</w:t>
            </w:r>
          </w:p>
        </w:tc>
      </w:tr>
      <w:tr>
        <w:trPr>
          <w:trHeight w:val="171"/>
        </w:trPr>
        <w:tc>
          <w:tcPr>
            <w:tcW w:w="6660" w:type="dxa"/>
            <w:vAlign w:val="bottom"/>
            <w:shd w:val="clear" w:color="auto" w:fill="CCEEFF"/>
          </w:tcPr>
          <w:p>
            <w:pPr>
              <w:spacing w:after="0"/>
              <w:rPr>
                <w:sz w:val="20"/>
                <w:szCs w:val="20"/>
                <w:color w:val="auto"/>
              </w:rPr>
            </w:pPr>
            <w:r>
              <w:rPr>
                <w:rFonts w:ascii="Arial" w:cs="Arial" w:eastAsia="Arial" w:hAnsi="Arial"/>
                <w:sz w:val="13"/>
                <w:szCs w:val="13"/>
                <w:color w:val="auto"/>
              </w:rPr>
              <w:t>Tax fees</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r>
      <w:tr>
        <w:trPr>
          <w:trHeight w:val="169"/>
        </w:trPr>
        <w:tc>
          <w:tcPr>
            <w:tcW w:w="66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All other fees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6</w:t>
            </w:r>
          </w:p>
        </w:tc>
        <w:tc>
          <w:tcPr>
            <w:tcW w:w="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r>
      <w:tr>
        <w:trPr>
          <w:trHeight w:val="187"/>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5"/>
              </w:rPr>
              <w:t>$5,650</w:t>
            </w: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rPr>
              <w:t>$4,805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Audit fees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Audit fees are fees billed for professional services rendered by the principal accountant for the audit of the registrant’s annual combined financial statements or services that are normally provided by the accountant in connection with statutory and regulatory filings or engagements for those fiscal years. It includes the audit of our financial statements, interim reviews and other services that generally only the independent accountant reasonably can provide, such as comfort letters, statutory audits, consents and assistance with and review of documents filed with the SEC.</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Audit-related fees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Audit-related fees are fees billed for assurance and related services by the principal accountant that are reasonably related to the performance of the audit or review of the registrant’s financial services.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Tax fees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Tax fees are fees billed for professional services for tax compliance, tax advice and tax planning.</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All other fees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All other fees are fees billed for payroll processing, human resources administration and immigration services.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Committee Pre-Approval Policies and Procedures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accordance with applicable requirements of the U.S. Sarbanes-Oxley Act of 2002 and rules issued by the SEC, the policy of our audit committee is to pre-approve all audit and non-audit services provided by KPMG LLP since their appointment as the independent registered public accounting firm, including audit-related services, tax services and other services.</w:t>
      </w:r>
    </w:p>
    <w:p>
      <w:pPr>
        <w:spacing w:after="0" w:line="40" w:lineRule="exact"/>
        <w:rPr>
          <w:sz w:val="20"/>
          <w:szCs w:val="20"/>
          <w:color w:val="auto"/>
        </w:rPr>
      </w:pPr>
    </w:p>
    <w:p>
      <w:pPr>
        <w:spacing w:after="0"/>
        <w:tabs>
          <w:tab w:leader="none" w:pos="740" w:val="left"/>
        </w:tabs>
        <w:rPr>
          <w:sz w:val="20"/>
          <w:szCs w:val="20"/>
          <w:color w:val="auto"/>
        </w:rPr>
      </w:pPr>
      <w:r>
        <w:rPr>
          <w:rFonts w:ascii="Arial" w:cs="Arial" w:eastAsia="Arial" w:hAnsi="Arial"/>
          <w:sz w:val="13"/>
          <w:szCs w:val="13"/>
          <w:b w:val="1"/>
          <w:bCs w:val="1"/>
          <w:color w:val="auto"/>
        </w:rPr>
        <w:t>ITEM 16D.</w:t>
      </w:r>
      <w:r>
        <w:rPr>
          <w:sz w:val="20"/>
          <w:szCs w:val="20"/>
          <w:color w:val="auto"/>
        </w:rPr>
        <w:tab/>
      </w:r>
      <w:r>
        <w:rPr>
          <w:rFonts w:ascii="Arial" w:cs="Arial" w:eastAsia="Arial" w:hAnsi="Arial"/>
          <w:sz w:val="12"/>
          <w:szCs w:val="12"/>
          <w:b w:val="1"/>
          <w:bCs w:val="1"/>
          <w:color w:val="auto"/>
        </w:rPr>
        <w:t>EXEMPTIONS FROM THE LISTING STANDARDS FOR AUDIT COMMITTEES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85" w:name="page86"/>
    <w:bookmarkEnd w:id="85"/>
    <w:p>
      <w:pPr>
        <w:spacing w:after="0"/>
        <w:tabs>
          <w:tab w:leader="none" w:pos="720" w:val="left"/>
        </w:tabs>
        <w:rPr>
          <w:sz w:val="20"/>
          <w:szCs w:val="20"/>
          <w:color w:val="auto"/>
        </w:rPr>
      </w:pPr>
      <w:r>
        <w:rPr>
          <w:rFonts w:ascii="Arial" w:cs="Arial" w:eastAsia="Arial" w:hAnsi="Arial"/>
          <w:sz w:val="13"/>
          <w:szCs w:val="13"/>
          <w:b w:val="1"/>
          <w:bCs w:val="1"/>
          <w:color w:val="auto"/>
        </w:rPr>
        <w:t>ITEM 16E.</w:t>
      </w:r>
      <w:r>
        <w:rPr>
          <w:sz w:val="20"/>
          <w:szCs w:val="20"/>
          <w:color w:val="auto"/>
        </w:rPr>
        <w:tab/>
      </w:r>
      <w:r>
        <w:rPr>
          <w:rFonts w:ascii="Arial" w:cs="Arial" w:eastAsia="Arial" w:hAnsi="Arial"/>
          <w:sz w:val="12"/>
          <w:szCs w:val="12"/>
          <w:b w:val="1"/>
          <w:bCs w:val="1"/>
          <w:color w:val="auto"/>
        </w:rPr>
        <w:t>PURCHASES OF EQUITY SECURITIES BY THE ISSUER AND AFFILIATED PURCHASERS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There were no purchases of equity securities by us or by any affiliated purchaser during the period covered by this Annual Report.</w:t>
      </w:r>
    </w:p>
    <w:p>
      <w:pPr>
        <w:spacing w:after="0" w:line="95" w:lineRule="exact"/>
        <w:rPr>
          <w:sz w:val="20"/>
          <w:szCs w:val="20"/>
          <w:color w:val="auto"/>
        </w:rPr>
      </w:pPr>
    </w:p>
    <w:p>
      <w:pPr>
        <w:spacing w:after="0"/>
        <w:tabs>
          <w:tab w:leader="none" w:pos="700" w:val="left"/>
        </w:tabs>
        <w:rPr>
          <w:sz w:val="20"/>
          <w:szCs w:val="20"/>
          <w:color w:val="auto"/>
        </w:rPr>
      </w:pPr>
      <w:r>
        <w:rPr>
          <w:rFonts w:ascii="Arial" w:cs="Arial" w:eastAsia="Arial" w:hAnsi="Arial"/>
          <w:sz w:val="13"/>
          <w:szCs w:val="13"/>
          <w:b w:val="1"/>
          <w:bCs w:val="1"/>
          <w:color w:val="auto"/>
        </w:rPr>
        <w:t>ITEM 16F.</w:t>
      </w:r>
      <w:r>
        <w:rPr>
          <w:sz w:val="20"/>
          <w:szCs w:val="20"/>
          <w:color w:val="auto"/>
        </w:rPr>
        <w:tab/>
      </w:r>
      <w:r>
        <w:rPr>
          <w:rFonts w:ascii="Arial" w:cs="Arial" w:eastAsia="Arial" w:hAnsi="Arial"/>
          <w:sz w:val="12"/>
          <w:szCs w:val="12"/>
          <w:b w:val="1"/>
          <w:bCs w:val="1"/>
          <w:color w:val="auto"/>
        </w:rPr>
        <w:t>CHANGE IN REGISTRANT’S CERTIFYING ACCOUNTANT</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January 23, 2024, the Audit Committee appointed PricewaterhouseCoopers LLP (“PwC”) as its independent registered public accounting firm for the fiscal year ending December 31, 2024 subject to completion of PwC’s standard client acceptance procedures and execution of an engagement letter. PwC will be engaged upon completion of the audit of the Company’s consolidated financial statements as of and for the year ended December 31, 2023, and the effectiveness of internal control over financial reporting as of December 31, 2023.</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Pursuant to the Company’s prior practice and to the extent permitted by applicable law, the Company endeavors to appoint the same independent registered public accounting firm (or affiliate of such auditor) as its majority shareholders, MTIC and MTIIIC, as well as their indirect parent company, Mamoura Diversified Global Holding PJSC and its subsidiaries (the “MDGH Group”), so long as such appointment is determined to be in the best interests of the Company. The audit committee of the MDGH Group selected a PwC member firm in December 2023 as its independent registered public accounting firm for the fiscal year ending December 31, 2024.</w:t>
      </w:r>
    </w:p>
    <w:p>
      <w:pPr>
        <w:spacing w:after="0" w:line="5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accordance with the aforementioned prior practice and following a competitive process, the Audit Committee assessed the qualifications, performance, expertise in IFRS and audit of financial statements, resources and the effectiveness of PwC’s audit process, as well as the benefits arising to the Company from the selection of the same firm as the MDGH Group, and determined to appoint PwC as the auditors for the fiscal year ending December 31, 2024. Accordingly, KPMG LLP was dismissed as the Company’s independent registered public accounting firm for the fiscal year ending December 31, 2024. The Audit Committee’s appointment of PwC is also consistent with the terms of the Shareholder’s Agreement between the Company and MTIC and MTIIIC, which is filed as an exhibit to this annual report on Form 20-F.</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During the years ended December 31, 2023 and 2022, KPMG LLP’s reports on the Company’s consolidated financial statements as of and for the fiscal years ended December 31, 2023 and December 31, 2022 did not contain any adverse opinion or a disclaimer of opinion, and were not qualified or modified as to uncertainty, audit scope or accounting principles or practices, except that KPMG LLP’s report dated April 29, 2024 expressed an adverse opinion on the effectiveness of the Company’s internal control over financial reporting as of December 31, 2023 because of the effect of material weaknesses as disclosed in Item 15 of the Company’s 2023 Annual Report on Form 20-F.</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During the two fiscal years ended December 31, 2023 and 2022 and the subsequent interim period through the filing of this Annual Report, neither the Company nor anyone acting on the Company’s behalf consulted with PwC regarding (1) the application of accounting principles to a specific transaction, either completed or proposed; (2) the type of audit opinion that might be rendered on the Company’s financial statements and neither a written report nor oral advice was provided to the Company that PwC concluded was an important factor considered by the Company in reaching a decision as to any accounting, auditing or financial reporting issue; or (3) any matter that was the subject of a disagreement (as described in Item 16F (a)(1)(iv) of Form 20-F</w:t>
      </w:r>
    </w:p>
    <w:p>
      <w:pPr>
        <w:spacing w:after="0" w:line="5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have provided KPMG LLP with a copy of the foregoing disclosure and requested that KPMG LLP furnish to us a letter addressed to the SEC stating whether KPMG LLP agrees with such disclosure, as specified by Item 16F(a)(3) of Form 20-F. We have included as Exhibit 15.2 to this Form 20-F a copy of such letter from KPMG LLP.</w:t>
      </w:r>
    </w:p>
    <w:p>
      <w:pPr>
        <w:spacing w:after="0" w:line="61" w:lineRule="exact"/>
        <w:rPr>
          <w:sz w:val="20"/>
          <w:szCs w:val="20"/>
          <w:color w:val="auto"/>
        </w:rPr>
      </w:pPr>
    </w:p>
    <w:p>
      <w:pPr>
        <w:spacing w:after="0"/>
        <w:tabs>
          <w:tab w:leader="none" w:pos="740" w:val="left"/>
        </w:tabs>
        <w:rPr>
          <w:sz w:val="20"/>
          <w:szCs w:val="20"/>
          <w:color w:val="auto"/>
        </w:rPr>
      </w:pPr>
      <w:r>
        <w:rPr>
          <w:rFonts w:ascii="Arial" w:cs="Arial" w:eastAsia="Arial" w:hAnsi="Arial"/>
          <w:sz w:val="13"/>
          <w:szCs w:val="13"/>
          <w:b w:val="1"/>
          <w:bCs w:val="1"/>
          <w:color w:val="auto"/>
        </w:rPr>
        <w:t>ITEM 16G.</w:t>
      </w:r>
      <w:r>
        <w:rPr>
          <w:sz w:val="20"/>
          <w:szCs w:val="20"/>
          <w:color w:val="auto"/>
        </w:rPr>
        <w:tab/>
      </w:r>
      <w:r>
        <w:rPr>
          <w:rFonts w:ascii="Arial" w:cs="Arial" w:eastAsia="Arial" w:hAnsi="Arial"/>
          <w:sz w:val="12"/>
          <w:szCs w:val="12"/>
          <w:b w:val="1"/>
          <w:bCs w:val="1"/>
          <w:color w:val="auto"/>
        </w:rPr>
        <w:t>CORPORATE GOVERNANCE</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are a “foreign private issuer” under the securities laws of the United States and the rules of Nasdaq. Nasdaq listing rules include certain accommodations in the corporate governance requirements that allow foreign private issuers, such as us, to follow “home country” corporate governance practices in lieu of the otherwise applicable corporate governance standards of Nasdaq. The application of such exceptions requires that we disclose each Nasdaq corporate governance standard that we do not follow and describe the Cayman Islands corporate governance practices we do follow in lieu of the relevant Nasdaq corporate governance standard. We currently follow Cayman Islands corporate governance practices in lieu of the corporate governance requirements of Nasdaq in respect of the following:</w:t>
      </w:r>
    </w:p>
    <w:p>
      <w:pPr>
        <w:spacing w:after="0" w:line="58" w:lineRule="exact"/>
        <w:rPr>
          <w:sz w:val="20"/>
          <w:szCs w:val="20"/>
          <w:color w:val="auto"/>
        </w:rPr>
      </w:pPr>
    </w:p>
    <w:p>
      <w:pPr>
        <w:ind w:left="520" w:hanging="260"/>
        <w:spacing w:after="0" w:line="283" w:lineRule="auto"/>
        <w:tabs>
          <w:tab w:leader="none" w:pos="511"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requirement under Section 5605(e) of the Nasdaq listing rules that director nominees be selected or recommended for selection by either a majority of the independent directors or a nominations committee comprised solely of independent directors; and</w:t>
      </w:r>
    </w:p>
    <w:p>
      <w:pPr>
        <w:spacing w:after="0" w:line="40" w:lineRule="exact"/>
        <w:rPr>
          <w:rFonts w:ascii="Arial" w:cs="Arial" w:eastAsia="Arial" w:hAnsi="Arial"/>
          <w:sz w:val="13"/>
          <w:szCs w:val="13"/>
          <w:color w:val="auto"/>
        </w:rPr>
      </w:pPr>
    </w:p>
    <w:p>
      <w:pPr>
        <w:ind w:left="500" w:hanging="240"/>
        <w:spacing w:after="0"/>
        <w:tabs>
          <w:tab w:leader="none" w:pos="5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Shareholder Approval Requirements under Section 5635 of the Nasdaq listing rules.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a voluntary basis, we have adopted corporate governance principles, policies and practices, which are set out primarily in our Corporate Governance Framework, Board Charter, committee charters, Code of Conduct, Code of Ethics and Director Conflict of Interest Policy, the current versions of which are published on our Investors Relations website (www.investors.gf.com). We note in particular the following policies and practices that we have voluntarily adopted to align more with Nasdaq’s corporate governance standards for domestic issuers:</w:t>
      </w:r>
    </w:p>
    <w:p>
      <w:pPr>
        <w:spacing w:after="0" w:line="53" w:lineRule="exact"/>
        <w:rPr>
          <w:sz w:val="20"/>
          <w:szCs w:val="20"/>
          <w:color w:val="auto"/>
        </w:rPr>
      </w:pPr>
    </w:p>
    <w:p>
      <w:pPr>
        <w:ind w:left="500" w:hanging="240"/>
        <w:spacing w:after="0"/>
        <w:tabs>
          <w:tab w:leader="none" w:pos="50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 majority of our Board of Directors is comprised of independent directors pursuant to applicable Nasdaq rules.</w:t>
      </w:r>
    </w:p>
    <w:p>
      <w:pPr>
        <w:spacing w:after="0" w:line="200" w:lineRule="exact"/>
        <w:rPr>
          <w:rFonts w:ascii="Arial" w:cs="Arial" w:eastAsia="Arial" w:hAnsi="Arial"/>
          <w:sz w:val="13"/>
          <w:szCs w:val="13"/>
          <w:color w:val="auto"/>
        </w:rPr>
      </w:pPr>
    </w:p>
    <w:p>
      <w:pPr>
        <w:spacing w:after="0" w:line="287" w:lineRule="exact"/>
        <w:rPr>
          <w:rFonts w:ascii="Arial" w:cs="Arial" w:eastAsia="Arial" w:hAnsi="Arial"/>
          <w:sz w:val="13"/>
          <w:szCs w:val="13"/>
          <w:color w:val="auto"/>
        </w:rPr>
      </w:pPr>
    </w:p>
    <w:p>
      <w:pPr>
        <w:ind w:left="5580"/>
        <w:spacing w:after="0"/>
        <w:rPr>
          <w:rFonts w:ascii="Arial" w:cs="Arial" w:eastAsia="Arial" w:hAnsi="Arial"/>
          <w:sz w:val="13"/>
          <w:szCs w:val="13"/>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86" w:name="page87"/>
    <w:bookmarkEnd w:id="86"/>
    <w:p>
      <w:pPr>
        <w:ind w:left="520" w:hanging="260"/>
        <w:spacing w:after="0" w:line="266" w:lineRule="auto"/>
        <w:tabs>
          <w:tab w:leader="none" w:pos="511" w:val="left"/>
        </w:tabs>
        <w:numPr>
          <w:ilvl w:val="0"/>
          <w:numId w:val="92"/>
        </w:numPr>
        <w:rPr>
          <w:rFonts w:ascii="Arial" w:cs="Arial" w:eastAsia="Arial" w:hAnsi="Arial"/>
          <w:sz w:val="13"/>
          <w:szCs w:val="13"/>
          <w:color w:val="auto"/>
        </w:rPr>
      </w:pPr>
      <w:r>
        <w:rPr>
          <w:rFonts w:ascii="Arial" w:cs="Arial" w:eastAsia="Arial" w:hAnsi="Arial"/>
          <w:sz w:val="13"/>
          <w:szCs w:val="13"/>
          <w:color w:val="auto"/>
        </w:rPr>
        <w:t>Our independent, non-executive directors who are not affiliated with or appointed by Mubadala meet in executive sessions at Board meetings. Our lead independent director presides over such executive sessions.</w:t>
      </w:r>
    </w:p>
    <w:p>
      <w:pPr>
        <w:spacing w:after="0" w:line="61"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92"/>
        </w:numPr>
        <w:rPr>
          <w:rFonts w:ascii="Arial" w:cs="Arial" w:eastAsia="Arial" w:hAnsi="Arial"/>
          <w:sz w:val="13"/>
          <w:szCs w:val="13"/>
          <w:color w:val="auto"/>
        </w:rPr>
      </w:pPr>
      <w:r>
        <w:rPr>
          <w:rFonts w:ascii="Arial" w:cs="Arial" w:eastAsia="Arial" w:hAnsi="Arial"/>
          <w:sz w:val="13"/>
          <w:szCs w:val="13"/>
          <w:color w:val="auto"/>
        </w:rPr>
        <w:t>We have a separation of the CEO and Board chairman roles, with our CEO focused on managing the Company and our Board chairman driving accountability to shareholders at the Board level.</w:t>
      </w:r>
    </w:p>
    <w:p>
      <w:pPr>
        <w:spacing w:after="0" w:line="61" w:lineRule="exact"/>
        <w:rPr>
          <w:rFonts w:ascii="Arial" w:cs="Arial" w:eastAsia="Arial" w:hAnsi="Arial"/>
          <w:sz w:val="13"/>
          <w:szCs w:val="13"/>
          <w:color w:val="auto"/>
        </w:rPr>
      </w:pPr>
    </w:p>
    <w:p>
      <w:pPr>
        <w:ind w:left="500" w:hanging="240"/>
        <w:spacing w:after="0"/>
        <w:tabs>
          <w:tab w:leader="none" w:pos="500" w:val="left"/>
        </w:tabs>
        <w:numPr>
          <w:ilvl w:val="0"/>
          <w:numId w:val="92"/>
        </w:numPr>
        <w:rPr>
          <w:rFonts w:ascii="Arial" w:cs="Arial" w:eastAsia="Arial" w:hAnsi="Arial"/>
          <w:sz w:val="13"/>
          <w:szCs w:val="13"/>
          <w:color w:val="auto"/>
        </w:rPr>
      </w:pPr>
      <w:r>
        <w:rPr>
          <w:rFonts w:ascii="Arial" w:cs="Arial" w:eastAsia="Arial" w:hAnsi="Arial"/>
          <w:sz w:val="13"/>
          <w:szCs w:val="13"/>
          <w:color w:val="auto"/>
        </w:rPr>
        <w:t>Annually, the Board of Directors, its committees and individual directors undertake a self-evaluation, including one-on-one interviews.</w:t>
      </w:r>
    </w:p>
    <w:p>
      <w:pPr>
        <w:spacing w:after="0" w:line="83" w:lineRule="exact"/>
        <w:rPr>
          <w:rFonts w:ascii="Arial" w:cs="Arial" w:eastAsia="Arial" w:hAnsi="Arial"/>
          <w:sz w:val="13"/>
          <w:szCs w:val="13"/>
          <w:color w:val="auto"/>
        </w:rPr>
      </w:pPr>
    </w:p>
    <w:p>
      <w:pPr>
        <w:jc w:val="both"/>
        <w:ind w:left="520" w:hanging="260"/>
        <w:spacing w:after="0" w:line="254" w:lineRule="auto"/>
        <w:tabs>
          <w:tab w:leader="none" w:pos="511" w:val="left"/>
        </w:tabs>
        <w:numPr>
          <w:ilvl w:val="0"/>
          <w:numId w:val="92"/>
        </w:numPr>
        <w:rPr>
          <w:rFonts w:ascii="Arial" w:cs="Arial" w:eastAsia="Arial" w:hAnsi="Arial"/>
          <w:sz w:val="13"/>
          <w:szCs w:val="13"/>
          <w:color w:val="auto"/>
        </w:rPr>
      </w:pPr>
      <w:r>
        <w:rPr>
          <w:rFonts w:ascii="Arial" w:cs="Arial" w:eastAsia="Arial" w:hAnsi="Arial"/>
          <w:sz w:val="13"/>
          <w:szCs w:val="13"/>
          <w:color w:val="auto"/>
        </w:rPr>
        <w:t>We have updated our Board Charter to address (i) periodic meetings among committee chairs and the Board chairman, (ii) overboarding, (iii) duties of the lead independent director, (iv) diversity, (v) periodic assessment of processes facilitating communications between shareholders and directors and financial and non-financial information, (vi) effective implementation and operation of information and reporting systems or controls designed to inform of material risks, (vii) the Board being apprised of the Company’s positions on corporate social responsibility, public policy and philanthropy, (viii) change in director circumstances, (ix) the minimum number of times the Board of Directors would meet each year, (x) each committee chair setting an annual schedule of meetings for their respective committees, and (xi) each director’s ability to provide input on the Board or any committee agenda.</w:t>
      </w:r>
    </w:p>
    <w:p>
      <w:pPr>
        <w:spacing w:after="0" w:line="57" w:lineRule="exact"/>
        <w:rPr>
          <w:rFonts w:ascii="Arial" w:cs="Arial" w:eastAsia="Arial" w:hAnsi="Arial"/>
          <w:sz w:val="13"/>
          <w:szCs w:val="13"/>
          <w:color w:val="auto"/>
        </w:rPr>
      </w:pPr>
    </w:p>
    <w:p>
      <w:pPr>
        <w:jc w:val="both"/>
        <w:ind w:left="520" w:hanging="260"/>
        <w:spacing w:after="0" w:line="261" w:lineRule="auto"/>
        <w:tabs>
          <w:tab w:leader="none" w:pos="511" w:val="left"/>
        </w:tabs>
        <w:numPr>
          <w:ilvl w:val="0"/>
          <w:numId w:val="92"/>
        </w:numPr>
        <w:rPr>
          <w:rFonts w:ascii="Arial" w:cs="Arial" w:eastAsia="Arial" w:hAnsi="Arial"/>
          <w:sz w:val="13"/>
          <w:szCs w:val="13"/>
          <w:color w:val="auto"/>
        </w:rPr>
      </w:pPr>
      <w:r>
        <w:rPr>
          <w:rFonts w:ascii="Arial" w:cs="Arial" w:eastAsia="Arial" w:hAnsi="Arial"/>
          <w:sz w:val="13"/>
          <w:szCs w:val="13"/>
          <w:color w:val="auto"/>
        </w:rPr>
        <w:t>Our Board members and executive officers are subject to stock ownership guidelines that help align their interests with GF’s long-term performance. Within five years of becoming a covered individual, such covered individual is expected to own, outright or beneficially, (a) for a non-employee Board member, five times his or her annual retainer, (c) for the CEO, six times his base salary, (d) for a C-level executive, three times his or her base salary, and (e) for a senior vice president, one time his or her base salary.</w:t>
      </w:r>
    </w:p>
    <w:p>
      <w:pPr>
        <w:spacing w:after="0" w:line="53" w:lineRule="exact"/>
        <w:rPr>
          <w:rFonts w:ascii="Arial" w:cs="Arial" w:eastAsia="Arial" w:hAnsi="Arial"/>
          <w:sz w:val="13"/>
          <w:szCs w:val="13"/>
          <w:color w:val="auto"/>
        </w:rPr>
      </w:pPr>
    </w:p>
    <w:p>
      <w:pPr>
        <w:ind w:left="500" w:hanging="240"/>
        <w:spacing w:after="0"/>
        <w:tabs>
          <w:tab w:leader="none" w:pos="500" w:val="left"/>
        </w:tabs>
        <w:numPr>
          <w:ilvl w:val="0"/>
          <w:numId w:val="92"/>
        </w:numPr>
        <w:rPr>
          <w:rFonts w:ascii="Arial" w:cs="Arial" w:eastAsia="Arial" w:hAnsi="Arial"/>
          <w:sz w:val="13"/>
          <w:szCs w:val="13"/>
          <w:color w:val="auto"/>
        </w:rPr>
      </w:pPr>
      <w:r>
        <w:rPr>
          <w:rFonts w:ascii="Arial" w:cs="Arial" w:eastAsia="Arial" w:hAnsi="Arial"/>
          <w:sz w:val="13"/>
          <w:szCs w:val="13"/>
          <w:color w:val="auto"/>
        </w:rPr>
        <w:t>We adopted a Director Conflict of Interest Policy, which complements GF’s Code of Conduct.</w:t>
      </w:r>
    </w:p>
    <w:p>
      <w:pPr>
        <w:spacing w:after="0" w:line="83"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The head of internal audit reports to the Audit Committee. Any employee concerns regarding questionable accounting or auditing matters may be submitted anonymously through our third-party operated Ethics Whistleblower hotline. The Audit Committee oversees the ethics and compliance program and reviews claims submitted through the hotline.</w:t>
      </w:r>
    </w:p>
    <w:p>
      <w:pPr>
        <w:spacing w:after="0" w:line="4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February 2023, rating agency ISS again recognized GF for “Prime” corporate ESG performance. GF’s ESG efforts were also evaluated by Morningstar Sustainalytics, which recognized GF with a “Low Risk” rating and included the Company in its 2023 “ESG Industry Top-rated” list for the semiconductor industry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Our Board of Directors consists of both underrepresented minority and female Board members. Our Board diversity matrix is available at www.investors.gf.com.</w:t>
      </w:r>
    </w:p>
    <w:p>
      <w:pPr>
        <w:spacing w:after="0" w:line="84" w:lineRule="exact"/>
        <w:rPr>
          <w:sz w:val="20"/>
          <w:szCs w:val="20"/>
          <w:color w:val="auto"/>
        </w:rPr>
      </w:pPr>
    </w:p>
    <w:p>
      <w:pPr>
        <w:spacing w:after="0"/>
        <w:tabs>
          <w:tab w:leader="none" w:pos="740" w:val="left"/>
        </w:tabs>
        <w:rPr>
          <w:sz w:val="20"/>
          <w:szCs w:val="20"/>
          <w:color w:val="auto"/>
        </w:rPr>
      </w:pPr>
      <w:r>
        <w:rPr>
          <w:rFonts w:ascii="Arial" w:cs="Arial" w:eastAsia="Arial" w:hAnsi="Arial"/>
          <w:sz w:val="13"/>
          <w:szCs w:val="13"/>
          <w:b w:val="1"/>
          <w:bCs w:val="1"/>
          <w:color w:val="auto"/>
        </w:rPr>
        <w:t>ITEM 16H.</w:t>
      </w:r>
      <w:r>
        <w:rPr>
          <w:sz w:val="20"/>
          <w:szCs w:val="20"/>
          <w:color w:val="auto"/>
        </w:rPr>
        <w:tab/>
      </w:r>
      <w:r>
        <w:rPr>
          <w:rFonts w:ascii="Arial" w:cs="Arial" w:eastAsia="Arial" w:hAnsi="Arial"/>
          <w:sz w:val="12"/>
          <w:szCs w:val="12"/>
          <w:b w:val="1"/>
          <w:bCs w:val="1"/>
          <w:color w:val="auto"/>
        </w:rPr>
        <w:t>MINE SAFETY DISCLOSURE</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Not applicable.</w:t>
      </w:r>
    </w:p>
    <w:p>
      <w:pPr>
        <w:spacing w:after="0" w:line="84"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b w:val="1"/>
          <w:bCs w:val="1"/>
          <w:color w:val="auto"/>
        </w:rPr>
        <w:t>ITEM 16I.</w:t>
      </w:r>
      <w:r>
        <w:rPr>
          <w:sz w:val="20"/>
          <w:szCs w:val="20"/>
          <w:color w:val="auto"/>
        </w:rPr>
        <w:tab/>
      </w:r>
      <w:r>
        <w:rPr>
          <w:rFonts w:ascii="Arial" w:cs="Arial" w:eastAsia="Arial" w:hAnsi="Arial"/>
          <w:sz w:val="12"/>
          <w:szCs w:val="12"/>
          <w:b w:val="1"/>
          <w:bCs w:val="1"/>
          <w:color w:val="auto"/>
        </w:rPr>
        <w:t>DISCLOSURE REGARDING FOREIGN JURISDICTIONS THAT PREVENT INSPECTIONS</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45" w:lineRule="exact"/>
        <w:rPr>
          <w:sz w:val="20"/>
          <w:szCs w:val="20"/>
          <w:color w:val="auto"/>
        </w:rPr>
      </w:pPr>
    </w:p>
    <w:p>
      <w:pPr>
        <w:spacing w:after="0"/>
        <w:tabs>
          <w:tab w:leader="none" w:pos="740" w:val="left"/>
        </w:tabs>
        <w:rPr>
          <w:sz w:val="20"/>
          <w:szCs w:val="20"/>
          <w:color w:val="auto"/>
        </w:rPr>
      </w:pPr>
      <w:r>
        <w:rPr>
          <w:rFonts w:ascii="Arial" w:cs="Arial" w:eastAsia="Arial" w:hAnsi="Arial"/>
          <w:sz w:val="13"/>
          <w:szCs w:val="13"/>
          <w:b w:val="1"/>
          <w:bCs w:val="1"/>
          <w:color w:val="auto"/>
        </w:rPr>
        <w:t>ITEM 16J.</w:t>
      </w:r>
      <w:r>
        <w:rPr>
          <w:sz w:val="20"/>
          <w:szCs w:val="20"/>
          <w:color w:val="auto"/>
        </w:rPr>
        <w:tab/>
      </w:r>
      <w:r>
        <w:rPr>
          <w:rFonts w:ascii="Arial" w:cs="Arial" w:eastAsia="Arial" w:hAnsi="Arial"/>
          <w:sz w:val="12"/>
          <w:szCs w:val="12"/>
          <w:b w:val="1"/>
          <w:bCs w:val="1"/>
          <w:color w:val="auto"/>
        </w:rPr>
        <w:t>INSIDER TRADING POLICIES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16K. CYBERSECURITY</w:t>
      </w:r>
    </w:p>
    <w:p>
      <w:pPr>
        <w:spacing w:after="0" w:line="84"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In the ordinary course of our business, we maintain sensitive data on our networks, including our intellectual property and proprietary or confidential business information relating to our business and that of our customers and business partners. Our and our service providers’ IT and computer systems store and transmit customer information, trade secrets, corporate data and personal information, and are otherwise essential to the operation of our production lines, which may make us a target for cyberattacks. The secure maintenance of this information is critical to our business and reputation.</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 Management and Strategy</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GF’s cybersecurity strategy focuses on implementing effective and efficient controls, technologies, and other processes to assess, identify, and manage material cybersecurity risks. We maintain a comprehensive process for assessing, identifying and managing material risks from cybersecurity threats, including risks relating to disruption of business operations or financial reporting systems, intellectual property theft; fraud; extortion; harm to employees or customers; violation of privacy laws and other litigation and legal risk; and reputational risk, as part of our overall risk management system and processes. We carry insurance that provides protection against the potential losses arising from a cybersecurity incident</w:t>
      </w:r>
      <w:r>
        <w:rPr>
          <w:rFonts w:ascii="Arial" w:cs="Arial" w:eastAsia="Arial" w:hAnsi="Arial"/>
          <w:sz w:val="13"/>
          <w:szCs w:val="13"/>
          <w:i w:val="1"/>
          <w:iCs w:val="1"/>
          <w:color w:val="auto"/>
        </w:rPr>
        <w:t>.</w:t>
      </w:r>
    </w:p>
    <w:p>
      <w:pPr>
        <w:spacing w:after="0" w:line="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GF maintains a comprehensive, company-wide commitment and program to engage every employee to safeguard and protect our and our customers’ intellectual property and products. The program integrates information security, product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87" w:name="page88"/>
    <w:bookmarkEnd w:id="87"/>
    <w:p>
      <w:pPr>
        <w:jc w:val="both"/>
        <w:spacing w:after="0" w:line="250" w:lineRule="auto"/>
        <w:rPr>
          <w:sz w:val="20"/>
          <w:szCs w:val="20"/>
          <w:color w:val="auto"/>
        </w:rPr>
      </w:pPr>
      <w:r>
        <w:rPr>
          <w:rFonts w:ascii="Arial" w:cs="Arial" w:eastAsia="Arial" w:hAnsi="Arial"/>
          <w:sz w:val="13"/>
          <w:szCs w:val="13"/>
          <w:color w:val="auto"/>
        </w:rPr>
        <w:t>security, operational security and cybersecurity into a comprehensive program that covers all phases of the customer experience. Annually, we conduct comprehensive security training for all employees, as well as more focused role-specific training for employees whose job roles require an enhanced level of security awareness and control as well as data and government product security. The program leverages and embraces GF’s experience as a Trusted Foundry and supplier of advanced semiconductors to the U.S. government and the aerospace and defense industry, as well as GF’s experience as a certified international Common Criteria standard (ISO 15408, CC Version 3.1) manufacturer, and adopts many of those stringent security capabilities to all GF locations and customers. We also work with outside consultants and external legal counsel to support our program in assessing, identifying and managing material risks from, and internal controls and processes relating to, cybersecurity threats, and ensuring compliance with all applicable related laws, regulations and rules (including notice, disclosure and remediation requirements).</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As part of our security programs, we have mechanisms to detect and monitor unusual network activity and other cybersecurity threats, along with containment and incident response tools. We monitor issues that are internally discovered or externally reported that may affect our products and have processes to assess those issues for potential cybersecurity impact or risk. Our dedicated cybersecurity team continually monitor cybersecurity threats to GF, and any incidents or potential incidents are flagged in our systems and escalated in accordance with our cybersecurity incident response policies and procedures. Our cybersecurity team receives regular reports on any incidents and potential incidents, with anything requiring further escalation to be reported to our Chief Executive Officer and Chief Legal Officer. We also have processes in place to manage cybersecurity risks associated with our third-party service providers , including our suppliers, vendors and other partners, as well as our outside consultants, legal counsel and auditors who help us with our cybersecurity risk management and strategy processes. We impose security requirements upon our suppliers, including maintaining an effective security management program, abiding by information handling and asset management requirements, and notifying us in the event of any known or suspect cyber incident. We continue to make significant investments in cybersecurity and data security, as well as other efforts to combat breach and misuse of our systems and unauthorized access to our and our customers’ data by third parties.</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Governance</w:t>
      </w:r>
    </w:p>
    <w:p>
      <w:pPr>
        <w:spacing w:after="0" w:line="8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governance structure for GF’s comprehensive information protection and overall cybersecurity program includes frequent reviews with GF’s senior leadership team, at least quarterly reviews by our Audit Committee and annual reviews by the Board. These reviews include alignment on our comprehensive information security and cybersecurity strategy, risk management, and execution to program plans. As part of our cybersecurity and information protection program, GF’s Chief Information Security Officer (“CISO”) executes, enforces and maintains GF’s global information and cybersecurity strategy, policies and procedures. In addition, GF maintains a global IT security policy detailing acceptable use of GF information resources. Our CISO reports to our Chief Information Officer (“CIO”), who reports to our COO. Our CISO and CIO have extensive experience assessing and managing cybersecurity programs and cybersecurity risk. Prior to joining GF, our CISO served in similar positions at GE Renewable Energy since 2017. Our CIO has more than two decades of experience in enterprise-wide technology transformations and digital thought leadership. Prior to joining GF, our CIO served in senior management positions leading corporate information and compliance processes and strategies.</w:t>
      </w:r>
    </w:p>
    <w:p>
      <w:pPr>
        <w:spacing w:after="0" w:line="62"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In consultation with the Audit Committee, GF has adopted a framework for making and reporting cybersecurity materiality determinations. The materiality assessment framework has been incorporated into our overall global crisis management process and utilizes the NIST FIPS 199 Framework, in combination with other factors noted in the Commission’s cybersecurity rule-making process.</w:t>
      </w:r>
    </w:p>
    <w:p>
      <w:pPr>
        <w:spacing w:after="0" w:line="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employ certain third-party service providers for us and our affiliates worldwide with whom we need to share highly sensitive and confidential information to enable them to provide the relevant services. Some of our third-party service providers have experienced cyberattacks of which we have been made aware.</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business strategy, results of operations and financial condition have not been materially affected by risks from cybersecurity threats, including as a result of previous cybersecurity incidents, but we cannot provide assurance that they will not be materially affected in the future by such risks and any future material incidents. In September 2023, we became aware that one or more third parties had gained limited unauthorized access to our IT network. Following an in-depth review with the assistance of outside consultants and legal counsel, we have no reason to believe that there was any exfiltration of sensitive information, and we do not believe the incident had a material adverse effect on or material impact to our business, operations or financial results.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88" w:name="page89"/>
    <w:bookmarkEnd w:id="88"/>
    <w:p>
      <w:pPr>
        <w:jc w:val="right"/>
        <w:ind w:right="4279"/>
        <w:spacing w:after="0"/>
        <w:rPr>
          <w:sz w:val="20"/>
          <w:szCs w:val="20"/>
          <w:color w:val="auto"/>
        </w:rPr>
      </w:pPr>
      <w:r>
        <w:rPr>
          <w:rFonts w:ascii="Arial" w:cs="Arial" w:eastAsia="Arial" w:hAnsi="Arial"/>
          <w:sz w:val="13"/>
          <w:szCs w:val="13"/>
          <w:b w:val="1"/>
          <w:bCs w:val="1"/>
          <w:color w:val="auto"/>
        </w:rPr>
        <w:t>PART III</w:t>
      </w:r>
    </w:p>
    <w:p>
      <w:pPr>
        <w:spacing w:after="0" w:line="84"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2"/>
          <w:szCs w:val="12"/>
          <w:b w:val="1"/>
          <w:bCs w:val="1"/>
          <w:color w:val="auto"/>
        </w:rPr>
        <w:t>FINANCIAL STATEMENTS</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See “Item 18. Financial Statements.”</w:t>
      </w:r>
    </w:p>
    <w:p>
      <w:pPr>
        <w:spacing w:after="0" w:line="84"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ITEM 18.</w:t>
      </w:r>
      <w:r>
        <w:rPr>
          <w:sz w:val="20"/>
          <w:szCs w:val="20"/>
          <w:color w:val="auto"/>
        </w:rPr>
        <w:tab/>
      </w:r>
      <w:r>
        <w:rPr>
          <w:rFonts w:ascii="Arial" w:cs="Arial" w:eastAsia="Arial" w:hAnsi="Arial"/>
          <w:sz w:val="12"/>
          <w:szCs w:val="12"/>
          <w:b w:val="1"/>
          <w:bCs w:val="1"/>
          <w:color w:val="auto"/>
        </w:rPr>
        <w:t>FINANCIAL STATEMENTS</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See pages F-1 through F-46, incorporated herein by reference.</w:t>
      </w:r>
    </w:p>
    <w:p>
      <w:pPr>
        <w:spacing w:after="0" w:line="200" w:lineRule="exact"/>
        <w:rPr>
          <w:sz w:val="20"/>
          <w:szCs w:val="20"/>
          <w:color w:val="auto"/>
        </w:rPr>
      </w:pPr>
    </w:p>
    <w:p>
      <w:pPr>
        <w:spacing w:after="0" w:line="28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935"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73"/>
        </w:trPr>
        <w:tc>
          <w:tcPr>
            <w:tcW w:w="5200" w:type="dxa"/>
            <w:vAlign w:val="bottom"/>
            <w:gridSpan w:val="10"/>
          </w:tcPr>
          <w:p>
            <w:pPr>
              <w:spacing w:after="0"/>
              <w:rPr>
                <w:sz w:val="20"/>
                <w:szCs w:val="20"/>
                <w:color w:val="auto"/>
              </w:rPr>
            </w:pPr>
            <w:r>
              <w:rPr>
                <w:rFonts w:ascii="Arial" w:cs="Arial" w:eastAsia="Arial" w:hAnsi="Arial"/>
                <w:sz w:val="13"/>
                <w:szCs w:val="13"/>
                <w:b w:val="1"/>
                <w:bCs w:val="1"/>
                <w:color w:val="auto"/>
              </w:rPr>
              <w:t>INDEX TO CONSOLIDATED FINANCIAL STATEMENTS</w:t>
            </w:r>
          </w:p>
        </w:tc>
        <w:tc>
          <w:tcPr>
            <w:tcW w:w="6080" w:type="dxa"/>
            <w:vAlign w:val="bottom"/>
          </w:tcPr>
          <w:p>
            <w:pPr>
              <w:spacing w:after="0"/>
              <w:rPr>
                <w:sz w:val="15"/>
                <w:szCs w:val="15"/>
                <w:color w:val="auto"/>
              </w:rPr>
            </w:pPr>
          </w:p>
        </w:tc>
      </w:tr>
      <w:tr>
        <w:trPr>
          <w:trHeight w:val="276"/>
        </w:trPr>
        <w:tc>
          <w:tcPr>
            <w:tcW w:w="5200" w:type="dxa"/>
            <w:vAlign w:val="bottom"/>
            <w:gridSpan w:val="10"/>
          </w:tcPr>
          <w:p>
            <w:pPr>
              <w:spacing w:after="0"/>
              <w:rPr>
                <w:sz w:val="20"/>
                <w:szCs w:val="20"/>
                <w:color w:val="auto"/>
              </w:rPr>
            </w:pPr>
            <w:r>
              <w:rPr>
                <w:rFonts w:ascii="Arial" w:cs="Arial" w:eastAsia="Arial" w:hAnsi="Arial"/>
                <w:sz w:val="13"/>
                <w:szCs w:val="13"/>
                <w:b w:val="1"/>
                <w:bCs w:val="1"/>
                <w:color w:val="auto"/>
              </w:rPr>
              <w:t>Consolidated Financial Statements of Global Foundries Inc. and Subsidiaries</w:t>
            </w:r>
          </w:p>
        </w:tc>
        <w:tc>
          <w:tcPr>
            <w:tcW w:w="6080" w:type="dxa"/>
            <w:vAlign w:val="bottom"/>
          </w:tcPr>
          <w:p>
            <w:pPr>
              <w:spacing w:after="0"/>
              <w:rPr>
                <w:sz w:val="23"/>
                <w:szCs w:val="23"/>
                <w:color w:val="auto"/>
              </w:rPr>
            </w:pPr>
          </w:p>
        </w:tc>
      </w:tr>
      <w:tr>
        <w:trPr>
          <w:trHeight w:val="279"/>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80" w:type="dxa"/>
            <w:vAlign w:val="bottom"/>
          </w:tcPr>
          <w:p>
            <w:pPr>
              <w:jc w:val="center"/>
              <w:ind w:left="4870"/>
              <w:spacing w:after="0"/>
              <w:rPr>
                <w:sz w:val="20"/>
                <w:szCs w:val="20"/>
                <w:color w:val="auto"/>
              </w:rPr>
            </w:pPr>
            <w:r>
              <w:rPr>
                <w:rFonts w:ascii="Arial" w:cs="Arial" w:eastAsia="Arial" w:hAnsi="Arial"/>
                <w:sz w:val="14"/>
                <w:szCs w:val="14"/>
                <w:b w:val="1"/>
                <w:bCs w:val="1"/>
                <w:color w:val="auto"/>
              </w:rPr>
              <w:t>Page</w:t>
            </w:r>
          </w:p>
        </w:tc>
      </w:tr>
      <w:tr>
        <w:trPr>
          <w:trHeight w:val="153"/>
        </w:trPr>
        <w:tc>
          <w:tcPr>
            <w:tcW w:w="20" w:type="dxa"/>
            <w:vAlign w:val="bottom"/>
          </w:tcPr>
          <w:p>
            <w:pPr>
              <w:spacing w:after="0"/>
              <w:rPr>
                <w:sz w:val="13"/>
                <w:szCs w:val="13"/>
                <w:color w:val="auto"/>
              </w:rPr>
            </w:pPr>
          </w:p>
        </w:tc>
        <w:tc>
          <w:tcPr>
            <w:tcW w:w="5180" w:type="dxa"/>
            <w:vAlign w:val="bottom"/>
            <w:gridSpan w:val="9"/>
          </w:tcPr>
          <w:p>
            <w:pPr>
              <w:spacing w:after="0" w:line="153" w:lineRule="exact"/>
              <w:rPr>
                <w:sz w:val="20"/>
                <w:szCs w:val="20"/>
                <w:color w:val="auto"/>
              </w:rPr>
            </w:pPr>
            <w:r>
              <w:rPr>
                <w:rFonts w:ascii="Arial" w:cs="Arial" w:eastAsia="Arial" w:hAnsi="Arial"/>
                <w:sz w:val="14"/>
                <w:szCs w:val="14"/>
                <w:color w:val="0000FF"/>
              </w:rPr>
              <w:t>Index to Consolidated Financial Statements</w:t>
            </w:r>
          </w:p>
        </w:tc>
        <w:tc>
          <w:tcPr>
            <w:tcW w:w="6080" w:type="dxa"/>
            <w:vAlign w:val="bottom"/>
          </w:tcPr>
          <w:p>
            <w:pPr>
              <w:jc w:val="center"/>
              <w:ind w:left="4870"/>
              <w:spacing w:after="0" w:line="153" w:lineRule="exact"/>
              <w:rPr>
                <w:sz w:val="20"/>
                <w:szCs w:val="20"/>
                <w:color w:val="auto"/>
              </w:rPr>
            </w:pPr>
            <w:r>
              <w:rPr>
                <w:rFonts w:ascii="Arial" w:cs="Arial" w:eastAsia="Arial" w:hAnsi="Arial"/>
                <w:sz w:val="14"/>
                <w:szCs w:val="14"/>
                <w:color w:val="auto"/>
              </w:rPr>
              <w:t>F-</w:t>
            </w:r>
            <w:r>
              <w:rPr>
                <w:rFonts w:ascii="Arial" w:cs="Arial" w:eastAsia="Arial" w:hAnsi="Arial"/>
                <w:sz w:val="14"/>
                <w:szCs w:val="14"/>
                <w:color w:val="0000FF"/>
              </w:rPr>
              <w:t>1</w:t>
            </w: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180" w:type="dxa"/>
            <w:vAlign w:val="bottom"/>
            <w:gridSpan w:val="9"/>
          </w:tcPr>
          <w:p>
            <w:pPr>
              <w:spacing w:after="0"/>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(PCAOB ID: 1051)</w:t>
            </w:r>
          </w:p>
        </w:tc>
        <w:tc>
          <w:tcPr>
            <w:tcW w:w="6080" w:type="dxa"/>
            <w:vAlign w:val="bottom"/>
          </w:tcPr>
          <w:p>
            <w:pPr>
              <w:jc w:val="center"/>
              <w:ind w:left="4870"/>
              <w:spacing w:after="0"/>
              <w:rPr>
                <w:sz w:val="20"/>
                <w:szCs w:val="20"/>
                <w:color w:val="auto"/>
              </w:rPr>
            </w:pPr>
            <w:r>
              <w:rPr>
                <w:rFonts w:ascii="Arial" w:cs="Arial" w:eastAsia="Arial" w:hAnsi="Arial"/>
                <w:sz w:val="14"/>
                <w:szCs w:val="14"/>
                <w:color w:val="auto"/>
              </w:rPr>
              <w:t>F-</w:t>
            </w:r>
            <w:r>
              <w:rPr>
                <w:rFonts w:ascii="Arial" w:cs="Arial" w:eastAsia="Arial" w:hAnsi="Arial"/>
                <w:sz w:val="14"/>
                <w:szCs w:val="14"/>
                <w:color w:val="0000FF"/>
              </w:rPr>
              <w:t>2</w:t>
            </w:r>
          </w:p>
        </w:tc>
      </w:tr>
      <w:tr>
        <w:trPr>
          <w:trHeight w:val="160"/>
        </w:trPr>
        <w:tc>
          <w:tcPr>
            <w:tcW w:w="20" w:type="dxa"/>
            <w:vAlign w:val="bottom"/>
          </w:tcPr>
          <w:p>
            <w:pPr>
              <w:spacing w:after="0"/>
              <w:rPr>
                <w:sz w:val="13"/>
                <w:szCs w:val="13"/>
                <w:color w:val="auto"/>
              </w:rPr>
            </w:pPr>
          </w:p>
        </w:tc>
        <w:tc>
          <w:tcPr>
            <w:tcW w:w="3620" w:type="dxa"/>
            <w:vAlign w:val="bottom"/>
            <w:tcBorders>
              <w:top w:val="single" w:sz="8" w:color="0000FF"/>
            </w:tcBorders>
            <w:gridSpan w:val="7"/>
          </w:tcPr>
          <w:p>
            <w:pPr>
              <w:spacing w:after="0"/>
              <w:rPr>
                <w:sz w:val="20"/>
                <w:szCs w:val="20"/>
                <w:color w:val="auto"/>
              </w:rPr>
            </w:pPr>
            <w:r>
              <w:rPr>
                <w:rFonts w:ascii="Arial" w:cs="Arial" w:eastAsia="Arial" w:hAnsi="Arial"/>
                <w:sz w:val="14"/>
                <w:szCs w:val="14"/>
                <w:color w:val="0000FF"/>
              </w:rPr>
              <w:t>Consolidated Statements of Financial Position</w:t>
            </w:r>
          </w:p>
        </w:tc>
        <w:tc>
          <w:tcPr>
            <w:tcW w:w="1560" w:type="dxa"/>
            <w:vAlign w:val="bottom"/>
            <w:gridSpan w:val="2"/>
          </w:tcPr>
          <w:p>
            <w:pPr>
              <w:spacing w:after="0"/>
              <w:rPr>
                <w:sz w:val="13"/>
                <w:szCs w:val="13"/>
                <w:color w:val="auto"/>
              </w:rPr>
            </w:pPr>
          </w:p>
        </w:tc>
        <w:tc>
          <w:tcPr>
            <w:tcW w:w="6080" w:type="dxa"/>
            <w:vAlign w:val="bottom"/>
          </w:tcPr>
          <w:p>
            <w:pPr>
              <w:jc w:val="center"/>
              <w:ind w:left="4870"/>
              <w:spacing w:after="0"/>
              <w:rPr>
                <w:sz w:val="20"/>
                <w:szCs w:val="20"/>
                <w:color w:val="auto"/>
              </w:rPr>
            </w:pPr>
            <w:r>
              <w:rPr>
                <w:rFonts w:ascii="Arial" w:cs="Arial" w:eastAsia="Arial" w:hAnsi="Arial"/>
                <w:sz w:val="14"/>
                <w:szCs w:val="14"/>
                <w:color w:val="auto"/>
              </w:rPr>
              <w:t>F-</w:t>
            </w:r>
            <w:r>
              <w:rPr>
                <w:rFonts w:ascii="Arial" w:cs="Arial" w:eastAsia="Arial" w:hAnsi="Arial"/>
                <w:sz w:val="14"/>
                <w:szCs w:val="14"/>
                <w:color w:val="0000FF"/>
              </w:rPr>
              <w:t>3</w:t>
            </w:r>
          </w:p>
        </w:tc>
      </w:tr>
      <w:tr>
        <w:trPr>
          <w:trHeight w:val="160"/>
        </w:trPr>
        <w:tc>
          <w:tcPr>
            <w:tcW w:w="20" w:type="dxa"/>
            <w:vAlign w:val="bottom"/>
          </w:tcPr>
          <w:p>
            <w:pPr>
              <w:spacing w:after="0"/>
              <w:rPr>
                <w:sz w:val="13"/>
                <w:szCs w:val="13"/>
                <w:color w:val="auto"/>
              </w:rPr>
            </w:pPr>
          </w:p>
        </w:tc>
        <w:tc>
          <w:tcPr>
            <w:tcW w:w="2880" w:type="dxa"/>
            <w:vAlign w:val="bottom"/>
            <w:tcBorders>
              <w:top w:val="single" w:sz="8" w:color="0000FF"/>
            </w:tcBorders>
            <w:gridSpan w:val="5"/>
          </w:tcPr>
          <w:p>
            <w:pPr>
              <w:spacing w:after="0"/>
              <w:rPr>
                <w:sz w:val="20"/>
                <w:szCs w:val="20"/>
                <w:color w:val="auto"/>
              </w:rPr>
            </w:pPr>
            <w:r>
              <w:rPr>
                <w:rFonts w:ascii="Arial" w:cs="Arial" w:eastAsia="Arial" w:hAnsi="Arial"/>
                <w:sz w:val="14"/>
                <w:szCs w:val="14"/>
                <w:color w:val="0000FF"/>
              </w:rPr>
              <w:t>Consolidated Statements of Operations</w:t>
            </w:r>
          </w:p>
        </w:tc>
        <w:tc>
          <w:tcPr>
            <w:tcW w:w="2300" w:type="dxa"/>
            <w:vAlign w:val="bottom"/>
            <w:gridSpan w:val="4"/>
          </w:tcPr>
          <w:p>
            <w:pPr>
              <w:spacing w:after="0"/>
              <w:rPr>
                <w:sz w:val="13"/>
                <w:szCs w:val="13"/>
                <w:color w:val="auto"/>
              </w:rPr>
            </w:pPr>
          </w:p>
        </w:tc>
        <w:tc>
          <w:tcPr>
            <w:tcW w:w="6080" w:type="dxa"/>
            <w:vAlign w:val="bottom"/>
          </w:tcPr>
          <w:p>
            <w:pPr>
              <w:jc w:val="center"/>
              <w:ind w:left="4870"/>
              <w:spacing w:after="0"/>
              <w:rPr>
                <w:sz w:val="20"/>
                <w:szCs w:val="20"/>
                <w:color w:val="auto"/>
              </w:rPr>
            </w:pPr>
            <w:r>
              <w:rPr>
                <w:rFonts w:ascii="Arial" w:cs="Arial" w:eastAsia="Arial" w:hAnsi="Arial"/>
                <w:sz w:val="14"/>
                <w:szCs w:val="14"/>
                <w:color w:val="auto"/>
              </w:rPr>
              <w:t>F-</w:t>
            </w:r>
            <w:r>
              <w:rPr>
                <w:rFonts w:ascii="Arial" w:cs="Arial" w:eastAsia="Arial" w:hAnsi="Arial"/>
                <w:sz w:val="14"/>
                <w:szCs w:val="14"/>
                <w:color w:val="0000FF"/>
              </w:rPr>
              <w:t>4</w:t>
            </w: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180" w:type="dxa"/>
            <w:vAlign w:val="bottom"/>
            <w:gridSpan w:val="9"/>
          </w:tcPr>
          <w:p>
            <w:pPr>
              <w:spacing w:after="0"/>
              <w:rPr>
                <w:sz w:val="20"/>
                <w:szCs w:val="20"/>
                <w:color w:val="auto"/>
              </w:rPr>
            </w:pPr>
            <w:r>
              <w:rPr>
                <w:rFonts w:ascii="Arial" w:cs="Arial" w:eastAsia="Arial" w:hAnsi="Arial"/>
                <w:sz w:val="14"/>
                <w:szCs w:val="14"/>
                <w:color w:val="0000FF"/>
              </w:rPr>
              <w:t>Consolidated Statements of Other Comprehensive Income (loss)</w:t>
            </w:r>
          </w:p>
        </w:tc>
        <w:tc>
          <w:tcPr>
            <w:tcW w:w="6080" w:type="dxa"/>
            <w:vAlign w:val="bottom"/>
          </w:tcPr>
          <w:p>
            <w:pPr>
              <w:jc w:val="center"/>
              <w:ind w:left="4870"/>
              <w:spacing w:after="0"/>
              <w:rPr>
                <w:sz w:val="20"/>
                <w:szCs w:val="20"/>
                <w:color w:val="auto"/>
              </w:rPr>
            </w:pPr>
            <w:r>
              <w:rPr>
                <w:rFonts w:ascii="Arial" w:cs="Arial" w:eastAsia="Arial" w:hAnsi="Arial"/>
                <w:sz w:val="14"/>
                <w:szCs w:val="14"/>
                <w:color w:val="auto"/>
              </w:rPr>
              <w:t>F-</w:t>
            </w:r>
            <w:r>
              <w:rPr>
                <w:rFonts w:ascii="Arial" w:cs="Arial" w:eastAsia="Arial" w:hAnsi="Arial"/>
                <w:sz w:val="14"/>
                <w:szCs w:val="14"/>
                <w:color w:val="0000FF"/>
              </w:rPr>
              <w:t>6</w:t>
            </w:r>
          </w:p>
        </w:tc>
      </w:tr>
      <w:tr>
        <w:trPr>
          <w:trHeight w:val="160"/>
        </w:trPr>
        <w:tc>
          <w:tcPr>
            <w:tcW w:w="2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4"/>
                <w:szCs w:val="14"/>
                <w:color w:val="0000FF"/>
              </w:rPr>
              <w:t>Consolidated Statements of Cash Flows</w:t>
            </w:r>
          </w:p>
        </w:tc>
        <w:tc>
          <w:tcPr>
            <w:tcW w:w="1520" w:type="dxa"/>
            <w:vAlign w:val="bottom"/>
            <w:tcBorders>
              <w:top w:val="single" w:sz="8" w:color="0000FF"/>
            </w:tcBorders>
            <w:gridSpan w:val="6"/>
          </w:tcPr>
          <w:p>
            <w:pPr>
              <w:spacing w:after="0"/>
              <w:rPr>
                <w:sz w:val="13"/>
                <w:szCs w:val="13"/>
                <w:color w:val="auto"/>
              </w:rPr>
            </w:pPr>
          </w:p>
        </w:tc>
        <w:tc>
          <w:tcPr>
            <w:tcW w:w="1140" w:type="dxa"/>
            <w:vAlign w:val="bottom"/>
          </w:tcPr>
          <w:p>
            <w:pPr>
              <w:spacing w:after="0"/>
              <w:rPr>
                <w:sz w:val="13"/>
                <w:szCs w:val="13"/>
                <w:color w:val="auto"/>
              </w:rPr>
            </w:pPr>
          </w:p>
        </w:tc>
        <w:tc>
          <w:tcPr>
            <w:tcW w:w="6080" w:type="dxa"/>
            <w:vAlign w:val="bottom"/>
          </w:tcPr>
          <w:p>
            <w:pPr>
              <w:jc w:val="center"/>
              <w:ind w:left="4870"/>
              <w:spacing w:after="0"/>
              <w:rPr>
                <w:sz w:val="20"/>
                <w:szCs w:val="20"/>
                <w:color w:val="auto"/>
              </w:rPr>
            </w:pPr>
            <w:r>
              <w:rPr>
                <w:rFonts w:ascii="Arial" w:cs="Arial" w:eastAsia="Arial" w:hAnsi="Arial"/>
                <w:sz w:val="14"/>
                <w:szCs w:val="14"/>
                <w:color w:val="auto"/>
              </w:rPr>
              <w:t>F-</w:t>
            </w:r>
            <w:r>
              <w:rPr>
                <w:rFonts w:ascii="Arial" w:cs="Arial" w:eastAsia="Arial" w:hAnsi="Arial"/>
                <w:sz w:val="14"/>
                <w:szCs w:val="14"/>
                <w:color w:val="0000FF"/>
              </w:rPr>
              <w:t>6</w:t>
            </w:r>
          </w:p>
        </w:tc>
      </w:tr>
      <w:tr>
        <w:trPr>
          <w:trHeight w:val="160"/>
        </w:trPr>
        <w:tc>
          <w:tcPr>
            <w:tcW w:w="20" w:type="dxa"/>
            <w:vAlign w:val="bottom"/>
          </w:tcPr>
          <w:p>
            <w:pPr>
              <w:spacing w:after="0"/>
              <w:rPr>
                <w:sz w:val="13"/>
                <w:szCs w:val="13"/>
                <w:color w:val="auto"/>
              </w:rPr>
            </w:pPr>
          </w:p>
        </w:tc>
        <w:tc>
          <w:tcPr>
            <w:tcW w:w="5180" w:type="dxa"/>
            <w:vAlign w:val="bottom"/>
            <w:gridSpan w:val="9"/>
          </w:tcPr>
          <w:p>
            <w:pPr>
              <w:spacing w:after="0"/>
              <w:rPr>
                <w:sz w:val="20"/>
                <w:szCs w:val="20"/>
                <w:color w:val="auto"/>
              </w:rPr>
            </w:pPr>
            <w:r>
              <w:rPr>
                <w:rFonts w:ascii="Arial" w:cs="Arial" w:eastAsia="Arial" w:hAnsi="Arial"/>
                <w:sz w:val="14"/>
                <w:szCs w:val="14"/>
                <w:color w:val="0000FF"/>
              </w:rPr>
              <w:t>Consolidated Statements of Changes in Equity</w:t>
            </w:r>
          </w:p>
        </w:tc>
        <w:tc>
          <w:tcPr>
            <w:tcW w:w="6080" w:type="dxa"/>
            <w:vAlign w:val="bottom"/>
          </w:tcPr>
          <w:p>
            <w:pPr>
              <w:jc w:val="center"/>
              <w:ind w:left="4870"/>
              <w:spacing w:after="0"/>
              <w:rPr>
                <w:sz w:val="20"/>
                <w:szCs w:val="20"/>
                <w:color w:val="auto"/>
              </w:rPr>
            </w:pPr>
            <w:r>
              <w:rPr>
                <w:rFonts w:ascii="Arial" w:cs="Arial" w:eastAsia="Arial" w:hAnsi="Arial"/>
                <w:sz w:val="14"/>
                <w:szCs w:val="14"/>
                <w:color w:val="auto"/>
              </w:rPr>
              <w:t>F-</w:t>
            </w:r>
            <w:r>
              <w:rPr>
                <w:rFonts w:ascii="Arial" w:cs="Arial" w:eastAsia="Arial" w:hAnsi="Arial"/>
                <w:sz w:val="14"/>
                <w:szCs w:val="14"/>
                <w:color w:val="0000FF"/>
              </w:rPr>
              <w:t>7</w:t>
            </w:r>
          </w:p>
        </w:tc>
      </w:tr>
      <w:tr>
        <w:trPr>
          <w:trHeight w:val="160"/>
        </w:trPr>
        <w:tc>
          <w:tcPr>
            <w:tcW w:w="20" w:type="dxa"/>
            <w:vAlign w:val="bottom"/>
          </w:tcPr>
          <w:p>
            <w:pPr>
              <w:spacing w:after="0"/>
              <w:rPr>
                <w:sz w:val="13"/>
                <w:szCs w:val="13"/>
                <w:color w:val="auto"/>
              </w:rPr>
            </w:pPr>
          </w:p>
        </w:tc>
        <w:tc>
          <w:tcPr>
            <w:tcW w:w="2920" w:type="dxa"/>
            <w:vAlign w:val="bottom"/>
            <w:tcBorders>
              <w:top w:val="single" w:sz="8" w:color="0000FF"/>
            </w:tcBorders>
            <w:gridSpan w:val="6"/>
          </w:tcPr>
          <w:p>
            <w:pPr>
              <w:spacing w:after="0"/>
              <w:rPr>
                <w:sz w:val="20"/>
                <w:szCs w:val="20"/>
                <w:color w:val="auto"/>
              </w:rPr>
            </w:pPr>
            <w:r>
              <w:rPr>
                <w:rFonts w:ascii="Arial" w:cs="Arial" w:eastAsia="Arial" w:hAnsi="Arial"/>
                <w:sz w:val="14"/>
                <w:szCs w:val="14"/>
                <w:color w:val="0000FF"/>
              </w:rPr>
              <w:t>Notes to Consolidated Financial Statements</w:t>
            </w:r>
          </w:p>
        </w:tc>
        <w:tc>
          <w:tcPr>
            <w:tcW w:w="2260" w:type="dxa"/>
            <w:vAlign w:val="bottom"/>
            <w:gridSpan w:val="3"/>
          </w:tcPr>
          <w:p>
            <w:pPr>
              <w:spacing w:after="0"/>
              <w:rPr>
                <w:sz w:val="13"/>
                <w:szCs w:val="13"/>
                <w:color w:val="auto"/>
              </w:rPr>
            </w:pPr>
          </w:p>
        </w:tc>
        <w:tc>
          <w:tcPr>
            <w:tcW w:w="6080" w:type="dxa"/>
            <w:vAlign w:val="bottom"/>
          </w:tcPr>
          <w:p>
            <w:pPr>
              <w:jc w:val="center"/>
              <w:ind w:left="4870"/>
              <w:spacing w:after="0"/>
              <w:rPr>
                <w:sz w:val="20"/>
                <w:szCs w:val="20"/>
                <w:color w:val="auto"/>
              </w:rPr>
            </w:pPr>
            <w:r>
              <w:rPr>
                <w:rFonts w:ascii="Arial" w:cs="Arial" w:eastAsia="Arial" w:hAnsi="Arial"/>
                <w:sz w:val="14"/>
                <w:szCs w:val="14"/>
                <w:color w:val="auto"/>
              </w:rPr>
              <w:t>F-</w:t>
            </w:r>
            <w:r>
              <w:rPr>
                <w:rFonts w:ascii="Arial" w:cs="Arial" w:eastAsia="Arial" w:hAnsi="Arial"/>
                <w:sz w:val="14"/>
                <w:szCs w:val="14"/>
                <w:color w:val="0000FF"/>
              </w:rPr>
              <w:t>8</w:t>
            </w:r>
          </w:p>
        </w:tc>
      </w:tr>
      <w:tr>
        <w:trPr>
          <w:trHeight w:val="720"/>
        </w:trPr>
        <w:tc>
          <w:tcPr>
            <w:tcW w:w="20" w:type="dxa"/>
            <w:vAlign w:val="bottom"/>
          </w:tcPr>
          <w:p>
            <w:pPr>
              <w:spacing w:after="0"/>
              <w:rPr>
                <w:sz w:val="24"/>
                <w:szCs w:val="24"/>
                <w:color w:val="auto"/>
              </w:rPr>
            </w:pPr>
          </w:p>
        </w:tc>
        <w:tc>
          <w:tcPr>
            <w:tcW w:w="2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80" w:type="dxa"/>
            <w:vAlign w:val="bottom"/>
          </w:tcPr>
          <w:p>
            <w:pPr>
              <w:ind w:left="340"/>
              <w:spacing w:after="0"/>
              <w:rPr>
                <w:sz w:val="20"/>
                <w:szCs w:val="20"/>
                <w:color w:val="auto"/>
              </w:rPr>
            </w:pPr>
            <w:r>
              <w:rPr>
                <w:rFonts w:ascii="Arial" w:cs="Arial" w:eastAsia="Arial" w:hAnsi="Arial"/>
                <w:sz w:val="13"/>
                <w:szCs w:val="13"/>
                <w:color w:val="auto"/>
              </w:rPr>
              <w:t>F-1</w:t>
            </w:r>
          </w:p>
        </w:tc>
      </w:tr>
      <w:tr>
        <w:trPr>
          <w:trHeight w:val="78"/>
        </w:trPr>
        <w:tc>
          <w:tcPr>
            <w:tcW w:w="20" w:type="dxa"/>
            <w:vAlign w:val="bottom"/>
            <w:tcBorders>
              <w:bottom w:val="single" w:sz="8" w:color="9A9A9A"/>
            </w:tcBorders>
          </w:tcPr>
          <w:p>
            <w:pPr>
              <w:spacing w:after="0"/>
              <w:rPr>
                <w:sz w:val="6"/>
                <w:szCs w:val="6"/>
                <w:color w:val="auto"/>
              </w:rPr>
            </w:pPr>
          </w:p>
        </w:tc>
        <w:tc>
          <w:tcPr>
            <w:tcW w:w="24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90" w:name="page91"/>
    <w:bookmarkEnd w:id="90"/>
    <w:p>
      <w:pPr>
        <w:jc w:val="cente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To the Stockholders and Board of Directors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GLOBALFOUNDRIES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Opinion on the Consolidated Financial Statements</w:t>
      </w:r>
    </w:p>
    <w:p>
      <w:pPr>
        <w:spacing w:after="0" w:line="93" w:lineRule="exact"/>
        <w:rPr>
          <w:sz w:val="20"/>
          <w:szCs w:val="20"/>
          <w:color w:val="auto"/>
        </w:rPr>
      </w:pPr>
    </w:p>
    <w:p>
      <w:pPr>
        <w:jc w:val="both"/>
        <w:spacing w:after="0" w:line="154" w:lineRule="exact"/>
        <w:rPr>
          <w:sz w:val="20"/>
          <w:szCs w:val="20"/>
          <w:color w:val="auto"/>
        </w:rPr>
      </w:pPr>
      <w:r>
        <w:rPr>
          <w:rFonts w:ascii="Arial" w:cs="Arial" w:eastAsia="Arial" w:hAnsi="Arial"/>
          <w:sz w:val="13"/>
          <w:szCs w:val="13"/>
          <w:color w:val="auto"/>
        </w:rPr>
        <w:t>We have audited the accompanying consolidated statements of financial position of GLOBALFOUNDRIES Inc. and subsidiaries (the Company) as of December 31, 2023 and 2022, the related consolidated statements of operations, other comprehensive income (loss), changes in equity, and cash flows for each of the years in the three</w:t>
      </w:r>
      <w:r>
        <w:rPr>
          <w:rFonts w:ascii="MS PGothic" w:cs="MS PGothic" w:eastAsia="MS PGothic" w:hAnsi="MS PGothic"/>
          <w:sz w:val="13"/>
          <w:szCs w:val="13"/>
          <w:color w:val="auto"/>
        </w:rPr>
        <w:t>‑</w:t>
      </w:r>
      <w:r>
        <w:rPr>
          <w:rFonts w:ascii="Arial" w:cs="Arial" w:eastAsia="Arial" w:hAnsi="Arial"/>
          <w:sz w:val="13"/>
          <w:szCs w:val="13"/>
          <w:color w:val="auto"/>
        </w:rPr>
        <w:t>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w:t>
      </w:r>
      <w:r>
        <w:rPr>
          <w:rFonts w:ascii="MS PGothic" w:cs="MS PGothic" w:eastAsia="MS PGothic" w:hAnsi="MS PGothic"/>
          <w:sz w:val="13"/>
          <w:szCs w:val="13"/>
          <w:color w:val="auto"/>
        </w:rPr>
        <w:t>‑</w:t>
      </w:r>
      <w:r>
        <w:rPr>
          <w:rFonts w:ascii="Arial" w:cs="Arial" w:eastAsia="Arial" w:hAnsi="Arial"/>
          <w:sz w:val="13"/>
          <w:szCs w:val="13"/>
          <w:color w:val="auto"/>
        </w:rPr>
        <w:t>year period ended December 31, 2023, in conformity with International Financial Reporting Standards issued by the International Accounting Standards Board.</w:t>
      </w:r>
    </w:p>
    <w:p>
      <w:pPr>
        <w:spacing w:after="0" w:line="8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April 29, 2024 expressed an adverse opinion on the effectiveness of the Company’s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Basis for Opinion</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Critical Audit Matter</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Determination of useful life of 300mm production equipment</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discussed in Note 8 to the consolidated financial statements, the Company reported $4,793 million of equipment which included 300mm production equipment as of December 31, 2023. Management estimated the useful life of production equipment including 300mm based on production equipment current use, historical age patterns, as well as an analysis of industry trends and practices. We identified the determination of the useful life of 300mm production equipment as a critical audit matter. To evaluate management’s judgement in determining the useful life of ten years for the 300mm production equipment, we used significant auditor judgement, subjectivity, and effort in performing procedures to evaluate the reasonableness of the significant assumptions used in determining the useful life.</w:t>
      </w:r>
    </w:p>
    <w:p>
      <w:pPr>
        <w:spacing w:after="0" w:line="73"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following are the primary procedures we performed to address this critical audit matter. We tested management’s process for determining a ten-year useful life and assessed the reasonableness of the significant assumptions used by management, which included (1) testing the completeness, accuracy and relevance of the underlying data used in management’s historical length of service assessment, and (2) evaluating the completeness, accuracy, and relevance of the useful lives utilized by peer companies and used in management’s assessment.</w:t>
      </w: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color w:val="auto"/>
        </w:rPr>
        <w:t>/s/ KPMG LLP</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We have served as the Company’s auditor since 2021.</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Singapore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April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73"/>
        </w:trPr>
        <w:tc>
          <w:tcPr>
            <w:tcW w:w="7420" w:type="dxa"/>
            <w:vAlign w:val="bottom"/>
          </w:tcPr>
          <w:p>
            <w:pPr>
              <w:jc w:val="center"/>
              <w:ind w:left="3016"/>
              <w:spacing w:after="0"/>
              <w:rPr>
                <w:sz w:val="20"/>
                <w:szCs w:val="20"/>
                <w:color w:val="auto"/>
              </w:rPr>
            </w:pPr>
            <w:r>
              <w:rPr>
                <w:rFonts w:ascii="Arial" w:cs="Arial" w:eastAsia="Arial" w:hAnsi="Arial"/>
                <w:sz w:val="13"/>
                <w:szCs w:val="13"/>
                <w:b w:val="1"/>
                <w:bCs w:val="1"/>
                <w:color w:val="auto"/>
                <w:w w:val="98"/>
              </w:rPr>
              <w:t>GLOBALFOUNDRIES INC.</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420" w:type="dxa"/>
            <w:vAlign w:val="bottom"/>
          </w:tcPr>
          <w:p>
            <w:pPr>
              <w:jc w:val="center"/>
              <w:ind w:left="3016"/>
              <w:spacing w:after="0"/>
              <w:rPr>
                <w:sz w:val="20"/>
                <w:szCs w:val="20"/>
                <w:color w:val="auto"/>
              </w:rPr>
            </w:pPr>
            <w:r>
              <w:rPr>
                <w:rFonts w:ascii="Arial" w:cs="Arial" w:eastAsia="Arial" w:hAnsi="Arial"/>
                <w:sz w:val="13"/>
                <w:szCs w:val="13"/>
                <w:b w:val="1"/>
                <w:bCs w:val="1"/>
                <w:color w:val="auto"/>
                <w:w w:val="96"/>
              </w:rPr>
              <w:t>CONSOLIDATED STATEMENTS OF FINANCIAL POSITION</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420" w:type="dxa"/>
            <w:vAlign w:val="bottom"/>
          </w:tcPr>
          <w:p>
            <w:pPr>
              <w:jc w:val="center"/>
              <w:ind w:left="3016"/>
              <w:spacing w:after="0"/>
              <w:rPr>
                <w:sz w:val="20"/>
                <w:szCs w:val="20"/>
                <w:color w:val="auto"/>
              </w:rPr>
            </w:pPr>
            <w:r>
              <w:rPr>
                <w:rFonts w:ascii="Arial" w:cs="Arial" w:eastAsia="Arial" w:hAnsi="Arial"/>
                <w:sz w:val="13"/>
                <w:szCs w:val="13"/>
                <w:b w:val="1"/>
                <w:bCs w:val="1"/>
                <w:color w:val="auto"/>
                <w:w w:val="97"/>
              </w:rPr>
              <w:t>(Dollars in millions)</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74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7"/>
              </w:rPr>
              <w:t>As of December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4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50"/>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42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2,352</w:t>
            </w:r>
          </w:p>
        </w:tc>
        <w:tc>
          <w:tcPr>
            <w:tcW w:w="0" w:type="dxa"/>
            <w:vAlign w:val="bottom"/>
          </w:tcPr>
          <w:p>
            <w:pPr>
              <w:spacing w:after="0"/>
              <w:rPr>
                <w:sz w:val="1"/>
                <w:szCs w:val="1"/>
                <w:color w:val="auto"/>
              </w:rPr>
            </w:pPr>
          </w:p>
        </w:tc>
      </w:tr>
      <w:tr>
        <w:trPr>
          <w:trHeight w:val="169"/>
        </w:trPr>
        <w:tc>
          <w:tcPr>
            <w:tcW w:w="7420" w:type="dxa"/>
            <w:vAlign w:val="bottom"/>
          </w:tcPr>
          <w:p>
            <w:pPr>
              <w:ind w:left="20"/>
              <w:spacing w:after="0"/>
              <w:rPr>
                <w:sz w:val="20"/>
                <w:szCs w:val="20"/>
                <w:color w:val="auto"/>
              </w:rPr>
            </w:pPr>
            <w:r>
              <w:rPr>
                <w:rFonts w:ascii="Arial" w:cs="Arial" w:eastAsia="Arial" w:hAnsi="Arial"/>
                <w:sz w:val="13"/>
                <w:szCs w:val="13"/>
                <w:color w:val="auto"/>
              </w:rPr>
              <w:t>Marketable securities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1,033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622</w:t>
            </w:r>
          </w:p>
        </w:tc>
        <w:tc>
          <w:tcPr>
            <w:tcW w:w="0" w:type="dxa"/>
            <w:vAlign w:val="bottom"/>
          </w:tcPr>
          <w:p>
            <w:pPr>
              <w:spacing w:after="0"/>
              <w:rPr>
                <w:sz w:val="1"/>
                <w:szCs w:val="1"/>
                <w:color w:val="auto"/>
              </w:rPr>
            </w:pPr>
          </w:p>
        </w:tc>
      </w:tr>
      <w:tr>
        <w:trPr>
          <w:trHeight w:val="171"/>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Receivables, prepayments and other assets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1,487</w:t>
            </w:r>
          </w:p>
        </w:tc>
        <w:tc>
          <w:tcPr>
            <w:tcW w:w="0" w:type="dxa"/>
            <w:vAlign w:val="bottom"/>
          </w:tcPr>
          <w:p>
            <w:pPr>
              <w:spacing w:after="0"/>
              <w:rPr>
                <w:sz w:val="1"/>
                <w:szCs w:val="1"/>
                <w:color w:val="auto"/>
              </w:rPr>
            </w:pPr>
          </w:p>
        </w:tc>
      </w:tr>
      <w:tr>
        <w:trPr>
          <w:trHeight w:val="16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Inventories</w:t>
            </w: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1,487</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1,339</w:t>
            </w:r>
          </w:p>
        </w:tc>
        <w:tc>
          <w:tcPr>
            <w:tcW w:w="0" w:type="dxa"/>
            <w:vAlign w:val="bottom"/>
          </w:tcPr>
          <w:p>
            <w:pPr>
              <w:spacing w:after="0"/>
              <w:rPr>
                <w:sz w:val="1"/>
                <w:szCs w:val="1"/>
                <w:color w:val="auto"/>
              </w:rPr>
            </w:pPr>
          </w:p>
        </w:tc>
      </w:tr>
      <w:tr>
        <w:trPr>
          <w:trHeight w:val="16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current assets</w:t>
            </w:r>
          </w:p>
        </w:tc>
        <w:tc>
          <w:tcPr>
            <w:tcW w:w="9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6,327</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5,800</w:t>
            </w:r>
          </w:p>
        </w:tc>
        <w:tc>
          <w:tcPr>
            <w:tcW w:w="0" w:type="dxa"/>
            <w:vAlign w:val="bottom"/>
          </w:tcPr>
          <w:p>
            <w:pPr>
              <w:spacing w:after="0"/>
              <w:rPr>
                <w:sz w:val="1"/>
                <w:szCs w:val="1"/>
                <w:color w:val="auto"/>
              </w:rPr>
            </w:pPr>
          </w:p>
        </w:tc>
      </w:tr>
      <w:tr>
        <w:trPr>
          <w:trHeight w:val="150"/>
        </w:trPr>
        <w:tc>
          <w:tcPr>
            <w:tcW w:w="742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 net</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10,164</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10,596</w:t>
            </w:r>
          </w:p>
        </w:tc>
        <w:tc>
          <w:tcPr>
            <w:tcW w:w="0" w:type="dxa"/>
            <w:vAlign w:val="bottom"/>
          </w:tcPr>
          <w:p>
            <w:pPr>
              <w:spacing w:after="0"/>
              <w:rPr>
                <w:sz w:val="1"/>
                <w:szCs w:val="1"/>
                <w:color w:val="auto"/>
              </w:rPr>
            </w:pPr>
          </w:p>
        </w:tc>
      </w:tr>
      <w:tr>
        <w:trPr>
          <w:trHeight w:val="169"/>
        </w:trPr>
        <w:tc>
          <w:tcPr>
            <w:tcW w:w="7420" w:type="dxa"/>
            <w:vAlign w:val="bottom"/>
          </w:tcPr>
          <w:p>
            <w:pPr>
              <w:ind w:left="20"/>
              <w:spacing w:after="0"/>
              <w:rPr>
                <w:sz w:val="20"/>
                <w:szCs w:val="20"/>
                <w:color w:val="auto"/>
              </w:rPr>
            </w:pPr>
            <w:r>
              <w:rPr>
                <w:rFonts w:ascii="Arial" w:cs="Arial" w:eastAsia="Arial" w:hAnsi="Arial"/>
                <w:sz w:val="13"/>
                <w:szCs w:val="13"/>
                <w:color w:val="auto"/>
              </w:rPr>
              <w:t>Goodwill and intangible assets, net</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391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363</w:t>
            </w:r>
          </w:p>
        </w:tc>
        <w:tc>
          <w:tcPr>
            <w:tcW w:w="0" w:type="dxa"/>
            <w:vAlign w:val="bottom"/>
          </w:tcPr>
          <w:p>
            <w:pPr>
              <w:spacing w:after="0"/>
              <w:rPr>
                <w:sz w:val="1"/>
                <w:szCs w:val="1"/>
                <w:color w:val="auto"/>
              </w:rPr>
            </w:pPr>
          </w:p>
        </w:tc>
      </w:tr>
      <w:tr>
        <w:trPr>
          <w:trHeight w:val="171"/>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Marketable securities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0" w:type="dxa"/>
            <w:vAlign w:val="bottom"/>
          </w:tcPr>
          <w:p>
            <w:pPr>
              <w:spacing w:after="0"/>
              <w:rPr>
                <w:sz w:val="1"/>
                <w:szCs w:val="1"/>
                <w:color w:val="auto"/>
              </w:rPr>
            </w:pPr>
          </w:p>
        </w:tc>
      </w:tr>
      <w:tr>
        <w:trPr>
          <w:trHeight w:val="169"/>
        </w:trPr>
        <w:tc>
          <w:tcPr>
            <w:tcW w:w="7420" w:type="dxa"/>
            <w:vAlign w:val="bottom"/>
          </w:tcPr>
          <w:p>
            <w:pPr>
              <w:ind w:left="20"/>
              <w:spacing w:after="0"/>
              <w:rPr>
                <w:sz w:val="20"/>
                <w:szCs w:val="20"/>
                <w:color w:val="auto"/>
              </w:rPr>
            </w:pPr>
            <w:r>
              <w:rPr>
                <w:rFonts w:ascii="Arial" w:cs="Arial" w:eastAsia="Arial" w:hAnsi="Arial"/>
                <w:sz w:val="13"/>
                <w:szCs w:val="13"/>
                <w:color w:val="auto"/>
              </w:rPr>
              <w:t>Deferred tax assets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292</w:t>
            </w:r>
          </w:p>
        </w:tc>
        <w:tc>
          <w:tcPr>
            <w:tcW w:w="0" w:type="dxa"/>
            <w:vAlign w:val="bottom"/>
          </w:tcPr>
          <w:p>
            <w:pPr>
              <w:spacing w:after="0"/>
              <w:rPr>
                <w:sz w:val="1"/>
                <w:szCs w:val="1"/>
                <w:color w:val="auto"/>
              </w:rPr>
            </w:pPr>
          </w:p>
        </w:tc>
      </w:tr>
      <w:tr>
        <w:trPr>
          <w:trHeight w:val="171"/>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Receivables, prepayments and other assets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16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non-current financial assets</w:t>
            </w: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6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non-current assets</w:t>
            </w:r>
          </w:p>
        </w:tc>
        <w:tc>
          <w:tcPr>
            <w:tcW w:w="9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11,717</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12,041</w:t>
            </w:r>
          </w:p>
        </w:tc>
        <w:tc>
          <w:tcPr>
            <w:tcW w:w="0" w:type="dxa"/>
            <w:vAlign w:val="bottom"/>
          </w:tcPr>
          <w:p>
            <w:pPr>
              <w:spacing w:after="0"/>
              <w:rPr>
                <w:sz w:val="1"/>
                <w:szCs w:val="1"/>
                <w:color w:val="auto"/>
              </w:rPr>
            </w:pPr>
          </w:p>
        </w:tc>
      </w:tr>
      <w:tr>
        <w:trPr>
          <w:trHeight w:val="160"/>
        </w:trPr>
        <w:tc>
          <w:tcPr>
            <w:tcW w:w="7420" w:type="dxa"/>
            <w:vAlign w:val="bottom"/>
          </w:tcPr>
          <w:p>
            <w:pPr>
              <w:ind w:left="20"/>
              <w:spacing w:after="0"/>
              <w:rPr>
                <w:sz w:val="20"/>
                <w:szCs w:val="20"/>
                <w:color w:val="auto"/>
              </w:rPr>
            </w:pPr>
            <w:r>
              <w:rPr>
                <w:rFonts w:ascii="Arial" w:cs="Arial" w:eastAsia="Arial" w:hAnsi="Arial"/>
                <w:sz w:val="13"/>
                <w:szCs w:val="13"/>
                <w:b w:val="1"/>
                <w:bCs w:val="1"/>
                <w:color w:val="auto"/>
              </w:rPr>
              <w:t>Total assets</w:t>
            </w:r>
          </w:p>
        </w:tc>
        <w:tc>
          <w:tcPr>
            <w:tcW w:w="92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18,044</w:t>
            </w: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17,841</w:t>
            </w: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420" w:type="dxa"/>
            <w:vAlign w:val="bottom"/>
          </w:tcPr>
          <w:p>
            <w:pPr>
              <w:ind w:left="20"/>
              <w:spacing w:after="0"/>
              <w:rPr>
                <w:sz w:val="20"/>
                <w:szCs w:val="20"/>
                <w:color w:val="auto"/>
              </w:rPr>
            </w:pPr>
            <w:r>
              <w:rPr>
                <w:rFonts w:ascii="Arial" w:cs="Arial" w:eastAsia="Arial" w:hAnsi="Arial"/>
                <w:sz w:val="13"/>
                <w:szCs w:val="13"/>
                <w:b w:val="1"/>
                <w:bCs w:val="1"/>
                <w:color w:val="auto"/>
              </w:rPr>
              <w:t>LIABILITIES AND EQUITY</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20" w:type="dxa"/>
            <w:vAlign w:val="bottom"/>
          </w:tcPr>
          <w:p>
            <w:pPr>
              <w:ind w:left="20"/>
              <w:spacing w:after="0"/>
              <w:rPr>
                <w:sz w:val="20"/>
                <w:szCs w:val="20"/>
                <w:color w:val="auto"/>
              </w:rPr>
            </w:pPr>
            <w:r>
              <w:rPr>
                <w:rFonts w:ascii="Arial" w:cs="Arial" w:eastAsia="Arial" w:hAnsi="Arial"/>
                <w:sz w:val="13"/>
                <w:szCs w:val="13"/>
                <w:color w:val="auto"/>
              </w:rPr>
              <w:t>Trade payables and other current liabilities</w:t>
            </w:r>
          </w:p>
        </w:tc>
        <w:tc>
          <w:tcPr>
            <w:tcW w:w="920" w:type="dxa"/>
            <w:vAlign w:val="bottom"/>
          </w:tcPr>
          <w:p>
            <w:pPr>
              <w:jc w:val="right"/>
              <w:ind w:right="776"/>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2,349</w:t>
            </w:r>
          </w:p>
        </w:tc>
        <w:tc>
          <w:tcPr>
            <w:tcW w:w="100" w:type="dxa"/>
            <w:vAlign w:val="bottom"/>
          </w:tcPr>
          <w:p>
            <w:pPr>
              <w:spacing w:after="0"/>
              <w:rPr>
                <w:sz w:val="14"/>
                <w:szCs w:val="14"/>
                <w:color w:val="auto"/>
              </w:rPr>
            </w:pPr>
          </w:p>
        </w:tc>
        <w:tc>
          <w:tcPr>
            <w:tcW w:w="560" w:type="dxa"/>
            <w:vAlign w:val="bottom"/>
          </w:tcPr>
          <w:p>
            <w:pPr>
              <w:jc w:val="right"/>
              <w:ind w:right="41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2,849</w:t>
            </w:r>
          </w:p>
        </w:tc>
        <w:tc>
          <w:tcPr>
            <w:tcW w:w="0" w:type="dxa"/>
            <w:vAlign w:val="bottom"/>
          </w:tcPr>
          <w:p>
            <w:pPr>
              <w:spacing w:after="0"/>
              <w:rPr>
                <w:sz w:val="1"/>
                <w:szCs w:val="1"/>
                <w:color w:val="auto"/>
              </w:rPr>
            </w:pPr>
          </w:p>
        </w:tc>
      </w:tr>
      <w:tr>
        <w:trPr>
          <w:trHeight w:val="171"/>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portion of long-term debt</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0" w:type="dxa"/>
            <w:vAlign w:val="bottom"/>
          </w:tcPr>
          <w:p>
            <w:pPr>
              <w:spacing w:after="0"/>
              <w:rPr>
                <w:sz w:val="1"/>
                <w:szCs w:val="1"/>
                <w:color w:val="auto"/>
              </w:rPr>
            </w:pPr>
          </w:p>
        </w:tc>
      </w:tr>
      <w:tr>
        <w:trPr>
          <w:trHeight w:val="169"/>
        </w:trPr>
        <w:tc>
          <w:tcPr>
            <w:tcW w:w="7420" w:type="dxa"/>
            <w:vAlign w:val="bottom"/>
          </w:tcPr>
          <w:p>
            <w:pPr>
              <w:ind w:left="20"/>
              <w:spacing w:after="0"/>
              <w:rPr>
                <w:sz w:val="20"/>
                <w:szCs w:val="20"/>
                <w:color w:val="auto"/>
              </w:rPr>
            </w:pPr>
            <w:r>
              <w:rPr>
                <w:rFonts w:ascii="Arial" w:cs="Arial" w:eastAsia="Arial" w:hAnsi="Arial"/>
                <w:sz w:val="13"/>
                <w:szCs w:val="13"/>
                <w:color w:val="auto"/>
              </w:rPr>
              <w:t>Current portion of lease obligations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71"/>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6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Current portion of deferred income from government grants</w:t>
            </w: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6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current liabilities</w:t>
            </w:r>
          </w:p>
        </w:tc>
        <w:tc>
          <w:tcPr>
            <w:tcW w:w="9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3,099</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3,359</w:t>
            </w:r>
          </w:p>
        </w:tc>
        <w:tc>
          <w:tcPr>
            <w:tcW w:w="0" w:type="dxa"/>
            <w:vAlign w:val="bottom"/>
          </w:tcPr>
          <w:p>
            <w:pPr>
              <w:spacing w:after="0"/>
              <w:rPr>
                <w:sz w:val="1"/>
                <w:szCs w:val="1"/>
                <w:color w:val="auto"/>
              </w:rPr>
            </w:pPr>
          </w:p>
        </w:tc>
      </w:tr>
      <w:tr>
        <w:trPr>
          <w:trHeight w:val="150"/>
        </w:trPr>
        <w:tc>
          <w:tcPr>
            <w:tcW w:w="7420" w:type="dxa"/>
            <w:vAlign w:val="bottom"/>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portion of long-term debt</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2,288</w:t>
            </w:r>
          </w:p>
        </w:tc>
        <w:tc>
          <w:tcPr>
            <w:tcW w:w="0" w:type="dxa"/>
            <w:vAlign w:val="bottom"/>
          </w:tcPr>
          <w:p>
            <w:pPr>
              <w:spacing w:after="0"/>
              <w:rPr>
                <w:sz w:val="1"/>
                <w:szCs w:val="1"/>
                <w:color w:val="auto"/>
              </w:rPr>
            </w:pPr>
          </w:p>
        </w:tc>
      </w:tr>
      <w:tr>
        <w:trPr>
          <w:trHeight w:val="169"/>
        </w:trPr>
        <w:tc>
          <w:tcPr>
            <w:tcW w:w="7420" w:type="dxa"/>
            <w:vAlign w:val="bottom"/>
          </w:tcPr>
          <w:p>
            <w:pPr>
              <w:ind w:left="20"/>
              <w:spacing w:after="0"/>
              <w:rPr>
                <w:sz w:val="20"/>
                <w:szCs w:val="20"/>
                <w:color w:val="auto"/>
              </w:rPr>
            </w:pPr>
            <w:r>
              <w:rPr>
                <w:rFonts w:ascii="Arial" w:cs="Arial" w:eastAsia="Arial" w:hAnsi="Arial"/>
                <w:sz w:val="13"/>
                <w:szCs w:val="13"/>
                <w:color w:val="auto"/>
              </w:rPr>
              <w:t>Other non-current liabilities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1,190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1,474</w:t>
            </w:r>
          </w:p>
        </w:tc>
        <w:tc>
          <w:tcPr>
            <w:tcW w:w="0" w:type="dxa"/>
            <w:vAlign w:val="bottom"/>
          </w:tcPr>
          <w:p>
            <w:pPr>
              <w:spacing w:after="0"/>
              <w:rPr>
                <w:sz w:val="1"/>
                <w:szCs w:val="1"/>
                <w:color w:val="auto"/>
              </w:rPr>
            </w:pPr>
          </w:p>
        </w:tc>
      </w:tr>
      <w:tr>
        <w:trPr>
          <w:trHeight w:val="171"/>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portion of lease obligations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169"/>
        </w:trPr>
        <w:tc>
          <w:tcPr>
            <w:tcW w:w="7420" w:type="dxa"/>
            <w:vAlign w:val="bottom"/>
          </w:tcPr>
          <w:p>
            <w:pPr>
              <w:ind w:left="20"/>
              <w:spacing w:after="0"/>
              <w:rPr>
                <w:sz w:val="20"/>
                <w:szCs w:val="20"/>
                <w:color w:val="auto"/>
              </w:rPr>
            </w:pPr>
            <w:r>
              <w:rPr>
                <w:rFonts w:ascii="Arial" w:cs="Arial" w:eastAsia="Arial" w:hAnsi="Arial"/>
                <w:sz w:val="13"/>
                <w:szCs w:val="13"/>
                <w:color w:val="auto"/>
              </w:rPr>
              <w:t>Provisions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186</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71"/>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portion of deferred income from government grants</w:t>
            </w:r>
          </w:p>
        </w:tc>
        <w:tc>
          <w:tcPr>
            <w:tcW w:w="9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6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non-current liabilities</w:t>
            </w: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3,794</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4,522</w:t>
            </w:r>
          </w:p>
        </w:tc>
        <w:tc>
          <w:tcPr>
            <w:tcW w:w="0" w:type="dxa"/>
            <w:vAlign w:val="bottom"/>
          </w:tcPr>
          <w:p>
            <w:pPr>
              <w:spacing w:after="0"/>
              <w:rPr>
                <w:sz w:val="1"/>
                <w:szCs w:val="1"/>
                <w:color w:val="auto"/>
              </w:rPr>
            </w:pPr>
          </w:p>
        </w:tc>
      </w:tr>
      <w:tr>
        <w:trPr>
          <w:trHeight w:val="185"/>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6,893</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7,881</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20" w:type="dxa"/>
            <w:vAlign w:val="bottom"/>
          </w:tcPr>
          <w:p>
            <w:pPr>
              <w:ind w:left="20"/>
              <w:spacing w:after="0"/>
              <w:rPr>
                <w:sz w:val="20"/>
                <w:szCs w:val="20"/>
                <w:color w:val="auto"/>
              </w:rPr>
            </w:pPr>
            <w:r>
              <w:rPr>
                <w:rFonts w:ascii="Arial" w:cs="Arial" w:eastAsia="Arial" w:hAnsi="Arial"/>
                <w:sz w:val="13"/>
                <w:szCs w:val="13"/>
                <w:color w:val="auto"/>
              </w:rPr>
              <w:t>Share capital</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Ordinary shares, $0.02 par value, 553,548 thousand and 547,755 thousand shares issued and outstanding as of December 31,</w:t>
            </w:r>
          </w:p>
        </w:tc>
        <w:tc>
          <w:tcPr>
            <w:tcW w:w="920" w:type="dxa"/>
            <w:vAlign w:val="bottom"/>
            <w:vMerge w:val="restart"/>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0"/>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 and 2022, respectively</w:t>
            </w:r>
          </w:p>
        </w:tc>
        <w:tc>
          <w:tcPr>
            <w:tcW w:w="920" w:type="dxa"/>
            <w:vAlign w:val="bottom"/>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20" w:type="dxa"/>
            <w:vAlign w:val="bottom"/>
          </w:tcPr>
          <w:p>
            <w:pPr>
              <w:ind w:left="20"/>
              <w:spacing w:after="0"/>
              <w:rPr>
                <w:sz w:val="20"/>
                <w:szCs w:val="20"/>
                <w:color w:val="auto"/>
              </w:rPr>
            </w:pPr>
            <w:r>
              <w:rPr>
                <w:rFonts w:ascii="Arial" w:cs="Arial" w:eastAsia="Arial" w:hAnsi="Arial"/>
                <w:sz w:val="13"/>
                <w:szCs w:val="13"/>
                <w:color w:val="auto"/>
              </w:rPr>
              <w:t>Additional paid-in capital</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24,027</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23,831</w:t>
            </w:r>
          </w:p>
        </w:tc>
        <w:tc>
          <w:tcPr>
            <w:tcW w:w="0" w:type="dxa"/>
            <w:vAlign w:val="bottom"/>
          </w:tcPr>
          <w:p>
            <w:pPr>
              <w:spacing w:after="0"/>
              <w:rPr>
                <w:sz w:val="1"/>
                <w:szCs w:val="1"/>
                <w:color w:val="auto"/>
              </w:rPr>
            </w:pPr>
          </w:p>
        </w:tc>
      </w:tr>
      <w:tr>
        <w:trPr>
          <w:trHeight w:val="171"/>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Accumulated deficit</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(13,001)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(14,021)</w:t>
            </w:r>
          </w:p>
        </w:tc>
        <w:tc>
          <w:tcPr>
            <w:tcW w:w="0" w:type="dxa"/>
            <w:vAlign w:val="bottom"/>
          </w:tcPr>
          <w:p>
            <w:pPr>
              <w:spacing w:after="0"/>
              <w:rPr>
                <w:sz w:val="1"/>
                <w:szCs w:val="1"/>
                <w:color w:val="auto"/>
              </w:rPr>
            </w:pPr>
          </w:p>
        </w:tc>
      </w:tr>
      <w:tr>
        <w:trPr>
          <w:trHeight w:val="16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Accumulated other comprehensive loss</w:t>
            </w: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6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 attributable to the shareholders of GLOBALFOUNDRIES INC.</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11,104</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9,913</w:t>
            </w:r>
          </w:p>
        </w:tc>
        <w:tc>
          <w:tcPr>
            <w:tcW w:w="0" w:type="dxa"/>
            <w:vAlign w:val="bottom"/>
          </w:tcPr>
          <w:p>
            <w:pPr>
              <w:spacing w:after="0"/>
              <w:rPr>
                <w:sz w:val="1"/>
                <w:szCs w:val="1"/>
                <w:color w:val="auto"/>
              </w:rPr>
            </w:pPr>
          </w:p>
        </w:tc>
      </w:tr>
      <w:tr>
        <w:trPr>
          <w:trHeight w:val="16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Non-controlling interests</w:t>
            </w: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6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w:t>
            </w:r>
          </w:p>
        </w:tc>
        <w:tc>
          <w:tcPr>
            <w:tcW w:w="9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11,151</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9,960</w:t>
            </w:r>
          </w:p>
        </w:tc>
        <w:tc>
          <w:tcPr>
            <w:tcW w:w="0" w:type="dxa"/>
            <w:vAlign w:val="bottom"/>
          </w:tcPr>
          <w:p>
            <w:pPr>
              <w:spacing w:after="0"/>
              <w:rPr>
                <w:sz w:val="1"/>
                <w:szCs w:val="1"/>
                <w:color w:val="auto"/>
              </w:rPr>
            </w:pPr>
          </w:p>
        </w:tc>
      </w:tr>
      <w:tr>
        <w:trPr>
          <w:trHeight w:val="160"/>
        </w:trPr>
        <w:tc>
          <w:tcPr>
            <w:tcW w:w="7420" w:type="dxa"/>
            <w:vAlign w:val="bottom"/>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92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18,044</w:t>
            </w: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17,841</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46990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80"/>
          </w:cols>
          <w:pgMar w:left="700" w:top="1211" w:right="7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4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GLOBALFOUNDRIES INC.</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3"/>
        </w:trPr>
        <w:tc>
          <w:tcPr>
            <w:tcW w:w="3620" w:type="dxa"/>
            <w:vAlign w:val="bottom"/>
          </w:tcPr>
          <w:p>
            <w:pPr>
              <w:spacing w:after="0"/>
              <w:rPr>
                <w:sz w:val="20"/>
                <w:szCs w:val="20"/>
                <w:color w:val="auto"/>
              </w:rPr>
            </w:pPr>
          </w:p>
        </w:tc>
        <w:tc>
          <w:tcPr>
            <w:tcW w:w="4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CONSOLIDATED STATEMENTS OF OPERATIONS</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4"/>
        </w:trPr>
        <w:tc>
          <w:tcPr>
            <w:tcW w:w="3620" w:type="dxa"/>
            <w:vAlign w:val="bottom"/>
          </w:tcPr>
          <w:p>
            <w:pPr>
              <w:spacing w:after="0"/>
              <w:rPr>
                <w:sz w:val="21"/>
                <w:szCs w:val="21"/>
                <w:color w:val="auto"/>
              </w:rPr>
            </w:pPr>
          </w:p>
        </w:tc>
        <w:tc>
          <w:tcPr>
            <w:tcW w:w="4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(Share amounts and dollars in millions)</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2"/>
        </w:trPr>
        <w:tc>
          <w:tcPr>
            <w:tcW w:w="36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6"/>
          </w:tcPr>
          <w:p>
            <w:pPr>
              <w:jc w:val="right"/>
              <w:ind w:right="116"/>
              <w:spacing w:after="0"/>
              <w:rPr>
                <w:sz w:val="20"/>
                <w:szCs w:val="20"/>
                <w:color w:val="auto"/>
              </w:rPr>
            </w:pPr>
            <w:r>
              <w:rPr>
                <w:rFonts w:ascii="Arial" w:cs="Arial" w:eastAsia="Arial" w:hAnsi="Arial"/>
                <w:sz w:val="13"/>
                <w:szCs w:val="13"/>
                <w:b w:val="1"/>
                <w:bCs w:val="1"/>
                <w:color w:val="auto"/>
              </w:rPr>
              <w:t>For the year ended December 31,</w:t>
            </w:r>
          </w:p>
        </w:tc>
        <w:tc>
          <w:tcPr>
            <w:tcW w:w="10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r>
      <w:tr>
        <w:trPr>
          <w:trHeight w:val="160"/>
        </w:trPr>
        <w:tc>
          <w:tcPr>
            <w:tcW w:w="3620" w:type="dxa"/>
            <w:vAlign w:val="bottom"/>
            <w:tcBorders>
              <w:bottom w:val="single" w:sz="8" w:color="CCEEFF"/>
            </w:tcBorders>
          </w:tcPr>
          <w:p>
            <w:pPr>
              <w:spacing w:after="0"/>
              <w:rPr>
                <w:sz w:val="13"/>
                <w:szCs w:val="13"/>
                <w:color w:val="auto"/>
              </w:rPr>
            </w:pPr>
          </w:p>
        </w:tc>
        <w:tc>
          <w:tcPr>
            <w:tcW w:w="30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2023</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3"/>
                <w:szCs w:val="13"/>
                <w:color w:val="auto"/>
              </w:rPr>
            </w:pPr>
          </w:p>
        </w:tc>
      </w:tr>
      <w:tr>
        <w:trPr>
          <w:trHeight w:val="160"/>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w:t>
            </w:r>
          </w:p>
        </w:tc>
        <w:tc>
          <w:tcPr>
            <w:tcW w:w="4000" w:type="dxa"/>
            <w:vAlign w:val="bottom"/>
            <w:gridSpan w:val="2"/>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6,585</w:t>
            </w:r>
          </w:p>
        </w:tc>
        <w:tc>
          <w:tcPr>
            <w:tcW w:w="80" w:type="dxa"/>
            <w:vAlign w:val="bottom"/>
          </w:tcPr>
          <w:p>
            <w:pPr>
              <w:spacing w:after="0"/>
              <w:rPr>
                <w:sz w:val="13"/>
                <w:szCs w:val="13"/>
                <w:color w:val="auto"/>
              </w:rPr>
            </w:pPr>
          </w:p>
        </w:tc>
      </w:tr>
      <w:tr>
        <w:trPr>
          <w:trHeight w:val="16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Cost of revenue</w:t>
            </w:r>
          </w:p>
        </w:tc>
        <w:tc>
          <w:tcPr>
            <w:tcW w:w="30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5,291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5,869</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5,572</w:t>
            </w:r>
          </w:p>
        </w:tc>
        <w:tc>
          <w:tcPr>
            <w:tcW w:w="80" w:type="dxa"/>
            <w:vAlign w:val="bottom"/>
          </w:tcPr>
          <w:p>
            <w:pPr>
              <w:spacing w:after="0"/>
              <w:rPr>
                <w:sz w:val="14"/>
                <w:szCs w:val="14"/>
                <w:color w:val="auto"/>
              </w:rPr>
            </w:pPr>
          </w:p>
        </w:tc>
      </w:tr>
      <w:tr>
        <w:trPr>
          <w:trHeight w:val="162"/>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Gross profit</w:t>
            </w:r>
          </w:p>
        </w:tc>
        <w:tc>
          <w:tcPr>
            <w:tcW w:w="302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2,101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2,239</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1,013</w:t>
            </w:r>
          </w:p>
        </w:tc>
        <w:tc>
          <w:tcPr>
            <w:tcW w:w="80" w:type="dxa"/>
            <w:vAlign w:val="bottom"/>
          </w:tcPr>
          <w:p>
            <w:pPr>
              <w:spacing w:after="0"/>
              <w:rPr>
                <w:sz w:val="14"/>
                <w:szCs w:val="14"/>
                <w:color w:val="auto"/>
              </w:rPr>
            </w:pPr>
          </w:p>
        </w:tc>
      </w:tr>
      <w:tr>
        <w:trPr>
          <w:trHeight w:val="159"/>
        </w:trPr>
        <w:tc>
          <w:tcPr>
            <w:tcW w:w="3620" w:type="dxa"/>
            <w:vAlign w:val="bottom"/>
          </w:tcPr>
          <w:p>
            <w:pPr>
              <w:ind w:left="20"/>
              <w:spacing w:after="0"/>
              <w:rPr>
                <w:sz w:val="20"/>
                <w:szCs w:val="20"/>
                <w:color w:val="auto"/>
              </w:rPr>
            </w:pPr>
            <w:r>
              <w:rPr>
                <w:rFonts w:ascii="Arial" w:cs="Arial" w:eastAsia="Arial" w:hAnsi="Arial"/>
                <w:sz w:val="13"/>
                <w:szCs w:val="13"/>
                <w:color w:val="auto"/>
              </w:rPr>
              <w:t>Research and development expense</w:t>
            </w: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428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482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478</w:t>
            </w:r>
          </w:p>
        </w:tc>
        <w:tc>
          <w:tcPr>
            <w:tcW w:w="80" w:type="dxa"/>
            <w:vAlign w:val="bottom"/>
          </w:tcPr>
          <w:p>
            <w:pPr>
              <w:spacing w:after="0"/>
              <w:rPr>
                <w:sz w:val="13"/>
                <w:szCs w:val="13"/>
                <w:color w:val="auto"/>
              </w:rPr>
            </w:pPr>
          </w:p>
        </w:tc>
      </w:tr>
      <w:tr>
        <w:trPr>
          <w:trHeight w:val="171"/>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 expense</w:t>
            </w:r>
          </w:p>
        </w:tc>
        <w:tc>
          <w:tcPr>
            <w:tcW w:w="3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w:t>
            </w:r>
          </w:p>
        </w:tc>
        <w:tc>
          <w:tcPr>
            <w:tcW w:w="80" w:type="dxa"/>
            <w:vAlign w:val="bottom"/>
          </w:tcPr>
          <w:p>
            <w:pPr>
              <w:spacing w:after="0"/>
              <w:rPr>
                <w:sz w:val="14"/>
                <w:szCs w:val="14"/>
                <w:color w:val="auto"/>
              </w:rPr>
            </w:pPr>
          </w:p>
        </w:tc>
      </w:tr>
      <w:tr>
        <w:trPr>
          <w:trHeight w:val="16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Restructuring expense</w:t>
            </w:r>
          </w:p>
        </w:tc>
        <w:tc>
          <w:tcPr>
            <w:tcW w:w="30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r>
      <w:tr>
        <w:trPr>
          <w:trHeight w:val="162"/>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expenses</w:t>
            </w:r>
          </w:p>
        </w:tc>
        <w:tc>
          <w:tcPr>
            <w:tcW w:w="302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972</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1,072</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1,073</w:t>
            </w:r>
          </w:p>
        </w:tc>
        <w:tc>
          <w:tcPr>
            <w:tcW w:w="80" w:type="dxa"/>
            <w:vAlign w:val="bottom"/>
          </w:tcPr>
          <w:p>
            <w:pPr>
              <w:spacing w:after="0"/>
              <w:rPr>
                <w:sz w:val="14"/>
                <w:szCs w:val="14"/>
                <w:color w:val="auto"/>
              </w:rPr>
            </w:pPr>
          </w:p>
        </w:tc>
      </w:tr>
      <w:tr>
        <w:trPr>
          <w:trHeight w:val="160"/>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Income (loss) from operations</w:t>
            </w: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1,129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1,167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(60)</w:t>
            </w:r>
          </w:p>
        </w:tc>
        <w:tc>
          <w:tcPr>
            <w:tcW w:w="80" w:type="dxa"/>
            <w:vAlign w:val="bottom"/>
          </w:tcPr>
          <w:p>
            <w:pPr>
              <w:spacing w:after="0"/>
              <w:rPr>
                <w:sz w:val="13"/>
                <w:szCs w:val="13"/>
                <w:color w:val="auto"/>
              </w:rPr>
            </w:pPr>
          </w:p>
        </w:tc>
      </w:tr>
      <w:tr>
        <w:trPr>
          <w:trHeight w:val="170"/>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Finance income</w:t>
            </w:r>
          </w:p>
        </w:tc>
        <w:tc>
          <w:tcPr>
            <w:tcW w:w="3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r>
      <w:tr>
        <w:trPr>
          <w:trHeight w:val="169"/>
        </w:trPr>
        <w:tc>
          <w:tcPr>
            <w:tcW w:w="3620" w:type="dxa"/>
            <w:vAlign w:val="bottom"/>
          </w:tcPr>
          <w:p>
            <w:pPr>
              <w:ind w:left="20"/>
              <w:spacing w:after="0"/>
              <w:rPr>
                <w:sz w:val="20"/>
                <w:szCs w:val="20"/>
                <w:color w:val="auto"/>
              </w:rPr>
            </w:pPr>
            <w:r>
              <w:rPr>
                <w:rFonts w:ascii="Arial" w:cs="Arial" w:eastAsia="Arial" w:hAnsi="Arial"/>
                <w:sz w:val="13"/>
                <w:szCs w:val="13"/>
                <w:color w:val="auto"/>
              </w:rPr>
              <w:t>Finance expense</w:t>
            </w: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4"/>
                <w:szCs w:val="14"/>
                <w:color w:val="auto"/>
              </w:rPr>
            </w:pPr>
          </w:p>
        </w:tc>
      </w:tr>
      <w:tr>
        <w:trPr>
          <w:trHeight w:val="171"/>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on sale of East Fishkill (“EFK”) business</w:t>
            </w:r>
          </w:p>
        </w:tc>
        <w:tc>
          <w:tcPr>
            <w:tcW w:w="3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r>
      <w:tr>
        <w:trPr>
          <w:trHeight w:val="16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income (expense), net</w:t>
            </w:r>
          </w:p>
        </w:tc>
        <w:tc>
          <w:tcPr>
            <w:tcW w:w="30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r>
      <w:tr>
        <w:trPr>
          <w:trHeight w:val="162"/>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3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1,084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1,532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(176)</w:t>
            </w:r>
          </w:p>
        </w:tc>
        <w:tc>
          <w:tcPr>
            <w:tcW w:w="80" w:type="dxa"/>
            <w:vAlign w:val="bottom"/>
          </w:tcPr>
          <w:p>
            <w:pPr>
              <w:spacing w:after="0"/>
              <w:rPr>
                <w:sz w:val="14"/>
                <w:szCs w:val="14"/>
                <w:color w:val="auto"/>
              </w:rPr>
            </w:pPr>
          </w:p>
        </w:tc>
      </w:tr>
      <w:tr>
        <w:trPr>
          <w:trHeight w:val="16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30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4"/>
                <w:szCs w:val="14"/>
                <w:color w:val="auto"/>
              </w:rPr>
            </w:pPr>
          </w:p>
        </w:tc>
      </w:tr>
      <w:tr>
        <w:trPr>
          <w:trHeight w:val="162"/>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for the year</w:t>
            </w:r>
          </w:p>
        </w:tc>
        <w:tc>
          <w:tcPr>
            <w:tcW w:w="4000" w:type="dxa"/>
            <w:vAlign w:val="bottom"/>
            <w:gridSpan w:val="2"/>
            <w:shd w:val="clear" w:color="auto" w:fill="CCEEFF"/>
          </w:tcPr>
          <w:p>
            <w:pPr>
              <w:jc w:val="right"/>
              <w:ind w:right="836"/>
              <w:spacing w:after="0"/>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1,018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1,446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(254)</w:t>
            </w:r>
          </w:p>
        </w:tc>
        <w:tc>
          <w:tcPr>
            <w:tcW w:w="80" w:type="dxa"/>
            <w:vAlign w:val="bottom"/>
          </w:tcPr>
          <w:p>
            <w:pPr>
              <w:spacing w:after="0"/>
              <w:rPr>
                <w:sz w:val="14"/>
                <w:szCs w:val="14"/>
                <w:color w:val="auto"/>
              </w:rPr>
            </w:pPr>
          </w:p>
        </w:tc>
      </w:tr>
      <w:tr>
        <w:trPr>
          <w:trHeight w:val="149"/>
        </w:trPr>
        <w:tc>
          <w:tcPr>
            <w:tcW w:w="3620" w:type="dxa"/>
            <w:vAlign w:val="bottom"/>
          </w:tcPr>
          <w:p>
            <w:pPr>
              <w:ind w:left="20"/>
              <w:spacing w:after="0" w:line="148" w:lineRule="exact"/>
              <w:rPr>
                <w:sz w:val="20"/>
                <w:szCs w:val="20"/>
                <w:color w:val="auto"/>
              </w:rPr>
            </w:pPr>
            <w:r>
              <w:rPr>
                <w:rFonts w:ascii="Arial" w:cs="Arial" w:eastAsia="Arial" w:hAnsi="Arial"/>
                <w:sz w:val="13"/>
                <w:szCs w:val="13"/>
                <w:color w:val="auto"/>
              </w:rPr>
              <w:t>Attributable to:</w:t>
            </w:r>
          </w:p>
        </w:tc>
        <w:tc>
          <w:tcPr>
            <w:tcW w:w="30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71"/>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Shareholders of GLOBALFOUNDRIES INC.</w:t>
            </w:r>
          </w:p>
        </w:tc>
        <w:tc>
          <w:tcPr>
            <w:tcW w:w="4000" w:type="dxa"/>
            <w:vAlign w:val="bottom"/>
            <w:gridSpan w:val="2"/>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80" w:type="dxa"/>
            <w:vAlign w:val="bottom"/>
          </w:tcPr>
          <w:p>
            <w:pPr>
              <w:spacing w:after="0"/>
              <w:rPr>
                <w:sz w:val="14"/>
                <w:szCs w:val="14"/>
                <w:color w:val="auto"/>
              </w:rPr>
            </w:pPr>
          </w:p>
        </w:tc>
      </w:tr>
      <w:tr>
        <w:trPr>
          <w:trHeight w:val="16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Non-controlling interests</w:t>
            </w:r>
          </w:p>
        </w:tc>
        <w:tc>
          <w:tcPr>
            <w:tcW w:w="30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r>
      <w:tr>
        <w:trPr>
          <w:trHeight w:val="162"/>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for the year</w:t>
            </w:r>
          </w:p>
        </w:tc>
        <w:tc>
          <w:tcPr>
            <w:tcW w:w="4000" w:type="dxa"/>
            <w:vAlign w:val="bottom"/>
            <w:gridSpan w:val="2"/>
            <w:shd w:val="clear" w:color="auto" w:fill="CCEEFF"/>
          </w:tcPr>
          <w:p>
            <w:pPr>
              <w:jc w:val="right"/>
              <w:ind w:right="836"/>
              <w:spacing w:after="0"/>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1,018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1,446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(254)</w:t>
            </w:r>
          </w:p>
        </w:tc>
        <w:tc>
          <w:tcPr>
            <w:tcW w:w="80" w:type="dxa"/>
            <w:vAlign w:val="bottom"/>
          </w:tcPr>
          <w:p>
            <w:pPr>
              <w:spacing w:after="0"/>
              <w:rPr>
                <w:sz w:val="14"/>
                <w:szCs w:val="14"/>
                <w:color w:val="auto"/>
              </w:rPr>
            </w:pPr>
          </w:p>
        </w:tc>
      </w:tr>
      <w:tr>
        <w:trPr>
          <w:trHeight w:val="150"/>
        </w:trPr>
        <w:tc>
          <w:tcPr>
            <w:tcW w:w="6640" w:type="dxa"/>
            <w:vAlign w:val="bottom"/>
            <w:gridSpan w:val="2"/>
          </w:tcPr>
          <w:p>
            <w:pPr>
              <w:ind w:left="20"/>
              <w:spacing w:after="0"/>
              <w:rPr>
                <w:sz w:val="20"/>
                <w:szCs w:val="20"/>
                <w:color w:val="auto"/>
              </w:rPr>
            </w:pPr>
            <w:r>
              <w:rPr>
                <w:rFonts w:ascii="Arial" w:cs="Arial" w:eastAsia="Arial" w:hAnsi="Arial"/>
                <w:sz w:val="13"/>
                <w:szCs w:val="13"/>
                <w:b w:val="1"/>
                <w:bCs w:val="1"/>
                <w:color w:val="auto"/>
              </w:rPr>
              <w:t>Net income (loss) per share attributable to the equity holders of the Company:</w:t>
            </w:r>
          </w:p>
        </w:tc>
        <w:tc>
          <w:tcPr>
            <w:tcW w:w="9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 weighted average ordinary shares outstanding</w:t>
            </w:r>
          </w:p>
        </w:tc>
        <w:tc>
          <w:tcPr>
            <w:tcW w:w="3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80" w:type="dxa"/>
            <w:vAlign w:val="bottom"/>
          </w:tcPr>
          <w:p>
            <w:pPr>
              <w:spacing w:after="0"/>
              <w:rPr>
                <w:sz w:val="14"/>
                <w:szCs w:val="14"/>
                <w:color w:val="auto"/>
              </w:rPr>
            </w:pPr>
          </w:p>
        </w:tc>
      </w:tr>
      <w:tr>
        <w:trPr>
          <w:trHeight w:val="169"/>
        </w:trPr>
        <w:tc>
          <w:tcPr>
            <w:tcW w:w="3620" w:type="dxa"/>
            <w:vAlign w:val="bottom"/>
          </w:tcPr>
          <w:p>
            <w:pPr>
              <w:ind w:left="20"/>
              <w:spacing w:after="0"/>
              <w:rPr>
                <w:sz w:val="20"/>
                <w:szCs w:val="20"/>
                <w:color w:val="auto"/>
              </w:rPr>
            </w:pPr>
            <w:r>
              <w:rPr>
                <w:rFonts w:ascii="Arial" w:cs="Arial" w:eastAsia="Arial" w:hAnsi="Arial"/>
                <w:sz w:val="13"/>
                <w:szCs w:val="13"/>
                <w:color w:val="auto"/>
              </w:rPr>
              <w:t>Diluted weighted average ordinary shares outstanding</w:t>
            </w: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556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552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506</w:t>
            </w:r>
          </w:p>
        </w:tc>
        <w:tc>
          <w:tcPr>
            <w:tcW w:w="80" w:type="dxa"/>
            <w:vAlign w:val="bottom"/>
          </w:tcPr>
          <w:p>
            <w:pPr>
              <w:spacing w:after="0"/>
              <w:rPr>
                <w:sz w:val="14"/>
                <w:szCs w:val="14"/>
                <w:color w:val="auto"/>
              </w:rPr>
            </w:pPr>
          </w:p>
        </w:tc>
      </w:tr>
      <w:tr>
        <w:trPr>
          <w:trHeight w:val="171"/>
        </w:trPr>
        <w:tc>
          <w:tcPr>
            <w:tcW w:w="362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3620" w:type="dxa"/>
            <w:vAlign w:val="bottom"/>
          </w:tcPr>
          <w:p>
            <w:pPr>
              <w:ind w:left="20"/>
              <w:spacing w:after="0"/>
              <w:rPr>
                <w:sz w:val="20"/>
                <w:szCs w:val="20"/>
                <w:color w:val="auto"/>
              </w:rPr>
            </w:pPr>
            <w:r>
              <w:rPr>
                <w:rFonts w:ascii="Arial" w:cs="Arial" w:eastAsia="Arial" w:hAnsi="Arial"/>
                <w:sz w:val="13"/>
                <w:szCs w:val="13"/>
                <w:color w:val="auto"/>
              </w:rPr>
              <w:t>Basic earnings (loss) per share</w:t>
            </w:r>
          </w:p>
        </w:tc>
        <w:tc>
          <w:tcPr>
            <w:tcW w:w="4000" w:type="dxa"/>
            <w:vAlign w:val="bottom"/>
            <w:gridSpan w:val="2"/>
          </w:tcPr>
          <w:p>
            <w:pPr>
              <w:jc w:val="right"/>
              <w:ind w:right="836"/>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1.85</w:t>
            </w:r>
          </w:p>
        </w:tc>
        <w:tc>
          <w:tcPr>
            <w:tcW w:w="80" w:type="dxa"/>
            <w:vAlign w:val="bottom"/>
          </w:tcPr>
          <w:p>
            <w:pPr>
              <w:spacing w:after="0"/>
              <w:rPr>
                <w:sz w:val="14"/>
                <w:szCs w:val="14"/>
                <w:color w:val="auto"/>
              </w:rPr>
            </w:pP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2.69</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(0.49)</w:t>
            </w:r>
          </w:p>
        </w:tc>
        <w:tc>
          <w:tcPr>
            <w:tcW w:w="80" w:type="dxa"/>
            <w:vAlign w:val="bottom"/>
          </w:tcPr>
          <w:p>
            <w:pPr>
              <w:spacing w:after="0"/>
              <w:rPr>
                <w:sz w:val="14"/>
                <w:szCs w:val="14"/>
                <w:color w:val="auto"/>
              </w:rPr>
            </w:pPr>
          </w:p>
        </w:tc>
      </w:tr>
      <w:tr>
        <w:trPr>
          <w:trHeight w:val="171"/>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 earnings (loss) per share</w:t>
            </w:r>
          </w:p>
        </w:tc>
        <w:tc>
          <w:tcPr>
            <w:tcW w:w="4000" w:type="dxa"/>
            <w:vAlign w:val="bottom"/>
            <w:gridSpan w:val="2"/>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(0.49)</w:t>
            </w:r>
          </w:p>
        </w:tc>
        <w:tc>
          <w:tcPr>
            <w:tcW w:w="80" w:type="dxa"/>
            <w:vAlign w:val="bottom"/>
          </w:tcPr>
          <w:p>
            <w:pPr>
              <w:spacing w:after="0"/>
              <w:rPr>
                <w:sz w:val="14"/>
                <w:szCs w:val="14"/>
                <w:color w:val="auto"/>
              </w:rPr>
            </w:pPr>
          </w:p>
        </w:tc>
      </w:tr>
    </w:tbl>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93" w:name="page94"/>
    <w:bookmarkEnd w:id="93"/>
    <w:p>
      <w:pPr>
        <w:jc w:val="center"/>
        <w:spacing w:after="0"/>
        <w:rPr>
          <w:sz w:val="20"/>
          <w:szCs w:val="20"/>
          <w:color w:val="auto"/>
        </w:rPr>
      </w:pPr>
      <w:r>
        <w:rPr>
          <w:rFonts w:ascii="Arial" w:cs="Arial" w:eastAsia="Arial" w:hAnsi="Arial"/>
          <w:sz w:val="13"/>
          <w:szCs w:val="13"/>
          <w:b w:val="1"/>
          <w:bCs w:val="1"/>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OTHER COMPREHENSIVE INCOME (LOSS)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6"/>
          </w:tcPr>
          <w:p>
            <w:pPr>
              <w:jc w:val="right"/>
              <w:ind w:right="136"/>
              <w:spacing w:after="0"/>
              <w:rPr>
                <w:sz w:val="20"/>
                <w:szCs w:val="20"/>
                <w:color w:val="auto"/>
              </w:rPr>
            </w:pPr>
            <w:r>
              <w:rPr>
                <w:rFonts w:ascii="Arial" w:cs="Arial" w:eastAsia="Arial" w:hAnsi="Arial"/>
                <w:sz w:val="13"/>
                <w:szCs w:val="13"/>
                <w:b w:val="1"/>
                <w:bCs w:val="1"/>
                <w:color w:val="auto"/>
              </w:rPr>
              <w:t>For the year ended December 31,</w:t>
            </w:r>
          </w:p>
        </w:tc>
        <w:tc>
          <w:tcPr>
            <w:tcW w:w="1080" w:type="dxa"/>
            <w:vAlign w:val="bottom"/>
            <w:tcBorders>
              <w:bottom w:val="single" w:sz="8" w:color="auto"/>
            </w:tcBorders>
          </w:tcPr>
          <w:p>
            <w:pPr>
              <w:spacing w:after="0"/>
              <w:rPr>
                <w:sz w:val="14"/>
                <w:szCs w:val="14"/>
                <w:color w:val="auto"/>
              </w:rPr>
            </w:pPr>
          </w:p>
        </w:tc>
      </w:tr>
      <w:tr>
        <w:trPr>
          <w:trHeight w:val="160"/>
        </w:trPr>
        <w:tc>
          <w:tcPr>
            <w:tcW w:w="59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60"/>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for the year</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1,018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1,446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(254)</w:t>
            </w:r>
          </w:p>
        </w:tc>
      </w:tr>
      <w:tr>
        <w:trPr>
          <w:trHeight w:val="169"/>
        </w:trPr>
        <w:tc>
          <w:tcPr>
            <w:tcW w:w="5920" w:type="dxa"/>
            <w:vAlign w:val="bottom"/>
          </w:tcPr>
          <w:p>
            <w:pPr>
              <w:ind w:left="20"/>
              <w:spacing w:after="0"/>
              <w:rPr>
                <w:sz w:val="20"/>
                <w:szCs w:val="20"/>
                <w:color w:val="auto"/>
              </w:rPr>
            </w:pPr>
            <w:r>
              <w:rPr>
                <w:rFonts w:ascii="Arial" w:cs="Arial" w:eastAsia="Arial" w:hAnsi="Arial"/>
                <w:sz w:val="13"/>
                <w:szCs w:val="13"/>
                <w:color w:val="auto"/>
              </w:rPr>
              <w:t>Attributable to:</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Shareholder of GLOBALFOUNDRIES INC.</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r>
      <w:tr>
        <w:trPr>
          <w:trHeight w:val="169"/>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Non-controlling interest</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162"/>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for the year</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1,018</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1,446</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w:t>
            </w:r>
          </w:p>
        </w:tc>
      </w:tr>
      <w:tr>
        <w:trPr>
          <w:trHeight w:val="277"/>
        </w:trPr>
        <w:tc>
          <w:tcPr>
            <w:tcW w:w="5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0"/>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 (loss), net of tax:</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0"/>
        </w:trPr>
        <w:tc>
          <w:tcPr>
            <w:tcW w:w="5920" w:type="dxa"/>
            <w:vAlign w:val="bottom"/>
          </w:tcPr>
          <w:p>
            <w:pPr>
              <w:ind w:left="20"/>
              <w:spacing w:after="0"/>
              <w:rPr>
                <w:sz w:val="20"/>
                <w:szCs w:val="20"/>
                <w:color w:val="auto"/>
              </w:rPr>
            </w:pPr>
            <w:r>
              <w:rPr>
                <w:rFonts w:ascii="Arial" w:cs="Arial" w:eastAsia="Arial" w:hAnsi="Arial"/>
                <w:sz w:val="13"/>
                <w:szCs w:val="13"/>
                <w:b w:val="1"/>
                <w:bCs w:val="1"/>
                <w:color w:val="auto"/>
              </w:rPr>
              <w:t>Items that may be reclassified subsequently to profit or loss: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0"/>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of foreign exchange fluctuation reserve of joint ventures</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9"/>
        </w:trPr>
        <w:tc>
          <w:tcPr>
            <w:tcW w:w="5920" w:type="dxa"/>
            <w:vAlign w:val="bottom"/>
          </w:tcPr>
          <w:p>
            <w:pPr>
              <w:ind w:left="20"/>
              <w:spacing w:after="0"/>
              <w:rPr>
                <w:sz w:val="20"/>
                <w:szCs w:val="20"/>
                <w:color w:val="auto"/>
              </w:rPr>
            </w:pPr>
            <w:r>
              <w:rPr>
                <w:rFonts w:ascii="Arial" w:cs="Arial" w:eastAsia="Arial" w:hAnsi="Arial"/>
                <w:sz w:val="13"/>
                <w:szCs w:val="13"/>
                <w:color w:val="auto"/>
              </w:rPr>
              <w:t>Effective portion of changes in the fair value of cash flow hedges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71"/>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gain (loss) on investments measured at fair value through other comprehensive income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effect</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62"/>
        </w:trPr>
        <w:tc>
          <w:tcPr>
            <w:tcW w:w="5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r>
      <w:tr>
        <w:trPr>
          <w:trHeight w:val="170"/>
        </w:trPr>
        <w:tc>
          <w:tcPr>
            <w:tcW w:w="5920" w:type="dxa"/>
            <w:vAlign w:val="bottom"/>
          </w:tcPr>
          <w:p>
            <w:pPr>
              <w:ind w:left="20"/>
              <w:spacing w:after="0"/>
              <w:rPr>
                <w:sz w:val="20"/>
                <w:szCs w:val="20"/>
                <w:color w:val="auto"/>
              </w:rPr>
            </w:pPr>
            <w:r>
              <w:rPr>
                <w:rFonts w:ascii="Arial" w:cs="Arial" w:eastAsia="Arial" w:hAnsi="Arial"/>
                <w:sz w:val="13"/>
                <w:szCs w:val="13"/>
                <w:b w:val="1"/>
                <w:bCs w:val="1"/>
                <w:color w:val="auto"/>
              </w:rPr>
              <w:t>Total other comprehensive income (loss)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0"/>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Attributable to:</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9"/>
        </w:trPr>
        <w:tc>
          <w:tcPr>
            <w:tcW w:w="5920" w:type="dxa"/>
            <w:vAlign w:val="bottom"/>
          </w:tcPr>
          <w:p>
            <w:pPr>
              <w:ind w:left="20"/>
              <w:spacing w:after="0"/>
              <w:rPr>
                <w:sz w:val="20"/>
                <w:szCs w:val="20"/>
                <w:color w:val="auto"/>
              </w:rPr>
            </w:pPr>
            <w:r>
              <w:rPr>
                <w:rFonts w:ascii="Arial" w:cs="Arial" w:eastAsia="Arial" w:hAnsi="Arial"/>
                <w:sz w:val="13"/>
                <w:szCs w:val="13"/>
                <w:color w:val="auto"/>
              </w:rPr>
              <w:t>Shareholders of GLOBALFOUNDRIES INC.</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146</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71"/>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interests</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0"/>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other comprehensive income (loss) for the year</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137</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w:t>
            </w:r>
          </w:p>
        </w:tc>
      </w:tr>
      <w:tr>
        <w:trPr>
          <w:trHeight w:val="150"/>
        </w:trPr>
        <w:tc>
          <w:tcPr>
            <w:tcW w:w="59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70"/>
        </w:trPr>
        <w:tc>
          <w:tcPr>
            <w:tcW w:w="5920" w:type="dxa"/>
            <w:vAlign w:val="bottom"/>
          </w:tcPr>
          <w:p>
            <w:pPr>
              <w:ind w:left="20"/>
              <w:spacing w:after="0"/>
              <w:rPr>
                <w:sz w:val="20"/>
                <w:szCs w:val="20"/>
                <w:color w:val="auto"/>
              </w:rPr>
            </w:pPr>
            <w:r>
              <w:rPr>
                <w:rFonts w:ascii="Arial" w:cs="Arial" w:eastAsia="Arial" w:hAnsi="Arial"/>
                <w:sz w:val="13"/>
                <w:szCs w:val="13"/>
                <w:b w:val="1"/>
                <w:bCs w:val="1"/>
                <w:color w:val="auto"/>
              </w:rPr>
              <w:t>Total comprehensive income (loss)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0"/>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Attributable to:</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9"/>
        </w:trPr>
        <w:tc>
          <w:tcPr>
            <w:tcW w:w="5920" w:type="dxa"/>
            <w:vAlign w:val="bottom"/>
          </w:tcPr>
          <w:p>
            <w:pPr>
              <w:ind w:left="20"/>
              <w:spacing w:after="0"/>
              <w:rPr>
                <w:sz w:val="20"/>
                <w:szCs w:val="20"/>
                <w:color w:val="auto"/>
              </w:rPr>
            </w:pPr>
            <w:r>
              <w:rPr>
                <w:rFonts w:ascii="Arial" w:cs="Arial" w:eastAsia="Arial" w:hAnsi="Arial"/>
                <w:sz w:val="13"/>
                <w:szCs w:val="13"/>
                <w:color w:val="auto"/>
              </w:rPr>
              <w:t>Shareholders of GLOBALFOUNDRIES INC.</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995</w:t>
            </w:r>
          </w:p>
        </w:tc>
        <w:tc>
          <w:tcPr>
            <w:tcW w:w="80" w:type="dxa"/>
            <w:vAlign w:val="bottom"/>
          </w:tcPr>
          <w:p>
            <w:pPr>
              <w:spacing w:after="0"/>
              <w:rPr>
                <w:sz w:val="14"/>
                <w:szCs w:val="14"/>
                <w:color w:val="auto"/>
              </w:rPr>
            </w:pP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1,594</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(300)</w:t>
            </w:r>
          </w:p>
        </w:tc>
      </w:tr>
      <w:tr>
        <w:trPr>
          <w:trHeight w:val="171"/>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interests</w:t>
            </w: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60"/>
        </w:trPr>
        <w:tc>
          <w:tcPr>
            <w:tcW w:w="5920" w:type="dxa"/>
            <w:vAlign w:val="bottom"/>
          </w:tcPr>
          <w:p>
            <w:pPr>
              <w:ind w:left="20"/>
              <w:spacing w:after="0"/>
              <w:rPr>
                <w:sz w:val="20"/>
                <w:szCs w:val="20"/>
                <w:color w:val="auto"/>
              </w:rPr>
            </w:pPr>
            <w:r>
              <w:rPr>
                <w:rFonts w:ascii="Arial" w:cs="Arial" w:eastAsia="Arial" w:hAnsi="Arial"/>
                <w:sz w:val="13"/>
                <w:szCs w:val="13"/>
                <w:b w:val="1"/>
                <w:bCs w:val="1"/>
                <w:color w:val="auto"/>
              </w:rPr>
              <w:t>Total comprehensive income (loss) for the year</w:t>
            </w:r>
          </w:p>
        </w:tc>
        <w:tc>
          <w:tcPr>
            <w:tcW w:w="34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995</w:t>
            </w: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1,583</w:t>
            </w:r>
          </w:p>
        </w:tc>
        <w:tc>
          <w:tcPr>
            <w:tcW w:w="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(308)</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46990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80"/>
          </w:cols>
          <w:pgMar w:left="700" w:top="935" w:right="7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73"/>
        </w:trPr>
        <w:tc>
          <w:tcPr>
            <w:tcW w:w="6620" w:type="dxa"/>
            <w:vAlign w:val="bottom"/>
          </w:tcPr>
          <w:p>
            <w:pPr>
              <w:jc w:val="center"/>
              <w:ind w:left="4616"/>
              <w:spacing w:after="0"/>
              <w:rPr>
                <w:sz w:val="20"/>
                <w:szCs w:val="20"/>
                <w:color w:val="auto"/>
              </w:rPr>
            </w:pPr>
            <w:r>
              <w:rPr>
                <w:rFonts w:ascii="Arial" w:cs="Arial" w:eastAsia="Arial" w:hAnsi="Arial"/>
                <w:sz w:val="13"/>
                <w:szCs w:val="13"/>
                <w:b w:val="1"/>
                <w:bCs w:val="1"/>
                <w:color w:val="auto"/>
                <w:w w:val="98"/>
              </w:rPr>
              <w:t>GLOBALFOUNDRIES INC.</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3"/>
        </w:trPr>
        <w:tc>
          <w:tcPr>
            <w:tcW w:w="7600" w:type="dxa"/>
            <w:vAlign w:val="bottom"/>
            <w:gridSpan w:val="2"/>
          </w:tcPr>
          <w:p>
            <w:pPr>
              <w:jc w:val="center"/>
              <w:ind w:left="3616"/>
              <w:spacing w:after="0"/>
              <w:rPr>
                <w:sz w:val="20"/>
                <w:szCs w:val="20"/>
                <w:color w:val="auto"/>
              </w:rPr>
            </w:pPr>
            <w:r>
              <w:rPr>
                <w:rFonts w:ascii="Arial" w:cs="Arial" w:eastAsia="Arial" w:hAnsi="Arial"/>
                <w:sz w:val="13"/>
                <w:szCs w:val="13"/>
                <w:b w:val="1"/>
                <w:bCs w:val="1"/>
                <w:color w:val="auto"/>
                <w:w w:val="97"/>
              </w:rPr>
              <w:t>CONSOLIDATED STATEMENTS OF CASH FLOWS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4"/>
        </w:trPr>
        <w:tc>
          <w:tcPr>
            <w:tcW w:w="6620" w:type="dxa"/>
            <w:vAlign w:val="bottom"/>
          </w:tcPr>
          <w:p>
            <w:pPr>
              <w:jc w:val="center"/>
              <w:ind w:left="4616"/>
              <w:spacing w:after="0"/>
              <w:rPr>
                <w:sz w:val="20"/>
                <w:szCs w:val="20"/>
                <w:color w:val="auto"/>
              </w:rPr>
            </w:pPr>
            <w:r>
              <w:rPr>
                <w:rFonts w:ascii="Arial" w:cs="Arial" w:eastAsia="Arial" w:hAnsi="Arial"/>
                <w:sz w:val="13"/>
                <w:szCs w:val="13"/>
                <w:b w:val="1"/>
                <w:bCs w:val="1"/>
                <w:color w:val="auto"/>
                <w:w w:val="97"/>
              </w:rPr>
              <w:t>(Dollars in millions)</w:t>
            </w: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2"/>
        </w:trPr>
        <w:tc>
          <w:tcPr>
            <w:tcW w:w="66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6"/>
          </w:tcPr>
          <w:p>
            <w:pPr>
              <w:jc w:val="right"/>
              <w:ind w:right="136"/>
              <w:spacing w:after="0"/>
              <w:rPr>
                <w:sz w:val="20"/>
                <w:szCs w:val="20"/>
                <w:color w:val="auto"/>
              </w:rPr>
            </w:pPr>
            <w:r>
              <w:rPr>
                <w:rFonts w:ascii="Arial" w:cs="Arial" w:eastAsia="Arial" w:hAnsi="Arial"/>
                <w:sz w:val="13"/>
                <w:szCs w:val="13"/>
                <w:b w:val="1"/>
                <w:bCs w:val="1"/>
                <w:color w:val="auto"/>
              </w:rPr>
              <w:t>For the year ended December 31,</w:t>
            </w:r>
          </w:p>
        </w:tc>
        <w:tc>
          <w:tcPr>
            <w:tcW w:w="1120" w:type="dxa"/>
            <w:vAlign w:val="bottom"/>
            <w:tcBorders>
              <w:bottom w:val="single" w:sz="8" w:color="auto"/>
            </w:tcBorders>
          </w:tcPr>
          <w:p>
            <w:pPr>
              <w:spacing w:after="0"/>
              <w:rPr>
                <w:sz w:val="22"/>
                <w:szCs w:val="22"/>
                <w:color w:val="auto"/>
              </w:rPr>
            </w:pPr>
          </w:p>
        </w:tc>
      </w:tr>
      <w:tr>
        <w:trPr>
          <w:trHeight w:val="160"/>
        </w:trPr>
        <w:tc>
          <w:tcPr>
            <w:tcW w:w="662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2023</w:t>
            </w:r>
          </w:p>
        </w:tc>
        <w:tc>
          <w:tcPr>
            <w:tcW w:w="5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92"/>
        </w:trPr>
        <w:tc>
          <w:tcPr>
            <w:tcW w:w="6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0"/>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9"/>
        </w:trPr>
        <w:tc>
          <w:tcPr>
            <w:tcW w:w="66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80" w:type="dxa"/>
            <w:vAlign w:val="bottom"/>
          </w:tcPr>
          <w:p>
            <w:pPr>
              <w:jc w:val="right"/>
              <w:ind w:right="83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1,018</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1,446</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(254)</w:t>
            </w:r>
          </w:p>
        </w:tc>
      </w:tr>
      <w:tr>
        <w:trPr>
          <w:trHeight w:val="171"/>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9"/>
        </w:trPr>
        <w:tc>
          <w:tcPr>
            <w:tcW w:w="6620" w:type="dxa"/>
            <w:vAlign w:val="bottom"/>
          </w:tcPr>
          <w:p>
            <w:pPr>
              <w:ind w:left="20"/>
              <w:spacing w:after="0"/>
              <w:rPr>
                <w:sz w:val="20"/>
                <w:szCs w:val="20"/>
                <w:color w:val="auto"/>
              </w:rPr>
            </w:pPr>
            <w:r>
              <w:rPr>
                <w:rFonts w:ascii="Arial" w:cs="Arial" w:eastAsia="Arial" w:hAnsi="Arial"/>
                <w:sz w:val="13"/>
                <w:szCs w:val="13"/>
                <w:color w:val="auto"/>
              </w:rPr>
              <w:t>Depreciation and amortization</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1,451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1,623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1,618</w:t>
            </w:r>
          </w:p>
        </w:tc>
      </w:tr>
      <w:tr>
        <w:trPr>
          <w:trHeight w:val="171"/>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w:t>
            </w:r>
          </w:p>
        </w:tc>
      </w:tr>
      <w:tr>
        <w:trPr>
          <w:trHeight w:val="170"/>
        </w:trPr>
        <w:tc>
          <w:tcPr>
            <w:tcW w:w="6620" w:type="dxa"/>
            <w:vAlign w:val="bottom"/>
          </w:tcPr>
          <w:p>
            <w:pPr>
              <w:ind w:left="20"/>
              <w:spacing w:after="0" w:line="170" w:lineRule="exact"/>
              <w:rPr>
                <w:sz w:val="20"/>
                <w:szCs w:val="20"/>
                <w:color w:val="auto"/>
              </w:rPr>
            </w:pPr>
            <w:r>
              <w:rPr>
                <w:rFonts w:ascii="Arial" w:cs="Arial" w:eastAsia="Arial" w:hAnsi="Arial"/>
                <w:sz w:val="13"/>
                <w:szCs w:val="13"/>
                <w:color w:val="auto"/>
              </w:rPr>
              <w:t>Interest and income taxes paid, net</w:t>
            </w:r>
            <w:r>
              <w:rPr>
                <w:rFonts w:ascii="Arial" w:cs="Arial" w:eastAsia="Arial" w:hAnsi="Arial"/>
                <w:sz w:val="16"/>
                <w:szCs w:val="16"/>
                <w:color w:val="auto"/>
                <w:vertAlign w:val="superscript"/>
              </w:rPr>
              <w:t>(1)</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(107)</w:t>
            </w:r>
          </w:p>
        </w:tc>
      </w:tr>
      <w:tr>
        <w:trPr>
          <w:trHeight w:val="170"/>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Finance income</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69"/>
        </w:trPr>
        <w:tc>
          <w:tcPr>
            <w:tcW w:w="6620" w:type="dxa"/>
            <w:vAlign w:val="bottom"/>
          </w:tcPr>
          <w:p>
            <w:pPr>
              <w:ind w:left="20"/>
              <w:spacing w:after="0"/>
              <w:rPr>
                <w:sz w:val="20"/>
                <w:szCs w:val="20"/>
                <w:color w:val="auto"/>
              </w:rPr>
            </w:pPr>
            <w:r>
              <w:rPr>
                <w:rFonts w:ascii="Arial" w:cs="Arial" w:eastAsia="Arial" w:hAnsi="Arial"/>
                <w:sz w:val="13"/>
                <w:szCs w:val="13"/>
                <w:color w:val="auto"/>
              </w:rPr>
              <w:t>Finance expense</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114</w:t>
            </w:r>
          </w:p>
        </w:tc>
      </w:tr>
      <w:tr>
        <w:trPr>
          <w:trHeight w:val="171"/>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deferred income from government grants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69"/>
        </w:trPr>
        <w:tc>
          <w:tcPr>
            <w:tcW w:w="6620" w:type="dxa"/>
            <w:vAlign w:val="bottom"/>
          </w:tcPr>
          <w:p>
            <w:pPr>
              <w:ind w:left="20"/>
              <w:spacing w:after="0"/>
              <w:rPr>
                <w:sz w:val="20"/>
                <w:szCs w:val="20"/>
                <w:color w:val="auto"/>
              </w:rPr>
            </w:pPr>
            <w:r>
              <w:rPr>
                <w:rFonts w:ascii="Arial" w:cs="Arial" w:eastAsia="Arial" w:hAnsi="Arial"/>
                <w:sz w:val="13"/>
                <w:szCs w:val="13"/>
                <w:color w:val="auto"/>
              </w:rPr>
              <w:t>Deferred income taxes</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93</w:t>
            </w:r>
          </w:p>
        </w:tc>
      </w:tr>
      <w:tr>
        <w:trPr>
          <w:trHeight w:val="171"/>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Loss on disposal of property, plant and equipment and other</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r>
      <w:tr>
        <w:trPr>
          <w:trHeight w:val="169"/>
        </w:trPr>
        <w:tc>
          <w:tcPr>
            <w:tcW w:w="6620" w:type="dxa"/>
            <w:vAlign w:val="bottom"/>
          </w:tcPr>
          <w:p>
            <w:pPr>
              <w:ind w:left="20"/>
              <w:spacing w:after="0"/>
              <w:rPr>
                <w:sz w:val="20"/>
                <w:szCs w:val="20"/>
                <w:color w:val="auto"/>
              </w:rPr>
            </w:pPr>
            <w:r>
              <w:rPr>
                <w:rFonts w:ascii="Arial" w:cs="Arial" w:eastAsia="Arial" w:hAnsi="Arial"/>
                <w:sz w:val="13"/>
                <w:szCs w:val="13"/>
                <w:color w:val="auto"/>
              </w:rPr>
              <w:t>Gain on the sale of a business</w:t>
            </w:r>
          </w:p>
        </w:tc>
        <w:tc>
          <w:tcPr>
            <w:tcW w:w="9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(403)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assets and liabilities: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9"/>
        </w:trPr>
        <w:tc>
          <w:tcPr>
            <w:tcW w:w="6620" w:type="dxa"/>
            <w:vAlign w:val="bottom"/>
          </w:tcPr>
          <w:p>
            <w:pPr>
              <w:ind w:left="20"/>
              <w:spacing w:after="0"/>
              <w:rPr>
                <w:sz w:val="20"/>
                <w:szCs w:val="20"/>
                <w:color w:val="auto"/>
              </w:rPr>
            </w:pPr>
            <w:r>
              <w:rPr>
                <w:rFonts w:ascii="Arial" w:cs="Arial" w:eastAsia="Arial" w:hAnsi="Arial"/>
                <w:sz w:val="13"/>
                <w:szCs w:val="13"/>
                <w:color w:val="auto"/>
              </w:rPr>
              <w:t>Receivables, prepayments and other assets</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(387)</w:t>
            </w:r>
          </w:p>
        </w:tc>
      </w:tr>
      <w:tr>
        <w:trPr>
          <w:trHeight w:val="171"/>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Inventories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r>
      <w:tr>
        <w:trPr>
          <w:trHeight w:val="169"/>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Trade and other payables</w:t>
            </w: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1,819</w:t>
            </w:r>
          </w:p>
        </w:tc>
      </w:tr>
      <w:tr>
        <w:trPr>
          <w:trHeight w:val="162"/>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cash provided by operating activities</w:t>
            </w: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2,125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2,624</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2,839</w:t>
            </w:r>
          </w:p>
        </w:tc>
      </w:tr>
      <w:tr>
        <w:trPr>
          <w:trHeight w:val="192"/>
        </w:trPr>
        <w:tc>
          <w:tcPr>
            <w:tcW w:w="6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0"/>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9"/>
        </w:trPr>
        <w:tc>
          <w:tcPr>
            <w:tcW w:w="6620" w:type="dxa"/>
            <w:vAlign w:val="bottom"/>
          </w:tcPr>
          <w:p>
            <w:pPr>
              <w:ind w:left="20"/>
              <w:spacing w:after="0"/>
              <w:rPr>
                <w:sz w:val="20"/>
                <w:szCs w:val="20"/>
                <w:color w:val="auto"/>
              </w:rPr>
            </w:pPr>
            <w:r>
              <w:rPr>
                <w:rFonts w:ascii="Arial" w:cs="Arial" w:eastAsia="Arial" w:hAnsi="Arial"/>
                <w:sz w:val="13"/>
                <w:szCs w:val="13"/>
                <w:color w:val="auto"/>
              </w:rPr>
              <w:t>Purchases of property, plant and equipment and intangible assets</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(1,804)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(3,059)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(1,767)</w:t>
            </w:r>
          </w:p>
        </w:tc>
      </w:tr>
      <w:tr>
        <w:trPr>
          <w:trHeight w:val="171"/>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government grants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620" w:type="dxa"/>
            <w:vAlign w:val="bottom"/>
          </w:tcPr>
          <w:p>
            <w:pPr>
              <w:ind w:left="20"/>
              <w:spacing w:after="0"/>
              <w:rPr>
                <w:sz w:val="20"/>
                <w:szCs w:val="20"/>
                <w:color w:val="auto"/>
              </w:rPr>
            </w:pPr>
            <w:r>
              <w:rPr>
                <w:rFonts w:ascii="Arial" w:cs="Arial" w:eastAsia="Arial" w:hAnsi="Arial"/>
                <w:sz w:val="13"/>
                <w:szCs w:val="13"/>
                <w:color w:val="auto"/>
              </w:rPr>
              <w:t>Advances and proceeds from sale of property, plant and equipment and intangible assets</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324</w:t>
            </w:r>
          </w:p>
        </w:tc>
      </w:tr>
      <w:tr>
        <w:trPr>
          <w:trHeight w:val="171"/>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marketable securities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620" w:type="dxa"/>
            <w:vAlign w:val="bottom"/>
          </w:tcPr>
          <w:p>
            <w:pPr>
              <w:ind w:left="20"/>
              <w:spacing w:after="0"/>
              <w:rPr>
                <w:sz w:val="20"/>
                <w:szCs w:val="20"/>
                <w:color w:val="auto"/>
              </w:rPr>
            </w:pPr>
            <w:r>
              <w:rPr>
                <w:rFonts w:ascii="Arial" w:cs="Arial" w:eastAsia="Arial" w:hAnsi="Arial"/>
                <w:sz w:val="13"/>
                <w:szCs w:val="13"/>
                <w:color w:val="auto"/>
              </w:rPr>
              <w:t>Proceeds from sale of marketable securities</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945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306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sale of a business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investing activities</w:t>
            </w: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r>
      <w:tr>
        <w:trPr>
          <w:trHeight w:val="162"/>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cash used in investing activities</w:t>
            </w: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(1,882)</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(4,058)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(1,450)</w:t>
            </w:r>
          </w:p>
        </w:tc>
      </w:tr>
      <w:tr>
        <w:trPr>
          <w:trHeight w:val="192"/>
        </w:trPr>
        <w:tc>
          <w:tcPr>
            <w:tcW w:w="6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0"/>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9"/>
        </w:trPr>
        <w:tc>
          <w:tcPr>
            <w:tcW w:w="6620" w:type="dxa"/>
            <w:vAlign w:val="bottom"/>
          </w:tcPr>
          <w:p>
            <w:pPr>
              <w:ind w:left="20"/>
              <w:spacing w:after="0"/>
              <w:rPr>
                <w:sz w:val="20"/>
                <w:szCs w:val="20"/>
                <w:color w:val="auto"/>
              </w:rPr>
            </w:pPr>
            <w:r>
              <w:rPr>
                <w:rFonts w:ascii="Arial" w:cs="Arial" w:eastAsia="Arial" w:hAnsi="Arial"/>
                <w:sz w:val="13"/>
                <w:szCs w:val="13"/>
                <w:color w:val="auto"/>
              </w:rPr>
              <w:t>Proceeds from issuance of equity instruments</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168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1,444</w:t>
            </w:r>
          </w:p>
        </w:tc>
      </w:tr>
      <w:tr>
        <w:trPr>
          <w:trHeight w:val="171"/>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Repayments of shareholder loan</w:t>
            </w:r>
          </w:p>
        </w:tc>
        <w:tc>
          <w:tcPr>
            <w:tcW w:w="9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w:t>
            </w:r>
          </w:p>
        </w:tc>
      </w:tr>
      <w:tr>
        <w:trPr>
          <w:trHeight w:val="169"/>
        </w:trPr>
        <w:tc>
          <w:tcPr>
            <w:tcW w:w="6620" w:type="dxa"/>
            <w:vAlign w:val="bottom"/>
          </w:tcPr>
          <w:p>
            <w:pPr>
              <w:ind w:left="20"/>
              <w:spacing w:after="0"/>
              <w:rPr>
                <w:sz w:val="20"/>
                <w:szCs w:val="20"/>
                <w:color w:val="auto"/>
              </w:rPr>
            </w:pPr>
            <w:r>
              <w:rPr>
                <w:rFonts w:ascii="Arial" w:cs="Arial" w:eastAsia="Arial" w:hAnsi="Arial"/>
                <w:sz w:val="13"/>
                <w:szCs w:val="13"/>
                <w:color w:val="auto"/>
              </w:rPr>
              <w:t>Net proceeds from borrowings</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971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617</w:t>
            </w:r>
          </w:p>
        </w:tc>
      </w:tr>
      <w:tr>
        <w:trPr>
          <w:trHeight w:val="171"/>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Repayments of debt and finance lease obligations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w:t>
            </w:r>
          </w:p>
        </w:tc>
      </w:tr>
      <w:tr>
        <w:trPr>
          <w:trHeight w:val="169"/>
        </w:trPr>
        <w:tc>
          <w:tcPr>
            <w:tcW w:w="6620" w:type="dxa"/>
            <w:vAlign w:val="bottom"/>
          </w:tcPr>
          <w:p>
            <w:pPr>
              <w:ind w:left="20"/>
              <w:spacing w:after="0"/>
              <w:rPr>
                <w:sz w:val="20"/>
                <w:szCs w:val="20"/>
                <w:color w:val="auto"/>
              </w:rPr>
            </w:pPr>
            <w:r>
              <w:rPr>
                <w:rFonts w:ascii="Arial" w:cs="Arial" w:eastAsia="Arial" w:hAnsi="Arial"/>
                <w:sz w:val="13"/>
                <w:szCs w:val="13"/>
                <w:color w:val="auto"/>
              </w:rPr>
              <w:t>Proceeds from government grants</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171"/>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in restricted cash</w:t>
            </w:r>
          </w:p>
        </w:tc>
        <w:tc>
          <w:tcPr>
            <w:tcW w:w="9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16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Net cash provided by (used in) financing activities</w:t>
            </w:r>
          </w:p>
        </w:tc>
        <w:tc>
          <w:tcPr>
            <w:tcW w:w="98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(212)</w:t>
            </w:r>
          </w:p>
        </w:tc>
        <w:tc>
          <w:tcPr>
            <w:tcW w:w="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842</w:t>
            </w:r>
          </w:p>
        </w:tc>
        <w:tc>
          <w:tcPr>
            <w:tcW w:w="8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650</w:t>
            </w:r>
          </w:p>
        </w:tc>
      </w:tr>
      <w:tr>
        <w:trPr>
          <w:trHeight w:val="160"/>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9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59"/>
        </w:trPr>
        <w:tc>
          <w:tcPr>
            <w:tcW w:w="6620" w:type="dxa"/>
            <w:vAlign w:val="bottom"/>
          </w:tcPr>
          <w:p>
            <w:pPr>
              <w:ind w:left="20"/>
              <w:spacing w:after="0"/>
              <w:rPr>
                <w:sz w:val="20"/>
                <w:szCs w:val="20"/>
                <w:color w:val="auto"/>
              </w:rPr>
            </w:pPr>
            <w:r>
              <w:rPr>
                <w:rFonts w:ascii="Arial" w:cs="Arial" w:eastAsia="Arial" w:hAnsi="Arial"/>
                <w:sz w:val="13"/>
                <w:szCs w:val="13"/>
                <w:color w:val="auto"/>
              </w:rPr>
              <w:t>Net increase (decrease) in cash and cash equivalents</w:t>
            </w:r>
          </w:p>
        </w:tc>
        <w:tc>
          <w:tcPr>
            <w:tcW w:w="980" w:type="dxa"/>
            <w:vAlign w:val="bottom"/>
          </w:tcPr>
          <w:p>
            <w:pPr>
              <w:jc w:val="right"/>
              <w:ind w:right="83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3"/>
                <w:szCs w:val="13"/>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(587)</w:t>
            </w:r>
          </w:p>
        </w:tc>
        <w:tc>
          <w:tcPr>
            <w:tcW w:w="80" w:type="dxa"/>
            <w:vAlign w:val="bottom"/>
          </w:tcPr>
          <w:p>
            <w:pPr>
              <w:spacing w:after="0"/>
              <w:rPr>
                <w:sz w:val="13"/>
                <w:szCs w:val="13"/>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2,031</w:t>
            </w:r>
          </w:p>
        </w:tc>
      </w:tr>
      <w:tr>
        <w:trPr>
          <w:trHeight w:val="171"/>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the beginning of the year</w:t>
            </w:r>
          </w:p>
        </w:tc>
        <w:tc>
          <w:tcPr>
            <w:tcW w:w="9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2,352</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2,939</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908</w:t>
            </w:r>
          </w:p>
        </w:tc>
      </w:tr>
      <w:tr>
        <w:trPr>
          <w:trHeight w:val="160"/>
        </w:trPr>
        <w:tc>
          <w:tcPr>
            <w:tcW w:w="662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 at the end of the year</w:t>
            </w:r>
          </w:p>
        </w:tc>
        <w:tc>
          <w:tcPr>
            <w:tcW w:w="980" w:type="dxa"/>
            <w:vAlign w:val="bottom"/>
            <w:tcBorders>
              <w:bottom w:val="single" w:sz="8" w:color="auto"/>
            </w:tcBorders>
          </w:tcPr>
          <w:p>
            <w:pPr>
              <w:jc w:val="right"/>
              <w:ind w:right="83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2,387</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2,352</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2,939</w:t>
            </w:r>
          </w:p>
        </w:tc>
      </w:tr>
    </w:tbl>
    <w:p>
      <w:pPr>
        <w:spacing w:after="0" w:line="13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Includes interest paid of $121 million, $96 million and $101 million for years ended December 31, 2023, 2022 and 2021, respectively, and interest received of $123 million, $32 million and $1 million for the years ended December 31, 2023, 2022 and 2021, respectively, and taxes paid of $11 million, $4 million and $7 million for the years ended December 31, 2023, 2022 and 2021, respectively.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95" w:name="page96"/>
    <w:bookmarkEnd w:id="95"/>
    <w:p>
      <w:pPr>
        <w:jc w:val="center"/>
        <w:ind w:right="-539"/>
        <w:spacing w:after="0"/>
        <w:rPr>
          <w:sz w:val="20"/>
          <w:szCs w:val="20"/>
          <w:color w:val="auto"/>
        </w:rPr>
      </w:pPr>
      <w:r>
        <w:rPr>
          <w:rFonts w:ascii="Arial" w:cs="Arial" w:eastAsia="Arial" w:hAnsi="Arial"/>
          <w:sz w:val="13"/>
          <w:szCs w:val="13"/>
          <w:b w:val="1"/>
          <w:bCs w:val="1"/>
          <w:color w:val="auto"/>
        </w:rPr>
        <w:t>GLOBALFOUNDRIES INC.</w:t>
      </w:r>
    </w:p>
    <w:p>
      <w:pPr>
        <w:spacing w:after="0" w:line="84" w:lineRule="exact"/>
        <w:rPr>
          <w:sz w:val="20"/>
          <w:szCs w:val="20"/>
          <w:color w:val="auto"/>
        </w:rPr>
      </w:pPr>
    </w:p>
    <w:p>
      <w:pPr>
        <w:jc w:val="center"/>
        <w:ind w:right="-539"/>
        <w:spacing w:after="0"/>
        <w:rPr>
          <w:sz w:val="20"/>
          <w:szCs w:val="20"/>
          <w:color w:val="auto"/>
        </w:rPr>
      </w:pPr>
      <w:r>
        <w:rPr>
          <w:rFonts w:ascii="Arial" w:cs="Arial" w:eastAsia="Arial" w:hAnsi="Arial"/>
          <w:sz w:val="13"/>
          <w:szCs w:val="13"/>
          <w:b w:val="1"/>
          <w:bCs w:val="1"/>
          <w:color w:val="auto"/>
        </w:rPr>
        <w:t>CONSOLIDATED STATEMENTS OF CHANGES IN EQUITY</w:t>
      </w:r>
    </w:p>
    <w:p>
      <w:pPr>
        <w:spacing w:after="0" w:line="95" w:lineRule="exact"/>
        <w:rPr>
          <w:sz w:val="20"/>
          <w:szCs w:val="20"/>
          <w:color w:val="auto"/>
        </w:rPr>
      </w:pPr>
    </w:p>
    <w:p>
      <w:pPr>
        <w:jc w:val="center"/>
        <w:ind w:right="-539"/>
        <w:spacing w:after="0"/>
        <w:rPr>
          <w:sz w:val="20"/>
          <w:szCs w:val="20"/>
          <w:color w:val="auto"/>
        </w:rPr>
      </w:pPr>
      <w:r>
        <w:rPr>
          <w:rFonts w:ascii="Arial" w:cs="Arial" w:eastAsia="Arial" w:hAnsi="Arial"/>
          <w:sz w:val="13"/>
          <w:szCs w:val="13"/>
          <w:b w:val="1"/>
          <w:bCs w:val="1"/>
          <w:color w:val="auto"/>
        </w:rPr>
        <w:t>(Share amounts and dollars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172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gridSpan w:val="9"/>
          </w:tcPr>
          <w:p>
            <w:pPr>
              <w:jc w:val="right"/>
              <w:spacing w:after="0"/>
              <w:rPr>
                <w:sz w:val="20"/>
                <w:szCs w:val="20"/>
                <w:color w:val="auto"/>
              </w:rPr>
            </w:pPr>
            <w:r>
              <w:rPr>
                <w:rFonts w:ascii="Arial" w:cs="Arial" w:eastAsia="Arial" w:hAnsi="Arial"/>
                <w:sz w:val="8"/>
                <w:szCs w:val="8"/>
                <w:b w:val="1"/>
                <w:bCs w:val="1"/>
                <w:color w:val="auto"/>
              </w:rPr>
              <w:t>Equity Attributable to Shareholders of GLOBALFOUNDRIES INC.</w:t>
            </w:r>
          </w:p>
        </w:tc>
        <w:tc>
          <w:tcPr>
            <w:tcW w:w="5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7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tcPr>
          <w:p>
            <w:pPr>
              <w:jc w:val="center"/>
              <w:ind w:right="200"/>
              <w:spacing w:after="0" w:line="82" w:lineRule="exact"/>
              <w:rPr>
                <w:sz w:val="20"/>
                <w:szCs w:val="20"/>
                <w:color w:val="auto"/>
              </w:rPr>
            </w:pPr>
            <w:r>
              <w:rPr>
                <w:rFonts w:ascii="Arial" w:cs="Arial" w:eastAsia="Arial" w:hAnsi="Arial"/>
                <w:sz w:val="8"/>
                <w:szCs w:val="8"/>
                <w:b w:val="1"/>
                <w:bCs w:val="1"/>
                <w:color w:val="auto"/>
              </w:rPr>
              <w:t>Foreign</w:t>
            </w: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720" w:type="dxa"/>
            <w:vAlign w:val="bottom"/>
          </w:tcPr>
          <w:p>
            <w:pPr>
              <w:spacing w:after="0"/>
              <w:rPr>
                <w:sz w:val="7"/>
                <w:szCs w:val="7"/>
                <w:color w:val="auto"/>
              </w:rPr>
            </w:pPr>
          </w:p>
        </w:tc>
        <w:tc>
          <w:tcPr>
            <w:tcW w:w="1360" w:type="dxa"/>
            <w:vAlign w:val="bottom"/>
            <w:gridSpan w:val="3"/>
            <w:vMerge w:val="restart"/>
          </w:tcPr>
          <w:p>
            <w:pPr>
              <w:jc w:val="right"/>
              <w:ind w:right="31"/>
              <w:spacing w:after="0"/>
              <w:rPr>
                <w:sz w:val="20"/>
                <w:szCs w:val="20"/>
                <w:color w:val="auto"/>
              </w:rPr>
            </w:pPr>
            <w:r>
              <w:rPr>
                <w:rFonts w:ascii="Arial" w:cs="Arial" w:eastAsia="Arial" w:hAnsi="Arial"/>
                <w:sz w:val="8"/>
                <w:szCs w:val="8"/>
                <w:b w:val="1"/>
                <w:bCs w:val="1"/>
                <w:color w:val="auto"/>
              </w:rPr>
              <w:t>Ordinary Share</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tcPr>
          <w:p>
            <w:pPr>
              <w:jc w:val="center"/>
              <w:ind w:right="200"/>
              <w:spacing w:after="0" w:line="85" w:lineRule="exact"/>
              <w:rPr>
                <w:sz w:val="20"/>
                <w:szCs w:val="20"/>
                <w:color w:val="auto"/>
              </w:rPr>
            </w:pPr>
            <w:r>
              <w:rPr>
                <w:rFonts w:ascii="Arial" w:cs="Arial" w:eastAsia="Arial" w:hAnsi="Arial"/>
                <w:sz w:val="8"/>
                <w:szCs w:val="8"/>
                <w:b w:val="1"/>
                <w:bCs w:val="1"/>
                <w:color w:val="auto"/>
              </w:rPr>
              <w:t>Currency</w:t>
            </w: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720" w:type="dxa"/>
            <w:vAlign w:val="bottom"/>
          </w:tcPr>
          <w:p>
            <w:pPr>
              <w:spacing w:after="0"/>
              <w:rPr>
                <w:sz w:val="5"/>
                <w:szCs w:val="5"/>
                <w:color w:val="auto"/>
              </w:rPr>
            </w:pPr>
          </w:p>
        </w:tc>
        <w:tc>
          <w:tcPr>
            <w:tcW w:w="1360" w:type="dxa"/>
            <w:vAlign w:val="bottom"/>
            <w:tcBorders>
              <w:bottom w:val="single" w:sz="8" w:color="auto"/>
            </w:tcBorders>
            <w:gridSpan w:val="3"/>
            <w:vMerge w:val="continue"/>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tcPr>
          <w:p>
            <w:pPr>
              <w:jc w:val="center"/>
              <w:ind w:right="180"/>
              <w:spacing w:after="0" w:line="65" w:lineRule="exact"/>
              <w:rPr>
                <w:sz w:val="20"/>
                <w:szCs w:val="20"/>
                <w:color w:val="auto"/>
              </w:rPr>
            </w:pPr>
            <w:r>
              <w:rPr>
                <w:rFonts w:ascii="Arial" w:cs="Arial" w:eastAsia="Arial" w:hAnsi="Arial"/>
                <w:sz w:val="7"/>
                <w:szCs w:val="7"/>
                <w:b w:val="1"/>
                <w:bCs w:val="1"/>
                <w:color w:val="auto"/>
              </w:rPr>
              <w:t>Translation</w:t>
            </w: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17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tcPr>
          <w:p>
            <w:pPr>
              <w:jc w:val="center"/>
              <w:ind w:right="180"/>
              <w:spacing w:after="0" w:line="85" w:lineRule="exact"/>
              <w:rPr>
                <w:sz w:val="20"/>
                <w:szCs w:val="20"/>
                <w:color w:val="auto"/>
              </w:rPr>
            </w:pPr>
            <w:r>
              <w:rPr>
                <w:rFonts w:ascii="Arial" w:cs="Arial" w:eastAsia="Arial" w:hAnsi="Arial"/>
                <w:sz w:val="8"/>
                <w:szCs w:val="8"/>
                <w:b w:val="1"/>
                <w:bCs w:val="1"/>
                <w:color w:val="auto"/>
              </w:rPr>
              <w:t>Additional</w:t>
            </w:r>
          </w:p>
        </w:tc>
        <w:tc>
          <w:tcPr>
            <w:tcW w:w="120" w:type="dxa"/>
            <w:vAlign w:val="bottom"/>
          </w:tcPr>
          <w:p>
            <w:pPr>
              <w:spacing w:after="0"/>
              <w:rPr>
                <w:sz w:val="7"/>
                <w:szCs w:val="7"/>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8"/>
                <w:szCs w:val="8"/>
                <w:b w:val="1"/>
                <w:bCs w:val="1"/>
                <w:color w:val="auto"/>
              </w:rPr>
              <w:t>Loan from</w:t>
            </w:r>
          </w:p>
        </w:tc>
        <w:tc>
          <w:tcPr>
            <w:tcW w:w="100" w:type="dxa"/>
            <w:vAlign w:val="bottom"/>
          </w:tcPr>
          <w:p>
            <w:pPr>
              <w:spacing w:after="0"/>
              <w:rPr>
                <w:sz w:val="7"/>
                <w:szCs w:val="7"/>
                <w:color w:val="auto"/>
              </w:rPr>
            </w:pPr>
          </w:p>
        </w:tc>
        <w:tc>
          <w:tcPr>
            <w:tcW w:w="720" w:type="dxa"/>
            <w:vAlign w:val="bottom"/>
            <w:vMerge w:val="restart"/>
          </w:tcPr>
          <w:p>
            <w:pPr>
              <w:jc w:val="right"/>
              <w:ind w:right="91"/>
              <w:spacing w:after="0"/>
              <w:rPr>
                <w:sz w:val="20"/>
                <w:szCs w:val="20"/>
                <w:color w:val="auto"/>
              </w:rPr>
            </w:pPr>
            <w:r>
              <w:rPr>
                <w:rFonts w:ascii="Arial" w:cs="Arial" w:eastAsia="Arial" w:hAnsi="Arial"/>
                <w:sz w:val="8"/>
                <w:szCs w:val="8"/>
                <w:b w:val="1"/>
                <w:bCs w:val="1"/>
                <w:color w:val="auto"/>
              </w:rPr>
              <w:t>Accumulated</w:t>
            </w: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8"/>
                <w:szCs w:val="8"/>
                <w:b w:val="1"/>
                <w:bCs w:val="1"/>
                <w:color w:val="auto"/>
              </w:rPr>
              <w:t>Hedging</w:t>
            </w:r>
          </w:p>
        </w:tc>
        <w:tc>
          <w:tcPr>
            <w:tcW w:w="120" w:type="dxa"/>
            <w:vAlign w:val="bottom"/>
          </w:tcPr>
          <w:p>
            <w:pPr>
              <w:spacing w:after="0"/>
              <w:rPr>
                <w:sz w:val="7"/>
                <w:szCs w:val="7"/>
                <w:color w:val="auto"/>
              </w:rPr>
            </w:pPr>
          </w:p>
        </w:tc>
        <w:tc>
          <w:tcPr>
            <w:tcW w:w="780" w:type="dxa"/>
            <w:vAlign w:val="bottom"/>
            <w:gridSpan w:val="2"/>
          </w:tcPr>
          <w:p>
            <w:pPr>
              <w:ind w:left="60"/>
              <w:spacing w:after="0" w:line="85" w:lineRule="exact"/>
              <w:rPr>
                <w:sz w:val="20"/>
                <w:szCs w:val="20"/>
                <w:color w:val="auto"/>
              </w:rPr>
            </w:pPr>
            <w:r>
              <w:rPr>
                <w:rFonts w:ascii="Arial" w:cs="Arial" w:eastAsia="Arial" w:hAnsi="Arial"/>
                <w:sz w:val="8"/>
                <w:szCs w:val="8"/>
                <w:b w:val="1"/>
                <w:bCs w:val="1"/>
                <w:color w:val="auto"/>
              </w:rPr>
              <w:t>Reserve and</w:t>
            </w: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tcPr>
          <w:p>
            <w:pPr>
              <w:jc w:val="center"/>
              <w:ind w:right="180"/>
              <w:spacing w:after="0" w:line="85" w:lineRule="exact"/>
              <w:rPr>
                <w:sz w:val="20"/>
                <w:szCs w:val="20"/>
                <w:color w:val="auto"/>
              </w:rPr>
            </w:pPr>
            <w:r>
              <w:rPr>
                <w:rFonts w:ascii="Arial" w:cs="Arial" w:eastAsia="Arial" w:hAnsi="Arial"/>
                <w:sz w:val="8"/>
                <w:szCs w:val="8"/>
                <w:b w:val="1"/>
                <w:bCs w:val="1"/>
                <w:color w:val="auto"/>
              </w:rPr>
              <w:t>Non-</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720" w:type="dxa"/>
            <w:vAlign w:val="bottom"/>
          </w:tcPr>
          <w:p>
            <w:pPr>
              <w:spacing w:after="0"/>
              <w:rPr>
                <w:sz w:val="7"/>
                <w:szCs w:val="7"/>
                <w:color w:val="auto"/>
              </w:rPr>
            </w:pPr>
          </w:p>
        </w:tc>
        <w:tc>
          <w:tcPr>
            <w:tcW w:w="1220" w:type="dxa"/>
            <w:vAlign w:val="bottom"/>
            <w:gridSpan w:val="2"/>
            <w:vMerge w:val="restart"/>
          </w:tcPr>
          <w:p>
            <w:pPr>
              <w:ind w:left="440"/>
              <w:spacing w:after="0"/>
              <w:rPr>
                <w:sz w:val="20"/>
                <w:szCs w:val="20"/>
                <w:color w:val="auto"/>
              </w:rPr>
            </w:pPr>
            <w:r>
              <w:rPr>
                <w:rFonts w:ascii="Arial" w:cs="Arial" w:eastAsia="Arial" w:hAnsi="Arial"/>
                <w:sz w:val="8"/>
                <w:szCs w:val="8"/>
                <w:b w:val="1"/>
                <w:bCs w:val="1"/>
                <w:color w:val="auto"/>
              </w:rPr>
              <w:t>Shares</w:t>
            </w:r>
          </w:p>
        </w:tc>
        <w:tc>
          <w:tcPr>
            <w:tcW w:w="140" w:type="dxa"/>
            <w:vAlign w:val="bottom"/>
          </w:tcPr>
          <w:p>
            <w:pPr>
              <w:spacing w:after="0"/>
              <w:rPr>
                <w:sz w:val="7"/>
                <w:szCs w:val="7"/>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Amount</w:t>
            </w:r>
          </w:p>
        </w:tc>
        <w:tc>
          <w:tcPr>
            <w:tcW w:w="140" w:type="dxa"/>
            <w:vAlign w:val="bottom"/>
          </w:tcPr>
          <w:p>
            <w:pPr>
              <w:spacing w:after="0"/>
              <w:rPr>
                <w:sz w:val="7"/>
                <w:szCs w:val="7"/>
                <w:color w:val="auto"/>
              </w:rPr>
            </w:pPr>
          </w:p>
        </w:tc>
        <w:tc>
          <w:tcPr>
            <w:tcW w:w="760" w:type="dxa"/>
            <w:vAlign w:val="bottom"/>
            <w:gridSpan w:val="2"/>
          </w:tcPr>
          <w:p>
            <w:pPr>
              <w:jc w:val="center"/>
              <w:ind w:right="200"/>
              <w:spacing w:after="0" w:line="85" w:lineRule="exact"/>
              <w:rPr>
                <w:sz w:val="20"/>
                <w:szCs w:val="20"/>
                <w:color w:val="auto"/>
              </w:rPr>
            </w:pPr>
            <w:r>
              <w:rPr>
                <w:rFonts w:ascii="Arial" w:cs="Arial" w:eastAsia="Arial" w:hAnsi="Arial"/>
                <w:sz w:val="8"/>
                <w:szCs w:val="8"/>
                <w:b w:val="1"/>
                <w:bCs w:val="1"/>
                <w:color w:val="auto"/>
              </w:rPr>
              <w:t>Paid-In</w:t>
            </w: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tcPr>
          <w:p>
            <w:pPr>
              <w:jc w:val="center"/>
              <w:ind w:right="180"/>
              <w:spacing w:after="0" w:line="85" w:lineRule="exact"/>
              <w:rPr>
                <w:sz w:val="20"/>
                <w:szCs w:val="20"/>
                <w:color w:val="auto"/>
              </w:rPr>
            </w:pPr>
            <w:r>
              <w:rPr>
                <w:rFonts w:ascii="Arial" w:cs="Arial" w:eastAsia="Arial" w:hAnsi="Arial"/>
                <w:sz w:val="8"/>
                <w:szCs w:val="8"/>
                <w:b w:val="1"/>
                <w:bCs w:val="1"/>
                <w:color w:val="auto"/>
              </w:rPr>
              <w:t>Investments</w:t>
            </w:r>
          </w:p>
        </w:tc>
        <w:tc>
          <w:tcPr>
            <w:tcW w:w="180" w:type="dxa"/>
            <w:vAlign w:val="bottom"/>
          </w:tcPr>
          <w:p>
            <w:pPr>
              <w:spacing w:after="0"/>
              <w:rPr>
                <w:sz w:val="7"/>
                <w:szCs w:val="7"/>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7"/>
                <w:szCs w:val="7"/>
                <w:color w:val="auto"/>
              </w:rPr>
            </w:pPr>
          </w:p>
        </w:tc>
        <w:tc>
          <w:tcPr>
            <w:tcW w:w="700" w:type="dxa"/>
            <w:vAlign w:val="bottom"/>
            <w:gridSpan w:val="2"/>
          </w:tcPr>
          <w:p>
            <w:pPr>
              <w:jc w:val="center"/>
              <w:ind w:right="140"/>
              <w:spacing w:after="0" w:line="85" w:lineRule="exact"/>
              <w:rPr>
                <w:sz w:val="20"/>
                <w:szCs w:val="20"/>
                <w:color w:val="auto"/>
              </w:rPr>
            </w:pPr>
            <w:r>
              <w:rPr>
                <w:rFonts w:ascii="Arial" w:cs="Arial" w:eastAsia="Arial" w:hAnsi="Arial"/>
                <w:sz w:val="8"/>
                <w:szCs w:val="8"/>
                <w:b w:val="1"/>
                <w:bCs w:val="1"/>
                <w:color w:val="auto"/>
              </w:rPr>
              <w:t>controlling</w:t>
            </w:r>
          </w:p>
        </w:tc>
        <w:tc>
          <w:tcPr>
            <w:tcW w:w="120" w:type="dxa"/>
            <w:vAlign w:val="bottom"/>
          </w:tcPr>
          <w:p>
            <w:pPr>
              <w:spacing w:after="0"/>
              <w:rPr>
                <w:sz w:val="7"/>
                <w:szCs w:val="7"/>
                <w:color w:val="auto"/>
              </w:rPr>
            </w:pPr>
          </w:p>
        </w:tc>
        <w:tc>
          <w:tcPr>
            <w:tcW w:w="720" w:type="dxa"/>
            <w:vAlign w:val="bottom"/>
            <w:vMerge w:val="restart"/>
          </w:tcPr>
          <w:p>
            <w:pPr>
              <w:jc w:val="right"/>
              <w:ind w:right="131"/>
              <w:spacing w:after="0"/>
              <w:rPr>
                <w:sz w:val="20"/>
                <w:szCs w:val="20"/>
                <w:color w:val="auto"/>
              </w:rPr>
            </w:pPr>
            <w:r>
              <w:rPr>
                <w:rFonts w:ascii="Arial" w:cs="Arial" w:eastAsia="Arial" w:hAnsi="Arial"/>
                <w:sz w:val="8"/>
                <w:szCs w:val="8"/>
                <w:b w:val="1"/>
                <w:bCs w:val="1"/>
                <w:color w:val="auto"/>
              </w:rPr>
              <w:t>Total Equity</w:t>
            </w:r>
          </w:p>
        </w:tc>
        <w:tc>
          <w:tcPr>
            <w:tcW w:w="0" w:type="dxa"/>
            <w:vAlign w:val="bottom"/>
          </w:tcPr>
          <w:p>
            <w:pPr>
              <w:spacing w:after="0"/>
              <w:rPr>
                <w:sz w:val="1"/>
                <w:szCs w:val="1"/>
                <w:color w:val="auto"/>
              </w:rPr>
            </w:pPr>
          </w:p>
        </w:tc>
      </w:tr>
      <w:tr>
        <w:trPr>
          <w:trHeight w:val="121"/>
        </w:trPr>
        <w:tc>
          <w:tcPr>
            <w:tcW w:w="17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rPr>
              <w:t>Capital</w:t>
            </w: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rPr>
              <w:t>Shareholder</w:t>
            </w:r>
          </w:p>
        </w:tc>
        <w:tc>
          <w:tcPr>
            <w:tcW w:w="100" w:type="dxa"/>
            <w:vAlign w:val="bottom"/>
          </w:tcPr>
          <w:p>
            <w:pPr>
              <w:spacing w:after="0"/>
              <w:rPr>
                <w:sz w:val="10"/>
                <w:szCs w:val="10"/>
                <w:color w:val="auto"/>
              </w:rPr>
            </w:pPr>
          </w:p>
        </w:tc>
        <w:tc>
          <w:tcPr>
            <w:tcW w:w="720" w:type="dxa"/>
            <w:vAlign w:val="bottom"/>
          </w:tcPr>
          <w:p>
            <w:pPr>
              <w:jc w:val="right"/>
              <w:ind w:right="231"/>
              <w:spacing w:after="0"/>
              <w:rPr>
                <w:sz w:val="20"/>
                <w:szCs w:val="20"/>
                <w:color w:val="auto"/>
              </w:rPr>
            </w:pPr>
            <w:r>
              <w:rPr>
                <w:rFonts w:ascii="Arial" w:cs="Arial" w:eastAsia="Arial" w:hAnsi="Arial"/>
                <w:sz w:val="8"/>
                <w:szCs w:val="8"/>
                <w:b w:val="1"/>
                <w:bCs w:val="1"/>
                <w:color w:val="auto"/>
              </w:rPr>
              <w:t>Deficit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tcPr>
          <w:p>
            <w:pPr>
              <w:ind w:left="20"/>
              <w:spacing w:after="0"/>
              <w:rPr>
                <w:sz w:val="20"/>
                <w:szCs w:val="20"/>
                <w:color w:val="auto"/>
              </w:rPr>
            </w:pPr>
            <w:r>
              <w:rPr>
                <w:rFonts w:ascii="Arial" w:cs="Arial" w:eastAsia="Arial" w:hAnsi="Arial"/>
                <w:sz w:val="8"/>
                <w:szCs w:val="8"/>
                <w:b w:val="1"/>
                <w:bCs w:val="1"/>
                <w:color w:val="auto"/>
              </w:rPr>
              <w:t>Reserve</w:t>
            </w: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rPr>
              <w:t>Reserves</w:t>
            </w:r>
          </w:p>
        </w:tc>
        <w:tc>
          <w:tcPr>
            <w:tcW w:w="1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Interest</w:t>
            </w: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7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720" w:type="dxa"/>
            <w:vAlign w:val="bottom"/>
          </w:tcPr>
          <w:p>
            <w:pPr>
              <w:ind w:left="20"/>
              <w:spacing w:after="0"/>
              <w:rPr>
                <w:sz w:val="20"/>
                <w:szCs w:val="20"/>
                <w:color w:val="auto"/>
              </w:rPr>
            </w:pPr>
            <w:r>
              <w:rPr>
                <w:rFonts w:ascii="Arial" w:cs="Arial" w:eastAsia="Arial" w:hAnsi="Arial"/>
                <w:sz w:val="10"/>
                <w:szCs w:val="10"/>
                <w:b w:val="1"/>
                <w:bCs w:val="1"/>
                <w:color w:val="auto"/>
              </w:rPr>
              <w:t>As of December 31, 2020</w:t>
            </w:r>
          </w:p>
        </w:tc>
        <w:tc>
          <w:tcPr>
            <w:tcW w:w="1140" w:type="dxa"/>
            <w:vAlign w:val="bottom"/>
          </w:tcPr>
          <w:p>
            <w:pPr>
              <w:jc w:val="right"/>
              <w:spacing w:after="0"/>
              <w:rPr>
                <w:sz w:val="20"/>
                <w:szCs w:val="20"/>
                <w:color w:val="auto"/>
              </w:rPr>
            </w:pPr>
            <w:r>
              <w:rPr>
                <w:rFonts w:ascii="Arial" w:cs="Arial" w:eastAsia="Arial" w:hAnsi="Arial"/>
                <w:sz w:val="10"/>
                <w:szCs w:val="10"/>
                <w:b w:val="1"/>
                <w:bCs w:val="1"/>
                <w:color w:val="auto"/>
              </w:rPr>
              <w:t>500</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10</w:t>
            </w:r>
          </w:p>
        </w:tc>
        <w:tc>
          <w:tcPr>
            <w:tcW w:w="6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b w:val="1"/>
                <w:bCs w:val="1"/>
                <w:color w:val="auto"/>
              </w:rPr>
              <w:t>$</w:t>
            </w:r>
          </w:p>
        </w:tc>
        <w:tc>
          <w:tcPr>
            <w:tcW w:w="700" w:type="dxa"/>
            <w:vAlign w:val="bottom"/>
          </w:tcPr>
          <w:p>
            <w:pPr>
              <w:jc w:val="right"/>
              <w:ind w:right="12"/>
              <w:spacing w:after="0"/>
              <w:rPr>
                <w:sz w:val="20"/>
                <w:szCs w:val="20"/>
                <w:color w:val="auto"/>
              </w:rPr>
            </w:pPr>
            <w:r>
              <w:rPr>
                <w:rFonts w:ascii="Arial" w:cs="Arial" w:eastAsia="Arial" w:hAnsi="Arial"/>
                <w:sz w:val="10"/>
                <w:szCs w:val="10"/>
                <w:b w:val="1"/>
                <w:bCs w:val="1"/>
                <w:color w:val="auto"/>
              </w:rPr>
              <w:t>11,707</w:t>
            </w:r>
          </w:p>
        </w:tc>
        <w:tc>
          <w:tcPr>
            <w:tcW w:w="6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10,681</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(15,219)</w:t>
            </w:r>
          </w:p>
        </w:tc>
        <w:tc>
          <w:tcPr>
            <w:tcW w:w="340" w:type="dxa"/>
            <w:vAlign w:val="bottom"/>
            <w:gridSpan w:val="2"/>
          </w:tcPr>
          <w:p>
            <w:pPr>
              <w:jc w:val="right"/>
              <w:ind w:right="71"/>
              <w:spacing w:after="0"/>
              <w:rPr>
                <w:sz w:val="20"/>
                <w:szCs w:val="20"/>
                <w:color w:val="auto"/>
              </w:rPr>
            </w:pPr>
            <w:r>
              <w:rPr>
                <w:rFonts w:ascii="Arial" w:cs="Arial" w:eastAsia="Arial" w:hAnsi="Arial"/>
                <w:sz w:val="10"/>
                <w:szCs w:val="10"/>
                <w:b w:val="1"/>
                <w:bCs w:val="1"/>
                <w:color w:val="auto"/>
              </w:rPr>
              <w:t>$</w:t>
            </w: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(15)</w:t>
            </w:r>
          </w:p>
        </w:tc>
        <w:tc>
          <w:tcPr>
            <w:tcW w:w="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Pr>
          <w:p>
            <w:pPr>
              <w:jc w:val="right"/>
              <w:ind w:right="12"/>
              <w:spacing w:after="0"/>
              <w:rPr>
                <w:sz w:val="20"/>
                <w:szCs w:val="20"/>
                <w:color w:val="auto"/>
              </w:rPr>
            </w:pPr>
            <w:r>
              <w:rPr>
                <w:rFonts w:ascii="Arial" w:cs="Arial" w:eastAsia="Arial" w:hAnsi="Arial"/>
                <w:sz w:val="10"/>
                <w:szCs w:val="10"/>
                <w:b w:val="1"/>
                <w:bCs w:val="1"/>
                <w:color w:val="auto"/>
              </w:rPr>
              <w:t>11</w:t>
            </w:r>
          </w:p>
        </w:tc>
        <w:tc>
          <w:tcPr>
            <w:tcW w:w="6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7,175</w:t>
            </w:r>
          </w:p>
        </w:tc>
        <w:tc>
          <w:tcPr>
            <w:tcW w:w="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66</w:t>
            </w:r>
          </w:p>
        </w:tc>
        <w:tc>
          <w:tcPr>
            <w:tcW w:w="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7,241</w:t>
            </w:r>
          </w:p>
        </w:tc>
        <w:tc>
          <w:tcPr>
            <w:tcW w:w="0" w:type="dxa"/>
            <w:vAlign w:val="bottom"/>
          </w:tcPr>
          <w:p>
            <w:pPr>
              <w:spacing w:after="0"/>
              <w:rPr>
                <w:sz w:val="1"/>
                <w:szCs w:val="1"/>
                <w:color w:val="auto"/>
              </w:rPr>
            </w:pPr>
          </w:p>
        </w:tc>
      </w:tr>
      <w:tr>
        <w:trPr>
          <w:trHeight w:val="105"/>
        </w:trPr>
        <w:tc>
          <w:tcPr>
            <w:tcW w:w="172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Proceeds from issuance of equity</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32</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1,444</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1,445</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1,445</w:t>
            </w:r>
          </w:p>
        </w:tc>
        <w:tc>
          <w:tcPr>
            <w:tcW w:w="0" w:type="dxa"/>
            <w:vAlign w:val="bottom"/>
          </w:tcPr>
          <w:p>
            <w:pPr>
              <w:spacing w:after="0"/>
              <w:rPr>
                <w:sz w:val="1"/>
                <w:szCs w:val="1"/>
                <w:color w:val="auto"/>
              </w:rPr>
            </w:pPr>
          </w:p>
        </w:tc>
      </w:tr>
      <w:tr>
        <w:trPr>
          <w:trHeight w:val="140"/>
        </w:trPr>
        <w:tc>
          <w:tcPr>
            <w:tcW w:w="172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instruments</w:t>
            </w:r>
          </w:p>
        </w:tc>
        <w:tc>
          <w:tcPr>
            <w:tcW w:w="11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720" w:type="dxa"/>
            <w:vAlign w:val="bottom"/>
          </w:tcPr>
          <w:p>
            <w:pPr>
              <w:ind w:left="20"/>
              <w:spacing w:after="0"/>
              <w:rPr>
                <w:sz w:val="20"/>
                <w:szCs w:val="20"/>
                <w:color w:val="auto"/>
              </w:rPr>
            </w:pPr>
            <w:r>
              <w:rPr>
                <w:rFonts w:ascii="Arial" w:cs="Arial" w:eastAsia="Arial" w:hAnsi="Arial"/>
                <w:sz w:val="10"/>
                <w:szCs w:val="10"/>
                <w:color w:val="auto"/>
              </w:rPr>
              <w:t>Share-based payments</w:t>
            </w:r>
          </w:p>
        </w:tc>
        <w:tc>
          <w:tcPr>
            <w:tcW w:w="12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b w:val="1"/>
                <w:bCs w:val="1"/>
                <w:color w:val="auto"/>
              </w:rPr>
              <w:t>223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223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223</w:t>
            </w:r>
          </w:p>
        </w:tc>
        <w:tc>
          <w:tcPr>
            <w:tcW w:w="0" w:type="dxa"/>
            <w:vAlign w:val="bottom"/>
          </w:tcPr>
          <w:p>
            <w:pPr>
              <w:spacing w:after="0"/>
              <w:rPr>
                <w:sz w:val="1"/>
                <w:szCs w:val="1"/>
                <w:color w:val="auto"/>
              </w:rPr>
            </w:pPr>
          </w:p>
        </w:tc>
      </w:tr>
      <w:tr>
        <w:trPr>
          <w:trHeight w:val="139"/>
        </w:trPr>
        <w:tc>
          <w:tcPr>
            <w:tcW w:w="172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Repayment of loan from shareholder</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(568)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(568)</w:t>
            </w:r>
          </w:p>
        </w:tc>
        <w:tc>
          <w:tcPr>
            <w:tcW w:w="0" w:type="dxa"/>
            <w:vAlign w:val="bottom"/>
          </w:tcPr>
          <w:p>
            <w:pPr>
              <w:spacing w:after="0"/>
              <w:rPr>
                <w:sz w:val="1"/>
                <w:szCs w:val="1"/>
                <w:color w:val="auto"/>
              </w:rPr>
            </w:pPr>
          </w:p>
        </w:tc>
      </w:tr>
      <w:tr>
        <w:trPr>
          <w:trHeight w:val="137"/>
        </w:trPr>
        <w:tc>
          <w:tcPr>
            <w:tcW w:w="1720" w:type="dxa"/>
            <w:vAlign w:val="bottom"/>
          </w:tcPr>
          <w:p>
            <w:pPr>
              <w:ind w:left="20"/>
              <w:spacing w:after="0"/>
              <w:rPr>
                <w:sz w:val="20"/>
                <w:szCs w:val="20"/>
                <w:color w:val="auto"/>
              </w:rPr>
            </w:pPr>
            <w:r>
              <w:rPr>
                <w:rFonts w:ascii="Arial" w:cs="Arial" w:eastAsia="Arial" w:hAnsi="Arial"/>
                <w:sz w:val="10"/>
                <w:szCs w:val="10"/>
                <w:color w:val="auto"/>
              </w:rPr>
              <w:t>Conversion of loan from shareholder</w:t>
            </w:r>
          </w:p>
        </w:tc>
        <w:tc>
          <w:tcPr>
            <w:tcW w:w="12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b w:val="1"/>
                <w:bCs w:val="1"/>
                <w:color w:val="auto"/>
              </w:rPr>
              <w:t>10,113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(10,113)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39"/>
        </w:trPr>
        <w:tc>
          <w:tcPr>
            <w:tcW w:w="172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loss for the year</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(250)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(250)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(254)</w:t>
            </w:r>
          </w:p>
        </w:tc>
        <w:tc>
          <w:tcPr>
            <w:tcW w:w="0" w:type="dxa"/>
            <w:vAlign w:val="bottom"/>
          </w:tcPr>
          <w:p>
            <w:pPr>
              <w:spacing w:after="0"/>
              <w:rPr>
                <w:sz w:val="1"/>
                <w:szCs w:val="1"/>
                <w:color w:val="auto"/>
              </w:rPr>
            </w:pPr>
          </w:p>
        </w:tc>
      </w:tr>
      <w:tr>
        <w:trPr>
          <w:trHeight w:val="137"/>
        </w:trPr>
        <w:tc>
          <w:tcPr>
            <w:tcW w:w="1720" w:type="dxa"/>
            <w:vAlign w:val="bottom"/>
          </w:tcPr>
          <w:p>
            <w:pPr>
              <w:ind w:left="20"/>
              <w:spacing w:after="0"/>
              <w:rPr>
                <w:sz w:val="20"/>
                <w:szCs w:val="20"/>
                <w:color w:val="auto"/>
              </w:rPr>
            </w:pPr>
            <w:r>
              <w:rPr>
                <w:rFonts w:ascii="Arial" w:cs="Arial" w:eastAsia="Arial" w:hAnsi="Arial"/>
                <w:sz w:val="10"/>
                <w:szCs w:val="10"/>
                <w:color w:val="auto"/>
              </w:rPr>
              <w:t>Other comprehensive income</w:t>
            </w:r>
          </w:p>
        </w:tc>
        <w:tc>
          <w:tcPr>
            <w:tcW w:w="12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(42)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(8)</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(50)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(54)</w:t>
            </w:r>
          </w:p>
        </w:tc>
        <w:tc>
          <w:tcPr>
            <w:tcW w:w="0" w:type="dxa"/>
            <w:vAlign w:val="bottom"/>
          </w:tcPr>
          <w:p>
            <w:pPr>
              <w:spacing w:after="0"/>
              <w:rPr>
                <w:sz w:val="1"/>
                <w:szCs w:val="1"/>
                <w:color w:val="auto"/>
              </w:rPr>
            </w:pPr>
          </w:p>
        </w:tc>
      </w:tr>
      <w:tr>
        <w:trPr>
          <w:trHeight w:val="130"/>
        </w:trPr>
        <w:tc>
          <w:tcPr>
            <w:tcW w:w="1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As of December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532</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11</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w:t>
            </w:r>
          </w:p>
        </w:tc>
        <w:tc>
          <w:tcPr>
            <w:tcW w:w="7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23,487</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(15,469)</w:t>
            </w: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(57)</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7,975</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58</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8,033</w:t>
            </w:r>
          </w:p>
        </w:tc>
        <w:tc>
          <w:tcPr>
            <w:tcW w:w="0" w:type="dxa"/>
            <w:vAlign w:val="bottom"/>
          </w:tcPr>
          <w:p>
            <w:pPr>
              <w:spacing w:after="0"/>
              <w:rPr>
                <w:sz w:val="1"/>
                <w:szCs w:val="1"/>
                <w:color w:val="auto"/>
              </w:rPr>
            </w:pPr>
          </w:p>
        </w:tc>
      </w:tr>
      <w:tr>
        <w:trPr>
          <w:trHeight w:val="104"/>
        </w:trPr>
        <w:tc>
          <w:tcPr>
            <w:tcW w:w="1720" w:type="dxa"/>
            <w:vAlign w:val="bottom"/>
          </w:tcPr>
          <w:p>
            <w:pPr>
              <w:ind w:left="20"/>
              <w:spacing w:after="0" w:line="104" w:lineRule="exact"/>
              <w:rPr>
                <w:sz w:val="20"/>
                <w:szCs w:val="20"/>
                <w:color w:val="auto"/>
              </w:rPr>
            </w:pPr>
            <w:r>
              <w:rPr>
                <w:rFonts w:ascii="Arial" w:cs="Arial" w:eastAsia="Arial" w:hAnsi="Arial"/>
                <w:sz w:val="10"/>
                <w:szCs w:val="10"/>
                <w:color w:val="auto"/>
              </w:rPr>
              <w:t>Proceeds from issuance of equity</w:t>
            </w:r>
          </w:p>
        </w:tc>
        <w:tc>
          <w:tcPr>
            <w:tcW w:w="1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9"/>
                <w:szCs w:val="9"/>
                <w:color w:val="auto"/>
              </w:rPr>
            </w:pPr>
          </w:p>
        </w:tc>
        <w:tc>
          <w:tcPr>
            <w:tcW w:w="700" w:type="dxa"/>
            <w:vAlign w:val="bottom"/>
            <w:vMerge w:val="restart"/>
          </w:tcPr>
          <w:p>
            <w:pPr>
              <w:jc w:val="right"/>
              <w:ind w:right="12"/>
              <w:spacing w:after="0"/>
              <w:rPr>
                <w:sz w:val="20"/>
                <w:szCs w:val="20"/>
                <w:color w:val="auto"/>
              </w:rPr>
            </w:pPr>
            <w:r>
              <w:rPr>
                <w:rFonts w:ascii="Arial" w:cs="Arial" w:eastAsia="Arial" w:hAnsi="Arial"/>
                <w:sz w:val="10"/>
                <w:szCs w:val="10"/>
                <w:b w:val="1"/>
                <w:bCs w:val="1"/>
                <w:color w:val="auto"/>
              </w:rPr>
              <w:t>163</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9"/>
                <w:szCs w:val="9"/>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163</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163</w:t>
            </w:r>
          </w:p>
        </w:tc>
        <w:tc>
          <w:tcPr>
            <w:tcW w:w="0" w:type="dxa"/>
            <w:vAlign w:val="bottom"/>
          </w:tcPr>
          <w:p>
            <w:pPr>
              <w:spacing w:after="0"/>
              <w:rPr>
                <w:sz w:val="1"/>
                <w:szCs w:val="1"/>
                <w:color w:val="auto"/>
              </w:rPr>
            </w:pPr>
          </w:p>
        </w:tc>
      </w:tr>
      <w:tr>
        <w:trPr>
          <w:trHeight w:val="137"/>
        </w:trPr>
        <w:tc>
          <w:tcPr>
            <w:tcW w:w="1720" w:type="dxa"/>
            <w:vAlign w:val="bottom"/>
          </w:tcPr>
          <w:p>
            <w:pPr>
              <w:ind w:left="20"/>
              <w:spacing w:after="0"/>
              <w:rPr>
                <w:sz w:val="20"/>
                <w:szCs w:val="20"/>
                <w:color w:val="auto"/>
              </w:rPr>
            </w:pPr>
            <w:r>
              <w:rPr>
                <w:rFonts w:ascii="Arial" w:cs="Arial" w:eastAsia="Arial" w:hAnsi="Arial"/>
                <w:sz w:val="10"/>
                <w:szCs w:val="10"/>
                <w:color w:val="auto"/>
              </w:rPr>
              <w:t>instruments</w:t>
            </w: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72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Share-based payments</w:t>
            </w: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181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181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181</w:t>
            </w:r>
          </w:p>
        </w:tc>
        <w:tc>
          <w:tcPr>
            <w:tcW w:w="0" w:type="dxa"/>
            <w:vAlign w:val="bottom"/>
          </w:tcPr>
          <w:p>
            <w:pPr>
              <w:spacing w:after="0"/>
              <w:rPr>
                <w:sz w:val="1"/>
                <w:szCs w:val="1"/>
                <w:color w:val="auto"/>
              </w:rPr>
            </w:pPr>
          </w:p>
        </w:tc>
      </w:tr>
      <w:tr>
        <w:trPr>
          <w:trHeight w:val="137"/>
        </w:trPr>
        <w:tc>
          <w:tcPr>
            <w:tcW w:w="1720" w:type="dxa"/>
            <w:vAlign w:val="bottom"/>
          </w:tcPr>
          <w:p>
            <w:pPr>
              <w:ind w:left="20"/>
              <w:spacing w:after="0"/>
              <w:rPr>
                <w:sz w:val="20"/>
                <w:szCs w:val="20"/>
                <w:color w:val="auto"/>
              </w:rPr>
            </w:pPr>
            <w:r>
              <w:rPr>
                <w:rFonts w:ascii="Arial" w:cs="Arial" w:eastAsia="Arial" w:hAnsi="Arial"/>
                <w:sz w:val="10"/>
                <w:szCs w:val="10"/>
                <w:color w:val="auto"/>
              </w:rPr>
              <w:t>Net income for the year</w:t>
            </w:r>
          </w:p>
        </w:tc>
        <w:tc>
          <w:tcPr>
            <w:tcW w:w="12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1,448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1,448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1,446</w:t>
            </w:r>
          </w:p>
        </w:tc>
        <w:tc>
          <w:tcPr>
            <w:tcW w:w="0" w:type="dxa"/>
            <w:vAlign w:val="bottom"/>
          </w:tcPr>
          <w:p>
            <w:pPr>
              <w:spacing w:after="0"/>
              <w:rPr>
                <w:sz w:val="1"/>
                <w:szCs w:val="1"/>
                <w:color w:val="auto"/>
              </w:rPr>
            </w:pPr>
          </w:p>
        </w:tc>
      </w:tr>
      <w:tr>
        <w:trPr>
          <w:trHeight w:val="139"/>
        </w:trPr>
        <w:tc>
          <w:tcPr>
            <w:tcW w:w="172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comprehensive income (loss)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160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146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137</w:t>
            </w:r>
          </w:p>
        </w:tc>
        <w:tc>
          <w:tcPr>
            <w:tcW w:w="0" w:type="dxa"/>
            <w:vAlign w:val="bottom"/>
          </w:tcPr>
          <w:p>
            <w:pPr>
              <w:spacing w:after="0"/>
              <w:rPr>
                <w:sz w:val="1"/>
                <w:szCs w:val="1"/>
                <w:color w:val="auto"/>
              </w:rPr>
            </w:pPr>
          </w:p>
        </w:tc>
      </w:tr>
      <w:tr>
        <w:trPr>
          <w:trHeight w:val="127"/>
        </w:trPr>
        <w:tc>
          <w:tcPr>
            <w:tcW w:w="1720" w:type="dxa"/>
            <w:vAlign w:val="bottom"/>
          </w:tcPr>
          <w:p>
            <w:pPr>
              <w:ind w:left="20"/>
              <w:spacing w:after="0"/>
              <w:rPr>
                <w:sz w:val="20"/>
                <w:szCs w:val="20"/>
                <w:color w:val="auto"/>
              </w:rPr>
            </w:pPr>
            <w:r>
              <w:rPr>
                <w:rFonts w:ascii="Arial" w:cs="Arial" w:eastAsia="Arial" w:hAnsi="Arial"/>
                <w:sz w:val="10"/>
                <w:szCs w:val="10"/>
                <w:b w:val="1"/>
                <w:bCs w:val="1"/>
                <w:color w:val="auto"/>
              </w:rPr>
              <w:t>As of December 31, 2022</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548</w:t>
            </w:r>
          </w:p>
        </w:tc>
        <w:tc>
          <w:tcPr>
            <w:tcW w:w="8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11</w:t>
            </w:r>
          </w:p>
        </w:tc>
        <w:tc>
          <w:tcPr>
            <w:tcW w:w="60" w:type="dxa"/>
            <w:vAlign w:val="bottom"/>
          </w:tcPr>
          <w:p>
            <w:pPr>
              <w:spacing w:after="0"/>
              <w:rPr>
                <w:sz w:val="11"/>
                <w:szCs w:val="11"/>
                <w:color w:val="auto"/>
              </w:rPr>
            </w:pPr>
          </w:p>
        </w:tc>
        <w:tc>
          <w:tcPr>
            <w:tcW w:w="1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w:t>
            </w: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23,831</w:t>
            </w:r>
          </w:p>
        </w:tc>
        <w:tc>
          <w:tcPr>
            <w:tcW w:w="60" w:type="dxa"/>
            <w:vAlign w:val="bottom"/>
          </w:tcPr>
          <w:p>
            <w:pPr>
              <w:spacing w:after="0"/>
              <w:rPr>
                <w:sz w:val="11"/>
                <w:szCs w:val="11"/>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(14,021)</w:t>
            </w:r>
          </w:p>
        </w:tc>
        <w:tc>
          <w:tcPr>
            <w:tcW w:w="160" w:type="dxa"/>
            <w:vAlign w:val="bottom"/>
          </w:tcPr>
          <w:p>
            <w:pPr>
              <w:spacing w:after="0"/>
              <w:rPr>
                <w:sz w:val="11"/>
                <w:szCs w:val="11"/>
                <w:color w:val="auto"/>
              </w:rPr>
            </w:pPr>
          </w:p>
        </w:tc>
        <w:tc>
          <w:tcPr>
            <w:tcW w:w="18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103</w:t>
            </w:r>
          </w:p>
        </w:tc>
        <w:tc>
          <w:tcPr>
            <w:tcW w:w="6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(11)</w:t>
            </w:r>
          </w:p>
        </w:tc>
        <w:tc>
          <w:tcPr>
            <w:tcW w:w="60" w:type="dxa"/>
            <w:vAlign w:val="bottom"/>
          </w:tcPr>
          <w:p>
            <w:pPr>
              <w:spacing w:after="0"/>
              <w:rPr>
                <w:sz w:val="11"/>
                <w:szCs w:val="11"/>
                <w:color w:val="auto"/>
              </w:rPr>
            </w:pPr>
          </w:p>
        </w:tc>
        <w:tc>
          <w:tcPr>
            <w:tcW w:w="18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9,913</w:t>
            </w:r>
          </w:p>
        </w:tc>
        <w:tc>
          <w:tcPr>
            <w:tcW w:w="6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47</w:t>
            </w:r>
          </w:p>
        </w:tc>
        <w:tc>
          <w:tcPr>
            <w:tcW w:w="6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9,960</w:t>
            </w:r>
          </w:p>
        </w:tc>
        <w:tc>
          <w:tcPr>
            <w:tcW w:w="0" w:type="dxa"/>
            <w:vAlign w:val="bottom"/>
          </w:tcPr>
          <w:p>
            <w:pPr>
              <w:spacing w:after="0"/>
              <w:rPr>
                <w:sz w:val="1"/>
                <w:szCs w:val="1"/>
                <w:color w:val="auto"/>
              </w:rPr>
            </w:pPr>
          </w:p>
        </w:tc>
      </w:tr>
      <w:tr>
        <w:trPr>
          <w:trHeight w:val="105"/>
        </w:trPr>
        <w:tc>
          <w:tcPr>
            <w:tcW w:w="172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Proceeds from issuance of equity</w:t>
            </w: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72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instruments</w:t>
            </w: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w:t>
            </w:r>
          </w:p>
        </w:tc>
        <w:tc>
          <w:tcPr>
            <w:tcW w:w="0" w:type="dxa"/>
            <w:vAlign w:val="bottom"/>
          </w:tcPr>
          <w:p>
            <w:pPr>
              <w:spacing w:after="0"/>
              <w:rPr>
                <w:sz w:val="1"/>
                <w:szCs w:val="1"/>
                <w:color w:val="auto"/>
              </w:rPr>
            </w:pPr>
          </w:p>
        </w:tc>
      </w:tr>
      <w:tr>
        <w:trPr>
          <w:trHeight w:val="134"/>
        </w:trPr>
        <w:tc>
          <w:tcPr>
            <w:tcW w:w="1720" w:type="dxa"/>
            <w:vAlign w:val="bottom"/>
          </w:tcPr>
          <w:p>
            <w:pPr>
              <w:ind w:left="20"/>
              <w:spacing w:after="0"/>
              <w:rPr>
                <w:sz w:val="20"/>
                <w:szCs w:val="20"/>
                <w:color w:val="auto"/>
              </w:rPr>
            </w:pPr>
            <w:r>
              <w:rPr>
                <w:rFonts w:ascii="Arial" w:cs="Arial" w:eastAsia="Arial" w:hAnsi="Arial"/>
                <w:sz w:val="10"/>
                <w:szCs w:val="10"/>
                <w:color w:val="auto"/>
              </w:rPr>
              <w:t>Share-based payments</w:t>
            </w:r>
          </w:p>
        </w:tc>
        <w:tc>
          <w:tcPr>
            <w:tcW w:w="12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150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150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150</w:t>
            </w:r>
          </w:p>
        </w:tc>
        <w:tc>
          <w:tcPr>
            <w:tcW w:w="0" w:type="dxa"/>
            <w:vAlign w:val="bottom"/>
          </w:tcPr>
          <w:p>
            <w:pPr>
              <w:spacing w:after="0"/>
              <w:rPr>
                <w:sz w:val="1"/>
                <w:szCs w:val="1"/>
                <w:color w:val="auto"/>
              </w:rPr>
            </w:pPr>
          </w:p>
        </w:tc>
      </w:tr>
      <w:tr>
        <w:trPr>
          <w:trHeight w:val="142"/>
        </w:trPr>
        <w:tc>
          <w:tcPr>
            <w:tcW w:w="172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income for the year</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1,018</w:t>
            </w:r>
          </w:p>
        </w:tc>
        <w:tc>
          <w:tcPr>
            <w:tcW w:w="0" w:type="dxa"/>
            <w:vAlign w:val="bottom"/>
          </w:tcPr>
          <w:p>
            <w:pPr>
              <w:spacing w:after="0"/>
              <w:rPr>
                <w:sz w:val="1"/>
                <w:szCs w:val="1"/>
                <w:color w:val="auto"/>
              </w:rPr>
            </w:pPr>
          </w:p>
        </w:tc>
      </w:tr>
      <w:tr>
        <w:trPr>
          <w:trHeight w:val="134"/>
        </w:trPr>
        <w:tc>
          <w:tcPr>
            <w:tcW w:w="1720" w:type="dxa"/>
            <w:vAlign w:val="bottom"/>
          </w:tcPr>
          <w:p>
            <w:pPr>
              <w:ind w:left="20"/>
              <w:spacing w:after="0"/>
              <w:rPr>
                <w:sz w:val="20"/>
                <w:szCs w:val="20"/>
                <w:color w:val="auto"/>
              </w:rPr>
            </w:pPr>
            <w:r>
              <w:rPr>
                <w:rFonts w:ascii="Arial" w:cs="Arial" w:eastAsia="Arial" w:hAnsi="Arial"/>
                <w:sz w:val="10"/>
                <w:szCs w:val="10"/>
                <w:color w:val="auto"/>
              </w:rPr>
              <w:t>Other comprehensive income (loss)</w:t>
            </w:r>
          </w:p>
        </w:tc>
        <w:tc>
          <w:tcPr>
            <w:tcW w:w="12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171"/>
              <w:spacing w:after="0"/>
              <w:rPr>
                <w:sz w:val="20"/>
                <w:szCs w:val="20"/>
                <w:color w:val="auto"/>
              </w:rPr>
            </w:pPr>
            <w:r>
              <w:rPr>
                <w:rFonts w:ascii="Arial" w:cs="Arial" w:eastAsia="Arial" w:hAnsi="Arial"/>
                <w:sz w:val="10"/>
                <w:szCs w:val="10"/>
                <w:color w:val="auto"/>
                <w:w w:val="99"/>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(37)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2"/>
              <w:spacing w:after="0"/>
              <w:rPr>
                <w:sz w:val="20"/>
                <w:szCs w:val="20"/>
                <w:color w:val="auto"/>
              </w:rPr>
            </w:pPr>
            <w:r>
              <w:rPr>
                <w:rFonts w:ascii="Arial" w:cs="Arial" w:eastAsia="Arial" w:hAnsi="Arial"/>
                <w:sz w:val="10"/>
                <w:szCs w:val="10"/>
                <w:color w:val="auto"/>
              </w:rPr>
              <w:t>12</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(23)</w:t>
            </w:r>
          </w:p>
        </w:tc>
        <w:tc>
          <w:tcPr>
            <w:tcW w:w="0" w:type="dxa"/>
            <w:vAlign w:val="bottom"/>
          </w:tcPr>
          <w:p>
            <w:pPr>
              <w:spacing w:after="0"/>
              <w:rPr>
                <w:sz w:val="1"/>
                <w:szCs w:val="1"/>
                <w:color w:val="auto"/>
              </w:rPr>
            </w:pPr>
          </w:p>
        </w:tc>
      </w:tr>
      <w:tr>
        <w:trPr>
          <w:trHeight w:val="132"/>
        </w:trPr>
        <w:tc>
          <w:tcPr>
            <w:tcW w:w="1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As of December 31,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554</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11</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w:t>
            </w:r>
          </w:p>
        </w:tc>
        <w:tc>
          <w:tcPr>
            <w:tcW w:w="7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24,027</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(13,001)</w:t>
            </w:r>
          </w:p>
        </w:tc>
        <w:tc>
          <w:tcPr>
            <w:tcW w:w="1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66</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11,104</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47</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11,151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40"/>
          </w:cols>
          <w:pgMar w:left="300" w:top="935" w:right="859" w:bottom="1440" w:gutter="0" w:footer="0" w:header="0"/>
        </w:sectPr>
      </w:pPr>
    </w:p>
    <w:bookmarkStart w:id="96" w:name="page97"/>
    <w:bookmarkEnd w:id="96"/>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301625</wp:posOffset>
            </wp:positionH>
            <wp:positionV relativeFrom="page">
              <wp:posOffset>641350</wp:posOffset>
            </wp:positionV>
            <wp:extent cx="708787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87870" cy="6985"/>
                    </a:xfrm>
                    <a:prstGeom prst="rect">
                      <a:avLst/>
                    </a:prstGeom>
                    <a:noFill/>
                  </pic:spPr>
                </pic:pic>
              </a:graphicData>
            </a:graphic>
          </wp:anchor>
        </w:drawing>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YEARS ENDED December 31, 2023, 2022 AND 2021</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w:t>
      </w:r>
    </w:p>
    <w:p>
      <w:pPr>
        <w:spacing w:after="0" w:line="169" w:lineRule="exact"/>
        <w:rPr>
          <w:sz w:val="20"/>
          <w:szCs w:val="20"/>
          <w:color w:val="auto"/>
        </w:rPr>
      </w:pPr>
    </w:p>
    <w:p>
      <w:pPr>
        <w:ind w:left="260" w:hanging="255"/>
        <w:spacing w:after="0"/>
        <w:tabs>
          <w:tab w:leader="none" w:pos="260" w:val="left"/>
        </w:tabs>
        <w:numPr>
          <w:ilvl w:val="0"/>
          <w:numId w:val="93"/>
        </w:numPr>
        <w:rPr>
          <w:rFonts w:ascii="Arial" w:cs="Arial" w:eastAsia="Arial" w:hAnsi="Arial"/>
          <w:sz w:val="13"/>
          <w:szCs w:val="13"/>
          <w:b w:val="1"/>
          <w:bCs w:val="1"/>
          <w:color w:val="auto"/>
        </w:rPr>
      </w:pPr>
      <w:r>
        <w:rPr>
          <w:rFonts w:ascii="Arial" w:cs="Arial" w:eastAsia="Arial" w:hAnsi="Arial"/>
          <w:sz w:val="13"/>
          <w:szCs w:val="13"/>
          <w:b w:val="1"/>
          <w:bCs w:val="1"/>
          <w:color w:val="auto"/>
        </w:rPr>
        <w:t>Organization</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GLOBALFOUNDRIES Inc. (“GLOBALFOUNDRIES”) is an exempted company with limited liability incorporated under the laws of the Cayman Islands. The address of GLOBALFOUNDRIES’ registered office is P.O. Box 309, Ugland House, Grand Cayman, KY1-1104 Cayman Islands.</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GLOBALFOUNDRIES and its subsidiaries (together referred to as the “Company”) is one of the world’s largest pure-play semiconductor foundries and offers a full range of mainstream wafer fabrication services and technologies. The Company manufactures a broad range of semiconductor devices, including microprocessors, mobile application processors, baseband processors, network processors, radio frequency modems, microcontrollers, and power management units.</w:t>
      </w:r>
    </w:p>
    <w:p>
      <w:pPr>
        <w:spacing w:after="0" w:line="6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GLOBALFOUNDRIES is a majority owned subsidiary of Mubadala Technology Investments LLC (“Shareholder”) through its subsidiaries, Mubadala Technology Investment Company and MTI International Investment Company LLC. Mubadala Technology Investments LLC is a subsidiary of Mamoura Diversified Global Holding PJSC (“MDGH”). Mubadala Investment Company PJSC (“MIC”) is the ultimate parent company. See Note 29 for further discussion of the Company’s related party disclosures.</w:t>
      </w:r>
    </w:p>
    <w:p>
      <w:pPr>
        <w:spacing w:after="0" w:line="70"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The Company previously entered into an agreement with Semiconductor Components Industries, LLC (“ON Semiconductor”) to sell the Company’s business in East Fishkill, New York, including buildings, facilities, certain equipment, inventories, and certain contracts. Under the agreement the Company will manufacture 300mm wafers for ON Semiconductor until the end of 2025 for additional fees, allowing ON Semiconductor to increase its 300mm production at the East Fishkill fab over several years. Under the agreement, ON Semiconductor committed to minimum fixed cost payments in each year through 2023. On December 31, 2022, the Company completed the sale of the EFK business for a total purchase price of $406 million, and recognized a gain amounting to $403 million.</w:t>
      </w:r>
    </w:p>
    <w:p>
      <w:pPr>
        <w:spacing w:after="0" w:line="4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consolidated financial statements were authorized by the GLOBALFOUNDRIES’ Board of Directors on April 29, 2024 to be issued and subsequent events have been evaluated for their potential effect on the consolidated financial statements through April 29, 2024.</w:t>
      </w:r>
    </w:p>
    <w:p>
      <w:pPr>
        <w:spacing w:after="0" w:line="125" w:lineRule="exact"/>
        <w:rPr>
          <w:sz w:val="20"/>
          <w:szCs w:val="20"/>
          <w:color w:val="auto"/>
        </w:rPr>
      </w:pPr>
    </w:p>
    <w:p>
      <w:pPr>
        <w:ind w:left="260" w:hanging="255"/>
        <w:spacing w:after="0"/>
        <w:tabs>
          <w:tab w:leader="none" w:pos="260" w:val="left"/>
        </w:tabs>
        <w:numPr>
          <w:ilvl w:val="0"/>
          <w:numId w:val="94"/>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consolidated financial statements of the Company have been presented in United States (“U.S.”) dollars, and prepared in accordance with International Financial Reporting Standards (“IFRS”) as issued by the International Accounting Standards Board (“IASB”). These financial statements have been prepared on the historical cost basis except as otherwise described in the notes below.</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Basis of Consolidation</w:t>
      </w:r>
      <w:r>
        <w:rPr>
          <w:rFonts w:ascii="Arial" w:cs="Arial" w:eastAsia="Arial" w:hAnsi="Arial"/>
          <w:sz w:val="13"/>
          <w:szCs w:val="13"/>
          <w:color w:val="auto"/>
        </w:rPr>
        <w:t>—The consolidated financial statements comprise the financial statements of GLOBALFOUNDRIES and its subsidiaries. Subsidiaries are fully consolidated from the date of</w:t>
      </w:r>
      <w:r>
        <w:rPr>
          <w:rFonts w:ascii="Arial" w:cs="Arial" w:eastAsia="Arial" w:hAnsi="Arial"/>
          <w:sz w:val="13"/>
          <w:szCs w:val="13"/>
          <w:b w:val="1"/>
          <w:bCs w:val="1"/>
          <w:color w:val="auto"/>
        </w:rPr>
        <w:t xml:space="preserve"> </w:t>
      </w:r>
      <w:r>
        <w:rPr>
          <w:rFonts w:ascii="Arial" w:cs="Arial" w:eastAsia="Arial" w:hAnsi="Arial"/>
          <w:sz w:val="13"/>
          <w:szCs w:val="13"/>
          <w:color w:val="auto"/>
        </w:rPr>
        <w:t>acquisition, being the date on which GLOBALFOUNDRIES obtains control, and continue to be consolidated until the date when such control ceases. All intercompany transactions, balances, income and expenses are eliminated in full on consolidation. Wholly-owned subsidiaries and controlled entities included in these consolidated financial statements are disclosed in Note 29.</w:t>
      </w:r>
    </w:p>
    <w:p>
      <w:pPr>
        <w:spacing w:after="0" w:line="53"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Control is achieved when the Company is exposed, or has rights, to variable returns from its involvement with the subsidiary and has the ability to affect those returns through its power over the subsidiary. Specifically, the Company controls a subsidiary if the Company (a) has power over the subsidiary, (b) is exposed, or has rights, to variable returns from its involvement with subsidiary, and</w:t>
      </w:r>
    </w:p>
    <w:p>
      <w:pPr>
        <w:spacing w:after="0"/>
        <w:rPr>
          <w:sz w:val="20"/>
          <w:szCs w:val="20"/>
          <w:color w:val="auto"/>
        </w:rPr>
      </w:pPr>
      <w:r>
        <w:rPr>
          <w:rFonts w:ascii="Arial" w:cs="Arial" w:eastAsia="Arial" w:hAnsi="Arial"/>
          <w:sz w:val="13"/>
          <w:szCs w:val="13"/>
          <w:color w:val="auto"/>
        </w:rPr>
        <w:t>(c) has the ability to use the power to affect its returns.</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Profit or loss and each component of other comprehensive income (loss) (“OCI”) are attributed to the Shareholder of the Company and to the non-controlling interests.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 change in the ownership interest of a subsidiary, without a loss of control, is accounted for as an equity transaction.</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If the Company loses control over a subsidiary, it derecognizes the related assets (including goodwill), liabilities, non-controlling interest and other components of equity, while any resulting gain or loss is recognized in the consolidated statements of operations. Any investment retained is recognized at fair value.</w:t>
      </w:r>
    </w:p>
    <w:p>
      <w:pPr>
        <w:spacing w:after="0" w:line="3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color w:val="auto"/>
        </w:rPr>
        <w:t>Foreign Currency Translation</w:t>
      </w:r>
      <w:r>
        <w:rPr>
          <w:rFonts w:ascii="Arial" w:cs="Arial" w:eastAsia="Arial" w:hAnsi="Arial"/>
          <w:sz w:val="13"/>
          <w:szCs w:val="13"/>
          <w:color w:val="auto"/>
        </w:rPr>
        <w:t>—Assets and liabilities of foreign operations having a functional currency other than the U.S. dollar are translated at the rate of exchange prevailing at the reporting date</w:t>
      </w:r>
      <w:r>
        <w:rPr>
          <w:rFonts w:ascii="Arial" w:cs="Arial" w:eastAsia="Arial" w:hAnsi="Arial"/>
          <w:sz w:val="13"/>
          <w:szCs w:val="13"/>
          <w:b w:val="1"/>
          <w:bCs w:val="1"/>
          <w:color w:val="auto"/>
        </w:rPr>
        <w:t xml:space="preserve"> </w:t>
      </w:r>
      <w:r>
        <w:rPr>
          <w:rFonts w:ascii="Arial" w:cs="Arial" w:eastAsia="Arial" w:hAnsi="Arial"/>
          <w:sz w:val="13"/>
          <w:szCs w:val="13"/>
          <w:color w:val="auto"/>
        </w:rPr>
        <w:t>and revenue and expenses at the rate of exchange prevailing at the dates of the transactions during the period. Gains or losses on translation of foreign operations are included in OCI.</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9" w:right="319" w:bottom="1440" w:gutter="0" w:footer="0" w:header="0"/>
        </w:sectPr>
      </w:pPr>
    </w:p>
    <w:bookmarkStart w:id="97" w:name="page98"/>
    <w:bookmarkEnd w:id="97"/>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preparing the consolidated financial statements of the Company, foreign currency-denominated monetary assets and liabilities are translated into the functional currency using the closing rate at the applicable consolidated statement of financial position dates. Non-monetary assets and liabilities, denominated in a foreign currency and measured at fair value, are translated at the rate of exchange prevailing at the date when the fair value was determined and non-monetary assets measured at historical cost are translated at the historical rate. Revenue and expenses are measured in the functional currency at the rates of exchange prevailing at the dates of the transactions with gains or losses included in the statements of operations.</w:t>
      </w:r>
    </w:p>
    <w:p>
      <w:pPr>
        <w:spacing w:after="0" w:line="200" w:lineRule="exact"/>
        <w:rPr>
          <w:sz w:val="20"/>
          <w:szCs w:val="20"/>
          <w:color w:val="auto"/>
        </w:rPr>
      </w:pPr>
    </w:p>
    <w:p>
      <w:pPr>
        <w:spacing w:after="0" w:line="231" w:lineRule="exact"/>
        <w:rPr>
          <w:sz w:val="20"/>
          <w:szCs w:val="20"/>
          <w:color w:val="auto"/>
        </w:rPr>
      </w:pPr>
    </w:p>
    <w:p>
      <w:pPr>
        <w:ind w:left="260" w:hanging="255"/>
        <w:spacing w:after="0"/>
        <w:tabs>
          <w:tab w:leader="none" w:pos="260"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Material Accounting Policies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Company has consistently applied the following accounting policies to all periods presented in these consolidated financial statements, except if mentioned otherwise. In addition, the Company adopted Disclosure of Accounting Policies (Amendments to IAS 1 and IFRS Practice Statement 2) from 1 January 2023. The amendments require the disclosure of ‘material’, rather than ‘significant’, accounting policies. The amendments also provide guidance on the application of materiality to disclosure of accounting policies, assisting entities to provide useful, entity-specific accounting policy information that users need to understand other information in the financial statements. Management reviewed the accounting policies and made updates to the information disclosed in Note 3 Material accounting policies (2022: Significant accounting policies) in certain instances in line with the amendments.</w:t>
      </w:r>
    </w:p>
    <w:p>
      <w:pPr>
        <w:spacing w:after="0" w:line="5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color w:val="auto"/>
        </w:rPr>
        <w:t>Investments in Joint Operations</w:t>
      </w:r>
      <w:r>
        <w:rPr>
          <w:rFonts w:ascii="Arial" w:cs="Arial" w:eastAsia="Arial" w:hAnsi="Arial"/>
          <w:sz w:val="13"/>
          <w:szCs w:val="13"/>
          <w:color w:val="auto"/>
        </w:rPr>
        <w:t>—A joint operation is an arrangement in which the Company has joint control whereby the Company has rights to assets, and obligations for the liabilities, relating to</w:t>
      </w:r>
      <w:r>
        <w:rPr>
          <w:rFonts w:ascii="Arial" w:cs="Arial" w:eastAsia="Arial" w:hAnsi="Arial"/>
          <w:sz w:val="13"/>
          <w:szCs w:val="13"/>
          <w:b w:val="1"/>
          <w:bCs w:val="1"/>
          <w:color w:val="auto"/>
        </w:rPr>
        <w:t xml:space="preserve"> </w:t>
      </w:r>
      <w:r>
        <w:rPr>
          <w:rFonts w:ascii="Arial" w:cs="Arial" w:eastAsia="Arial" w:hAnsi="Arial"/>
          <w:sz w:val="13"/>
          <w:szCs w:val="13"/>
          <w:color w:val="auto"/>
        </w:rPr>
        <w:t>an arrangement. The Company accounts for each of its assets, liabilities and transactions, including its share of those held or incurred jointly, in relation to the joint operation.</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color w:val="auto"/>
        </w:rPr>
        <w:t>Cash and Cash Equivalents</w:t>
      </w:r>
      <w:r>
        <w:rPr>
          <w:rFonts w:ascii="Arial" w:cs="Arial" w:eastAsia="Arial" w:hAnsi="Arial"/>
          <w:sz w:val="13"/>
          <w:szCs w:val="13"/>
          <w:color w:val="auto"/>
        </w:rPr>
        <w:t>—Cash and cash equivalents consist of highly liquid time deposits and investments that are readily convertible into cash, which are not subjected to significant risk of</w:t>
      </w:r>
      <w:r>
        <w:rPr>
          <w:rFonts w:ascii="Arial" w:cs="Arial" w:eastAsia="Arial" w:hAnsi="Arial"/>
          <w:sz w:val="13"/>
          <w:szCs w:val="13"/>
          <w:b w:val="1"/>
          <w:bCs w:val="1"/>
          <w:color w:val="auto"/>
        </w:rPr>
        <w:t xml:space="preserve"> </w:t>
      </w:r>
      <w:r>
        <w:rPr>
          <w:rFonts w:ascii="Arial" w:cs="Arial" w:eastAsia="Arial" w:hAnsi="Arial"/>
          <w:sz w:val="13"/>
          <w:szCs w:val="13"/>
          <w:color w:val="auto"/>
        </w:rPr>
        <w:t>changes in value, and have original maturities of three months or less at the time of purchase.</w:t>
      </w:r>
    </w:p>
    <w:p>
      <w:pPr>
        <w:spacing w:after="0" w:line="13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color w:val="auto"/>
        </w:rPr>
        <w:t>Trade Accounts Receivable—</w:t>
      </w:r>
      <w:r>
        <w:rPr>
          <w:rFonts w:ascii="Arial" w:cs="Arial" w:eastAsia="Arial" w:hAnsi="Arial"/>
          <w:sz w:val="13"/>
          <w:szCs w:val="13"/>
          <w:color w:val="auto"/>
        </w:rPr>
        <w:t>Trade accounts receivable are recognized initially at fair value. A provision for impairment of trade accounts receivable is established when there is objective evidence</w:t>
      </w:r>
      <w:r>
        <w:rPr>
          <w:rFonts w:ascii="Arial" w:cs="Arial" w:eastAsia="Arial" w:hAnsi="Arial"/>
          <w:sz w:val="13"/>
          <w:szCs w:val="13"/>
          <w:b w:val="1"/>
          <w:bCs w:val="1"/>
          <w:color w:val="auto"/>
        </w:rPr>
        <w:t xml:space="preserve"> </w:t>
      </w:r>
      <w:r>
        <w:rPr>
          <w:rFonts w:ascii="Arial" w:cs="Arial" w:eastAsia="Arial" w:hAnsi="Arial"/>
          <w:sz w:val="13"/>
          <w:szCs w:val="13"/>
          <w:color w:val="auto"/>
        </w:rPr>
        <w:t>that the Company will not be able to collect all amounts due according to the original terms of the receivable.</w:t>
      </w:r>
    </w:p>
    <w:p>
      <w:pPr>
        <w:spacing w:after="0" w:line="4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color w:val="auto"/>
        </w:rPr>
        <w:t>Inventories</w:t>
      </w:r>
      <w:r>
        <w:rPr>
          <w:rFonts w:ascii="Arial" w:cs="Arial" w:eastAsia="Arial" w:hAnsi="Arial"/>
          <w:sz w:val="13"/>
          <w:szCs w:val="13"/>
          <w:color w:val="auto"/>
        </w:rPr>
        <w:t>—Inventories are stated at standard cost adjusted to the lower of cost or net realizable value. The Company measures the cost of its inventory based on a standard cost process with</w:t>
      </w:r>
      <w:r>
        <w:rPr>
          <w:rFonts w:ascii="Arial" w:cs="Arial" w:eastAsia="Arial" w:hAnsi="Arial"/>
          <w:sz w:val="13"/>
          <w:szCs w:val="13"/>
          <w:b w:val="1"/>
          <w:bCs w:val="1"/>
          <w:color w:val="auto"/>
        </w:rPr>
        <w:t xml:space="preserve"> </w:t>
      </w:r>
      <w:r>
        <w:rPr>
          <w:rFonts w:ascii="Arial" w:cs="Arial" w:eastAsia="Arial" w:hAnsi="Arial"/>
          <w:sz w:val="13"/>
          <w:szCs w:val="13"/>
          <w:color w:val="auto"/>
        </w:rPr>
        <w:t>appropriate adjustments for purchasing and manufacturing variances, which approximates weighted average cost.</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Inventory allowances are made on an item-by-item basis, except where it may be appropriate to group similar or related items. An allowance is made for the estimated losses due to obsolescence based on expected future demand and market conditions. Net realizable value is the estimated selling price in the ordinary course of business, less estimated costs of completion and the estimated costs necessary to make the sale.</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Instruments: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Category of financial instruments and measurement</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i w:val="1"/>
          <w:iCs w:val="1"/>
          <w:color w:val="auto"/>
        </w:rPr>
        <w:t>Recognition and Initial Measurement</w:t>
      </w:r>
      <w:r>
        <w:rPr>
          <w:rFonts w:ascii="Arial" w:cs="Arial" w:eastAsia="Arial" w:hAnsi="Arial"/>
          <w:sz w:val="13"/>
          <w:szCs w:val="13"/>
          <w:color w:val="auto"/>
        </w:rPr>
        <w:t>—Trade receivables are initially recognized when they are originated. All other financial assets and financial liabilities are initially recognized when the Company</w:t>
      </w:r>
      <w:r>
        <w:rPr>
          <w:rFonts w:ascii="Arial" w:cs="Arial" w:eastAsia="Arial" w:hAnsi="Arial"/>
          <w:sz w:val="13"/>
          <w:szCs w:val="13"/>
          <w:i w:val="1"/>
          <w:iCs w:val="1"/>
          <w:color w:val="auto"/>
        </w:rPr>
        <w:t xml:space="preserve"> </w:t>
      </w:r>
      <w:r>
        <w:rPr>
          <w:rFonts w:ascii="Arial" w:cs="Arial" w:eastAsia="Arial" w:hAnsi="Arial"/>
          <w:sz w:val="13"/>
          <w:szCs w:val="13"/>
          <w:color w:val="auto"/>
        </w:rPr>
        <w:t>becomes a party to the contractual provisions of the instrument.</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 financial asset (unless it is a trade receivable without a significant financing component) or financial liability is initially measured at fair value plus or minus, for an item not at fair value in the profit and loss (“FVPL”), transaction costs that are directly attributable to its acquisition or issue. A trade receivable without a significant financing component is initially measured at the transaction price.</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i w:val="1"/>
          <w:iCs w:val="1"/>
          <w:color w:val="auto"/>
        </w:rPr>
        <w:t>Classification and Measurement</w:t>
      </w:r>
      <w:r>
        <w:rPr>
          <w:rFonts w:ascii="Arial" w:cs="Arial" w:eastAsia="Arial" w:hAnsi="Arial"/>
          <w:sz w:val="13"/>
          <w:szCs w:val="13"/>
          <w:color w:val="auto"/>
        </w:rPr>
        <w:t>—All recognized financial assets are measured based on amortized cost or fair value. The classification is based on two criteria, the Company’s business model for</w:t>
      </w:r>
      <w:r>
        <w:rPr>
          <w:rFonts w:ascii="Arial" w:cs="Arial" w:eastAsia="Arial" w:hAnsi="Arial"/>
          <w:sz w:val="13"/>
          <w:szCs w:val="13"/>
          <w:i w:val="1"/>
          <w:iCs w:val="1"/>
          <w:color w:val="auto"/>
        </w:rPr>
        <w:t xml:space="preserve"> </w:t>
      </w:r>
      <w:r>
        <w:rPr>
          <w:rFonts w:ascii="Arial" w:cs="Arial" w:eastAsia="Arial" w:hAnsi="Arial"/>
          <w:sz w:val="13"/>
          <w:szCs w:val="13"/>
          <w:color w:val="auto"/>
        </w:rPr>
        <w:t>managing the assets and whether the instrument’s contractual cash flows represent solely payments of principal and interest (“SPPI”).</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The assessment of whether contractual cash flows on debt instruments are solely comprised of principal and interest is made based on the facts and circumstances at the initial recognition of assets.</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Financial assets include trade and other receivables. These are recorded at amortized cost when such financial assets are held with the objective to collect contract cash flows that meet the SPPI criterion.</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Financial assets recorded at FVPL comprise unquoted equity instruments which the Company had not irrevocably elected, at initial recognition, to classify at fair value through other comprehensive income (“FVOCI”).</w:t>
      </w:r>
    </w:p>
    <w:p>
      <w:pPr>
        <w:spacing w:after="0" w:line="5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Financial assets recorded at FVOCI comprise marketable securities that are quoted debt instruments when such financial assets are held with the objectives of both collecting contractual cash flows and selling these financial assets, and meet the SPPI criterion. Movements in the carrying amount are taken through OCI, except for the recognition of impairment gains or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98" w:name="page99"/>
    <w:bookmarkEnd w:id="98"/>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losses and interest income which are recognized in the consolidated statements of operations. Interest income from these financial assets is included in finance income using the effective interest rate method.</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Derecognition of financial assets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derecognizes a financial asset only when the contractual rights to the cash flows from the financial asset expire, or when it transfers the financial asset and substantially all the risks and rewards of ownership of the financial asset to another entity. On derecognition of a financial asset at amortized cost in its entirety, the difference between the asset’s carrying amount and the sum of the consideration received and receivable is recognized in the consolidated statements of operations.</w:t>
      </w:r>
    </w:p>
    <w:p>
      <w:pPr>
        <w:spacing w:after="0" w:line="5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derecognition of an investment in a debt instrument at FVOCI, the difference between the asset’s carrying amount and the sum of the consideration received and receivable and the cumulative gain or loss that had been recognized in OCI is recognized in the consolidated statements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Impairment of financial assets</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Company will record an allowance for expected credit losses (“ECL”) for all loans to related parties, marketable securities (that are quoted debt instruments), contract assets, and trade receivables and other receivables not recorded at FVPL. ECLs are based on the difference between the contractual cash flows due in accordance with the contract and all the cash flows that the Company expects to receive. The shortfall is then discounted using the asset’s effective interest rate.</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estimated its ECL for its contract assets and trade receivables at an amount equal to lifetime credit losses, while marketable securities and other receivables are measured at 12-months ECL if they are determined to have low credit risk at the reporting date.</w:t>
      </w:r>
    </w:p>
    <w:p>
      <w:pPr>
        <w:spacing w:after="0" w:line="5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i w:val="1"/>
          <w:iCs w:val="1"/>
          <w:color w:val="auto"/>
        </w:rPr>
        <w:t>Offsetting of Financial Instruments</w:t>
      </w:r>
      <w:r>
        <w:rPr>
          <w:rFonts w:ascii="Arial" w:cs="Arial" w:eastAsia="Arial" w:hAnsi="Arial"/>
          <w:sz w:val="13"/>
          <w:szCs w:val="13"/>
          <w:color w:val="auto"/>
        </w:rPr>
        <w:t>—Financial assets and financial liabilities are offset and the net amount reported in the consolidated statements of financial position when there is an enforceable</w:t>
      </w:r>
      <w:r>
        <w:rPr>
          <w:rFonts w:ascii="Arial" w:cs="Arial" w:eastAsia="Arial" w:hAnsi="Arial"/>
          <w:sz w:val="13"/>
          <w:szCs w:val="13"/>
          <w:i w:val="1"/>
          <w:iCs w:val="1"/>
          <w:color w:val="auto"/>
        </w:rPr>
        <w:t xml:space="preserve"> </w:t>
      </w:r>
      <w:r>
        <w:rPr>
          <w:rFonts w:ascii="Arial" w:cs="Arial" w:eastAsia="Arial" w:hAnsi="Arial"/>
          <w:sz w:val="13"/>
          <w:szCs w:val="13"/>
          <w:color w:val="auto"/>
        </w:rPr>
        <w:t>legal right to offset the recognized amounts, and there is an intention to settle on a net basis, or to realize the assets and settle the liabilities simultaneously.</w:t>
      </w:r>
    </w:p>
    <w:p>
      <w:pPr>
        <w:spacing w:after="0" w:line="4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color w:val="auto"/>
        </w:rPr>
        <w:t>Derivative Financial Instruments and Hedge Accounting</w:t>
      </w:r>
      <w:r>
        <w:rPr>
          <w:rFonts w:ascii="Arial" w:cs="Arial" w:eastAsia="Arial" w:hAnsi="Arial"/>
          <w:sz w:val="13"/>
          <w:szCs w:val="13"/>
          <w:color w:val="auto"/>
        </w:rPr>
        <w:t>—Through its operating, investing and financing activities in the normal course of business, the Company is exposed to various types of</w:t>
      </w:r>
      <w:r>
        <w:rPr>
          <w:rFonts w:ascii="Arial" w:cs="Arial" w:eastAsia="Arial" w:hAnsi="Arial"/>
          <w:sz w:val="13"/>
          <w:szCs w:val="13"/>
          <w:b w:val="1"/>
          <w:bCs w:val="1"/>
          <w:color w:val="auto"/>
        </w:rPr>
        <w:t xml:space="preserve"> </w:t>
      </w:r>
      <w:r>
        <w:rPr>
          <w:rFonts w:ascii="Arial" w:cs="Arial" w:eastAsia="Arial" w:hAnsi="Arial"/>
          <w:sz w:val="13"/>
          <w:szCs w:val="13"/>
          <w:color w:val="auto"/>
        </w:rPr>
        <w:t>market risk including foreign exchange risk, interest rate risk and risks associated with changes in the market price of certain commodities. The Company uses derivative financial instruments, such as foreign currency forward contracts, interest rate swaps, cross currency swaps and commodity swaps to mitigate a portion of the risks associated with changes in foreign currency exchange rates, interest rates and commodity prices. The Company’s objective for holding derivatives include reducing, eliminating and efficiently managing the economic impact of these exposures as effectively as possible. The Company’s derivative programs include strategies that both qualify and do not qualify for hedge accounting treatment. However, the Company does not use derivative financial instruments for trading or speculative purposes.</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color w:val="auto"/>
        </w:rPr>
        <w:t>Derivative financial instruments are initially recognized at fair value on the date on which a derivative contract is entered into and are subsequently remeasured at fair value at each reporting date.</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Derivatives are carried as financial assets when the fair value is positive and as financial liabilities when the fair value is negative.</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Foreign currency forward contracts are used to hedge a portion of certain foreign currency-denominated forecasted operating expenditures, primarily in Euro (“EUR”), Japanese Yen (“JPY”) and Singapore Dollar (“SGD”). The Company also hedges future cash flows for certain foreign currency-denominated forecasted capital expenditures, primarily in EUR and JPY. Certain foreign currency forward contracts not designated as hedging instruments are also used to manage the variability in foreign exchange rates on certain balance sheet amounts and to manage other foreign currency exposures.</w:t>
      </w:r>
    </w:p>
    <w:p>
      <w:pPr>
        <w:spacing w:after="0" w:line="5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uses interest rate swaps, cross-currency interest rate swaps and cross-currency swaps to protect itself against adverse fluctuations in interest rates and foreign currency exchange rates and to reduce its exposure to variability in forecasted cash flows associated with the Company’s floating-rate and foreign currency-denominated debt.</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also uses commodity swaps to hedge forecasted electricity and natural gas purchases to minimize the impact of commodity price movements on the reported earnings of the Company and on future cash flows related to fluctuations of the contractually specified, separately identifiable and reliably measurable commodity risk component.</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At the inception of the hedge relationship, the Company documents the relationship between the hedging instrument and the hedged item along with its risk management objectives and its strategy for undertaking various hedge transactions. Furthermore, at the inception of the hedge, and on an ongoing basis, the Company documents whether there continues to be an economic relationship between the hedged item and the hedging instruments. The Company designates these derivative instruments in cash flow hedges of forecasted operating and capital expenditures or floating-rate and foreign currency-denominated debt, as applicable, and evaluates hedge effectiveness prospectively.</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effective portion of the gain or loss on these contracts is reported as a component of OCI and reclassified to the consolidated statements of operations in the same line item and in the same period during which the associated hedged forecasted transaction affects earnings. For hedges of capital expenditures, the amount in OCI is incorporated into the initial carrying amounts of the non-financial assets and depreciated over the average useful life of the associated assets. Any</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99" w:name="page100"/>
    <w:bookmarkEnd w:id="99"/>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color w:val="auto"/>
        </w:rPr>
        <w:t>ineffective portion of hedges or changes in fair value from excluded components of the hedge are immediately recorded in the consolidated statements of operations.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Hedge accounting is discontinued when the hedging instrument expires or is sold, terminated, or exercised, or when it no longer meets the criteria for hedge accounting. When a forecasted transaction is no longer expected to occur, the gain or loss accumulated in OCI is recognized immediately in the consolidated statements of operations.</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color w:val="auto"/>
        </w:rPr>
        <w:t xml:space="preserve">Property, Plant and Equipment </w:t>
      </w:r>
      <w:r>
        <w:rPr>
          <w:rFonts w:ascii="Arial" w:cs="Arial" w:eastAsia="Arial" w:hAnsi="Arial"/>
          <w:sz w:val="13"/>
          <w:szCs w:val="13"/>
          <w:color w:val="auto"/>
        </w:rPr>
        <w:t>—Construction in progress and property, plant and equipment are stated at historical cost, net of accumulated depreciation. The assets’ residual values and useful</w:t>
      </w:r>
      <w:r>
        <w:rPr>
          <w:rFonts w:ascii="Arial" w:cs="Arial" w:eastAsia="Arial" w:hAnsi="Arial"/>
          <w:sz w:val="13"/>
          <w:szCs w:val="13"/>
          <w:b w:val="1"/>
          <w:bCs w:val="1"/>
          <w:color w:val="auto"/>
        </w:rPr>
        <w:t xml:space="preserve"> </w:t>
      </w:r>
      <w:r>
        <w:rPr>
          <w:rFonts w:ascii="Arial" w:cs="Arial" w:eastAsia="Arial" w:hAnsi="Arial"/>
          <w:sz w:val="13"/>
          <w:szCs w:val="13"/>
          <w:color w:val="auto"/>
        </w:rPr>
        <w:t>lives are reviewed, and adjusted if appropriate, at each balance sheet date. Major additions and improvements are capitalized as appropriate, only when it is probable that future economic benefits associated with the item and the cost of the item can be measured reliably; minor replacements and repairs are charged to the consolidated statements of operations. The Company also capitalizes interest on borrowings related to eligible capital expenditures. Capitalized interest is added to the cost of qualified assets and depreciated together with that asset cost. The Company also records capital-related government grants as a reduction to property, plant and equipment.</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Commencement of depreciation related to construction in progress and property, plant and equipment involves determining when the assets are available for their intended use. The Company considers various factors which include functionality, engineering specifications, nature and usage of assets among others, in assessing the conditions necessary for the assets to be capable of operating in the manner intended by the management. The Company also factors in the length of time it takes for the assets to reach the tooling qualification criteria from the initial point of when the assets are received. Depreciation is calculated on a straight-line basis over the estimated useful life of the assets as follows:</w:t>
      </w:r>
    </w:p>
    <w:p>
      <w:pPr>
        <w:sectPr>
          <w:pgSz w:w="11900" w:h="16838" w:orient="portrait"/>
          <w:cols w:equalWidth="0" w:num="1">
            <w:col w:w="11280"/>
          </w:cols>
          <w:pgMar w:left="300" w:top="214" w:right="319" w:bottom="1440" w:gutter="0" w:footer="0" w:header="0"/>
        </w:sectPr>
      </w:pPr>
    </w:p>
    <w:p>
      <w:pPr>
        <w:spacing w:after="0" w:line="102" w:lineRule="exact"/>
        <w:rPr>
          <w:sz w:val="20"/>
          <w:szCs w:val="20"/>
          <w:color w:val="auto"/>
        </w:rPr>
      </w:pPr>
    </w:p>
    <w:p>
      <w:pPr>
        <w:ind w:left="20"/>
        <w:spacing w:after="0"/>
        <w:rPr>
          <w:sz w:val="20"/>
          <w:szCs w:val="20"/>
          <w:color w:val="auto"/>
        </w:rPr>
      </w:pPr>
      <w:r>
        <w:rPr>
          <w:rFonts w:ascii="Arial" w:cs="Arial" w:eastAsia="Arial" w:hAnsi="Arial"/>
          <w:sz w:val="12"/>
          <w:szCs w:val="12"/>
          <w:color w:val="auto"/>
        </w:rPr>
        <w:t>Building and leasehold/land improvements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220"/>
        <w:spacing w:after="0" w:line="236" w:lineRule="auto"/>
        <w:rPr>
          <w:sz w:val="20"/>
          <w:szCs w:val="20"/>
          <w:color w:val="auto"/>
        </w:rPr>
      </w:pPr>
      <w:r>
        <w:rPr>
          <w:rFonts w:ascii="Arial" w:cs="Arial" w:eastAsia="Arial" w:hAnsi="Arial"/>
          <w:sz w:val="13"/>
          <w:szCs w:val="13"/>
          <w:color w:val="auto"/>
        </w:rPr>
        <w:t>Up to 50 years (or the remaining lease term of related land on which the buildings are erected, if shorter)</w:t>
      </w:r>
    </w:p>
    <w:p>
      <w:pPr>
        <w:spacing w:after="0" w:line="3" w:lineRule="exact"/>
        <w:rPr>
          <w:sz w:val="20"/>
          <w:szCs w:val="20"/>
          <w:color w:val="auto"/>
        </w:rPr>
      </w:pPr>
    </w:p>
    <w:p>
      <w:pPr>
        <w:sectPr>
          <w:pgSz w:w="11900" w:h="16838" w:orient="portrait"/>
          <w:cols w:equalWidth="0" w:num="2">
            <w:col w:w="4940" w:space="720"/>
            <w:col w:w="5620"/>
          </w:cols>
          <w:pgMar w:left="300" w:top="214" w:right="31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Equipment</w:t>
      </w:r>
    </w:p>
    <w:p>
      <w:pPr>
        <w:spacing w:after="0" w:line="20" w:lineRule="exact"/>
        <w:rPr>
          <w:sz w:val="20"/>
          <w:szCs w:val="20"/>
          <w:color w:val="auto"/>
        </w:rPr>
      </w:pPr>
      <w:r>
        <w:rPr>
          <w:sz w:val="20"/>
          <w:szCs w:val="20"/>
          <w:color w:val="auto"/>
        </w:rPr>
        <w:br w:type="column"/>
      </w:r>
    </w:p>
    <w:p>
      <w:pPr>
        <w:jc w:val="center"/>
        <w:ind w:right="4880"/>
        <w:spacing w:after="0"/>
        <w:rPr>
          <w:sz w:val="20"/>
          <w:szCs w:val="20"/>
          <w:color w:val="auto"/>
        </w:rPr>
      </w:pPr>
      <w:r>
        <w:rPr>
          <w:rFonts w:ascii="Arial" w:cs="Arial" w:eastAsia="Arial" w:hAnsi="Arial"/>
          <w:sz w:val="12"/>
          <w:szCs w:val="12"/>
          <w:color w:val="auto"/>
        </w:rPr>
        <w:t>2 to 10 years</w:t>
      </w:r>
    </w:p>
    <w:p>
      <w:pPr>
        <w:spacing w:after="0" w:line="32" w:lineRule="exact"/>
        <w:rPr>
          <w:sz w:val="20"/>
          <w:szCs w:val="20"/>
          <w:color w:val="auto"/>
        </w:rPr>
      </w:pPr>
    </w:p>
    <w:p>
      <w:pPr>
        <w:sectPr>
          <w:pgSz w:w="11900" w:h="16838" w:orient="portrait"/>
          <w:cols w:equalWidth="0" w:num="2">
            <w:col w:w="4940" w:space="720"/>
            <w:col w:w="5620"/>
          </w:cols>
          <w:pgMar w:left="300" w:top="214" w:right="31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Computers</w:t>
      </w:r>
    </w:p>
    <w:p>
      <w:pPr>
        <w:spacing w:after="0" w:line="20" w:lineRule="exact"/>
        <w:rPr>
          <w:sz w:val="20"/>
          <w:szCs w:val="20"/>
          <w:color w:val="auto"/>
        </w:rPr>
      </w:pPr>
      <w:r>
        <w:rPr>
          <w:sz w:val="20"/>
          <w:szCs w:val="20"/>
          <w:color w:val="auto"/>
        </w:rPr>
        <w:br w:type="column"/>
      </w:r>
    </w:p>
    <w:p>
      <w:pPr>
        <w:jc w:val="center"/>
        <w:ind w:right="5200"/>
        <w:spacing w:after="0"/>
        <w:rPr>
          <w:sz w:val="20"/>
          <w:szCs w:val="20"/>
          <w:color w:val="auto"/>
        </w:rPr>
      </w:pPr>
      <w:r>
        <w:rPr>
          <w:rFonts w:ascii="Arial" w:cs="Arial" w:eastAsia="Arial" w:hAnsi="Arial"/>
          <w:sz w:val="12"/>
          <w:szCs w:val="12"/>
          <w:color w:val="auto"/>
        </w:rPr>
        <w:t>5 years</w:t>
      </w:r>
    </w:p>
    <w:p>
      <w:pPr>
        <w:spacing w:after="0" w:line="170" w:lineRule="exact"/>
        <w:rPr>
          <w:sz w:val="20"/>
          <w:szCs w:val="20"/>
          <w:color w:val="auto"/>
        </w:rPr>
      </w:pPr>
    </w:p>
    <w:p>
      <w:pPr>
        <w:sectPr>
          <w:pgSz w:w="11900" w:h="16838" w:orient="portrait"/>
          <w:cols w:equalWidth="0" w:num="2">
            <w:col w:w="4940" w:space="720"/>
            <w:col w:w="5620"/>
          </w:cols>
          <w:pgMar w:left="300" w:top="214" w:right="319" w:bottom="1440" w:gutter="0" w:footer="0" w:header="0"/>
          <w:type w:val="continuous"/>
        </w:sectPr>
      </w:pPr>
    </w:p>
    <w:p>
      <w:pPr>
        <w:jc w:val="both"/>
        <w:spacing w:after="0" w:line="261" w:lineRule="auto"/>
        <w:rPr>
          <w:sz w:val="20"/>
          <w:szCs w:val="20"/>
          <w:color w:val="auto"/>
        </w:rPr>
      </w:pPr>
      <w:r>
        <w:rPr>
          <w:rFonts w:ascii="Arial" w:cs="Arial" w:eastAsia="Arial" w:hAnsi="Arial"/>
          <w:sz w:val="13"/>
          <w:szCs w:val="13"/>
          <w:color w:val="auto"/>
        </w:rPr>
        <w:t>The Company periodically assesses the estimated useful lives of property, plant and equipment. As a result of a review completed in April 2023, the Company concluded the estimated maximum useful life of certain buildings should be increased from 26 years to 50 years. This change in estimate was applied prospectively, effective beginning in the first quarter of 2023. The impact of the change in estimated useful lives of certain buildings resulted in an increase to income before income taxes of $76 million for the year ended December 31, 2023.</w:t>
      </w:r>
    </w:p>
    <w:p>
      <w:pPr>
        <w:spacing w:after="0" w:line="6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color w:val="auto"/>
        </w:rPr>
        <w:t>Leases</w:t>
      </w:r>
      <w:r>
        <w:rPr>
          <w:rFonts w:ascii="Arial" w:cs="Arial" w:eastAsia="Arial" w:hAnsi="Arial"/>
          <w:sz w:val="13"/>
          <w:szCs w:val="13"/>
          <w:color w:val="auto"/>
        </w:rPr>
        <w:t>—The Company determines if an arrangement is a lease or contains a lease at inception. That is, if the contract conveys the right to control the use of an identified asset for a period of time in</w:t>
      </w:r>
      <w:r>
        <w:rPr>
          <w:rFonts w:ascii="Arial" w:cs="Arial" w:eastAsia="Arial" w:hAnsi="Arial"/>
          <w:sz w:val="13"/>
          <w:szCs w:val="13"/>
          <w:b w:val="1"/>
          <w:bCs w:val="1"/>
          <w:color w:val="auto"/>
        </w:rPr>
        <w:t xml:space="preserve"> </w:t>
      </w:r>
      <w:r>
        <w:rPr>
          <w:rFonts w:ascii="Arial" w:cs="Arial" w:eastAsia="Arial" w:hAnsi="Arial"/>
          <w:sz w:val="13"/>
          <w:szCs w:val="13"/>
          <w:color w:val="auto"/>
        </w:rPr>
        <w:t>exchange for consideration.</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i w:val="1"/>
          <w:iCs w:val="1"/>
          <w:color w:val="auto"/>
        </w:rPr>
        <w:t>Right-of-use assets</w:t>
      </w:r>
      <w:r>
        <w:rPr>
          <w:rFonts w:ascii="Arial" w:cs="Arial" w:eastAsia="Arial" w:hAnsi="Arial"/>
          <w:sz w:val="13"/>
          <w:szCs w:val="13"/>
          <w:color w:val="auto"/>
        </w:rPr>
        <w:t>—Right-of-use (“ROU”) assets are reported within property, plant and equipment, and are measured at cost, less any accumulated depreciation and impairment losses, and adjusted</w:t>
      </w:r>
      <w:r>
        <w:rPr>
          <w:rFonts w:ascii="Arial" w:cs="Arial" w:eastAsia="Arial" w:hAnsi="Arial"/>
          <w:sz w:val="13"/>
          <w:szCs w:val="13"/>
          <w:i w:val="1"/>
          <w:iCs w:val="1"/>
          <w:color w:val="auto"/>
        </w:rPr>
        <w:t xml:space="preserve"> </w:t>
      </w:r>
      <w:r>
        <w:rPr>
          <w:rFonts w:ascii="Arial" w:cs="Arial" w:eastAsia="Arial" w:hAnsi="Arial"/>
          <w:sz w:val="13"/>
          <w:szCs w:val="13"/>
          <w:color w:val="auto"/>
        </w:rPr>
        <w:t>for any remeasurement of lease liabilities. The cost of ROU assets includes the amount of lease liabilities recognized, initial direct costs incurred, and lease payments made at or before the commencement date less any lease incentives received. ROU assets are depreciated on a straight-line basis over the shorter of the lease term and the estimated useful lives of the assets.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Lease liabilities</w:t>
      </w:r>
      <w:r>
        <w:rPr>
          <w:rFonts w:ascii="Arial" w:cs="Arial" w:eastAsia="Arial" w:hAnsi="Arial"/>
          <w:sz w:val="13"/>
          <w:szCs w:val="13"/>
          <w:color w:val="auto"/>
        </w:rPr>
        <w:t>—At the commencement date of the lease, the Company recognizes lease liabilities at the present value of the lease payments to be made over the lease term.</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calculating the present value of lease payments, the Company uses its incremental borrowing rate at the lease commencement date. After the commencement date, the amount of lease liabilities is increased to reflect the accretion of interest and reduced for the lease payments made. The carrying amount of lease liabilities is remeasured if there is a modification, a change in the lease term, a change in the lease payments or a change in the assessment of an option to purchase the underlying assets. The Company’s lease liabilities are separately reported in the consolidated statements of financial position under non-current portion of lease obligations and current portion of lease obligations.</w:t>
      </w:r>
    </w:p>
    <w:p>
      <w:pPr>
        <w:spacing w:after="0" w:line="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i w:val="1"/>
          <w:iCs w:val="1"/>
          <w:color w:val="auto"/>
        </w:rPr>
        <w:t>Short-term leases and leases of low-value assets</w:t>
      </w:r>
      <w:r>
        <w:rPr>
          <w:rFonts w:ascii="Arial" w:cs="Arial" w:eastAsia="Arial" w:hAnsi="Arial"/>
          <w:sz w:val="13"/>
          <w:szCs w:val="13"/>
          <w:color w:val="auto"/>
        </w:rPr>
        <w:t>—The Company applies the short-term lease recognition exemption to leases that have a lease term not exceeding 12 months, or for leases of low-value assets. The payment for such leases is recognized in the Company’s consolidated statements of operations on a straight-line basis over the lease term.</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color w:val="auto"/>
        </w:rPr>
        <w:t>Intangible Assets</w:t>
      </w:r>
      <w:r>
        <w:rPr>
          <w:rFonts w:ascii="Arial" w:cs="Arial" w:eastAsia="Arial" w:hAnsi="Arial"/>
          <w:sz w:val="13"/>
          <w:szCs w:val="13"/>
          <w:color w:val="auto"/>
        </w:rPr>
        <w:t>—Technology, patent, software licenses and similar rights acquired separately are stated at cost less accumulated amortization or are adjusted to fair value when impaired. Intangible</w:t>
      </w:r>
      <w:r>
        <w:rPr>
          <w:rFonts w:ascii="Arial" w:cs="Arial" w:eastAsia="Arial" w:hAnsi="Arial"/>
          <w:sz w:val="13"/>
          <w:szCs w:val="13"/>
          <w:b w:val="1"/>
          <w:bCs w:val="1"/>
          <w:color w:val="auto"/>
        </w:rPr>
        <w:t xml:space="preserve"> </w:t>
      </w:r>
      <w:r>
        <w:rPr>
          <w:rFonts w:ascii="Arial" w:cs="Arial" w:eastAsia="Arial" w:hAnsi="Arial"/>
          <w:sz w:val="13"/>
          <w:szCs w:val="13"/>
          <w:color w:val="auto"/>
        </w:rPr>
        <w:t>assets acquired through business combinations which include customer relationships and manufacturing and process technology, are recorded at estimated fair values at the date of acquisition. Intangible assets are amortized based on the pattern in which the economic benefits of the respective intangible asset are consumed, which is, in general, on a straight-line basis over their estimated useful lives of between 3 and 10 years. The amortization period and the amortization method for an intangible asset with a finite useful life are reviewed at least at the end of each reporting period, with the effect of any changes in estimate being accounted for on a prospective basis.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color w:val="auto"/>
        </w:rPr>
        <w:t>Impairment of Non-Financial Assets</w:t>
      </w:r>
      <w:r>
        <w:rPr>
          <w:rFonts w:ascii="Arial" w:cs="Arial" w:eastAsia="Arial" w:hAnsi="Arial"/>
          <w:sz w:val="13"/>
          <w:szCs w:val="13"/>
          <w:color w:val="auto"/>
        </w:rPr>
        <w:t>—The Company reviews, at each reporting date, the carrying amount of the Company’s property, plant and equipment and finite lived intangible assets to</w:t>
      </w:r>
      <w:r>
        <w:rPr>
          <w:rFonts w:ascii="Arial" w:cs="Arial" w:eastAsia="Arial" w:hAnsi="Arial"/>
          <w:sz w:val="13"/>
          <w:szCs w:val="13"/>
          <w:b w:val="1"/>
          <w:bCs w:val="1"/>
          <w:color w:val="auto"/>
        </w:rPr>
        <w:t xml:space="preserve"> </w:t>
      </w:r>
      <w:r>
        <w:rPr>
          <w:rFonts w:ascii="Arial" w:cs="Arial" w:eastAsia="Arial" w:hAnsi="Arial"/>
          <w:sz w:val="13"/>
          <w:szCs w:val="13"/>
          <w:color w:val="auto"/>
        </w:rPr>
        <w:t>determine whether there is any indication that those assets have suffered an impairment loss.</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If any indication exists, the recoverable amount of the asset is estimated in order to determine the extent, if any, of the impairment loss. Where it is not possible to estimate the recoverable amount of an individual assets, the Company estimates the recoverable amount of the cash generating unit (“CGU”) to which the asset belongs. The recoverable amount of an asset or CGU is estimated to be the higher of an asset’s or CGU’s fair value less costs to dispose and its value in use. When the carrying amount of an asset or CGU exceeds its recoverable amount, the asset or CGU is considered impaired and is written down to its recoverable amount. The Company also evaluates, and adjusts, if appropriate, the asset’s useful lives, at each reporting date or when impairment indicators exist.</w:t>
      </w:r>
    </w:p>
    <w:p>
      <w:pPr>
        <w:spacing w:after="0" w:line="4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assessing value in use, the estimated future post-tax cash flows are discounted to their present value using a pre-tax discount rate that reflects current market assessments of the time value of money and the risks specific to the asset for which the estimates of future cash flows have not been adjusted.</w:t>
      </w:r>
    </w:p>
    <w:p>
      <w:pPr>
        <w:spacing w:after="0" w:line="4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Impairment losses are recognized in the consolidated statements of operations to the extent the recoverable amount, measured at the present value of discounted cash flows attributable to the assets, is less than their carrying value.</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If the recoverable amount subsequently increases, the impairment loss previously recognized will be reversed to the extent of the increase in the recoverable amount, provided that the increased carrying amount does not exceed the carrying amount that would have been determined had no impairment loss been recognized for the asset in prior years. The impairment loss reversal is recognized immediately in the consolidated statements of operations.</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Revenue Recognition</w:t>
      </w:r>
      <w:r>
        <w:rPr>
          <w:rFonts w:ascii="Arial" w:cs="Arial" w:eastAsia="Arial" w:hAnsi="Arial"/>
          <w:sz w:val="13"/>
          <w:szCs w:val="13"/>
          <w:color w:val="auto"/>
        </w:rPr>
        <w:t>—The Company generates revenue primarily from fabricating semiconductor wafers for its customers using the manufacturing processes based on their own or third parties’</w:t>
      </w:r>
      <w:r>
        <w:rPr>
          <w:rFonts w:ascii="Arial" w:cs="Arial" w:eastAsia="Arial" w:hAnsi="Arial"/>
          <w:sz w:val="13"/>
          <w:szCs w:val="13"/>
          <w:b w:val="1"/>
          <w:bCs w:val="1"/>
          <w:color w:val="auto"/>
        </w:rPr>
        <w:t xml:space="preserve"> </w:t>
      </w:r>
      <w:r>
        <w:rPr>
          <w:rFonts w:ascii="Arial" w:cs="Arial" w:eastAsia="Arial" w:hAnsi="Arial"/>
          <w:sz w:val="13"/>
          <w:szCs w:val="13"/>
          <w:color w:val="auto"/>
        </w:rPr>
        <w:t>proprietary integrated circuit designs and, to a lesser extent, the Company also generates revenue from engineering and other pre-fabrication services such as non-recurring engineering (“NRE”) services, which include design services and mask production.</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recognizes revenue when performance obligations are satisfied. The performance obligations are satisfied at the point at which control of the wafers is transferred to the customer, which is determined to be at the point of wafer shipment from the Company’s facilities or delivery to the customer location. NRE services are recognized over time as the Company performs the services based on a percentage of costs incurred over total expected costs.</w:t>
      </w:r>
    </w:p>
    <w:p>
      <w:pPr>
        <w:spacing w:after="0" w:line="53"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Company generally requires a purchase order from all of its customers, to which the Company responds with an order acknowledgement and a copy of the Company’s standard terms and conditions. The Company also enters into master supply agreements (“MSA”) with certain of its customers that may specify additional terms and conditions, such as pricing formulas based on volume, volume discounts, calculation of yield adjustments, indemnifications, transfer of title and risk of loss, and payment terms. The Company also requires a purchase order from its customers with which it has MSAs for specific products and quantities. As a result, the Company has concluded that the combination of a purchase order and order acknowledgement, including the Company’s standard terms and conditions, and the MSA, if applicable, create enforceable rights and obligations between the Company and its customers. For certain customers under long-term supply agreements (“LTAs”) with minimum volume requirements that are subject to a certain breakage fee if such commitment is not met, the Company has concluded that LTAs’ terms and conditions generally constitute enforceable rights and obligations for revenue recognition purposes, unless the underlying facts and circumstances vary and indicate otherwise.</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Typically, goods and services provided under the Company’s contracts are accounted for as a single performance obligation. However, in some contracts, the Company provides multiple distinct goods or services to a customer. In those cases, the Company accounts for the distinct contract deliverables as separate performance obligations at the stated contract value, which appropriately represents the individual performance obligation’s estimated standalone selling price.</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Company estimates for the breakage fee arising from not meeting the minimum purchase requirements under certain LTAs with customers as variable consideration and includes such fee in the contract transaction price if not constrained, and accordingly, recognizes as revenue upon satisfaction of performance obligations for wafers over the expected term of the agreement. Given the volumes under these arrangements are usually not guaranteed and subject to subsequent negotiations or changes, breakage fees that are constrained are not included in the contract transaction price for revenue recognition purposes.</w:t>
      </w:r>
    </w:p>
    <w:p>
      <w:pPr>
        <w:spacing w:after="0" w:line="5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estimates the variable consideration related to volume rebates and yield adjustments for certain contracts that may be refundable to customers through the issuance of a credit note, and accordingly, recognizes revenue in accordance with the pattern applicable to the performance obligation, subject to a constraint. The Company determines the amounts to be recognized based on the amount of potential refund required by the contract, historical experience and other surrounding facts and circumstances. These potential revenue adjustments are accrued and netted against accounts receivable on the consolidated statements of financial position.</w:t>
      </w:r>
    </w:p>
    <w:p>
      <w:pPr>
        <w:spacing w:after="0" w:line="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contracts may be subsequently modified to reflect changes in scope or customer requirements. Generally, our contract modifications are for goods or services that are distinct from the existing contract and are accounted for as a new contract and performance obligation, which are recognized prospectively. If contract modifications are for goods or services that are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not distinct from the existing contract, they are accounted for as if they are part of the original contract with the effect of the contract modification recognized as an adjustment to revenue on a cumulative catch-up basis.</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 contract asset (“unbilled accounts receivables”) is recognized when the Company has recognized revenue, but not issued an invoice for payment. The Company has determined that unbilled accounts receivables are not considered a significant financing component of the Company’s contracts. Contract assets are included in receivables, prepayments and other assets on the consolidated statements of financial position and are transferred to trade receivables when invoiced (see Note 6).</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 contract liability is recognized when the Company receives payments in advance of the satisfaction of performance obligations and are included as deferred revenue on the consolidated statements of financial position (see Note 11). This includes upfront non-refundable capacity access fees under certain LTAs with customers which are accounted for as additional wafer price considerations and recognized as revenue upon satisfaction of performance obligations for wafers over the expected term of the agreements.</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Provisions</w:t>
      </w:r>
      <w:r>
        <w:rPr>
          <w:rFonts w:ascii="Arial" w:cs="Arial" w:eastAsia="Arial" w:hAnsi="Arial"/>
          <w:sz w:val="13"/>
          <w:szCs w:val="13"/>
          <w:color w:val="auto"/>
        </w:rPr>
        <w:t>—Provisions are recognized when the Company has a present legal or constructive obligation as a result of past events; it is probable that an outflow of resources will be required to settle</w:t>
      </w:r>
      <w:r>
        <w:rPr>
          <w:rFonts w:ascii="Arial" w:cs="Arial" w:eastAsia="Arial" w:hAnsi="Arial"/>
          <w:sz w:val="13"/>
          <w:szCs w:val="13"/>
          <w:b w:val="1"/>
          <w:bCs w:val="1"/>
          <w:color w:val="auto"/>
        </w:rPr>
        <w:t xml:space="preserve"> </w:t>
      </w:r>
      <w:r>
        <w:rPr>
          <w:rFonts w:ascii="Arial" w:cs="Arial" w:eastAsia="Arial" w:hAnsi="Arial"/>
          <w:sz w:val="13"/>
          <w:szCs w:val="13"/>
          <w:color w:val="auto"/>
        </w:rPr>
        <w:t>the obligation; and the amount has been reliably estimated. Provisions are mainly made up of site restoration obligations, as well as restructuring charges. The associated site restoration costs are capitalized as part of the carrying amount of the underlying asset and depreciated over the estimated useful life of the related long-lived assets.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A provision for restructuring is recognized when the Company has approved a detailed and formal restructuring plan, and the restructuring either has commenced or has been announced publicly.</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Future operating losses are not provided for.</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The Company records site restoration obligations in the period in which they are incurred at their estimated fair value. Site restoration obligations consist of the present value of the estimated costs of dismantlement, removal, site reclamation and similar activities associated with facilities built on land held under long-term operating leases. The site restoration obligations are recorded as a liability at the estimated present value as of the related long-lived asset’s inception discounted using a pre-tax rate that reflects the current market assessment of the time value of money and risks specific to the site restoration obligations. After initial recognition, the liability is increased for the passage of time, with the increase being reflected as accretion expense in the line item “finance expenses” in the consolidated statements of operations. The associated site restoration costs are capitalized as part of the carrying amount of the underlying asset and depreciated over the estimated useful life of the related long-lived asset. Subsequent adjustments in the discount rates, estimated amounts, timing and probability of the estimated future costs and changes resulting from the passage of time are recognized as an increase or decrease in the carrying amount of the liability and the related site restoration cost capitalized as part of the carrying amount of the related long-lived asset on a prospective basis. If the decrease in the liability exceeds the remaining carrying amount of the related long-lived assets, the excess is recognized in the consolidated statements of operations.</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color w:val="auto"/>
        </w:rPr>
        <w:t>Deferred Tax Assets—</w:t>
      </w:r>
      <w:r>
        <w:rPr>
          <w:rFonts w:ascii="Arial" w:cs="Arial" w:eastAsia="Arial" w:hAnsi="Arial"/>
          <w:sz w:val="13"/>
          <w:szCs w:val="13"/>
          <w:color w:val="auto"/>
        </w:rPr>
        <w:t>Deferred tax assets are recognized for all deductible temporary differences, carryforward of unused tax credits and unused tax losses, to the extent that it is probable that</w:t>
      </w:r>
      <w:r>
        <w:rPr>
          <w:rFonts w:ascii="Arial" w:cs="Arial" w:eastAsia="Arial" w:hAnsi="Arial"/>
          <w:sz w:val="13"/>
          <w:szCs w:val="13"/>
          <w:b w:val="1"/>
          <w:bCs w:val="1"/>
          <w:color w:val="auto"/>
        </w:rPr>
        <w:t xml:space="preserve"> </w:t>
      </w:r>
      <w:r>
        <w:rPr>
          <w:rFonts w:ascii="Arial" w:cs="Arial" w:eastAsia="Arial" w:hAnsi="Arial"/>
          <w:sz w:val="13"/>
          <w:szCs w:val="13"/>
          <w:color w:val="auto"/>
        </w:rPr>
        <w:t>taxable profit will be available against which the deductible temporary differences, and the carryforward of unused tax credits and unused tax losses can be utilized except in respect of deductible temporary differences associated with investments in subsidiaries, associates and interests in joint ventures, deferred tax assets are recognized only to the extent that it is probable that the temporary differences will reverse in the foreseeable future and taxable profit will be available against which the temporary differences can be utilized.</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carrying amount of deferred tax assets is reviewed at each balance sheet date and reduced to the extent that it is no longer probable that sufficient taxable profit will be available to allow all or part of the deferred tax asset to be utilized. Unrecognized deferred tax assets are reassessed at each balance sheet date and are recognized to the extent that it has become probable that future taxable profit will allow the deferred tax asset to be recovered.</w:t>
      </w:r>
    </w:p>
    <w:p>
      <w:pPr>
        <w:spacing w:after="0" w:line="5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Deferred tax assets and liabilities are measured at the tax rates that are expected to apply to the year when the asset is realized or the liability is settled, based on tax rates (and tax laws) that have been enacted or substantively enacted at the balance sheet date.</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color w:val="auto"/>
        </w:rPr>
        <w:t>Earnings Per Share</w:t>
      </w:r>
      <w:r>
        <w:rPr>
          <w:rFonts w:ascii="Arial" w:cs="Arial" w:eastAsia="Arial" w:hAnsi="Arial"/>
          <w:sz w:val="13"/>
          <w:szCs w:val="13"/>
          <w:color w:val="auto"/>
        </w:rPr>
        <w:t>—Basic earnings per share is calculated by dividing the net income (loss) attributable to equity holders of the Company by the weighted average number of ordinary shares</w:t>
      </w:r>
      <w:r>
        <w:rPr>
          <w:rFonts w:ascii="Arial" w:cs="Arial" w:eastAsia="Arial" w:hAnsi="Arial"/>
          <w:sz w:val="13"/>
          <w:szCs w:val="13"/>
          <w:b w:val="1"/>
          <w:bCs w:val="1"/>
          <w:color w:val="auto"/>
        </w:rPr>
        <w:t xml:space="preserve"> </w:t>
      </w:r>
      <w:r>
        <w:rPr>
          <w:rFonts w:ascii="Arial" w:cs="Arial" w:eastAsia="Arial" w:hAnsi="Arial"/>
          <w:sz w:val="13"/>
          <w:szCs w:val="13"/>
          <w:color w:val="auto"/>
        </w:rPr>
        <w:t>outstanding during the year.</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Diluted earnings per share is calculated by dividing the net income (loss) attributable to equity holders of the Company by the weighted average number of ordinary shares outstanding, adjusted for the effects of all potentially dilutive ordinary shares. The weighted average number of ordinary shares outstanding is increased by the number of additional ordinary shares that would have been issued by the Company assuming exercise of all options with exercise prices below the average market price for the year.</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Share-based compensation</w:t>
      </w:r>
      <w:r>
        <w:rPr>
          <w:rFonts w:ascii="Arial" w:cs="Arial" w:eastAsia="Arial" w:hAnsi="Arial"/>
          <w:sz w:val="13"/>
          <w:szCs w:val="13"/>
          <w:color w:val="auto"/>
        </w:rPr>
        <w:t>—Share-based compensation expense related to share awards is recognized based on the fair value of the awards granted.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grant date fair value of equity-settled share-based payment awards granted to employee is recognized as an employee benefit expense, with a corresponding increase in equity, over the vesting period of the awards, The amount recognized as an expense is adjusted to reflected the number of awards for which the service and non-market performance conditions are expected to be met, such that the amount ultimately recognized as an expense is based on the number of awards that meet the service and non-market performance conditions at the vesting date. For share-based payment awards with non-vesting conditions, the grant date fair value of the share-based payment is measured to reflect such conditions and there is no true-up for differences between expected and actual performance.</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color w:val="auto"/>
        </w:rPr>
        <w:t>Government Grants</w:t>
      </w:r>
      <w:r>
        <w:rPr>
          <w:rFonts w:ascii="Arial" w:cs="Arial" w:eastAsia="Arial" w:hAnsi="Arial"/>
          <w:sz w:val="13"/>
          <w:szCs w:val="13"/>
          <w:color w:val="auto"/>
        </w:rPr>
        <w:t>—Government grants are recognized when there is reasonable assurance that the grant will be received and the Company will be in compliance with all attached conditions. When</w:t>
      </w:r>
      <w:r>
        <w:rPr>
          <w:rFonts w:ascii="Arial" w:cs="Arial" w:eastAsia="Arial" w:hAnsi="Arial"/>
          <w:sz w:val="13"/>
          <w:szCs w:val="13"/>
          <w:b w:val="1"/>
          <w:bCs w:val="1"/>
          <w:color w:val="auto"/>
        </w:rPr>
        <w:t xml:space="preserve"> </w:t>
      </w:r>
      <w:r>
        <w:rPr>
          <w:rFonts w:ascii="Arial" w:cs="Arial" w:eastAsia="Arial" w:hAnsi="Arial"/>
          <w:sz w:val="13"/>
          <w:szCs w:val="13"/>
          <w:color w:val="auto"/>
        </w:rPr>
        <w:t>the grant relates to an expense item it is recognized as deferred income and released to the consolidated statements of operations over the period necessary to match the grant on a systematic basis to the costs that it is intended to compensate and is presented as a reduction of those costs. Where the grant relates to acquisition of assets, it is recognized as a reduction in the basis of the asset and released as a reduction to depreciation expense in equal amounts over the expected useful life of the related asset. Grants the Company received are primarily provided in connection with construction and operation of the Company’s manufacturing facilities, employment and research and development.</w:t>
      </w:r>
    </w:p>
    <w:p>
      <w:pPr>
        <w:spacing w:after="0" w:line="14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Research and Development Costs</w:t>
      </w:r>
      <w:r>
        <w:rPr>
          <w:rFonts w:ascii="Arial" w:cs="Arial" w:eastAsia="Arial" w:hAnsi="Arial"/>
          <w:sz w:val="13"/>
          <w:szCs w:val="13"/>
          <w:color w:val="auto"/>
        </w:rPr>
        <w:t>—Research costs are expensed as incurred. Development costs are recognized as intangible assets if development costs can be measured reliably, the product or</w:t>
      </w:r>
      <w:r>
        <w:rPr>
          <w:rFonts w:ascii="Arial" w:cs="Arial" w:eastAsia="Arial" w:hAnsi="Arial"/>
          <w:sz w:val="13"/>
          <w:szCs w:val="13"/>
          <w:b w:val="1"/>
          <w:bCs w:val="1"/>
          <w:color w:val="auto"/>
        </w:rPr>
        <w:t xml:space="preserve"> </w:t>
      </w:r>
      <w:r>
        <w:rPr>
          <w:rFonts w:ascii="Arial" w:cs="Arial" w:eastAsia="Arial" w:hAnsi="Arial"/>
          <w:sz w:val="13"/>
          <w:szCs w:val="13"/>
          <w:color w:val="auto"/>
        </w:rPr>
        <w:t>process is technically and commercially feasible, future economic benefits are probable, and the Company intends to and has sufficient resources to complete development and to use or sell the assets.</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Borrowing Costs</w:t>
      </w:r>
      <w:r>
        <w:rPr>
          <w:rFonts w:ascii="Arial" w:cs="Arial" w:eastAsia="Arial" w:hAnsi="Arial"/>
          <w:sz w:val="13"/>
          <w:szCs w:val="13"/>
          <w:color w:val="auto"/>
        </w:rPr>
        <w:t>—Borrowing costs directly attributable to the construction phase of property, plant and equipment are capitalized as part of the cost of assets which are constructed by the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and for which a considerable period of time (at least six months) is planned for construction. Borrowing costs are capitalized from the start of construction until the date the asset is ready for its intended use. All other borrowing costs are recognized as an expense in the period in which they are incurred.</w:t>
      </w:r>
    </w:p>
    <w:p>
      <w:pPr>
        <w:spacing w:after="0" w:line="13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color w:val="auto"/>
        </w:rPr>
        <w:t>Current Income Tax</w:t>
      </w:r>
      <w:r>
        <w:rPr>
          <w:rFonts w:ascii="Arial" w:cs="Arial" w:eastAsia="Arial" w:hAnsi="Arial"/>
          <w:sz w:val="13"/>
          <w:szCs w:val="13"/>
          <w:color w:val="auto"/>
        </w:rPr>
        <w:t>—Current income tax assets and liabilities are measured at the amount expected to be recovered from or paid to the taxation authorities. The tax rates and tax laws used to</w:t>
      </w:r>
      <w:r>
        <w:rPr>
          <w:rFonts w:ascii="Arial" w:cs="Arial" w:eastAsia="Arial" w:hAnsi="Arial"/>
          <w:sz w:val="13"/>
          <w:szCs w:val="13"/>
          <w:b w:val="1"/>
          <w:bCs w:val="1"/>
          <w:color w:val="auto"/>
        </w:rPr>
        <w:t xml:space="preserve"> </w:t>
      </w:r>
      <w:r>
        <w:rPr>
          <w:rFonts w:ascii="Arial" w:cs="Arial" w:eastAsia="Arial" w:hAnsi="Arial"/>
          <w:sz w:val="13"/>
          <w:szCs w:val="13"/>
          <w:color w:val="auto"/>
        </w:rPr>
        <w:t>compute the amount are those that are enacted or substantively enacted by the balance sheet date.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 and Developments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 Adopted:</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Amendments to IFRS 7, IFRS 9 and IAS 39 Interest Rate Benchmark Reform </w:t>
      </w:r>
      <w:r>
        <w:rPr>
          <w:rFonts w:ascii="Arial" w:cs="Arial" w:eastAsia="Arial" w:hAnsi="Arial"/>
          <w:sz w:val="13"/>
          <w:szCs w:val="13"/>
          <w:color w:val="auto"/>
        </w:rPr>
        <w:t>—</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i w:val="1"/>
          <w:iCs w:val="1"/>
          <w:color w:val="auto"/>
        </w:rPr>
        <w:t xml:space="preserve">Phase 1 Amendments </w:t>
      </w:r>
      <w:r>
        <w:rPr>
          <w:rFonts w:ascii="Arial" w:cs="Arial" w:eastAsia="Arial" w:hAnsi="Arial"/>
          <w:sz w:val="13"/>
          <w:szCs w:val="13"/>
          <w:color w:val="auto"/>
        </w:rPr>
        <w:t>- On 1 January 2020, the Company adopted the Phase 1 amendments arising from the Interbank Offered Rate (“IBOR”) reform amendments issued in September 2019, which</w:t>
      </w:r>
      <w:r>
        <w:rPr>
          <w:rFonts w:ascii="Arial" w:cs="Arial" w:eastAsia="Arial" w:hAnsi="Arial"/>
          <w:sz w:val="13"/>
          <w:szCs w:val="13"/>
          <w:i w:val="1"/>
          <w:iCs w:val="1"/>
          <w:color w:val="auto"/>
        </w:rPr>
        <w:t xml:space="preserve"> </w:t>
      </w:r>
      <w:r>
        <w:rPr>
          <w:rFonts w:ascii="Arial" w:cs="Arial" w:eastAsia="Arial" w:hAnsi="Arial"/>
          <w:sz w:val="13"/>
          <w:szCs w:val="13"/>
          <w:color w:val="auto"/>
        </w:rPr>
        <w:t>provides temporary relief from applying specific hedge accounting requirements to hedge relationships directly affected by IBOR reform, such that the effect is that IBOR reform should not generally cause hedge accounting to terminate.</w:t>
      </w:r>
    </w:p>
    <w:p>
      <w:pPr>
        <w:spacing w:after="0" w:line="53" w:lineRule="exact"/>
        <w:rPr>
          <w:sz w:val="20"/>
          <w:szCs w:val="20"/>
          <w:color w:val="auto"/>
        </w:rPr>
      </w:pPr>
    </w:p>
    <w:p>
      <w:pPr>
        <w:jc w:val="both"/>
        <w:spacing w:after="0" w:line="327" w:lineRule="auto"/>
        <w:rPr>
          <w:sz w:val="20"/>
          <w:szCs w:val="20"/>
          <w:color w:val="auto"/>
        </w:rPr>
      </w:pPr>
      <w:r>
        <w:rPr>
          <w:rFonts w:ascii="Arial" w:cs="Arial" w:eastAsia="Arial" w:hAnsi="Arial"/>
          <w:sz w:val="12"/>
          <w:szCs w:val="12"/>
          <w:i w:val="1"/>
          <w:iCs w:val="1"/>
          <w:color w:val="auto"/>
        </w:rPr>
        <w:t xml:space="preserve">Phase 2 Amendments </w:t>
      </w:r>
      <w:r>
        <w:rPr>
          <w:rFonts w:ascii="Arial" w:cs="Arial" w:eastAsia="Arial" w:hAnsi="Arial"/>
          <w:sz w:val="12"/>
          <w:szCs w:val="12"/>
          <w:color w:val="auto"/>
        </w:rPr>
        <w:t>- On 1 January 2021, the Company adopted the Phase 2 amendments arising from the IBOR reform issued in August 2020. The Phase 2 amendments address issues that arise</w:t>
      </w:r>
      <w:r>
        <w:rPr>
          <w:rFonts w:ascii="Arial" w:cs="Arial" w:eastAsia="Arial" w:hAnsi="Arial"/>
          <w:sz w:val="12"/>
          <w:szCs w:val="12"/>
          <w:i w:val="1"/>
          <w:iCs w:val="1"/>
          <w:color w:val="auto"/>
        </w:rPr>
        <w:t xml:space="preserve"> </w:t>
      </w:r>
      <w:r>
        <w:rPr>
          <w:rFonts w:ascii="Arial" w:cs="Arial" w:eastAsia="Arial" w:hAnsi="Arial"/>
          <w:sz w:val="12"/>
          <w:szCs w:val="12"/>
          <w:color w:val="auto"/>
        </w:rPr>
        <w:t>from the implementation of the IBOR reform, including the replacement of an interest rate benchmark with an alternative benchmark rate. The key reliefs provided to the Company are as follows:</w:t>
      </w:r>
    </w:p>
    <w:p>
      <w:pPr>
        <w:spacing w:after="0" w:line="17" w:lineRule="exact"/>
        <w:rPr>
          <w:sz w:val="20"/>
          <w:szCs w:val="20"/>
          <w:color w:val="auto"/>
        </w:rPr>
      </w:pPr>
    </w:p>
    <w:p>
      <w:pPr>
        <w:ind w:left="520" w:hanging="260"/>
        <w:spacing w:after="0" w:line="283" w:lineRule="auto"/>
        <w:tabs>
          <w:tab w:leader="none" w:pos="511" w:val="left"/>
        </w:tabs>
        <w:numPr>
          <w:ilvl w:val="0"/>
          <w:numId w:val="96"/>
        </w:numPr>
        <w:rPr>
          <w:rFonts w:ascii="Arial" w:cs="Arial" w:eastAsia="Arial" w:hAnsi="Arial"/>
          <w:sz w:val="13"/>
          <w:szCs w:val="13"/>
          <w:color w:val="auto"/>
        </w:rPr>
      </w:pPr>
      <w:r>
        <w:rPr>
          <w:rFonts w:ascii="Arial" w:cs="Arial" w:eastAsia="Arial" w:hAnsi="Arial"/>
          <w:sz w:val="13"/>
          <w:szCs w:val="13"/>
          <w:color w:val="auto"/>
        </w:rPr>
        <w:t>financial instruments measured at amortized cost are allowed to account for changes in the basis for determining contractual cash flows as a direct consequence of the IBOR reform by updating the effective interest rate, provided that the new basis is economically equivalent to the previous basis, such that there is no immediate gain or loss recognized; and</w:t>
      </w:r>
    </w:p>
    <w:p>
      <w:pPr>
        <w:spacing w:after="0" w:line="40" w:lineRule="exact"/>
        <w:rPr>
          <w:rFonts w:ascii="Arial" w:cs="Arial" w:eastAsia="Arial" w:hAnsi="Arial"/>
          <w:sz w:val="13"/>
          <w:szCs w:val="13"/>
          <w:color w:val="auto"/>
        </w:rPr>
      </w:pPr>
    </w:p>
    <w:p>
      <w:pPr>
        <w:ind w:left="500" w:hanging="240"/>
        <w:spacing w:after="0"/>
        <w:tabs>
          <w:tab w:leader="none" w:pos="5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most IFRS 9 hedge relationships that are directly affected by the IBOR reform are allowed to continue.</w:t>
      </w:r>
    </w:p>
    <w:p>
      <w:pPr>
        <w:spacing w:after="0" w:line="8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As of June 30, 2023, the Company had completed the transition of the affected rates on borrowings from USD London Interbank Offered Rate to Term Secured Overnight Financing Rate (“SOFR”) and assessed the changes to be economically equivalent in accordance with IFRS 9. Any future impact has been deemed to be immaterial to the Company.</w:t>
      </w: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 Not Adopted:</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not adopted the following new, revised or amended IFRS standards that have been issued by the IASB but are not yet effective:</w:t>
      </w:r>
    </w:p>
    <w:p>
      <w:pPr>
        <w:spacing w:after="0" w:line="84" w:lineRule="exact"/>
        <w:rPr>
          <w:sz w:val="20"/>
          <w:szCs w:val="20"/>
          <w:color w:val="auto"/>
        </w:rPr>
      </w:pPr>
    </w:p>
    <w:p>
      <w:pPr>
        <w:ind w:left="500" w:hanging="240"/>
        <w:spacing w:after="0"/>
        <w:tabs>
          <w:tab w:leader="none" w:pos="500" w:val="left"/>
        </w:tabs>
        <w:numPr>
          <w:ilvl w:val="0"/>
          <w:numId w:val="97"/>
        </w:numPr>
        <w:rPr>
          <w:rFonts w:ascii="Arial" w:cs="Arial" w:eastAsia="Arial" w:hAnsi="Arial"/>
          <w:sz w:val="13"/>
          <w:szCs w:val="13"/>
          <w:color w:val="auto"/>
        </w:rPr>
      </w:pPr>
      <w:r>
        <w:rPr>
          <w:rFonts w:ascii="Arial" w:cs="Arial" w:eastAsia="Arial" w:hAnsi="Arial"/>
          <w:sz w:val="13"/>
          <w:szCs w:val="13"/>
          <w:color w:val="auto"/>
        </w:rPr>
        <w:t>Non-current Liabilities with Covenants - Amendments to IAS 1 - Effective for annual periods beginning on or after January 01, 2024;</w:t>
      </w:r>
    </w:p>
    <w:p>
      <w:pPr>
        <w:spacing w:after="0" w:line="200" w:lineRule="exact"/>
        <w:rPr>
          <w:rFonts w:ascii="Arial" w:cs="Arial" w:eastAsia="Arial" w:hAnsi="Arial"/>
          <w:sz w:val="13"/>
          <w:szCs w:val="13"/>
          <w:color w:val="auto"/>
        </w:rPr>
      </w:pPr>
    </w:p>
    <w:p>
      <w:pPr>
        <w:spacing w:after="0" w:line="287" w:lineRule="exact"/>
        <w:rPr>
          <w:rFonts w:ascii="Arial" w:cs="Arial" w:eastAsia="Arial" w:hAnsi="Arial"/>
          <w:sz w:val="13"/>
          <w:szCs w:val="13"/>
          <w:color w:val="auto"/>
        </w:rPr>
      </w:pPr>
    </w:p>
    <w:p>
      <w:pPr>
        <w:ind w:left="5520"/>
        <w:spacing w:after="0"/>
        <w:rPr>
          <w:rFonts w:ascii="Arial" w:cs="Arial" w:eastAsia="Arial" w:hAnsi="Arial"/>
          <w:sz w:val="13"/>
          <w:szCs w:val="13"/>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p>
      <w:pPr>
        <w:ind w:left="500" w:hanging="240"/>
        <w:spacing w:after="0"/>
        <w:tabs>
          <w:tab w:leader="none" w:pos="5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Lease Liability in a Sale and Leaseback - Amendments to IFRS 16 - Effective for annual periods beginning on or after January 01, 2024;</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Supplier Finance Arrangements - Amendments to IAS 7 and IFRS 7-Effective for annual periods beginning on or after January 01, 2024</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General Requirement for Disclosure of Sustainability-related Financial Information - IFRS S1 -Effective for annual reporting periods beginning on or after January 1, 2024;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Climate Related Disclosures - IFRS S2 - Effective for annual reporting periods beginning on or after January 1, 2024</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As of the date the accompanying financial statements were authorized for issue, the Company continues to evaluate the impact on its financial position and performance as a result of the initial adoption of the aforementioned standards or interpretations and related applicable period. The Company does not anticipate the impacts of the standards effective for annual periods beginning on or after January 01, 2024 will have a material impact on the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Legislation:</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August 2022, the CHIPS and Science Act was signed into U.S. law. Designed to boost investment in domestic high tech-research and development and catalyze investment in domestic semiconductor manufacturing capacity the CHIPS and Science Act provides a 25% refundable advanced manufacturing investment tax credit (“AMITC”) on certain investment and other financial incentives to promote investments in domestic semiconductor manufacturing beginning in 2023. The Company has analyzed the provisions of the new law and determined that certain capital expenditures will qualify under the law and provide a refundable tax credit to the Company on its 2023 tax return.</w:t>
      </w:r>
    </w:p>
    <w:p>
      <w:pPr>
        <w:spacing w:after="0" w:line="7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August 2022, the U.S. Inflation Reduction Act (the "IRA") was signed into law. The IRA establishes a new corporate alternative minimum tax ("CAMT") of 15% for corporations with an average global adjusted financial statement income in excess of $1 billion over a consecutive three year period, as well as a 1% excise tax on qualifying stock repurchases. The CAMT is effective for tax years beginning after December 31, 2022. The Company has estimated no tax liability relating to CAMT for the current fiscal year. It is possible that the CAMT could result in an additional tax liability in a particular year due to offsetting the U.S. tax liability with prior year losses. The Company continues to evaluate the impact the IRA may have on its operations and consolidated financial statements in future periods.</w:t>
      </w:r>
    </w:p>
    <w:p>
      <w:pPr>
        <w:spacing w:after="0" w:line="7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 xml:space="preserve">Legislation and administrative guidance continue to evolve under the Organization for Economic Co-operation and Development's ("OECD") international tax reform centering on a global minimum tax regime ("Pillar 2") effective beginning in fiscal year 2024. The Pillar 2 regime seeks to collect additional top-up taxes from multinational groups whose effective tax rates are lower than 15% at a jurisdictional level. The initiative will also trigger additional compliance obligations, such as the requirement to file an annual GloBE Information Return within 15 months of the end of the fiscal year. Pillar 2 is being accounted for under the scope of </w:t>
      </w:r>
      <w:r>
        <w:rPr>
          <w:rFonts w:ascii="Arial" w:cs="Arial" w:eastAsia="Arial" w:hAnsi="Arial"/>
          <w:sz w:val="13"/>
          <w:szCs w:val="13"/>
          <w:i w:val="1"/>
          <w:iCs w:val="1"/>
          <w:color w:val="auto"/>
        </w:rPr>
        <w:t>IAS 12 Income Taxes</w:t>
      </w:r>
      <w:r>
        <w:rPr>
          <w:rFonts w:ascii="Arial" w:cs="Arial" w:eastAsia="Arial" w:hAnsi="Arial"/>
          <w:sz w:val="13"/>
          <w:szCs w:val="13"/>
          <w:color w:val="auto"/>
        </w:rPr>
        <w:t>, which includes an amendment in May 2023 granting temporary relief from accounting for deferred taxes arising from jurisdictions implementing Pillar 2 minimum taxes. Under the amendment, the Company is applying the exception of neither recognizing nor disclosing deferred tax adjustments related to Pillar 2 income taxes.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effective tax rate is computed at a jurisdictional level with reference to GloBE income for all constituent entities of the multinational group in that jurisdiction. Singapore announced in its 2024 budget that it will enact a domestic top-up tax and income inclusion rule (“IIR”) effective in 2025. The Company and its subsidiaries are considered constituent entities forming part of the multinational group led by Mubadala Diversified Global Holding, PJSC. Eligibility to safe harbor and Pillar 2 top-up taxes payable as well as Pillar 2 filing and reporting requirements by the Company are partially dependent upon and influenced by GloBE income calculations of Mubadala subsidiaries having operations in the jurisdictions in which it operates.</w:t>
      </w:r>
    </w:p>
    <w:p>
      <w:pPr>
        <w:spacing w:after="0" w:line="7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Company and its subsidiaries operate in Germany, the Netherlands, France, Bulgaria, the United Kingdom, Japan, Korea and Malaysia which have enacted Pillar 2 rules in 2023, Singapore announced in its 2024 budget that it will enact domestic top-up tax and income inclusion rule effective in 2025. The Dutch IIR regime may apply to GloBE income from the United States and Germany entities in the Company’s structure but the Company continues to analyze whether a Pillar 2 income tax expense and cash tax detriment are expected to arise from the Netherlands or any other material jurisdictions in 2024. Similarly, the recently announced Singapore rules may cause an additional liability beginning in 2025. Several jurisdictions are yet to finalize their Pillar 2 implementation timeline, including the United States, India, Cayman Islands and the United Arab Emirates. The Cayman Islands and Bulgaria are jurisdictions in which the Company operates with statutory tax rates below 15% and the Company’s Singapore operations include incentive tax rates below 15% which may be more likely to result in a tax liability under Pillar 2 if transitional safe harbor rules do not apply. The Company is tracking legislative updates from these and other jurisdictions to determine if any Pillar 2 taxes may be payable in fiscal 2024.</w:t>
      </w:r>
    </w:p>
    <w:p>
      <w:pPr>
        <w:spacing w:after="0" w:line="200" w:lineRule="exact"/>
        <w:rPr>
          <w:sz w:val="20"/>
          <w:szCs w:val="20"/>
          <w:color w:val="auto"/>
        </w:rPr>
      </w:pPr>
    </w:p>
    <w:p>
      <w:pPr>
        <w:spacing w:after="0" w:line="225" w:lineRule="exact"/>
        <w:rPr>
          <w:sz w:val="20"/>
          <w:szCs w:val="20"/>
          <w:color w:val="auto"/>
        </w:rPr>
      </w:pPr>
    </w:p>
    <w:p>
      <w:pPr>
        <w:ind w:left="260" w:hanging="255"/>
        <w:spacing w:after="0"/>
        <w:tabs>
          <w:tab w:leader="none" w:pos="260" w:val="left"/>
        </w:tabs>
        <w:numPr>
          <w:ilvl w:val="0"/>
          <w:numId w:val="99"/>
        </w:numPr>
        <w:rPr>
          <w:rFonts w:ascii="Arial" w:cs="Arial" w:eastAsia="Arial" w:hAnsi="Arial"/>
          <w:sz w:val="13"/>
          <w:szCs w:val="13"/>
          <w:b w:val="1"/>
          <w:bCs w:val="1"/>
          <w:color w:val="auto"/>
        </w:rPr>
      </w:pPr>
      <w:r>
        <w:rPr>
          <w:rFonts w:ascii="Arial" w:cs="Arial" w:eastAsia="Arial" w:hAnsi="Arial"/>
          <w:sz w:val="13"/>
          <w:szCs w:val="13"/>
          <w:b w:val="1"/>
          <w:bCs w:val="1"/>
          <w:color w:val="auto"/>
        </w:rPr>
        <w:t>Critical Accounting Judgements, Estimates and Assumptions</w:t>
      </w:r>
    </w:p>
    <w:p>
      <w:pPr>
        <w:spacing w:after="0" w:line="9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preparation of the consolidated financial statements in conformity with IFRS requires management to make judgments, estimates and assumptions that affect the application of accounting policies and the reported amounts of assets, liabilities,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income and expenses as well as the disclosure of commitments and contingencies. Actual results may differ from these estimates and such differences may be material to the consolidated financial statements.</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estimates and underlying assumptions are reviewed on an ongoing basis. Revisions to accounting estimates are recognized in the year in which the estimate is revised if the revision affects only that year, or in the year of the revision and future years if the revision affects both current and future years.</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color w:val="auto"/>
        </w:rPr>
        <w:t>Determination of useful lives of property, plant and equipment</w:t>
      </w:r>
      <w:r>
        <w:rPr>
          <w:rFonts w:ascii="Arial" w:cs="Arial" w:eastAsia="Arial" w:hAnsi="Arial"/>
          <w:sz w:val="13"/>
          <w:szCs w:val="13"/>
          <w:color w:val="auto"/>
        </w:rPr>
        <w:t>—The Company periodically assesses the estimated useful lives of property, plant and equipment. As a result of a review completed</w:t>
      </w:r>
      <w:r>
        <w:rPr>
          <w:rFonts w:ascii="Arial" w:cs="Arial" w:eastAsia="Arial" w:hAnsi="Arial"/>
          <w:sz w:val="13"/>
          <w:szCs w:val="13"/>
          <w:b w:val="1"/>
          <w:bCs w:val="1"/>
          <w:color w:val="auto"/>
        </w:rPr>
        <w:t xml:space="preserve"> </w:t>
      </w:r>
      <w:r>
        <w:rPr>
          <w:rFonts w:ascii="Arial" w:cs="Arial" w:eastAsia="Arial" w:hAnsi="Arial"/>
          <w:sz w:val="13"/>
          <w:szCs w:val="13"/>
          <w:color w:val="auto"/>
        </w:rPr>
        <w:t>in April 2023, the Company concluded the estimated maximum useful life of certain buildings should be increased from 26 years to 50 years. This change in estimate was applied prospectively, effective beginning in the first quarter of 2023. The impact of the change in estimated useful lives of certain buildings resulted in an increase to income before income taxes of $76 million for the year ended December 31, 2023.</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Inventory Valuation</w:t>
      </w:r>
      <w:r>
        <w:rPr>
          <w:rFonts w:ascii="Arial" w:cs="Arial" w:eastAsia="Arial" w:hAnsi="Arial"/>
          <w:sz w:val="13"/>
          <w:szCs w:val="13"/>
          <w:color w:val="auto"/>
        </w:rPr>
        <w:t>—Inventory is based on a standard cost process with appropriate adjustments for purchasing and manufacturing variances, which approximates weighted average cost. The cost</w:t>
      </w:r>
      <w:r>
        <w:rPr>
          <w:rFonts w:ascii="Arial" w:cs="Arial" w:eastAsia="Arial" w:hAnsi="Arial"/>
          <w:sz w:val="13"/>
          <w:szCs w:val="13"/>
          <w:b w:val="1"/>
          <w:bCs w:val="1"/>
          <w:color w:val="auto"/>
        </w:rPr>
        <w:t xml:space="preserve"> </w:t>
      </w:r>
      <w:r>
        <w:rPr>
          <w:rFonts w:ascii="Arial" w:cs="Arial" w:eastAsia="Arial" w:hAnsi="Arial"/>
          <w:sz w:val="13"/>
          <w:szCs w:val="13"/>
          <w:color w:val="auto"/>
        </w:rPr>
        <w:t>of raw materials is determined using applicable raw material purchase prices. The cost of supplies is determined based on a weighted-average cost formula. Work in process and finished goods are valued at the cost of direct materials and a proportion of manufacturing labor and overhead costs based on normal operating capacity.</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Inventory allowances are made on an item-by-item basis, except where it may be appropriate to group similar or related items. An allowance is made for the estimated losses due to obsolescence based on expected future demand and market conditions. Net realizable value is the estimated selling price in the ordinary course of business, less estimated costs of completion and the estimated costs necessary to make the sale.</w:t>
      </w:r>
    </w:p>
    <w:p>
      <w:pPr>
        <w:spacing w:after="0" w:line="5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color w:val="auto"/>
        </w:rPr>
        <w:t>Impairment Assessment of Non-Financial Assets</w:t>
      </w:r>
      <w:r>
        <w:rPr>
          <w:rFonts w:ascii="Arial" w:cs="Arial" w:eastAsia="Arial" w:hAnsi="Arial"/>
          <w:sz w:val="13"/>
          <w:szCs w:val="13"/>
          <w:color w:val="auto"/>
        </w:rPr>
        <w:t>—Impairment exists when the carrying value of an asset or CGU exceeds its recoverable amount, which is the higher of its fair value less costs of</w:t>
      </w:r>
      <w:r>
        <w:rPr>
          <w:rFonts w:ascii="Arial" w:cs="Arial" w:eastAsia="Arial" w:hAnsi="Arial"/>
          <w:sz w:val="13"/>
          <w:szCs w:val="13"/>
          <w:b w:val="1"/>
          <w:bCs w:val="1"/>
          <w:color w:val="auto"/>
        </w:rPr>
        <w:t xml:space="preserve"> </w:t>
      </w:r>
      <w:r>
        <w:rPr>
          <w:rFonts w:ascii="Arial" w:cs="Arial" w:eastAsia="Arial" w:hAnsi="Arial"/>
          <w:sz w:val="13"/>
          <w:szCs w:val="13"/>
          <w:color w:val="auto"/>
        </w:rPr>
        <w:t>disposal and its value in use. The fair value less costs to sell calculation is based on a discounted cash flow analysis that a potential buyer would perform in determining a transaction value of the CGU less incremental costs for disposing of the asset. The value in use calculation is based on a discounted cash flow model. When preparing the discounted cash flow analysis, the Company makes judgments in determining the independent cash flows that can be related to a specific CGU based on its asset usage model and manufacturing capabilities in addition to the discount rate used in the analysis. In addition, because judgments are made regarding the remaining useful lives of assets and expected future revenue and expenses associated with the assets, changes in these estimates based on changes in economic conditions or business strategies could result in material impairment charges in future periods.</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Income Taxes and Realization of Deferred Tax Assets</w:t>
      </w:r>
      <w:r>
        <w:rPr>
          <w:rFonts w:ascii="Arial" w:cs="Arial" w:eastAsia="Arial" w:hAnsi="Arial"/>
          <w:sz w:val="13"/>
          <w:szCs w:val="13"/>
          <w:color w:val="auto"/>
        </w:rPr>
        <w:t>—In determining taxable income for financial statement reporting purposes, management makes certain estimates and judgments specific to</w:t>
      </w:r>
      <w:r>
        <w:rPr>
          <w:rFonts w:ascii="Arial" w:cs="Arial" w:eastAsia="Arial" w:hAnsi="Arial"/>
          <w:sz w:val="13"/>
          <w:szCs w:val="13"/>
          <w:b w:val="1"/>
          <w:bCs w:val="1"/>
          <w:color w:val="auto"/>
        </w:rPr>
        <w:t xml:space="preserve"> </w:t>
      </w:r>
      <w:r>
        <w:rPr>
          <w:rFonts w:ascii="Arial" w:cs="Arial" w:eastAsia="Arial" w:hAnsi="Arial"/>
          <w:sz w:val="13"/>
          <w:szCs w:val="13"/>
          <w:color w:val="auto"/>
        </w:rPr>
        <w:t>taxation issues. These estimates and judgments are applied in the calculation of certain tax liabilities and in the determination of the recoverability of deferred tax assets, which arise from temporary differences between the recognition of assets and liabilities for income tax and financial statement reporting purposes.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Deferred taxes are recognized for unused losses, among other factors, to the extent that it is probable that taxable profit will be available against which the losses can be utilized.</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This evaluation requires the exercise of judgment with respect to, among other things, benefits that could be realized from available tax strategies and future taxable income, as well as other positive and negative factors. The ultimate realization of deferred tax assets is dependent upon, among other things, the Company’s ability to generate future taxable income that is sufficient to utilize loss carry-forwards or tax credits before their expiration or the Company’s ability to implement prudent and feasible tax planning strategies.</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If estimates of projected future taxable income and benefits from available tax strategies are reduced as a result of a change in the assessment or due to other factors, or if changes in current tax regulations are enacted that impose restrictions on the timing or extent of the Company’s ability to utilize net operating losses and tax credit carry-forwards in the future, the Company may be required to reduce the amount of total deferred tax assets resulting in a decrease of total assets. Likewise, a change in the tax rates applicable in the various jurisdictions or unfavorable outcomes of any ongoing tax audits could have a material impact on the future tax provisions in the periods in which these changes could occur.</w:t>
      </w:r>
    </w:p>
    <w:p>
      <w:pPr>
        <w:spacing w:after="0" w:line="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addition, the calculation of tax liabilities involves dealing with uncertainties in the application of complex tax rules and the potential for future adjustment of uncertain tax positions by the tax authorities in the countries in which the Company operates. If estimates of these taxes are greater or less than actual results, an additional tax benefit or charge may result.</w:t>
      </w:r>
    </w:p>
    <w:p>
      <w:pPr>
        <w:spacing w:after="0" w:line="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color w:val="auto"/>
        </w:rPr>
        <w:t>Share-based compensation</w:t>
      </w:r>
      <w:r>
        <w:rPr>
          <w:rFonts w:ascii="Arial" w:cs="Arial" w:eastAsia="Arial" w:hAnsi="Arial"/>
          <w:sz w:val="13"/>
          <w:szCs w:val="13"/>
          <w:color w:val="auto"/>
        </w:rPr>
        <w:t>—Share-based compensation expense is recognized based on the grant date fair value of the awards. The fair value of Restricted Share Units (“RSUs”) is determined</w:t>
      </w:r>
      <w:r>
        <w:rPr>
          <w:rFonts w:ascii="Arial" w:cs="Arial" w:eastAsia="Arial" w:hAnsi="Arial"/>
          <w:sz w:val="13"/>
          <w:szCs w:val="13"/>
          <w:b w:val="1"/>
          <w:bCs w:val="1"/>
          <w:color w:val="auto"/>
        </w:rPr>
        <w:t xml:space="preserve"> </w:t>
      </w:r>
      <w:r>
        <w:rPr>
          <w:rFonts w:ascii="Arial" w:cs="Arial" w:eastAsia="Arial" w:hAnsi="Arial"/>
          <w:sz w:val="13"/>
          <w:szCs w:val="13"/>
          <w:color w:val="auto"/>
        </w:rPr>
        <w:t>based on the closing price of the ordinary stock on the date of grant. The fair value of stock options is estimated using the Black-Scholes option pricing model for options. The fair value of Performance Share Units (“PSUs”) is estimated using a Monte Carlo simulation. Both models require management to make certain assumptions of future expectations based on historical and current data. The assumptions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include the estimated fair value of the Company’s stock, expected term of the awards, expected volatility, dividend yield, and risk-free interest rate. These estimates involve inherent uncertainties and the application of management’s judgment.</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principles of modification accounting are applied when a new share-based payment is granted as a replacement for another share-based payment that is cancelled. When modification accounting is applied, the entity accounts for any incremental fair value in addition to the grant-date fair value of the original award. In the case of a replacement, the incremental fair value is the difference between the fair value of the replacement award and the net fair value of the cancelled award, both measured at the date on which the replacement award is issued. The net fair value is the fair value of the cancelled award measured immediately before the cancellation, less any payment made to the employees on cancellation.</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 package of modifications might include several changes to the terms of a grant, some of which are favorable to the employee and some not. In the event the net effect is not beneficial to the employee, cancellation accounting will be applied. Cancellations or settlements of equity-settled share-based payments during the vesting period by the Company are accounted for as accelerated vesting; therefore, the amount that would otherwise have been recognized for services received is recognized immediately.</w:t>
      </w:r>
    </w:p>
    <w:p>
      <w:pPr>
        <w:spacing w:after="0" w:line="6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 September 2023, the people and compensation committee of GlobalFoundries approved a modification to the 2023 PSUs, to adjust the return on invested capital (“ROIC”) performance threshold. The modification did not increase the fair value of the 2023 PSUs as the non-market performance condition was not considered when determining the fair value on the modification date. The Company will cumulatively adjust the expense based on the number of shares probable of vesting based on ROIC metrics and the grant date fair value.</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60" w:type="dxa"/>
            <w:vAlign w:val="bottom"/>
          </w:tcPr>
          <w:p>
            <w:pPr>
              <w:spacing w:after="0"/>
              <w:rPr>
                <w:sz w:val="20"/>
                <w:szCs w:val="20"/>
                <w:color w:val="auto"/>
              </w:rPr>
            </w:pPr>
            <w:r>
              <w:rPr>
                <w:rFonts w:ascii="Arial" w:cs="Arial" w:eastAsia="Arial" w:hAnsi="Arial"/>
                <w:sz w:val="13"/>
                <w:szCs w:val="13"/>
                <w:b w:val="1"/>
                <w:bCs w:val="1"/>
                <w:color w:val="auto"/>
              </w:rPr>
              <w:t>5.  Cash And Cash Equivalents</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243"/>
              <w:spacing w:after="0"/>
              <w:rPr>
                <w:sz w:val="20"/>
                <w:szCs w:val="20"/>
                <w:color w:val="auto"/>
              </w:rPr>
            </w:pPr>
            <w:r>
              <w:rPr>
                <w:rFonts w:ascii="Arial" w:cs="Arial" w:eastAsia="Arial" w:hAnsi="Arial"/>
                <w:sz w:val="13"/>
                <w:szCs w:val="13"/>
                <w:b w:val="1"/>
                <w:bCs w:val="1"/>
                <w:color w:val="auto"/>
                <w:w w:val="96"/>
              </w:rPr>
              <w:t>December 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261"/>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503"/>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60"/>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balances on hand and at banks</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63"/>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490</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990</w:t>
            </w:r>
          </w:p>
        </w:tc>
        <w:tc>
          <w:tcPr>
            <w:tcW w:w="0" w:type="dxa"/>
            <w:vAlign w:val="bottom"/>
          </w:tcPr>
          <w:p>
            <w:pPr>
              <w:spacing w:after="0"/>
              <w:rPr>
                <w:sz w:val="1"/>
                <w:szCs w:val="1"/>
                <w:color w:val="auto"/>
              </w:rPr>
            </w:pPr>
          </w:p>
        </w:tc>
      </w:tr>
      <w:tr>
        <w:trPr>
          <w:trHeight w:val="169"/>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cash and cash equivalents</w:t>
            </w: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1,897</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1,362</w:t>
            </w: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3"/>
              <w:spacing w:after="0"/>
              <w:rPr>
                <w:sz w:val="20"/>
                <w:szCs w:val="20"/>
                <w:color w:val="auto"/>
              </w:rPr>
            </w:pPr>
            <w:r>
              <w:rPr>
                <w:rFonts w:ascii="Arial" w:cs="Arial" w:eastAsia="Arial" w:hAnsi="Arial"/>
                <w:sz w:val="13"/>
                <w:szCs w:val="13"/>
                <w:b w:val="1"/>
                <w:bCs w:val="1"/>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2,387</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3"/>
                <w:szCs w:val="13"/>
                <w:b w:val="1"/>
                <w:bCs w:val="1"/>
                <w:color w:val="auto"/>
              </w:rPr>
              <w:t>2,352</w:t>
            </w:r>
          </w:p>
        </w:tc>
        <w:tc>
          <w:tcPr>
            <w:tcW w:w="0" w:type="dxa"/>
            <w:vAlign w:val="bottom"/>
          </w:tcPr>
          <w:p>
            <w:pPr>
              <w:spacing w:after="0"/>
              <w:rPr>
                <w:sz w:val="1"/>
                <w:szCs w:val="1"/>
                <w:color w:val="auto"/>
              </w:rPr>
            </w:pPr>
          </w:p>
        </w:tc>
      </w:tr>
      <w:tr>
        <w:trPr>
          <w:trHeight w:val="306"/>
        </w:trPr>
        <w:tc>
          <w:tcPr>
            <w:tcW w:w="7320" w:type="dxa"/>
            <w:vAlign w:val="bottom"/>
            <w:gridSpan w:val="10"/>
          </w:tcPr>
          <w:p>
            <w:pPr>
              <w:spacing w:after="0"/>
              <w:rPr>
                <w:sz w:val="20"/>
                <w:szCs w:val="20"/>
                <w:color w:val="auto"/>
              </w:rPr>
            </w:pPr>
            <w:r>
              <w:rPr>
                <w:rFonts w:ascii="Arial" w:cs="Arial" w:eastAsia="Arial" w:hAnsi="Arial"/>
                <w:sz w:val="13"/>
                <w:szCs w:val="13"/>
                <w:color w:val="auto"/>
              </w:rPr>
              <w:t>Movements in cash and cash equivalents are presented in the Company’s consolidated statements of cash flows.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980" w:type="dxa"/>
            <w:vAlign w:val="bottom"/>
            <w:gridSpan w:val="7"/>
          </w:tcPr>
          <w:p>
            <w:pPr>
              <w:spacing w:after="0"/>
              <w:rPr>
                <w:sz w:val="20"/>
                <w:szCs w:val="20"/>
                <w:color w:val="auto"/>
              </w:rPr>
            </w:pPr>
            <w:r>
              <w:rPr>
                <w:rFonts w:ascii="Arial" w:cs="Arial" w:eastAsia="Arial" w:hAnsi="Arial"/>
                <w:sz w:val="13"/>
                <w:szCs w:val="13"/>
                <w:color w:val="auto"/>
              </w:rPr>
              <w:t>The following presents the reconciliation of assets, liabilities and equity arising from financing activities: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center"/>
              <w:ind w:right="23"/>
              <w:spacing w:after="0"/>
              <w:rPr>
                <w:sz w:val="20"/>
                <w:szCs w:val="20"/>
                <w:color w:val="auto"/>
              </w:rPr>
            </w:pPr>
            <w:r>
              <w:rPr>
                <w:rFonts w:ascii="Arial" w:cs="Arial" w:eastAsia="Arial" w:hAnsi="Arial"/>
                <w:sz w:val="11"/>
                <w:szCs w:val="11"/>
                <w:b w:val="1"/>
                <w:bCs w:val="1"/>
                <w:color w:val="auto"/>
              </w:rPr>
              <w:t>Non-cash changes</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tcPr>
          <w:p>
            <w:pPr>
              <w:jc w:val="center"/>
              <w:ind w:right="180"/>
              <w:spacing w:after="0" w:line="97" w:lineRule="exact"/>
              <w:rPr>
                <w:sz w:val="20"/>
                <w:szCs w:val="20"/>
                <w:color w:val="auto"/>
              </w:rPr>
            </w:pPr>
            <w:r>
              <w:rPr>
                <w:rFonts w:ascii="Arial" w:cs="Arial" w:eastAsia="Arial" w:hAnsi="Arial"/>
                <w:sz w:val="11"/>
                <w:szCs w:val="11"/>
                <w:b w:val="1"/>
                <w:bCs w:val="1"/>
                <w:color w:val="auto"/>
              </w:rPr>
              <w:t>As of December 31,</w:t>
            </w:r>
          </w:p>
        </w:tc>
        <w:tc>
          <w:tcPr>
            <w:tcW w:w="220" w:type="dxa"/>
            <w:vAlign w:val="bottom"/>
          </w:tcPr>
          <w:p>
            <w:pPr>
              <w:spacing w:after="0"/>
              <w:rPr>
                <w:sz w:val="8"/>
                <w:szCs w:val="8"/>
                <w:color w:val="auto"/>
              </w:rPr>
            </w:pPr>
          </w:p>
        </w:tc>
        <w:tc>
          <w:tcPr>
            <w:tcW w:w="1100" w:type="dxa"/>
            <w:vAlign w:val="bottom"/>
            <w:gridSpan w:val="2"/>
          </w:tcPr>
          <w:p>
            <w:pPr>
              <w:jc w:val="center"/>
              <w:ind w:right="300"/>
              <w:spacing w:after="0" w:line="97" w:lineRule="exact"/>
              <w:rPr>
                <w:sz w:val="20"/>
                <w:szCs w:val="20"/>
                <w:color w:val="auto"/>
              </w:rPr>
            </w:pPr>
            <w:r>
              <w:rPr>
                <w:rFonts w:ascii="Arial" w:cs="Arial" w:eastAsia="Arial" w:hAnsi="Arial"/>
                <w:sz w:val="11"/>
                <w:szCs w:val="11"/>
                <w:b w:val="1"/>
                <w:bCs w:val="1"/>
                <w:color w:val="auto"/>
              </w:rPr>
              <w:t>Cash</w:t>
            </w: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vMerge w:val="restart"/>
          </w:tcPr>
          <w:p>
            <w:pPr>
              <w:jc w:val="center"/>
              <w:ind w:right="43"/>
              <w:spacing w:after="0"/>
              <w:rPr>
                <w:sz w:val="20"/>
                <w:szCs w:val="20"/>
                <w:color w:val="auto"/>
              </w:rPr>
            </w:pPr>
            <w:r>
              <w:rPr>
                <w:rFonts w:ascii="Arial" w:cs="Arial" w:eastAsia="Arial" w:hAnsi="Arial"/>
                <w:sz w:val="11"/>
                <w:szCs w:val="11"/>
                <w:b w:val="1"/>
                <w:bCs w:val="1"/>
                <w:color w:val="auto"/>
              </w:rPr>
              <w:t>Foreign</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jc w:val="center"/>
              <w:ind w:right="61"/>
              <w:spacing w:after="0" w:line="97" w:lineRule="exact"/>
              <w:rPr>
                <w:sz w:val="20"/>
                <w:szCs w:val="20"/>
                <w:color w:val="auto"/>
              </w:rPr>
            </w:pPr>
            <w:r>
              <w:rPr>
                <w:rFonts w:ascii="Arial" w:cs="Arial" w:eastAsia="Arial" w:hAnsi="Arial"/>
                <w:sz w:val="11"/>
                <w:szCs w:val="11"/>
                <w:b w:val="1"/>
                <w:bCs w:val="1"/>
                <w:color w:val="auto"/>
              </w:rPr>
              <w:t>As of</w:t>
            </w: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jc w:val="center"/>
              <w:ind w:right="43"/>
              <w:spacing w:after="0" w:line="117" w:lineRule="exact"/>
              <w:rPr>
                <w:sz w:val="20"/>
                <w:szCs w:val="20"/>
                <w:color w:val="auto"/>
              </w:rPr>
            </w:pPr>
            <w:r>
              <w:rPr>
                <w:rFonts w:ascii="Arial" w:cs="Arial" w:eastAsia="Arial" w:hAnsi="Arial"/>
                <w:sz w:val="11"/>
                <w:szCs w:val="11"/>
                <w:b w:val="1"/>
                <w:bCs w:val="1"/>
                <w:color w:val="auto"/>
                <w:w w:val="97"/>
              </w:rPr>
              <w:t>2021</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jc w:val="center"/>
              <w:ind w:right="300"/>
              <w:spacing w:after="0" w:line="117" w:lineRule="exact"/>
              <w:rPr>
                <w:sz w:val="20"/>
                <w:szCs w:val="20"/>
                <w:color w:val="auto"/>
              </w:rPr>
            </w:pPr>
            <w:r>
              <w:rPr>
                <w:rFonts w:ascii="Arial" w:cs="Arial" w:eastAsia="Arial" w:hAnsi="Arial"/>
                <w:sz w:val="11"/>
                <w:szCs w:val="11"/>
                <w:b w:val="1"/>
                <w:bCs w:val="1"/>
                <w:color w:val="auto"/>
              </w:rPr>
              <w:t>Flows</w:t>
            </w: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jc w:val="center"/>
              <w:ind w:right="41"/>
              <w:spacing w:after="0" w:line="117" w:lineRule="exact"/>
              <w:rPr>
                <w:sz w:val="20"/>
                <w:szCs w:val="20"/>
                <w:color w:val="auto"/>
              </w:rPr>
            </w:pPr>
            <w:r>
              <w:rPr>
                <w:rFonts w:ascii="Arial" w:cs="Arial" w:eastAsia="Arial" w:hAnsi="Arial"/>
                <w:sz w:val="11"/>
                <w:szCs w:val="11"/>
                <w:b w:val="1"/>
                <w:bCs w:val="1"/>
                <w:color w:val="auto"/>
              </w:rPr>
              <w:t>December 31, 2022</w:t>
            </w:r>
          </w:p>
        </w:tc>
        <w:tc>
          <w:tcPr>
            <w:tcW w:w="0" w:type="dxa"/>
            <w:vAlign w:val="bottom"/>
          </w:tcPr>
          <w:p>
            <w:pPr>
              <w:spacing w:after="0"/>
              <w:rPr>
                <w:sz w:val="1"/>
                <w:szCs w:val="1"/>
                <w:color w:val="auto"/>
              </w:rPr>
            </w:pPr>
          </w:p>
        </w:tc>
      </w:tr>
      <w:tr>
        <w:trPr>
          <w:trHeight w:val="106"/>
        </w:trPr>
        <w:tc>
          <w:tcPr>
            <w:tcW w:w="32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00" w:type="dxa"/>
            <w:vAlign w:val="bottom"/>
          </w:tcPr>
          <w:p>
            <w:pPr>
              <w:spacing w:after="0"/>
              <w:rPr>
                <w:sz w:val="9"/>
                <w:szCs w:val="9"/>
                <w:color w:val="auto"/>
              </w:rPr>
            </w:pPr>
          </w:p>
        </w:tc>
        <w:tc>
          <w:tcPr>
            <w:tcW w:w="1300" w:type="dxa"/>
            <w:vAlign w:val="bottom"/>
            <w:gridSpan w:val="2"/>
          </w:tcPr>
          <w:p>
            <w:pPr>
              <w:jc w:val="center"/>
              <w:ind w:right="180"/>
              <w:spacing w:after="0" w:line="106" w:lineRule="exact"/>
              <w:rPr>
                <w:sz w:val="20"/>
                <w:szCs w:val="20"/>
                <w:color w:val="auto"/>
              </w:rPr>
            </w:pPr>
            <w:r>
              <w:rPr>
                <w:rFonts w:ascii="Arial" w:cs="Arial" w:eastAsia="Arial" w:hAnsi="Arial"/>
                <w:sz w:val="11"/>
                <w:szCs w:val="11"/>
                <w:b w:val="1"/>
                <w:bCs w:val="1"/>
                <w:color w:val="auto"/>
                <w:w w:val="99"/>
              </w:rPr>
              <w:t>Assets</w:t>
            </w:r>
          </w:p>
        </w:tc>
        <w:tc>
          <w:tcPr>
            <w:tcW w:w="220" w:type="dxa"/>
            <w:vAlign w:val="bottom"/>
          </w:tcPr>
          <w:p>
            <w:pPr>
              <w:spacing w:after="0"/>
              <w:rPr>
                <w:sz w:val="9"/>
                <w:szCs w:val="9"/>
                <w:color w:val="auto"/>
              </w:rPr>
            </w:pPr>
          </w:p>
        </w:tc>
        <w:tc>
          <w:tcPr>
            <w:tcW w:w="1100" w:type="dxa"/>
            <w:vAlign w:val="bottom"/>
            <w:gridSpan w:val="2"/>
          </w:tcPr>
          <w:p>
            <w:pPr>
              <w:jc w:val="center"/>
              <w:ind w:right="280"/>
              <w:spacing w:after="0" w:line="106" w:lineRule="exact"/>
              <w:rPr>
                <w:sz w:val="20"/>
                <w:szCs w:val="20"/>
                <w:color w:val="auto"/>
              </w:rPr>
            </w:pPr>
            <w:r>
              <w:rPr>
                <w:rFonts w:ascii="Arial" w:cs="Arial" w:eastAsia="Arial" w:hAnsi="Arial"/>
                <w:sz w:val="11"/>
                <w:szCs w:val="11"/>
                <w:b w:val="1"/>
                <w:bCs w:val="1"/>
                <w:color w:val="auto"/>
              </w:rPr>
              <w:t>(Inflows)/</w:t>
            </w:r>
          </w:p>
        </w:tc>
        <w:tc>
          <w:tcPr>
            <w:tcW w:w="240" w:type="dxa"/>
            <w:vAlign w:val="bottom"/>
          </w:tcPr>
          <w:p>
            <w:pPr>
              <w:spacing w:after="0"/>
              <w:rPr>
                <w:sz w:val="9"/>
                <w:szCs w:val="9"/>
                <w:color w:val="auto"/>
              </w:rPr>
            </w:pPr>
          </w:p>
        </w:tc>
        <w:tc>
          <w:tcPr>
            <w:tcW w:w="1020" w:type="dxa"/>
            <w:vAlign w:val="bottom"/>
            <w:vMerge w:val="restart"/>
          </w:tcPr>
          <w:p>
            <w:pPr>
              <w:jc w:val="right"/>
              <w:ind w:right="343"/>
              <w:spacing w:after="0"/>
              <w:rPr>
                <w:sz w:val="20"/>
                <w:szCs w:val="20"/>
                <w:color w:val="auto"/>
              </w:rPr>
            </w:pPr>
            <w:r>
              <w:rPr>
                <w:rFonts w:ascii="Arial" w:cs="Arial" w:eastAsia="Arial" w:hAnsi="Arial"/>
                <w:sz w:val="11"/>
                <w:szCs w:val="11"/>
                <w:b w:val="1"/>
                <w:bCs w:val="1"/>
                <w:color w:val="auto"/>
              </w:rPr>
              <w:t>Addition</w:t>
            </w:r>
          </w:p>
        </w:tc>
        <w:tc>
          <w:tcPr>
            <w:tcW w:w="8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jc w:val="center"/>
              <w:ind w:right="23"/>
              <w:spacing w:after="0" w:line="106" w:lineRule="exact"/>
              <w:rPr>
                <w:sz w:val="20"/>
                <w:szCs w:val="20"/>
                <w:color w:val="auto"/>
              </w:rPr>
            </w:pPr>
            <w:r>
              <w:rPr>
                <w:rFonts w:ascii="Arial" w:cs="Arial" w:eastAsia="Arial" w:hAnsi="Arial"/>
                <w:sz w:val="11"/>
                <w:szCs w:val="11"/>
                <w:b w:val="1"/>
                <w:bCs w:val="1"/>
                <w:color w:val="auto"/>
              </w:rPr>
              <w:t>exchange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vMerge w:val="restart"/>
          </w:tcPr>
          <w:p>
            <w:pPr>
              <w:jc w:val="right"/>
              <w:ind w:right="183"/>
              <w:spacing w:after="0"/>
              <w:rPr>
                <w:sz w:val="20"/>
                <w:szCs w:val="20"/>
                <w:color w:val="auto"/>
              </w:rPr>
            </w:pPr>
            <w:r>
              <w:rPr>
                <w:rFonts w:ascii="Arial" w:cs="Arial" w:eastAsia="Arial" w:hAnsi="Arial"/>
                <w:sz w:val="11"/>
                <w:szCs w:val="11"/>
                <w:b w:val="1"/>
                <w:bCs w:val="1"/>
                <w:color w:val="auto"/>
              </w:rPr>
              <w:t>Others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jc w:val="center"/>
              <w:ind w:right="41"/>
              <w:spacing w:after="0" w:line="106" w:lineRule="exact"/>
              <w:rPr>
                <w:sz w:val="20"/>
                <w:szCs w:val="20"/>
                <w:color w:val="auto"/>
              </w:rPr>
            </w:pPr>
            <w:r>
              <w:rPr>
                <w:rFonts w:ascii="Arial" w:cs="Arial" w:eastAsia="Arial" w:hAnsi="Arial"/>
                <w:sz w:val="11"/>
                <w:szCs w:val="11"/>
                <w:b w:val="1"/>
                <w:bCs w:val="1"/>
                <w:color w:val="auto"/>
              </w:rPr>
              <w:t>Assets</w:t>
            </w:r>
          </w:p>
        </w:tc>
        <w:tc>
          <w:tcPr>
            <w:tcW w:w="0" w:type="dxa"/>
            <w:vAlign w:val="bottom"/>
          </w:tcPr>
          <w:p>
            <w:pPr>
              <w:spacing w:after="0"/>
              <w:rPr>
                <w:sz w:val="1"/>
                <w:szCs w:val="1"/>
                <w:color w:val="auto"/>
              </w:rPr>
            </w:pPr>
          </w:p>
        </w:tc>
      </w:tr>
      <w:tr>
        <w:trPr>
          <w:trHeight w:val="159"/>
        </w:trPr>
        <w:tc>
          <w:tcPr>
            <w:tcW w:w="3260" w:type="dxa"/>
            <w:vAlign w:val="bottom"/>
            <w:tcBorders>
              <w:bottom w:val="single" w:sz="8" w:color="CCEEFF"/>
            </w:tcBorders>
            <w:vMerge w:val="continue"/>
          </w:tcPr>
          <w:p>
            <w:pPr>
              <w:spacing w:after="0"/>
              <w:rPr>
                <w:sz w:val="13"/>
                <w:szCs w:val="13"/>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63"/>
              <w:spacing w:after="0"/>
              <w:rPr>
                <w:sz w:val="20"/>
                <w:szCs w:val="20"/>
                <w:color w:val="auto"/>
              </w:rPr>
            </w:pPr>
            <w:r>
              <w:rPr>
                <w:rFonts w:ascii="Arial" w:cs="Arial" w:eastAsia="Arial" w:hAnsi="Arial"/>
                <w:sz w:val="11"/>
                <w:szCs w:val="11"/>
                <w:b w:val="1"/>
                <w:bCs w:val="1"/>
                <w:color w:val="auto"/>
              </w:rPr>
              <w:t>Outflows</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right="23"/>
              <w:spacing w:after="0"/>
              <w:rPr>
                <w:sz w:val="20"/>
                <w:szCs w:val="20"/>
                <w:color w:val="auto"/>
              </w:rPr>
            </w:pPr>
            <w:r>
              <w:rPr>
                <w:rFonts w:ascii="Arial" w:cs="Arial" w:eastAsia="Arial" w:hAnsi="Arial"/>
                <w:sz w:val="11"/>
                <w:szCs w:val="11"/>
                <w:b w:val="1"/>
                <w:bCs w:val="1"/>
                <w:color w:val="auto"/>
              </w:rPr>
              <w:t>movement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0" w:type="dxa"/>
            <w:vAlign w:val="bottom"/>
          </w:tcPr>
          <w:p>
            <w:pPr>
              <w:spacing w:after="0"/>
              <w:rPr>
                <w:sz w:val="1"/>
                <w:szCs w:val="1"/>
                <w:color w:val="auto"/>
              </w:rPr>
            </w:pPr>
          </w:p>
        </w:tc>
      </w:tr>
      <w:tr>
        <w:trPr>
          <w:trHeight w:val="150"/>
        </w:trPr>
        <w:tc>
          <w:tcPr>
            <w:tcW w:w="3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cash</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40" w:type="dxa"/>
            <w:vAlign w:val="bottom"/>
            <w:gridSpan w:val="3"/>
            <w:shd w:val="clear" w:color="auto" w:fill="CCEEFF"/>
          </w:tcPr>
          <w:p>
            <w:pPr>
              <w:jc w:val="right"/>
              <w:ind w:right="90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9"/>
        </w:trPr>
        <w:tc>
          <w:tcPr>
            <w:tcW w:w="3260" w:type="dxa"/>
            <w:vAlign w:val="bottom"/>
          </w:tcPr>
          <w:p>
            <w:pPr>
              <w:ind w:left="20"/>
              <w:spacing w:after="0" w:line="159" w:lineRule="exact"/>
              <w:rPr>
                <w:sz w:val="20"/>
                <w:szCs w:val="20"/>
                <w:color w:val="auto"/>
              </w:rPr>
            </w:pPr>
            <w:r>
              <w:rPr>
                <w:rFonts w:ascii="Arial" w:cs="Arial" w:eastAsia="Arial" w:hAnsi="Arial"/>
                <w:sz w:val="11"/>
                <w:szCs w:val="11"/>
                <w:color w:val="auto"/>
              </w:rPr>
              <w:t>Government grants receivable</w:t>
            </w:r>
            <w:r>
              <w:rPr>
                <w:rFonts w:ascii="Arial" w:cs="Arial" w:eastAsia="Arial" w:hAnsi="Arial"/>
                <w:sz w:val="14"/>
                <w:szCs w:val="14"/>
                <w:color w:val="auto"/>
                <w:vertAlign w:val="superscript"/>
              </w:rPr>
              <w:t>(1)</w:t>
            </w:r>
          </w:p>
        </w:tc>
        <w:tc>
          <w:tcPr>
            <w:tcW w:w="10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18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gridSpan w:val="3"/>
          </w:tcPr>
          <w:p>
            <w:pPr>
              <w:jc w:val="right"/>
              <w:ind w:right="40"/>
              <w:spacing w:after="0"/>
              <w:rPr>
                <w:sz w:val="20"/>
                <w:szCs w:val="20"/>
                <w:color w:val="auto"/>
              </w:rPr>
            </w:pPr>
            <w:r>
              <w:rPr>
                <w:rFonts w:ascii="Arial" w:cs="Arial" w:eastAsia="Arial" w:hAnsi="Arial"/>
                <w:sz w:val="11"/>
                <w:szCs w:val="11"/>
                <w:color w:val="auto"/>
              </w:rPr>
              <w:t>81</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59"/>
        </w:trPr>
        <w:tc>
          <w:tcPr>
            <w:tcW w:w="3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receivables</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6"/>
        </w:trPr>
        <w:tc>
          <w:tcPr>
            <w:tcW w:w="3260" w:type="dxa"/>
            <w:vAlign w:val="bottom"/>
          </w:tcPr>
          <w:p>
            <w:pPr>
              <w:ind w:left="20"/>
              <w:spacing w:after="0"/>
              <w:rPr>
                <w:sz w:val="20"/>
                <w:szCs w:val="20"/>
                <w:color w:val="auto"/>
              </w:rPr>
            </w:pPr>
            <w:r>
              <w:rPr>
                <w:rFonts w:ascii="Arial" w:cs="Arial" w:eastAsia="Arial" w:hAnsi="Arial"/>
                <w:sz w:val="11"/>
                <w:szCs w:val="11"/>
                <w:color w:val="auto"/>
              </w:rPr>
              <w:t>Debt</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(2,013)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(670)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Arial" w:cs="Arial" w:eastAsia="Arial" w:hAnsi="Arial"/>
                <w:sz w:val="11"/>
                <w:szCs w:val="11"/>
                <w:color w:val="auto"/>
              </w:rPr>
              <w:t>10</w:t>
            </w:r>
          </w:p>
        </w:tc>
        <w:tc>
          <w:tcPr>
            <w:tcW w:w="1340" w:type="dxa"/>
            <w:vAlign w:val="bottom"/>
            <w:gridSpan w:val="6"/>
          </w:tcPr>
          <w:p>
            <w:pPr>
              <w:jc w:val="right"/>
              <w:ind w:right="40"/>
              <w:spacing w:after="0"/>
              <w:rPr>
                <w:sz w:val="20"/>
                <w:szCs w:val="20"/>
                <w:color w:val="auto"/>
              </w:rPr>
            </w:pPr>
            <w:r>
              <w:rPr>
                <w:rFonts w:ascii="Arial" w:cs="Arial" w:eastAsia="Arial" w:hAnsi="Arial"/>
                <w:sz w:val="11"/>
                <w:szCs w:val="11"/>
                <w:color w:val="auto"/>
              </w:rPr>
              <w:t>168</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(2,511)</w:t>
            </w: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Lease obligations</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(345)</w:t>
            </w:r>
          </w:p>
        </w:tc>
        <w:tc>
          <w:tcPr>
            <w:tcW w:w="0" w:type="dxa"/>
            <w:vAlign w:val="bottom"/>
          </w:tcPr>
          <w:p>
            <w:pPr>
              <w:spacing w:after="0"/>
              <w:rPr>
                <w:sz w:val="1"/>
                <w:szCs w:val="1"/>
                <w:color w:val="auto"/>
              </w:rPr>
            </w:pPr>
          </w:p>
        </w:tc>
      </w:tr>
      <w:tr>
        <w:trPr>
          <w:trHeight w:val="156"/>
        </w:trPr>
        <w:tc>
          <w:tcPr>
            <w:tcW w:w="3260" w:type="dxa"/>
            <w:vAlign w:val="bottom"/>
          </w:tcPr>
          <w:p>
            <w:pPr>
              <w:ind w:left="20"/>
              <w:spacing w:after="0"/>
              <w:rPr>
                <w:sz w:val="20"/>
                <w:szCs w:val="20"/>
                <w:color w:val="auto"/>
              </w:rPr>
            </w:pPr>
            <w:r>
              <w:rPr>
                <w:rFonts w:ascii="Arial" w:cs="Arial" w:eastAsia="Arial" w:hAnsi="Arial"/>
                <w:sz w:val="11"/>
                <w:szCs w:val="11"/>
                <w:color w:val="auto"/>
              </w:rPr>
              <w:t>Share capital</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3"/>
          </w:tcPr>
          <w:p>
            <w:pPr>
              <w:jc w:val="right"/>
              <w:ind w:right="120"/>
              <w:spacing w:after="0"/>
              <w:rPr>
                <w:sz w:val="20"/>
                <w:szCs w:val="20"/>
                <w:color w:val="auto"/>
              </w:rPr>
            </w:pPr>
            <w:r>
              <w:rPr>
                <w:rFonts w:ascii="Arial" w:cs="Arial" w:eastAsia="Arial" w:hAnsi="Arial"/>
                <w:sz w:val="11"/>
                <w:szCs w:val="11"/>
                <w:color w:val="auto"/>
                <w:w w:val="90"/>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Additional Paid-In Capital</w:t>
            </w: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(23,487)</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(168)</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(176)</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(23,831)</w:t>
            </w:r>
          </w:p>
        </w:tc>
        <w:tc>
          <w:tcPr>
            <w:tcW w:w="0" w:type="dxa"/>
            <w:vAlign w:val="bottom"/>
          </w:tcPr>
          <w:p>
            <w:pPr>
              <w:spacing w:after="0"/>
              <w:rPr>
                <w:sz w:val="1"/>
                <w:szCs w:val="1"/>
                <w:color w:val="auto"/>
              </w:rPr>
            </w:pPr>
          </w:p>
        </w:tc>
      </w:tr>
      <w:tr>
        <w:trPr>
          <w:trHeight w:val="150"/>
        </w:trPr>
        <w:tc>
          <w:tcPr>
            <w:tcW w:w="3260" w:type="dxa"/>
            <w:vAlign w:val="bottom"/>
          </w:tcPr>
          <w:p>
            <w:pPr>
              <w:ind w:left="20"/>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(25,890)</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(842)</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18</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jc w:val="right"/>
              <w:ind w:right="903"/>
              <w:spacing w:after="0"/>
              <w:rPr>
                <w:sz w:val="20"/>
                <w:szCs w:val="20"/>
                <w:color w:val="auto"/>
              </w:rPr>
            </w:pPr>
            <w:r>
              <w:rPr>
                <w:rFonts w:ascii="Arial" w:cs="Arial" w:eastAsia="Arial" w:hAnsi="Arial"/>
                <w:sz w:val="11"/>
                <w:szCs w:val="11"/>
                <w:b w:val="1"/>
                <w:bCs w:val="1"/>
                <w:color w:val="auto"/>
                <w:w w:val="97"/>
              </w:rPr>
              <w:t>$</w:t>
            </w:r>
          </w:p>
        </w:tc>
        <w:tc>
          <w:tcPr>
            <w:tcW w:w="2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rPr>
              <w:t>74</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(26,646)</w:t>
            </w:r>
          </w:p>
        </w:tc>
        <w:tc>
          <w:tcPr>
            <w:tcW w:w="0" w:type="dxa"/>
            <w:vAlign w:val="bottom"/>
          </w:tcPr>
          <w:p>
            <w:pPr>
              <w:spacing w:after="0"/>
              <w:rPr>
                <w:sz w:val="1"/>
                <w:szCs w:val="1"/>
                <w:color w:val="auto"/>
              </w:rPr>
            </w:pPr>
          </w:p>
        </w:tc>
      </w:tr>
      <w:tr>
        <w:trPr>
          <w:trHeight w:val="699"/>
        </w:trPr>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ind w:left="640"/>
              <w:spacing w:after="0"/>
              <w:rPr>
                <w:sz w:val="20"/>
                <w:szCs w:val="20"/>
                <w:color w:val="auto"/>
              </w:rPr>
            </w:pPr>
            <w:r>
              <w:rPr>
                <w:rFonts w:ascii="Arial" w:cs="Arial" w:eastAsia="Arial" w:hAnsi="Arial"/>
                <w:sz w:val="13"/>
                <w:szCs w:val="13"/>
                <w:color w:val="auto"/>
              </w:rPr>
              <w:t>F-17</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32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Non-cash changes</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As of</w:t>
            </w:r>
          </w:p>
        </w:tc>
        <w:tc>
          <w:tcPr>
            <w:tcW w:w="220" w:type="dxa"/>
            <w:vAlign w:val="bottom"/>
          </w:tcPr>
          <w:p>
            <w:pPr>
              <w:spacing w:after="0"/>
              <w:rPr>
                <w:sz w:val="8"/>
                <w:szCs w:val="8"/>
                <w:color w:val="auto"/>
              </w:rPr>
            </w:pPr>
          </w:p>
        </w:tc>
        <w:tc>
          <w:tcPr>
            <w:tcW w:w="1100" w:type="dxa"/>
            <w:vAlign w:val="bottom"/>
            <w:gridSpan w:val="2"/>
          </w:tcPr>
          <w:p>
            <w:pPr>
              <w:jc w:val="center"/>
              <w:ind w:right="300"/>
              <w:spacing w:after="0" w:line="102" w:lineRule="exact"/>
              <w:rPr>
                <w:sz w:val="20"/>
                <w:szCs w:val="20"/>
                <w:color w:val="auto"/>
              </w:rPr>
            </w:pPr>
            <w:r>
              <w:rPr>
                <w:rFonts w:ascii="Arial" w:cs="Arial" w:eastAsia="Arial" w:hAnsi="Arial"/>
                <w:sz w:val="11"/>
                <w:szCs w:val="11"/>
                <w:b w:val="1"/>
                <w:bCs w:val="1"/>
                <w:color w:val="auto"/>
              </w:rPr>
              <w:t>Cash</w:t>
            </w: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Foreign</w:t>
            </w: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jc w:val="center"/>
              <w:ind w:right="63"/>
              <w:spacing w:after="0" w:line="102" w:lineRule="exact"/>
              <w:rPr>
                <w:sz w:val="20"/>
                <w:szCs w:val="20"/>
                <w:color w:val="auto"/>
              </w:rPr>
            </w:pPr>
            <w:r>
              <w:rPr>
                <w:rFonts w:ascii="Arial" w:cs="Arial" w:eastAsia="Arial" w:hAnsi="Arial"/>
                <w:sz w:val="11"/>
                <w:szCs w:val="11"/>
                <w:b w:val="1"/>
                <w:bCs w:val="1"/>
                <w:color w:val="auto"/>
              </w:rPr>
              <w:t>As of</w:t>
            </w:r>
          </w:p>
        </w:tc>
        <w:tc>
          <w:tcPr>
            <w:tcW w:w="0" w:type="dxa"/>
            <w:vAlign w:val="bottom"/>
          </w:tcPr>
          <w:p>
            <w:pPr>
              <w:spacing w:after="0"/>
              <w:rPr>
                <w:sz w:val="1"/>
                <w:szCs w:val="1"/>
                <w:color w:val="auto"/>
              </w:rPr>
            </w:pPr>
          </w:p>
        </w:tc>
      </w:tr>
      <w:tr>
        <w:trPr>
          <w:trHeight w:val="112"/>
        </w:trPr>
        <w:tc>
          <w:tcPr>
            <w:tcW w:w="3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jc w:val="center"/>
              <w:ind w:right="200"/>
              <w:spacing w:after="0" w:line="113" w:lineRule="exact"/>
              <w:rPr>
                <w:sz w:val="20"/>
                <w:szCs w:val="20"/>
                <w:color w:val="auto"/>
              </w:rPr>
            </w:pPr>
            <w:r>
              <w:rPr>
                <w:rFonts w:ascii="Arial" w:cs="Arial" w:eastAsia="Arial" w:hAnsi="Arial"/>
                <w:sz w:val="11"/>
                <w:szCs w:val="11"/>
                <w:b w:val="1"/>
                <w:bCs w:val="1"/>
                <w:color w:val="auto"/>
              </w:rPr>
              <w:t>December 31, 2022</w:t>
            </w:r>
          </w:p>
        </w:tc>
        <w:tc>
          <w:tcPr>
            <w:tcW w:w="220" w:type="dxa"/>
            <w:vAlign w:val="bottom"/>
          </w:tcPr>
          <w:p>
            <w:pPr>
              <w:spacing w:after="0"/>
              <w:rPr>
                <w:sz w:val="9"/>
                <w:szCs w:val="9"/>
                <w:color w:val="auto"/>
              </w:rPr>
            </w:pPr>
          </w:p>
        </w:tc>
        <w:tc>
          <w:tcPr>
            <w:tcW w:w="1100" w:type="dxa"/>
            <w:vAlign w:val="bottom"/>
            <w:gridSpan w:val="2"/>
          </w:tcPr>
          <w:p>
            <w:pPr>
              <w:jc w:val="center"/>
              <w:ind w:right="300"/>
              <w:spacing w:after="0" w:line="113" w:lineRule="exact"/>
              <w:rPr>
                <w:sz w:val="20"/>
                <w:szCs w:val="20"/>
                <w:color w:val="auto"/>
              </w:rPr>
            </w:pPr>
            <w:r>
              <w:rPr>
                <w:rFonts w:ascii="Arial" w:cs="Arial" w:eastAsia="Arial" w:hAnsi="Arial"/>
                <w:sz w:val="11"/>
                <w:szCs w:val="11"/>
                <w:b w:val="1"/>
                <w:bCs w:val="1"/>
                <w:color w:val="auto"/>
              </w:rPr>
              <w:t>Flows</w:t>
            </w: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jc w:val="center"/>
              <w:ind w:right="43"/>
              <w:spacing w:after="0" w:line="113" w:lineRule="exact"/>
              <w:rPr>
                <w:sz w:val="20"/>
                <w:szCs w:val="20"/>
                <w:color w:val="auto"/>
              </w:rPr>
            </w:pPr>
            <w:r>
              <w:rPr>
                <w:rFonts w:ascii="Arial" w:cs="Arial" w:eastAsia="Arial" w:hAnsi="Arial"/>
                <w:sz w:val="11"/>
                <w:szCs w:val="11"/>
                <w:b w:val="1"/>
                <w:bCs w:val="1"/>
                <w:color w:val="auto"/>
              </w:rPr>
              <w:t>December 31, 2023</w:t>
            </w:r>
          </w:p>
        </w:tc>
        <w:tc>
          <w:tcPr>
            <w:tcW w:w="0" w:type="dxa"/>
            <w:vAlign w:val="bottom"/>
          </w:tcPr>
          <w:p>
            <w:pPr>
              <w:spacing w:after="0"/>
              <w:rPr>
                <w:sz w:val="1"/>
                <w:szCs w:val="1"/>
                <w:color w:val="auto"/>
              </w:rPr>
            </w:pPr>
          </w:p>
        </w:tc>
      </w:tr>
      <w:tr>
        <w:trPr>
          <w:trHeight w:val="117"/>
        </w:trPr>
        <w:tc>
          <w:tcPr>
            <w:tcW w:w="32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20" w:type="dxa"/>
            <w:vAlign w:val="bottom"/>
          </w:tcPr>
          <w:p>
            <w:pPr>
              <w:spacing w:after="0"/>
              <w:rPr>
                <w:sz w:val="10"/>
                <w:szCs w:val="10"/>
                <w:color w:val="auto"/>
              </w:rPr>
            </w:pPr>
          </w:p>
        </w:tc>
        <w:tc>
          <w:tcPr>
            <w:tcW w:w="1280" w:type="dxa"/>
            <w:vAlign w:val="bottom"/>
            <w:gridSpan w:val="2"/>
          </w:tcPr>
          <w:p>
            <w:pPr>
              <w:jc w:val="center"/>
              <w:ind w:right="200"/>
              <w:spacing w:after="0" w:line="117" w:lineRule="exact"/>
              <w:rPr>
                <w:sz w:val="20"/>
                <w:szCs w:val="20"/>
                <w:color w:val="auto"/>
              </w:rPr>
            </w:pPr>
            <w:r>
              <w:rPr>
                <w:rFonts w:ascii="Arial" w:cs="Arial" w:eastAsia="Arial" w:hAnsi="Arial"/>
                <w:sz w:val="11"/>
                <w:szCs w:val="11"/>
                <w:b w:val="1"/>
                <w:bCs w:val="1"/>
                <w:color w:val="auto"/>
                <w:w w:val="99"/>
              </w:rPr>
              <w:t>Assets</w:t>
            </w:r>
          </w:p>
        </w:tc>
        <w:tc>
          <w:tcPr>
            <w:tcW w:w="220" w:type="dxa"/>
            <w:vAlign w:val="bottom"/>
          </w:tcPr>
          <w:p>
            <w:pPr>
              <w:spacing w:after="0"/>
              <w:rPr>
                <w:sz w:val="10"/>
                <w:szCs w:val="10"/>
                <w:color w:val="auto"/>
              </w:rPr>
            </w:pPr>
          </w:p>
        </w:tc>
        <w:tc>
          <w:tcPr>
            <w:tcW w:w="110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rPr>
              <w:t>(Inflows)/</w:t>
            </w:r>
          </w:p>
        </w:tc>
        <w:tc>
          <w:tcPr>
            <w:tcW w:w="240" w:type="dxa"/>
            <w:vAlign w:val="bottom"/>
          </w:tcPr>
          <w:p>
            <w:pPr>
              <w:spacing w:after="0"/>
              <w:rPr>
                <w:sz w:val="10"/>
                <w:szCs w:val="10"/>
                <w:color w:val="auto"/>
              </w:rPr>
            </w:pPr>
          </w:p>
        </w:tc>
        <w:tc>
          <w:tcPr>
            <w:tcW w:w="1020" w:type="dxa"/>
            <w:vAlign w:val="bottom"/>
            <w:vMerge w:val="restart"/>
          </w:tcPr>
          <w:p>
            <w:pPr>
              <w:jc w:val="right"/>
              <w:ind w:right="343"/>
              <w:spacing w:after="0"/>
              <w:rPr>
                <w:sz w:val="20"/>
                <w:szCs w:val="20"/>
                <w:color w:val="auto"/>
              </w:rPr>
            </w:pPr>
            <w:r>
              <w:rPr>
                <w:rFonts w:ascii="Arial" w:cs="Arial" w:eastAsia="Arial" w:hAnsi="Arial"/>
                <w:sz w:val="11"/>
                <w:szCs w:val="11"/>
                <w:b w:val="1"/>
                <w:bCs w:val="1"/>
                <w:color w:val="auto"/>
              </w:rPr>
              <w:t>Addition</w:t>
            </w: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rPr>
              <w:t>exchange</w:t>
            </w:r>
          </w:p>
        </w:tc>
        <w:tc>
          <w:tcPr>
            <w:tcW w:w="260" w:type="dxa"/>
            <w:vAlign w:val="bottom"/>
          </w:tcPr>
          <w:p>
            <w:pPr>
              <w:spacing w:after="0"/>
              <w:rPr>
                <w:sz w:val="10"/>
                <w:szCs w:val="10"/>
                <w:color w:val="auto"/>
              </w:rPr>
            </w:pPr>
          </w:p>
        </w:tc>
        <w:tc>
          <w:tcPr>
            <w:tcW w:w="980" w:type="dxa"/>
            <w:vAlign w:val="bottom"/>
            <w:vMerge w:val="restart"/>
          </w:tcPr>
          <w:p>
            <w:pPr>
              <w:jc w:val="right"/>
              <w:ind w:right="383"/>
              <w:spacing w:after="0"/>
              <w:rPr>
                <w:sz w:val="20"/>
                <w:szCs w:val="20"/>
                <w:color w:val="auto"/>
              </w:rPr>
            </w:pPr>
            <w:r>
              <w:rPr>
                <w:rFonts w:ascii="Arial" w:cs="Arial" w:eastAsia="Arial" w:hAnsi="Arial"/>
                <w:sz w:val="11"/>
                <w:szCs w:val="11"/>
                <w:b w:val="1"/>
                <w:bCs w:val="1"/>
                <w:color w:val="auto"/>
              </w:rPr>
              <w:t>Others</w:t>
            </w:r>
          </w:p>
        </w:tc>
        <w:tc>
          <w:tcPr>
            <w:tcW w:w="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jc w:val="center"/>
              <w:ind w:right="43"/>
              <w:spacing w:after="0" w:line="117" w:lineRule="exact"/>
              <w:rPr>
                <w:sz w:val="20"/>
                <w:szCs w:val="20"/>
                <w:color w:val="auto"/>
              </w:rPr>
            </w:pPr>
            <w:r>
              <w:rPr>
                <w:rFonts w:ascii="Arial" w:cs="Arial" w:eastAsia="Arial" w:hAnsi="Arial"/>
                <w:sz w:val="11"/>
                <w:szCs w:val="11"/>
                <w:b w:val="1"/>
                <w:bCs w:val="1"/>
                <w:color w:val="auto"/>
              </w:rPr>
              <w:t>Assets</w:t>
            </w:r>
          </w:p>
        </w:tc>
        <w:tc>
          <w:tcPr>
            <w:tcW w:w="0" w:type="dxa"/>
            <w:vAlign w:val="bottom"/>
          </w:tcPr>
          <w:p>
            <w:pPr>
              <w:spacing w:after="0"/>
              <w:rPr>
                <w:sz w:val="1"/>
                <w:szCs w:val="1"/>
                <w:color w:val="auto"/>
              </w:rPr>
            </w:pPr>
          </w:p>
        </w:tc>
      </w:tr>
      <w:tr>
        <w:trPr>
          <w:trHeight w:val="149"/>
        </w:trPr>
        <w:tc>
          <w:tcPr>
            <w:tcW w:w="3260" w:type="dxa"/>
            <w:vAlign w:val="bottom"/>
            <w:tcBorders>
              <w:bottom w:val="single" w:sz="8" w:color="CCEEFF"/>
            </w:tcBorders>
            <w:vMerge w:val="continue"/>
          </w:tcPr>
          <w:p>
            <w:pPr>
              <w:spacing w:after="0"/>
              <w:rPr>
                <w:sz w:val="12"/>
                <w:szCs w:val="1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63"/>
              <w:spacing w:after="0"/>
              <w:rPr>
                <w:sz w:val="20"/>
                <w:szCs w:val="20"/>
                <w:color w:val="auto"/>
              </w:rPr>
            </w:pPr>
            <w:r>
              <w:rPr>
                <w:rFonts w:ascii="Arial" w:cs="Arial" w:eastAsia="Arial" w:hAnsi="Arial"/>
                <w:sz w:val="11"/>
                <w:szCs w:val="11"/>
                <w:b w:val="1"/>
                <w:bCs w:val="1"/>
                <w:color w:val="auto"/>
              </w:rPr>
              <w:t>Outflows</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rPr>
              <w:t>movement</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0" w:type="dxa"/>
            <w:vAlign w:val="bottom"/>
          </w:tcPr>
          <w:p>
            <w:pPr>
              <w:spacing w:after="0"/>
              <w:rPr>
                <w:sz w:val="1"/>
                <w:szCs w:val="1"/>
                <w:color w:val="auto"/>
              </w:rPr>
            </w:pPr>
          </w:p>
        </w:tc>
      </w:tr>
      <w:tr>
        <w:trPr>
          <w:trHeight w:val="150"/>
        </w:trPr>
        <w:tc>
          <w:tcPr>
            <w:tcW w:w="3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cash</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9"/>
        </w:trPr>
        <w:tc>
          <w:tcPr>
            <w:tcW w:w="3260" w:type="dxa"/>
            <w:vAlign w:val="bottom"/>
          </w:tcPr>
          <w:p>
            <w:pPr>
              <w:ind w:left="20"/>
              <w:spacing w:after="0" w:line="159" w:lineRule="exact"/>
              <w:rPr>
                <w:sz w:val="20"/>
                <w:szCs w:val="20"/>
                <w:color w:val="auto"/>
              </w:rPr>
            </w:pPr>
            <w:r>
              <w:rPr>
                <w:rFonts w:ascii="Arial" w:cs="Arial" w:eastAsia="Arial" w:hAnsi="Arial"/>
                <w:sz w:val="11"/>
                <w:szCs w:val="11"/>
                <w:color w:val="auto"/>
              </w:rPr>
              <w:t>Government grants receivable</w:t>
            </w:r>
            <w:r>
              <w:rPr>
                <w:rFonts w:ascii="Arial" w:cs="Arial" w:eastAsia="Arial" w:hAnsi="Arial"/>
                <w:sz w:val="14"/>
                <w:szCs w:val="14"/>
                <w:color w:val="auto"/>
                <w:vertAlign w:val="superscript"/>
              </w:rPr>
              <w:t>(1)</w:t>
            </w:r>
          </w:p>
        </w:tc>
        <w:tc>
          <w:tcPr>
            <w:tcW w:w="12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23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101</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172</w:t>
            </w:r>
          </w:p>
        </w:tc>
        <w:tc>
          <w:tcPr>
            <w:tcW w:w="0" w:type="dxa"/>
            <w:vAlign w:val="bottom"/>
          </w:tcPr>
          <w:p>
            <w:pPr>
              <w:spacing w:after="0"/>
              <w:rPr>
                <w:sz w:val="1"/>
                <w:szCs w:val="1"/>
                <w:color w:val="auto"/>
              </w:rPr>
            </w:pPr>
          </w:p>
        </w:tc>
      </w:tr>
      <w:tr>
        <w:trPr>
          <w:trHeight w:val="159"/>
        </w:trPr>
        <w:tc>
          <w:tcPr>
            <w:tcW w:w="3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receivables</w:t>
            </w: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3260" w:type="dxa"/>
            <w:vAlign w:val="bottom"/>
          </w:tcPr>
          <w:p>
            <w:pPr>
              <w:ind w:left="20"/>
              <w:spacing w:after="0"/>
              <w:rPr>
                <w:sz w:val="20"/>
                <w:szCs w:val="20"/>
                <w:color w:val="auto"/>
              </w:rPr>
            </w:pPr>
            <w:r>
              <w:rPr>
                <w:rFonts w:ascii="Arial" w:cs="Arial" w:eastAsia="Arial" w:hAnsi="Arial"/>
                <w:sz w:val="11"/>
                <w:szCs w:val="11"/>
                <w:color w:val="auto"/>
              </w:rPr>
              <w:t>Debt</w:t>
            </w: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(2,511)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182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(2,372)</w:t>
            </w: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Lease obligations</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(382)</w:t>
            </w:r>
          </w:p>
        </w:tc>
        <w:tc>
          <w:tcPr>
            <w:tcW w:w="0" w:type="dxa"/>
            <w:vAlign w:val="bottom"/>
          </w:tcPr>
          <w:p>
            <w:pPr>
              <w:spacing w:after="0"/>
              <w:rPr>
                <w:sz w:val="1"/>
                <w:szCs w:val="1"/>
                <w:color w:val="auto"/>
              </w:rPr>
            </w:pPr>
          </w:p>
        </w:tc>
      </w:tr>
      <w:tr>
        <w:trPr>
          <w:trHeight w:val="156"/>
        </w:trPr>
        <w:tc>
          <w:tcPr>
            <w:tcW w:w="3260" w:type="dxa"/>
            <w:vAlign w:val="bottom"/>
          </w:tcPr>
          <w:p>
            <w:pPr>
              <w:ind w:left="20"/>
              <w:spacing w:after="0"/>
              <w:rPr>
                <w:sz w:val="20"/>
                <w:szCs w:val="20"/>
                <w:color w:val="auto"/>
              </w:rPr>
            </w:pPr>
            <w:r>
              <w:rPr>
                <w:rFonts w:ascii="Arial" w:cs="Arial" w:eastAsia="Arial" w:hAnsi="Arial"/>
                <w:sz w:val="11"/>
                <w:szCs w:val="11"/>
                <w:color w:val="auto"/>
              </w:rPr>
              <w:t>Share capital</w:t>
            </w: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Additional Paid-In Capital</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(23,831)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(24,027)</w:t>
            </w:r>
          </w:p>
        </w:tc>
        <w:tc>
          <w:tcPr>
            <w:tcW w:w="0" w:type="dxa"/>
            <w:vAlign w:val="bottom"/>
          </w:tcPr>
          <w:p>
            <w:pPr>
              <w:spacing w:after="0"/>
              <w:rPr>
                <w:sz w:val="1"/>
                <w:szCs w:val="1"/>
                <w:color w:val="auto"/>
              </w:rPr>
            </w:pPr>
          </w:p>
        </w:tc>
      </w:tr>
      <w:tr>
        <w:trPr>
          <w:trHeight w:val="150"/>
        </w:trPr>
        <w:tc>
          <w:tcPr>
            <w:tcW w:w="3260" w:type="dxa"/>
            <w:vAlign w:val="bottom"/>
          </w:tcPr>
          <w:p>
            <w:pPr>
              <w:ind w:left="20"/>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(26,646)</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212</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(111)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(33)</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(41)</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(26,619)</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260" w:hanging="255"/>
        <w:spacing w:after="0" w:line="219" w:lineRule="auto"/>
        <w:tabs>
          <w:tab w:leader="none" w:pos="255" w:val="left"/>
        </w:tabs>
        <w:numPr>
          <w:ilvl w:val="0"/>
          <w:numId w:val="100"/>
        </w:numPr>
        <w:rPr>
          <w:rFonts w:ascii="Arial" w:cs="Arial" w:eastAsia="Arial" w:hAnsi="Arial"/>
          <w:sz w:val="17"/>
          <w:szCs w:val="17"/>
          <w:color w:val="auto"/>
          <w:vertAlign w:val="superscript"/>
        </w:rPr>
      </w:pPr>
      <w:r>
        <w:rPr>
          <w:rFonts w:ascii="Arial" w:cs="Arial" w:eastAsia="Arial" w:hAnsi="Arial"/>
          <w:sz w:val="13"/>
          <w:szCs w:val="13"/>
          <w:color w:val="auto"/>
        </w:rPr>
        <w:t>Government grants receivable of $172 million and $52 million are included in receivables, prepayments and other assets in the consolidated statements of financial position as of December 31, 2023 and 2022, respectively.</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20" w:type="dxa"/>
            <w:vAlign w:val="bottom"/>
          </w:tcPr>
          <w:p>
            <w:pPr>
              <w:spacing w:after="0"/>
              <w:rPr>
                <w:sz w:val="20"/>
                <w:szCs w:val="20"/>
                <w:color w:val="auto"/>
              </w:rPr>
            </w:pPr>
            <w:r>
              <w:rPr>
                <w:rFonts w:ascii="Arial" w:cs="Arial" w:eastAsia="Arial" w:hAnsi="Arial"/>
                <w:sz w:val="13"/>
                <w:szCs w:val="13"/>
                <w:color w:val="auto"/>
              </w:rPr>
              <w:t>Geographical concentration of cash and cash equivalents is as follows:</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36"/>
        </w:trPr>
        <w:tc>
          <w:tcPr>
            <w:tcW w:w="8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20"/>
                <w:szCs w:val="20"/>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r>
      <w:tr>
        <w:trPr>
          <w:trHeight w:val="17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 of America</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w:t>
            </w: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Republic of Singapore</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1,666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1,775</w:t>
            </w: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2,387</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2,352</w:t>
            </w:r>
          </w:p>
        </w:tc>
      </w:tr>
    </w:tbl>
    <w:p>
      <w:pPr>
        <w:spacing w:after="0" w:line="223" w:lineRule="exact"/>
        <w:rPr>
          <w:sz w:val="20"/>
          <w:szCs w:val="20"/>
          <w:color w:val="auto"/>
        </w:rPr>
      </w:pPr>
    </w:p>
    <w:p>
      <w:pPr>
        <w:ind w:left="260" w:hanging="255"/>
        <w:spacing w:after="0"/>
        <w:tabs>
          <w:tab w:leader="none" w:pos="260" w:val="left"/>
        </w:tabs>
        <w:numPr>
          <w:ilvl w:val="0"/>
          <w:numId w:val="101"/>
        </w:numPr>
        <w:rPr>
          <w:rFonts w:ascii="Arial" w:cs="Arial" w:eastAsia="Arial" w:hAnsi="Arial"/>
          <w:sz w:val="13"/>
          <w:szCs w:val="13"/>
          <w:b w:val="1"/>
          <w:bCs w:val="1"/>
          <w:color w:val="auto"/>
        </w:rPr>
      </w:pPr>
      <w:r>
        <w:rPr>
          <w:rFonts w:ascii="Arial" w:cs="Arial" w:eastAsia="Arial" w:hAnsi="Arial"/>
          <w:sz w:val="13"/>
          <w:szCs w:val="13"/>
          <w:b w:val="1"/>
          <w:bCs w:val="1"/>
          <w:color w:val="auto"/>
        </w:rPr>
        <w:t>Receivables, Prepayments and Other Assets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2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2023</w:t>
            </w:r>
          </w:p>
        </w:tc>
        <w:tc>
          <w:tcPr>
            <w:tcW w:w="120" w:type="dxa"/>
            <w:vAlign w:val="bottom"/>
          </w:tcPr>
          <w:p>
            <w:pPr>
              <w:spacing w:after="0"/>
              <w:rPr>
                <w:sz w:val="14"/>
                <w:szCs w:val="14"/>
                <w:color w:val="auto"/>
              </w:rPr>
            </w:pPr>
          </w:p>
        </w:tc>
        <w:tc>
          <w:tcPr>
            <w:tcW w:w="1360" w:type="dxa"/>
            <w:vAlign w:val="bottom"/>
          </w:tcPr>
          <w:p>
            <w:pPr>
              <w:jc w:val="right"/>
              <w:ind w:right="96"/>
              <w:spacing w:after="0"/>
              <w:rPr>
                <w:sz w:val="20"/>
                <w:szCs w:val="20"/>
                <w:color w:val="auto"/>
              </w:rPr>
            </w:pPr>
            <w:r>
              <w:rPr>
                <w:rFonts w:ascii="Arial" w:cs="Arial" w:eastAsia="Arial" w:hAnsi="Arial"/>
                <w:sz w:val="13"/>
                <w:szCs w:val="13"/>
                <w:b w:val="1"/>
                <w:bCs w:val="1"/>
                <w:color w:val="auto"/>
              </w:rPr>
              <w:t>December 31, 2022</w:t>
            </w:r>
          </w:p>
        </w:tc>
      </w:tr>
      <w:tr>
        <w:trPr>
          <w:trHeight w:val="150"/>
        </w:trPr>
        <w:tc>
          <w:tcPr>
            <w:tcW w:w="82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Current:</w:t>
            </w:r>
          </w:p>
        </w:tc>
        <w:tc>
          <w:tcPr>
            <w:tcW w:w="14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170"/>
        </w:trPr>
        <w:tc>
          <w:tcPr>
            <w:tcW w:w="8220" w:type="dxa"/>
            <w:vAlign w:val="bottom"/>
          </w:tcPr>
          <w:p>
            <w:pPr>
              <w:ind w:left="100"/>
              <w:spacing w:after="0" w:line="170" w:lineRule="exact"/>
              <w:rPr>
                <w:sz w:val="20"/>
                <w:szCs w:val="20"/>
                <w:color w:val="auto"/>
              </w:rPr>
            </w:pPr>
            <w:r>
              <w:rPr>
                <w:rFonts w:ascii="Arial" w:cs="Arial" w:eastAsia="Arial" w:hAnsi="Arial"/>
                <w:sz w:val="13"/>
                <w:szCs w:val="13"/>
                <w:color w:val="auto"/>
              </w:rPr>
              <w:t>Trade receivables, other than related parties</w:t>
            </w:r>
            <w:r>
              <w:rPr>
                <w:rFonts w:ascii="Arial" w:cs="Arial" w:eastAsia="Arial" w:hAnsi="Arial"/>
                <w:sz w:val="16"/>
                <w:szCs w:val="16"/>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1,002</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824</w:t>
            </w:r>
          </w:p>
        </w:tc>
      </w:tr>
      <w:tr>
        <w:trPr>
          <w:trHeight w:val="170"/>
        </w:trPr>
        <w:tc>
          <w:tcPr>
            <w:tcW w:w="8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receivables</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w:t>
            </w:r>
          </w:p>
        </w:tc>
      </w:tr>
      <w:tr>
        <w:trPr>
          <w:trHeight w:val="170"/>
        </w:trPr>
        <w:tc>
          <w:tcPr>
            <w:tcW w:w="8220" w:type="dxa"/>
            <w:vAlign w:val="bottom"/>
          </w:tcPr>
          <w:p>
            <w:pPr>
              <w:ind w:left="100"/>
              <w:spacing w:after="0" w:line="170" w:lineRule="exact"/>
              <w:rPr>
                <w:sz w:val="20"/>
                <w:szCs w:val="20"/>
                <w:color w:val="auto"/>
              </w:rPr>
            </w:pPr>
            <w:r>
              <w:rPr>
                <w:rFonts w:ascii="Arial" w:cs="Arial" w:eastAsia="Arial" w:hAnsi="Arial"/>
                <w:sz w:val="13"/>
                <w:szCs w:val="13"/>
                <w:color w:val="auto"/>
              </w:rPr>
              <w:t>Unbilled accounts receivable</w:t>
            </w:r>
            <w:r>
              <w:rPr>
                <w:rFonts w:ascii="Arial" w:cs="Arial" w:eastAsia="Arial" w:hAnsi="Arial"/>
                <w:sz w:val="16"/>
                <w:szCs w:val="16"/>
                <w:color w:val="auto"/>
                <w:vertAlign w:val="superscript"/>
              </w:rPr>
              <w:t>(2)</w:t>
            </w: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70"/>
        </w:trPr>
        <w:tc>
          <w:tcPr>
            <w:tcW w:w="8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Receivables from government grant</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Receivables from related parties (Note 29)</w:t>
            </w: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70"/>
        </w:trPr>
        <w:tc>
          <w:tcPr>
            <w:tcW w:w="8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 current financial assets</w:t>
            </w:r>
          </w:p>
        </w:tc>
        <w:tc>
          <w:tcPr>
            <w:tcW w:w="1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w:t>
            </w:r>
          </w:p>
        </w:tc>
        <w:tc>
          <w:tcPr>
            <w:tcW w:w="6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1,420</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1,487</w:t>
            </w:r>
          </w:p>
        </w:tc>
      </w:tr>
      <w:tr>
        <w:trPr>
          <w:trHeight w:val="150"/>
        </w:trPr>
        <w:tc>
          <w:tcPr>
            <w:tcW w:w="82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Non-current:</w:t>
            </w:r>
          </w:p>
        </w:tc>
        <w:tc>
          <w:tcPr>
            <w:tcW w:w="6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70"/>
        </w:trPr>
        <w:tc>
          <w:tcPr>
            <w:tcW w:w="8220" w:type="dxa"/>
            <w:vAlign w:val="bottom"/>
          </w:tcPr>
          <w:p>
            <w:pPr>
              <w:ind w:left="100"/>
              <w:spacing w:after="0" w:line="170" w:lineRule="exact"/>
              <w:rPr>
                <w:sz w:val="20"/>
                <w:szCs w:val="20"/>
                <w:color w:val="auto"/>
              </w:rPr>
            </w:pPr>
            <w:r>
              <w:rPr>
                <w:rFonts w:ascii="Arial" w:cs="Arial" w:eastAsia="Arial" w:hAnsi="Arial"/>
                <w:sz w:val="13"/>
                <w:szCs w:val="13"/>
                <w:color w:val="auto"/>
              </w:rPr>
              <w:t>Advances to suppliers</w:t>
            </w:r>
            <w:r>
              <w:rPr>
                <w:rFonts w:ascii="Arial" w:cs="Arial" w:eastAsia="Arial" w:hAnsi="Arial"/>
                <w:sz w:val="16"/>
                <w:szCs w:val="16"/>
                <w:color w:val="auto"/>
                <w:vertAlign w:val="superscript"/>
              </w:rPr>
              <w:t>(3)</w:t>
            </w:r>
          </w:p>
        </w:tc>
        <w:tc>
          <w:tcPr>
            <w:tcW w:w="6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213</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235</w:t>
            </w:r>
          </w:p>
        </w:tc>
      </w:tr>
      <w:tr>
        <w:trPr>
          <w:trHeight w:val="170"/>
        </w:trPr>
        <w:tc>
          <w:tcPr>
            <w:tcW w:w="8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Non-trade receivables</w:t>
            </w:r>
          </w:p>
        </w:tc>
        <w:tc>
          <w:tcPr>
            <w:tcW w:w="6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9"/>
        </w:trPr>
        <w:tc>
          <w:tcPr>
            <w:tcW w:w="8220" w:type="dxa"/>
            <w:vAlign w:val="bottom"/>
          </w:tcPr>
          <w:p>
            <w:pPr>
              <w:ind w:left="100"/>
              <w:spacing w:after="0"/>
              <w:rPr>
                <w:sz w:val="20"/>
                <w:szCs w:val="20"/>
                <w:color w:val="auto"/>
              </w:rPr>
            </w:pPr>
            <w:r>
              <w:rPr>
                <w:rFonts w:ascii="Arial" w:cs="Arial" w:eastAsia="Arial" w:hAnsi="Arial"/>
                <w:sz w:val="13"/>
                <w:szCs w:val="13"/>
                <w:color w:val="auto"/>
              </w:rPr>
              <w:t>Receivables from government grant</w:t>
            </w:r>
          </w:p>
        </w:tc>
        <w:tc>
          <w:tcPr>
            <w:tcW w:w="6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106</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8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Payment in Lieu of Tax (“PILOT”) Bonds</w:t>
            </w:r>
          </w:p>
        </w:tc>
        <w:tc>
          <w:tcPr>
            <w:tcW w:w="6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69"/>
        </w:trPr>
        <w:tc>
          <w:tcPr>
            <w:tcW w:w="82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w:t>
            </w:r>
          </w:p>
        </w:tc>
        <w:tc>
          <w:tcPr>
            <w:tcW w:w="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60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343</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281</w:t>
            </w:r>
          </w:p>
        </w:tc>
      </w:tr>
    </w:tbl>
    <w:p>
      <w:pPr>
        <w:spacing w:after="0" w:line="138" w:lineRule="exact"/>
        <w:rPr>
          <w:sz w:val="20"/>
          <w:szCs w:val="20"/>
          <w:color w:val="auto"/>
        </w:rPr>
      </w:pPr>
    </w:p>
    <w:p>
      <w:pPr>
        <w:ind w:left="520" w:hanging="260"/>
        <w:spacing w:after="0" w:line="219" w:lineRule="auto"/>
        <w:tabs>
          <w:tab w:leader="none" w:pos="515" w:val="left"/>
        </w:tabs>
        <w:numPr>
          <w:ilvl w:val="0"/>
          <w:numId w:val="102"/>
        </w:numPr>
        <w:rPr>
          <w:rFonts w:ascii="Arial" w:cs="Arial" w:eastAsia="Arial" w:hAnsi="Arial"/>
          <w:sz w:val="17"/>
          <w:szCs w:val="17"/>
          <w:color w:val="auto"/>
          <w:vertAlign w:val="superscript"/>
        </w:rPr>
      </w:pPr>
      <w:r>
        <w:rPr>
          <w:rFonts w:ascii="Arial" w:cs="Arial" w:eastAsia="Arial" w:hAnsi="Arial"/>
          <w:sz w:val="13"/>
          <w:szCs w:val="13"/>
          <w:color w:val="auto"/>
        </w:rPr>
        <w:t>The Company’s trade receivables, other than related parties, are all classified as current and are expected to be collected within one year. The Company’s provision for sales returns was not material for either of the years ended December 31, 2023 and 2022. See the table below for the aging of the Company’s trade receivables, other than related parties.</w:t>
      </w:r>
    </w:p>
    <w:p>
      <w:pPr>
        <w:spacing w:after="0" w:line="67" w:lineRule="exact"/>
        <w:rPr>
          <w:rFonts w:ascii="Arial" w:cs="Arial" w:eastAsia="Arial" w:hAnsi="Arial"/>
          <w:sz w:val="17"/>
          <w:szCs w:val="17"/>
          <w:color w:val="auto"/>
          <w:vertAlign w:val="superscript"/>
        </w:rPr>
      </w:pPr>
    </w:p>
    <w:p>
      <w:pPr>
        <w:ind w:left="520" w:hanging="260"/>
        <w:spacing w:after="0" w:line="227" w:lineRule="auto"/>
        <w:tabs>
          <w:tab w:leader="none" w:pos="515" w:val="left"/>
        </w:tabs>
        <w:numPr>
          <w:ilvl w:val="0"/>
          <w:numId w:val="102"/>
        </w:numPr>
        <w:rPr>
          <w:rFonts w:ascii="Arial" w:cs="Arial" w:eastAsia="Arial" w:hAnsi="Arial"/>
          <w:sz w:val="17"/>
          <w:szCs w:val="17"/>
          <w:color w:val="auto"/>
          <w:vertAlign w:val="superscript"/>
        </w:rPr>
      </w:pPr>
      <w:r>
        <w:rPr>
          <w:rFonts w:ascii="Arial" w:cs="Arial" w:eastAsia="Arial" w:hAnsi="Arial"/>
          <w:sz w:val="13"/>
          <w:szCs w:val="13"/>
          <w:color w:val="auto"/>
        </w:rPr>
        <w:t>Unbilled accounts receivable represents amounts recognized on revenue contracts less associated advances and progress billings. These amounts will be billed in accordance with the agreed-upon contractual terms or upon shipment of products or rendering services.</w:t>
      </w:r>
    </w:p>
    <w:p>
      <w:pPr>
        <w:spacing w:after="0" w:line="38" w:lineRule="exact"/>
        <w:rPr>
          <w:rFonts w:ascii="Arial" w:cs="Arial" w:eastAsia="Arial" w:hAnsi="Arial"/>
          <w:sz w:val="17"/>
          <w:szCs w:val="17"/>
          <w:color w:val="auto"/>
          <w:vertAlign w:val="superscript"/>
        </w:rPr>
      </w:pPr>
    </w:p>
    <w:p>
      <w:pPr>
        <w:ind w:left="500" w:hanging="240"/>
        <w:spacing w:after="0"/>
        <w:tabs>
          <w:tab w:leader="none" w:pos="500" w:val="left"/>
        </w:tabs>
        <w:numPr>
          <w:ilvl w:val="0"/>
          <w:numId w:val="102"/>
        </w:numPr>
        <w:rPr>
          <w:rFonts w:ascii="Arial" w:cs="Arial" w:eastAsia="Arial" w:hAnsi="Arial"/>
          <w:sz w:val="17"/>
          <w:szCs w:val="17"/>
          <w:color w:val="auto"/>
          <w:vertAlign w:val="superscript"/>
        </w:rPr>
      </w:pPr>
      <w:r>
        <w:rPr>
          <w:rFonts w:ascii="Arial" w:cs="Arial" w:eastAsia="Arial" w:hAnsi="Arial"/>
          <w:sz w:val="13"/>
          <w:szCs w:val="13"/>
          <w:color w:val="auto"/>
        </w:rPr>
        <w:t>Primarily represents advances to supplier to offset against future purchases.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20" w:type="dxa"/>
            <w:vAlign w:val="bottom"/>
          </w:tcPr>
          <w:p>
            <w:pPr>
              <w:spacing w:after="0"/>
              <w:rPr>
                <w:sz w:val="20"/>
                <w:szCs w:val="20"/>
                <w:color w:val="auto"/>
              </w:rPr>
            </w:pPr>
            <w:r>
              <w:rPr>
                <w:rFonts w:ascii="Arial" w:cs="Arial" w:eastAsia="Arial" w:hAnsi="Arial"/>
                <w:sz w:val="13"/>
                <w:szCs w:val="13"/>
                <w:color w:val="auto"/>
              </w:rPr>
              <w:t>The following table presents the activities in unbilled accounts receivable as of December 31, 2023 and 2022:</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5"/>
        </w:trPr>
        <w:tc>
          <w:tcPr>
            <w:tcW w:w="8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9"/>
                <w:szCs w:val="19"/>
                <w:color w:val="auto"/>
              </w:rPr>
            </w:pPr>
          </w:p>
        </w:tc>
        <w:tc>
          <w:tcPr>
            <w:tcW w:w="1280" w:type="dxa"/>
            <w:vAlign w:val="bottom"/>
          </w:tcPr>
          <w:p>
            <w:pPr>
              <w:jc w:val="center"/>
              <w:ind w:right="136"/>
              <w:spacing w:after="0"/>
              <w:rPr>
                <w:sz w:val="20"/>
                <w:szCs w:val="20"/>
                <w:color w:val="auto"/>
              </w:rPr>
            </w:pPr>
            <w:r>
              <w:rPr>
                <w:rFonts w:ascii="Arial" w:cs="Arial" w:eastAsia="Arial" w:hAnsi="Arial"/>
                <w:sz w:val="13"/>
                <w:szCs w:val="13"/>
                <w:b w:val="1"/>
                <w:bCs w:val="1"/>
                <w:color w:val="auto"/>
                <w:w w:val="99"/>
              </w:rPr>
              <w:t>December 31,</w:t>
            </w:r>
          </w:p>
        </w:tc>
      </w:tr>
      <w:tr>
        <w:trPr>
          <w:trHeight w:val="17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96"/>
              </w:rPr>
              <w:t>2022</w:t>
            </w: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balance</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Revenue recognized during the year</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87</w:t>
            </w: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Amounts invoiced</w:t>
            </w: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Ending balance</w:t>
            </w: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33</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w:t>
            </w:r>
          </w:p>
        </w:tc>
      </w:tr>
      <w:tr>
        <w:trPr>
          <w:trHeight w:val="306"/>
        </w:trPr>
        <w:tc>
          <w:tcPr>
            <w:tcW w:w="8220" w:type="dxa"/>
            <w:vAlign w:val="bottom"/>
          </w:tcPr>
          <w:p>
            <w:pPr>
              <w:spacing w:after="0"/>
              <w:rPr>
                <w:sz w:val="20"/>
                <w:szCs w:val="20"/>
                <w:color w:val="auto"/>
              </w:rPr>
            </w:pPr>
            <w:r>
              <w:rPr>
                <w:rFonts w:ascii="Arial" w:cs="Arial" w:eastAsia="Arial" w:hAnsi="Arial"/>
                <w:sz w:val="13"/>
                <w:szCs w:val="13"/>
                <w:color w:val="auto"/>
              </w:rPr>
              <w:t>The following table presents the aging of accounts receivable as of December 31, 2023 and 2022:</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5"/>
        </w:trPr>
        <w:tc>
          <w:tcPr>
            <w:tcW w:w="8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9"/>
                <w:szCs w:val="19"/>
                <w:color w:val="auto"/>
              </w:rPr>
            </w:pPr>
          </w:p>
        </w:tc>
        <w:tc>
          <w:tcPr>
            <w:tcW w:w="1280" w:type="dxa"/>
            <w:vAlign w:val="bottom"/>
          </w:tcPr>
          <w:p>
            <w:pPr>
              <w:jc w:val="center"/>
              <w:ind w:right="136"/>
              <w:spacing w:after="0"/>
              <w:rPr>
                <w:sz w:val="20"/>
                <w:szCs w:val="20"/>
                <w:color w:val="auto"/>
              </w:rPr>
            </w:pPr>
            <w:r>
              <w:rPr>
                <w:rFonts w:ascii="Arial" w:cs="Arial" w:eastAsia="Arial" w:hAnsi="Arial"/>
                <w:sz w:val="13"/>
                <w:szCs w:val="13"/>
                <w:b w:val="1"/>
                <w:bCs w:val="1"/>
                <w:color w:val="auto"/>
                <w:w w:val="99"/>
              </w:rPr>
              <w:t>December 31,</w:t>
            </w:r>
          </w:p>
        </w:tc>
      </w:tr>
      <w:tr>
        <w:trPr>
          <w:trHeight w:val="17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96"/>
              </w:rPr>
              <w:t>2022</w:t>
            </w: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Receivables neither past due nor impaired</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w:t>
            </w:r>
          </w:p>
        </w:tc>
      </w:tr>
      <w:tr>
        <w:trPr>
          <w:trHeight w:val="191"/>
        </w:trPr>
        <w:tc>
          <w:tcPr>
            <w:tcW w:w="8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70"/>
        </w:trPr>
        <w:tc>
          <w:tcPr>
            <w:tcW w:w="8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Less than 30 days</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r>
      <w:tr>
        <w:trPr>
          <w:trHeight w:val="169"/>
        </w:trPr>
        <w:tc>
          <w:tcPr>
            <w:tcW w:w="8220" w:type="dxa"/>
            <w:vAlign w:val="bottom"/>
          </w:tcPr>
          <w:p>
            <w:pPr>
              <w:ind w:left="100"/>
              <w:spacing w:after="0"/>
              <w:rPr>
                <w:sz w:val="20"/>
                <w:szCs w:val="20"/>
                <w:color w:val="auto"/>
              </w:rPr>
            </w:pPr>
            <w:r>
              <w:rPr>
                <w:rFonts w:ascii="Arial" w:cs="Arial" w:eastAsia="Arial" w:hAnsi="Arial"/>
                <w:sz w:val="13"/>
                <w:szCs w:val="13"/>
                <w:color w:val="auto"/>
              </w:rPr>
              <w:t>31 to 60 days</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71"/>
        </w:trPr>
        <w:tc>
          <w:tcPr>
            <w:tcW w:w="8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61 to 90 days</w:t>
            </w: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1,002</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824</w:t>
            </w:r>
          </w:p>
        </w:tc>
      </w:tr>
      <w:tr>
        <w:trPr>
          <w:trHeight w:val="397"/>
        </w:trPr>
        <w:tc>
          <w:tcPr>
            <w:tcW w:w="8220" w:type="dxa"/>
            <w:vAlign w:val="bottom"/>
          </w:tcPr>
          <w:p>
            <w:pPr>
              <w:spacing w:after="0"/>
              <w:rPr>
                <w:sz w:val="20"/>
                <w:szCs w:val="20"/>
                <w:color w:val="auto"/>
              </w:rPr>
            </w:pPr>
            <w:r>
              <w:rPr>
                <w:rFonts w:ascii="Arial" w:cs="Arial" w:eastAsia="Arial" w:hAnsi="Arial"/>
                <w:sz w:val="13"/>
                <w:szCs w:val="13"/>
                <w:b w:val="1"/>
                <w:bCs w:val="1"/>
                <w:color w:val="auto"/>
              </w:rPr>
              <w:t>7.  Inventories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7"/>
        </w:trPr>
        <w:tc>
          <w:tcPr>
            <w:tcW w:w="8220" w:type="dxa"/>
            <w:vAlign w:val="bottom"/>
          </w:tcPr>
          <w:p>
            <w:pPr>
              <w:spacing w:after="0"/>
              <w:rPr>
                <w:sz w:val="20"/>
                <w:szCs w:val="20"/>
                <w:color w:val="auto"/>
              </w:rPr>
            </w:pPr>
            <w:r>
              <w:rPr>
                <w:rFonts w:ascii="Arial" w:cs="Arial" w:eastAsia="Arial" w:hAnsi="Arial"/>
                <w:sz w:val="13"/>
                <w:szCs w:val="13"/>
                <w:color w:val="auto"/>
              </w:rPr>
              <w:t>Inventories consist of the following:</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51"/>
        </w:trPr>
        <w:tc>
          <w:tcPr>
            <w:tcW w:w="8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3"/>
                <w:szCs w:val="13"/>
                <w:color w:val="auto"/>
              </w:rPr>
            </w:pPr>
          </w:p>
        </w:tc>
        <w:tc>
          <w:tcPr>
            <w:tcW w:w="1280" w:type="dxa"/>
            <w:vAlign w:val="bottom"/>
          </w:tcPr>
          <w:p>
            <w:pPr>
              <w:jc w:val="center"/>
              <w:ind w:right="136"/>
              <w:spacing w:after="0"/>
              <w:rPr>
                <w:sz w:val="20"/>
                <w:szCs w:val="20"/>
                <w:color w:val="auto"/>
              </w:rPr>
            </w:pPr>
            <w:r>
              <w:rPr>
                <w:rFonts w:ascii="Arial" w:cs="Arial" w:eastAsia="Arial" w:hAnsi="Arial"/>
                <w:sz w:val="13"/>
                <w:szCs w:val="13"/>
                <w:b w:val="1"/>
                <w:bCs w:val="1"/>
                <w:color w:val="auto"/>
                <w:w w:val="99"/>
              </w:rPr>
              <w:t>December 31,</w:t>
            </w:r>
          </w:p>
        </w:tc>
      </w:tr>
      <w:tr>
        <w:trPr>
          <w:trHeight w:val="17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96"/>
              </w:rPr>
              <w:t>2022</w:t>
            </w: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Work in progress</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Raw materials and supplies</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559</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w:t>
            </w: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1,487</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8.</w:t>
        <w:tab/>
        <w:t>Property, Plant and Equipment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80" w:type="dxa"/>
            <w:vAlign w:val="bottom"/>
          </w:tcPr>
          <w:p>
            <w:pPr>
              <w:spacing w:after="0"/>
              <w:rPr>
                <w:sz w:val="10"/>
                <w:szCs w:val="10"/>
                <w:color w:val="auto"/>
              </w:rPr>
            </w:pPr>
          </w:p>
        </w:tc>
        <w:tc>
          <w:tcPr>
            <w:tcW w:w="1120" w:type="dxa"/>
            <w:vAlign w:val="bottom"/>
          </w:tcPr>
          <w:p>
            <w:pPr>
              <w:jc w:val="center"/>
              <w:ind w:left="243"/>
              <w:spacing w:after="0"/>
              <w:rPr>
                <w:sz w:val="20"/>
                <w:szCs w:val="20"/>
                <w:color w:val="auto"/>
              </w:rPr>
            </w:pPr>
            <w:r>
              <w:rPr>
                <w:rFonts w:ascii="Arial" w:cs="Arial" w:eastAsia="Arial" w:hAnsi="Arial"/>
                <w:sz w:val="11"/>
                <w:szCs w:val="11"/>
                <w:b w:val="1"/>
                <w:bCs w:val="1"/>
                <w:color w:val="auto"/>
              </w:rPr>
              <w:t>Land and</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Building and</w:t>
            </w: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rPr>
              <w:t>Construction</w:t>
            </w: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120" w:type="dxa"/>
            <w:vAlign w:val="bottom"/>
          </w:tcPr>
          <w:p>
            <w:pPr>
              <w:jc w:val="center"/>
              <w:ind w:left="223"/>
              <w:spacing w:after="0" w:line="117" w:lineRule="exact"/>
              <w:rPr>
                <w:sz w:val="20"/>
                <w:szCs w:val="20"/>
                <w:color w:val="auto"/>
              </w:rPr>
            </w:pPr>
            <w:r>
              <w:rPr>
                <w:rFonts w:ascii="Arial" w:cs="Arial" w:eastAsia="Arial" w:hAnsi="Arial"/>
                <w:sz w:val="11"/>
                <w:szCs w:val="11"/>
                <w:b w:val="1"/>
                <w:bCs w:val="1"/>
                <w:color w:val="auto"/>
              </w:rPr>
              <w:t>Land</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rPr>
              <w:t>Leasehold</w:t>
            </w:r>
          </w:p>
        </w:tc>
        <w:tc>
          <w:tcPr>
            <w:tcW w:w="260" w:type="dxa"/>
            <w:vAlign w:val="bottom"/>
          </w:tcPr>
          <w:p>
            <w:pPr>
              <w:spacing w:after="0"/>
              <w:rPr>
                <w:sz w:val="10"/>
                <w:szCs w:val="10"/>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Equipment</w:t>
            </w:r>
          </w:p>
        </w:tc>
        <w:tc>
          <w:tcPr>
            <w:tcW w:w="240" w:type="dxa"/>
            <w:vAlign w:val="bottom"/>
          </w:tcPr>
          <w:p>
            <w:pPr>
              <w:spacing w:after="0"/>
              <w:rPr>
                <w:sz w:val="10"/>
                <w:szCs w:val="10"/>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Computer</w:t>
            </w:r>
          </w:p>
        </w:tc>
        <w:tc>
          <w:tcPr>
            <w:tcW w:w="2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restart"/>
          </w:tcPr>
          <w:p>
            <w:pPr>
              <w:jc w:val="right"/>
              <w:ind w:right="50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4"/>
        </w:trPr>
        <w:tc>
          <w:tcPr>
            <w:tcW w:w="2480" w:type="dxa"/>
            <w:vAlign w:val="bottom"/>
            <w:tcBorders>
              <w:bottom w:val="single" w:sz="8" w:color="CCEEFF"/>
            </w:tcBorders>
            <w:vMerge w:val="continue"/>
          </w:tcPr>
          <w:p>
            <w:pPr>
              <w:spacing w:after="0"/>
              <w:rPr>
                <w:sz w:val="12"/>
                <w:szCs w:val="12"/>
                <w:color w:val="auto"/>
              </w:rPr>
            </w:pPr>
          </w:p>
        </w:tc>
        <w:tc>
          <w:tcPr>
            <w:tcW w:w="1120" w:type="dxa"/>
            <w:vAlign w:val="bottom"/>
            <w:tcBorders>
              <w:bottom w:val="single" w:sz="8" w:color="auto"/>
            </w:tcBorders>
          </w:tcPr>
          <w:p>
            <w:pPr>
              <w:jc w:val="center"/>
              <w:ind w:left="223"/>
              <w:spacing w:after="0"/>
              <w:rPr>
                <w:sz w:val="20"/>
                <w:szCs w:val="20"/>
                <w:color w:val="auto"/>
              </w:rPr>
            </w:pPr>
            <w:r>
              <w:rPr>
                <w:rFonts w:ascii="Arial" w:cs="Arial" w:eastAsia="Arial" w:hAnsi="Arial"/>
                <w:sz w:val="11"/>
                <w:szCs w:val="11"/>
                <w:b w:val="1"/>
                <w:bCs w:val="1"/>
                <w:color w:val="auto"/>
              </w:rPr>
              <w:t>Improvements</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rPr>
              <w:t>Improvements</w:t>
            </w: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rPr>
              <w:t>in Progress</w:t>
            </w: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4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Cost</w:t>
            </w: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80" w:type="dxa"/>
            <w:vAlign w:val="bottom"/>
          </w:tcPr>
          <w:p>
            <w:pPr>
              <w:ind w:left="20"/>
              <w:spacing w:after="0"/>
              <w:rPr>
                <w:sz w:val="20"/>
                <w:szCs w:val="20"/>
                <w:color w:val="auto"/>
              </w:rPr>
            </w:pPr>
            <w:r>
              <w:rPr>
                <w:rFonts w:ascii="Arial" w:cs="Arial" w:eastAsia="Arial" w:hAnsi="Arial"/>
                <w:sz w:val="11"/>
                <w:szCs w:val="11"/>
                <w:b w:val="1"/>
                <w:bCs w:val="1"/>
                <w:color w:val="auto"/>
              </w:rPr>
              <w:t>As of December 31, 2021</w:t>
            </w:r>
          </w:p>
        </w:tc>
        <w:tc>
          <w:tcPr>
            <w:tcW w:w="1120" w:type="dxa"/>
            <w:vAlign w:val="bottom"/>
          </w:tcPr>
          <w:p>
            <w:pPr>
              <w:jc w:val="right"/>
              <w:ind w:right="983"/>
              <w:spacing w:after="0"/>
              <w:rPr>
                <w:sz w:val="20"/>
                <w:szCs w:val="20"/>
                <w:color w:val="auto"/>
              </w:rPr>
            </w:pPr>
            <w:r>
              <w:rPr>
                <w:rFonts w:ascii="Arial" w:cs="Arial" w:eastAsia="Arial" w:hAnsi="Arial"/>
                <w:sz w:val="11"/>
                <w:szCs w:val="11"/>
                <w:b w:val="1"/>
                <w:bCs w:val="1"/>
                <w:color w:val="auto"/>
                <w:w w:val="97"/>
              </w:rPr>
              <w:t>$</w:t>
            </w:r>
          </w:p>
        </w:tc>
        <w:tc>
          <w:tcPr>
            <w:tcW w:w="280" w:type="dxa"/>
            <w:vAlign w:val="bottom"/>
          </w:tcPr>
          <w:p>
            <w:pPr>
              <w:jc w:val="right"/>
              <w:ind w:right="3"/>
              <w:spacing w:after="0"/>
              <w:rPr>
                <w:sz w:val="20"/>
                <w:szCs w:val="20"/>
                <w:color w:val="auto"/>
              </w:rPr>
            </w:pPr>
            <w:r>
              <w:rPr>
                <w:rFonts w:ascii="Arial" w:cs="Arial" w:eastAsia="Arial" w:hAnsi="Arial"/>
                <w:sz w:val="11"/>
                <w:szCs w:val="11"/>
                <w:b w:val="1"/>
                <w:bCs w:val="1"/>
                <w:color w:val="auto"/>
              </w:rPr>
              <w:t>130</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7,576</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22,350</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435</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1,423</w:t>
            </w:r>
          </w:p>
        </w:tc>
        <w:tc>
          <w:tcPr>
            <w:tcW w:w="10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31,914</w:t>
            </w:r>
          </w:p>
        </w:tc>
        <w:tc>
          <w:tcPr>
            <w:tcW w:w="0" w:type="dxa"/>
            <w:vAlign w:val="bottom"/>
          </w:tcPr>
          <w:p>
            <w:pPr>
              <w:spacing w:after="0"/>
              <w:rPr>
                <w:sz w:val="1"/>
                <w:szCs w:val="1"/>
                <w:color w:val="auto"/>
              </w:rPr>
            </w:pPr>
          </w:p>
        </w:tc>
      </w:tr>
      <w:tr>
        <w:trPr>
          <w:trHeight w:val="159"/>
        </w:trPr>
        <w:tc>
          <w:tcPr>
            <w:tcW w:w="2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Additions</w:t>
            </w:r>
            <w:r>
              <w:rPr>
                <w:rFonts w:ascii="Arial" w:cs="Arial" w:eastAsia="Arial" w:hAnsi="Arial"/>
                <w:sz w:val="7"/>
                <w:szCs w:val="7"/>
                <w:color w:val="auto"/>
              </w:rPr>
              <w:t>(1)</w:t>
            </w:r>
          </w:p>
        </w:tc>
        <w:tc>
          <w:tcPr>
            <w:tcW w:w="11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3,564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3,658</w:t>
            </w:r>
          </w:p>
        </w:tc>
        <w:tc>
          <w:tcPr>
            <w:tcW w:w="0" w:type="dxa"/>
            <w:vAlign w:val="bottom"/>
          </w:tcPr>
          <w:p>
            <w:pPr>
              <w:spacing w:after="0"/>
              <w:rPr>
                <w:sz w:val="1"/>
                <w:szCs w:val="1"/>
                <w:color w:val="auto"/>
              </w:rPr>
            </w:pPr>
          </w:p>
        </w:tc>
      </w:tr>
      <w:tr>
        <w:trPr>
          <w:trHeight w:val="156"/>
        </w:trPr>
        <w:tc>
          <w:tcPr>
            <w:tcW w:w="2480" w:type="dxa"/>
            <w:vAlign w:val="bottom"/>
          </w:tcPr>
          <w:p>
            <w:pPr>
              <w:ind w:left="20"/>
              <w:spacing w:after="0"/>
              <w:rPr>
                <w:sz w:val="20"/>
                <w:szCs w:val="20"/>
                <w:color w:val="auto"/>
              </w:rPr>
            </w:pPr>
            <w:r>
              <w:rPr>
                <w:rFonts w:ascii="Arial" w:cs="Arial" w:eastAsia="Arial" w:hAnsi="Arial"/>
                <w:sz w:val="11"/>
                <w:szCs w:val="11"/>
                <w:color w:val="auto"/>
              </w:rPr>
              <w:t>Transfers from construction in progress</w:t>
            </w:r>
          </w:p>
        </w:tc>
        <w:tc>
          <w:tcPr>
            <w:tcW w:w="1120" w:type="dxa"/>
            <w:vAlign w:val="bottom"/>
          </w:tcPr>
          <w:p>
            <w:pPr>
              <w:spacing w:after="0"/>
              <w:rPr>
                <w:sz w:val="13"/>
                <w:szCs w:val="13"/>
                <w:color w:val="auto"/>
              </w:rPr>
            </w:pPr>
          </w:p>
        </w:tc>
        <w:tc>
          <w:tcPr>
            <w:tcW w:w="28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409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935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(1,366)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Disposals</w:t>
            </w: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(1,169)</w:t>
            </w:r>
          </w:p>
        </w:tc>
        <w:tc>
          <w:tcPr>
            <w:tcW w:w="0" w:type="dxa"/>
            <w:vAlign w:val="bottom"/>
          </w:tcPr>
          <w:p>
            <w:pPr>
              <w:spacing w:after="0"/>
              <w:rPr>
                <w:sz w:val="1"/>
                <w:szCs w:val="1"/>
                <w:color w:val="auto"/>
              </w:rPr>
            </w:pPr>
          </w:p>
        </w:tc>
      </w:tr>
      <w:tr>
        <w:trPr>
          <w:trHeight w:val="156"/>
        </w:trPr>
        <w:tc>
          <w:tcPr>
            <w:tcW w:w="2480" w:type="dxa"/>
            <w:vAlign w:val="bottom"/>
          </w:tcPr>
          <w:p>
            <w:pPr>
              <w:ind w:left="20"/>
              <w:spacing w:after="0"/>
              <w:rPr>
                <w:sz w:val="20"/>
                <w:szCs w:val="20"/>
                <w:color w:val="auto"/>
              </w:rPr>
            </w:pPr>
            <w:r>
              <w:rPr>
                <w:rFonts w:ascii="Arial" w:cs="Arial" w:eastAsia="Arial" w:hAnsi="Arial"/>
                <w:sz w:val="11"/>
                <w:szCs w:val="11"/>
                <w:color w:val="auto"/>
              </w:rPr>
              <w:t>Effects of exchange rate changes</w:t>
            </w:r>
          </w:p>
        </w:tc>
        <w:tc>
          <w:tcPr>
            <w:tcW w:w="1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53"/>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As of December 31, 2022</w:t>
            </w:r>
          </w:p>
        </w:tc>
        <w:tc>
          <w:tcPr>
            <w:tcW w:w="11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122</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7,867</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22,569</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439</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3,384</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34,381</w:t>
            </w:r>
          </w:p>
        </w:tc>
        <w:tc>
          <w:tcPr>
            <w:tcW w:w="0" w:type="dxa"/>
            <w:vAlign w:val="bottom"/>
          </w:tcPr>
          <w:p>
            <w:pPr>
              <w:spacing w:after="0"/>
              <w:rPr>
                <w:sz w:val="1"/>
                <w:szCs w:val="1"/>
                <w:color w:val="auto"/>
              </w:rPr>
            </w:pPr>
          </w:p>
        </w:tc>
      </w:tr>
      <w:tr>
        <w:trPr>
          <w:trHeight w:val="156"/>
        </w:trPr>
        <w:tc>
          <w:tcPr>
            <w:tcW w:w="2480" w:type="dxa"/>
            <w:vAlign w:val="bottom"/>
          </w:tcPr>
          <w:p>
            <w:pPr>
              <w:ind w:left="20"/>
              <w:spacing w:after="0"/>
              <w:rPr>
                <w:sz w:val="20"/>
                <w:szCs w:val="20"/>
                <w:color w:val="auto"/>
              </w:rPr>
            </w:pPr>
            <w:r>
              <w:rPr>
                <w:rFonts w:ascii="Arial" w:cs="Arial" w:eastAsia="Arial" w:hAnsi="Arial"/>
                <w:sz w:val="11"/>
                <w:szCs w:val="11"/>
                <w:color w:val="auto"/>
              </w:rPr>
              <w:t>Additions</w:t>
            </w:r>
            <w:r>
              <w:rPr>
                <w:rFonts w:ascii="Arial" w:cs="Arial" w:eastAsia="Arial" w:hAnsi="Arial"/>
                <w:sz w:val="7"/>
                <w:szCs w:val="7"/>
                <w:color w:val="auto"/>
              </w:rPr>
              <w:t>(1)</w:t>
            </w:r>
          </w:p>
        </w:tc>
        <w:tc>
          <w:tcPr>
            <w:tcW w:w="1120" w:type="dxa"/>
            <w:vAlign w:val="bottom"/>
          </w:tcPr>
          <w:p>
            <w:pPr>
              <w:spacing w:after="0"/>
              <w:rPr>
                <w:sz w:val="13"/>
                <w:szCs w:val="13"/>
                <w:color w:val="auto"/>
              </w:rPr>
            </w:pPr>
          </w:p>
        </w:tc>
        <w:tc>
          <w:tcPr>
            <w:tcW w:w="280" w:type="dxa"/>
            <w:vAlign w:val="bottom"/>
          </w:tcPr>
          <w:p>
            <w:pPr>
              <w:jc w:val="right"/>
              <w:ind w:right="3"/>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121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745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905</w:t>
            </w: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Transfers from construction in progress</w:t>
            </w:r>
          </w:p>
        </w:tc>
        <w:tc>
          <w:tcPr>
            <w:tcW w:w="11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480" w:type="dxa"/>
            <w:vAlign w:val="bottom"/>
          </w:tcPr>
          <w:p>
            <w:pPr>
              <w:ind w:left="20"/>
              <w:spacing w:after="0"/>
              <w:rPr>
                <w:sz w:val="20"/>
                <w:szCs w:val="20"/>
                <w:color w:val="auto"/>
              </w:rPr>
            </w:pPr>
            <w:r>
              <w:rPr>
                <w:rFonts w:ascii="Arial" w:cs="Arial" w:eastAsia="Arial" w:hAnsi="Arial"/>
                <w:sz w:val="11"/>
                <w:szCs w:val="11"/>
                <w:color w:val="auto"/>
              </w:rPr>
              <w:t>Disposals</w:t>
            </w:r>
          </w:p>
        </w:tc>
        <w:tc>
          <w:tcPr>
            <w:tcW w:w="112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(297)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(339)</w:t>
            </w:r>
          </w:p>
        </w:tc>
        <w:tc>
          <w:tcPr>
            <w:tcW w:w="0" w:type="dxa"/>
            <w:vAlign w:val="bottom"/>
          </w:tcPr>
          <w:p>
            <w:pPr>
              <w:spacing w:after="0"/>
              <w:rPr>
                <w:sz w:val="1"/>
                <w:szCs w:val="1"/>
                <w:color w:val="auto"/>
              </w:rPr>
            </w:pPr>
          </w:p>
        </w:tc>
      </w:tr>
      <w:tr>
        <w:trPr>
          <w:trHeight w:val="159"/>
        </w:trPr>
        <w:tc>
          <w:tcPr>
            <w:tcW w:w="2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Effect of exchange rate changes</w:t>
            </w:r>
          </w:p>
        </w:tc>
        <w:tc>
          <w:tcPr>
            <w:tcW w:w="11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3"/>
        </w:trPr>
        <w:tc>
          <w:tcPr>
            <w:tcW w:w="2480" w:type="dxa"/>
            <w:vAlign w:val="bottom"/>
          </w:tcPr>
          <w:p>
            <w:pPr>
              <w:ind w:left="20"/>
              <w:spacing w:after="0"/>
              <w:rPr>
                <w:sz w:val="20"/>
                <w:szCs w:val="20"/>
                <w:color w:val="auto"/>
              </w:rPr>
            </w:pPr>
            <w:r>
              <w:rPr>
                <w:rFonts w:ascii="Arial" w:cs="Arial" w:eastAsia="Arial" w:hAnsi="Arial"/>
                <w:sz w:val="11"/>
                <w:szCs w:val="11"/>
                <w:b w:val="1"/>
                <w:bCs w:val="1"/>
                <w:color w:val="auto"/>
              </w:rPr>
              <w:t>As of December 31, 2023</w:t>
            </w:r>
          </w:p>
        </w:tc>
        <w:tc>
          <w:tcPr>
            <w:tcW w:w="1120" w:type="dxa"/>
            <w:vAlign w:val="bottom"/>
            <w:tcBorders>
              <w:top w:val="single" w:sz="8" w:color="auto"/>
              <w:bottom w:val="single" w:sz="8" w:color="auto"/>
            </w:tcBorders>
          </w:tcPr>
          <w:p>
            <w:pPr>
              <w:jc w:val="right"/>
              <w:ind w:right="983"/>
              <w:spacing w:after="0"/>
              <w:rPr>
                <w:sz w:val="20"/>
                <w:szCs w:val="20"/>
                <w:color w:val="auto"/>
              </w:rPr>
            </w:pPr>
            <w:r>
              <w:rPr>
                <w:rFonts w:ascii="Arial" w:cs="Arial" w:eastAsia="Arial" w:hAnsi="Arial"/>
                <w:sz w:val="11"/>
                <w:szCs w:val="11"/>
                <w:b w:val="1"/>
                <w:bCs w:val="1"/>
                <w:color w:val="auto"/>
                <w:w w:val="97"/>
              </w:rPr>
              <w:t>$</w:t>
            </w:r>
          </w:p>
        </w:tc>
        <w:tc>
          <w:tcPr>
            <w:tcW w:w="2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138</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8,581</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24,281</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448</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1,512</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34,960</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48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Accumulated Depreciation</w:t>
            </w:r>
          </w:p>
        </w:tc>
        <w:tc>
          <w:tcPr>
            <w:tcW w:w="1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480" w:type="dxa"/>
            <w:vAlign w:val="bottom"/>
          </w:tcPr>
          <w:p>
            <w:pPr>
              <w:ind w:left="20"/>
              <w:spacing w:after="0"/>
              <w:rPr>
                <w:sz w:val="20"/>
                <w:szCs w:val="20"/>
                <w:color w:val="auto"/>
              </w:rPr>
            </w:pPr>
            <w:r>
              <w:rPr>
                <w:rFonts w:ascii="Arial" w:cs="Arial" w:eastAsia="Arial" w:hAnsi="Arial"/>
                <w:sz w:val="11"/>
                <w:szCs w:val="11"/>
                <w:b w:val="1"/>
                <w:bCs w:val="1"/>
                <w:color w:val="auto"/>
              </w:rPr>
              <w:t>As of December 31, 2021</w:t>
            </w:r>
          </w:p>
        </w:tc>
        <w:tc>
          <w:tcPr>
            <w:tcW w:w="1120" w:type="dxa"/>
            <w:vAlign w:val="bottom"/>
          </w:tcPr>
          <w:p>
            <w:pPr>
              <w:jc w:val="right"/>
              <w:ind w:right="983"/>
              <w:spacing w:after="0"/>
              <w:rPr>
                <w:sz w:val="20"/>
                <w:szCs w:val="20"/>
                <w:color w:val="auto"/>
              </w:rPr>
            </w:pPr>
            <w:r>
              <w:rPr>
                <w:rFonts w:ascii="Arial" w:cs="Arial" w:eastAsia="Arial" w:hAnsi="Arial"/>
                <w:sz w:val="11"/>
                <w:szCs w:val="11"/>
                <w:b w:val="1"/>
                <w:bCs w:val="1"/>
                <w:color w:val="auto"/>
                <w:w w:val="97"/>
              </w:rPr>
              <w:t>$</w:t>
            </w:r>
          </w:p>
        </w:tc>
        <w:tc>
          <w:tcPr>
            <w:tcW w:w="280" w:type="dxa"/>
            <w:vAlign w:val="bottom"/>
          </w:tcPr>
          <w:p>
            <w:pPr>
              <w:jc w:val="right"/>
              <w:ind w:right="3"/>
              <w:spacing w:after="0"/>
              <w:rPr>
                <w:sz w:val="20"/>
                <w:szCs w:val="20"/>
                <w:color w:val="auto"/>
              </w:rPr>
            </w:pPr>
            <w:r>
              <w:rPr>
                <w:rFonts w:ascii="Arial" w:cs="Arial" w:eastAsia="Arial" w:hAnsi="Arial"/>
                <w:sz w:val="11"/>
                <w:szCs w:val="11"/>
                <w:b w:val="1"/>
                <w:bCs w:val="1"/>
                <w:color w:val="auto"/>
              </w:rPr>
              <w:t>37</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4,266</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18,507</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384</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7</w:t>
            </w:r>
          </w:p>
        </w:tc>
        <w:tc>
          <w:tcPr>
            <w:tcW w:w="10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23,201</w:t>
            </w:r>
          </w:p>
        </w:tc>
        <w:tc>
          <w:tcPr>
            <w:tcW w:w="0" w:type="dxa"/>
            <w:vAlign w:val="bottom"/>
          </w:tcPr>
          <w:p>
            <w:pPr>
              <w:spacing w:after="0"/>
              <w:rPr>
                <w:sz w:val="1"/>
                <w:szCs w:val="1"/>
                <w:color w:val="auto"/>
              </w:rPr>
            </w:pPr>
          </w:p>
        </w:tc>
      </w:tr>
      <w:tr>
        <w:trPr>
          <w:trHeight w:val="159"/>
        </w:trPr>
        <w:tc>
          <w:tcPr>
            <w:tcW w:w="2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Additions</w:t>
            </w:r>
            <w:r>
              <w:rPr>
                <w:rFonts w:ascii="Arial" w:cs="Arial" w:eastAsia="Arial" w:hAnsi="Arial"/>
                <w:sz w:val="7"/>
                <w:szCs w:val="7"/>
                <w:color w:val="auto"/>
              </w:rPr>
              <w:t>(1)</w:t>
            </w: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1,447</w:t>
            </w:r>
          </w:p>
        </w:tc>
        <w:tc>
          <w:tcPr>
            <w:tcW w:w="0" w:type="dxa"/>
            <w:vAlign w:val="bottom"/>
          </w:tcPr>
          <w:p>
            <w:pPr>
              <w:spacing w:after="0"/>
              <w:rPr>
                <w:sz w:val="1"/>
                <w:szCs w:val="1"/>
                <w:color w:val="auto"/>
              </w:rPr>
            </w:pPr>
          </w:p>
        </w:tc>
      </w:tr>
      <w:tr>
        <w:trPr>
          <w:trHeight w:val="156"/>
        </w:trPr>
        <w:tc>
          <w:tcPr>
            <w:tcW w:w="2480" w:type="dxa"/>
            <w:vAlign w:val="bottom"/>
          </w:tcPr>
          <w:p>
            <w:pPr>
              <w:ind w:left="20"/>
              <w:spacing w:after="0"/>
              <w:rPr>
                <w:sz w:val="20"/>
                <w:szCs w:val="20"/>
                <w:color w:val="auto"/>
              </w:rPr>
            </w:pPr>
            <w:r>
              <w:rPr>
                <w:rFonts w:ascii="Arial" w:cs="Arial" w:eastAsia="Arial" w:hAnsi="Arial"/>
                <w:sz w:val="11"/>
                <w:szCs w:val="11"/>
                <w:color w:val="auto"/>
              </w:rPr>
              <w:t>Disposals</w:t>
            </w:r>
          </w:p>
        </w:tc>
        <w:tc>
          <w:tcPr>
            <w:tcW w:w="1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(164)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(674)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(858)</w:t>
            </w: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Effects of exchange rate changes</w:t>
            </w:r>
          </w:p>
        </w:tc>
        <w:tc>
          <w:tcPr>
            <w:tcW w:w="11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0"/>
        </w:trPr>
        <w:tc>
          <w:tcPr>
            <w:tcW w:w="2480" w:type="dxa"/>
            <w:vAlign w:val="bottom"/>
          </w:tcPr>
          <w:p>
            <w:pPr>
              <w:ind w:left="20"/>
              <w:spacing w:after="0"/>
              <w:rPr>
                <w:sz w:val="20"/>
                <w:szCs w:val="20"/>
                <w:color w:val="auto"/>
              </w:rPr>
            </w:pPr>
            <w:r>
              <w:rPr>
                <w:rFonts w:ascii="Arial" w:cs="Arial" w:eastAsia="Arial" w:hAnsi="Arial"/>
                <w:sz w:val="11"/>
                <w:szCs w:val="11"/>
                <w:b w:val="1"/>
                <w:bCs w:val="1"/>
                <w:color w:val="auto"/>
              </w:rPr>
              <w:t>As of December 31, 2022</w:t>
            </w:r>
          </w:p>
        </w:tc>
        <w:tc>
          <w:tcPr>
            <w:tcW w:w="1120" w:type="dxa"/>
            <w:vAlign w:val="bottom"/>
            <w:tcBorders>
              <w:top w:val="single" w:sz="8" w:color="auto"/>
            </w:tcBorders>
          </w:tcPr>
          <w:p>
            <w:pPr>
              <w:jc w:val="right"/>
              <w:ind w:right="983"/>
              <w:spacing w:after="0"/>
              <w:rPr>
                <w:sz w:val="20"/>
                <w:szCs w:val="20"/>
                <w:color w:val="auto"/>
              </w:rPr>
            </w:pPr>
            <w:r>
              <w:rPr>
                <w:rFonts w:ascii="Arial" w:cs="Arial" w:eastAsia="Arial" w:hAnsi="Arial"/>
                <w:sz w:val="11"/>
                <w:szCs w:val="11"/>
                <w:b w:val="1"/>
                <w:bCs w:val="1"/>
                <w:color w:val="auto"/>
                <w:w w:val="97"/>
              </w:rPr>
              <w:t>$</w:t>
            </w:r>
          </w:p>
        </w:tc>
        <w:tc>
          <w:tcPr>
            <w:tcW w:w="2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39</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4,544</w:t>
            </w: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18,804</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391</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w:t>
            </w:r>
          </w:p>
        </w:tc>
        <w:tc>
          <w:tcPr>
            <w:tcW w:w="100" w:type="dxa"/>
            <w:vAlign w:val="bottom"/>
          </w:tcPr>
          <w:p>
            <w:pPr>
              <w:spacing w:after="0"/>
              <w:rPr>
                <w:sz w:val="13"/>
                <w:szCs w:val="13"/>
                <w:color w:val="auto"/>
              </w:rPr>
            </w:pPr>
          </w:p>
        </w:tc>
        <w:tc>
          <w:tcPr>
            <w:tcW w:w="320" w:type="dxa"/>
            <w:vAlign w:val="bottom"/>
            <w:tcBorders>
              <w:top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23,785</w:t>
            </w:r>
          </w:p>
        </w:tc>
        <w:tc>
          <w:tcPr>
            <w:tcW w:w="0" w:type="dxa"/>
            <w:vAlign w:val="bottom"/>
          </w:tcPr>
          <w:p>
            <w:pPr>
              <w:spacing w:after="0"/>
              <w:rPr>
                <w:sz w:val="1"/>
                <w:szCs w:val="1"/>
                <w:color w:val="auto"/>
              </w:rPr>
            </w:pPr>
          </w:p>
        </w:tc>
      </w:tr>
      <w:tr>
        <w:trPr>
          <w:trHeight w:val="159"/>
        </w:trPr>
        <w:tc>
          <w:tcPr>
            <w:tcW w:w="2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Additions</w:t>
            </w:r>
            <w:r>
              <w:rPr>
                <w:rFonts w:ascii="Arial" w:cs="Arial" w:eastAsia="Arial" w:hAnsi="Arial"/>
                <w:sz w:val="7"/>
                <w:szCs w:val="7"/>
                <w:color w:val="auto"/>
              </w:rPr>
              <w:t>(1)</w:t>
            </w: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1,322</w:t>
            </w:r>
          </w:p>
        </w:tc>
        <w:tc>
          <w:tcPr>
            <w:tcW w:w="0" w:type="dxa"/>
            <w:vAlign w:val="bottom"/>
          </w:tcPr>
          <w:p>
            <w:pPr>
              <w:spacing w:after="0"/>
              <w:rPr>
                <w:sz w:val="1"/>
                <w:szCs w:val="1"/>
                <w:color w:val="auto"/>
              </w:rPr>
            </w:pPr>
          </w:p>
        </w:tc>
      </w:tr>
      <w:tr>
        <w:trPr>
          <w:trHeight w:val="156"/>
        </w:trPr>
        <w:tc>
          <w:tcPr>
            <w:tcW w:w="2480" w:type="dxa"/>
            <w:vAlign w:val="bottom"/>
          </w:tcPr>
          <w:p>
            <w:pPr>
              <w:ind w:left="20"/>
              <w:spacing w:after="0"/>
              <w:rPr>
                <w:sz w:val="20"/>
                <w:szCs w:val="20"/>
                <w:color w:val="auto"/>
              </w:rPr>
            </w:pPr>
            <w:r>
              <w:rPr>
                <w:rFonts w:ascii="Arial" w:cs="Arial" w:eastAsia="Arial" w:hAnsi="Arial"/>
                <w:sz w:val="11"/>
                <w:szCs w:val="11"/>
                <w:color w:val="auto"/>
              </w:rPr>
              <w:t>Disposals</w:t>
            </w:r>
          </w:p>
        </w:tc>
        <w:tc>
          <w:tcPr>
            <w:tcW w:w="112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(296)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(316)</w:t>
            </w:r>
          </w:p>
        </w:tc>
        <w:tc>
          <w:tcPr>
            <w:tcW w:w="0" w:type="dxa"/>
            <w:vAlign w:val="bottom"/>
          </w:tcPr>
          <w:p>
            <w:pPr>
              <w:spacing w:after="0"/>
              <w:rPr>
                <w:sz w:val="1"/>
                <w:szCs w:val="1"/>
                <w:color w:val="auto"/>
              </w:rPr>
            </w:pPr>
          </w:p>
        </w:tc>
      </w:tr>
      <w:tr>
        <w:trPr>
          <w:trHeight w:val="159"/>
        </w:trPr>
        <w:tc>
          <w:tcPr>
            <w:tcW w:w="2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Effect of exchange rate changes</w:t>
            </w:r>
          </w:p>
        </w:tc>
        <w:tc>
          <w:tcPr>
            <w:tcW w:w="11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3"/>
        </w:trPr>
        <w:tc>
          <w:tcPr>
            <w:tcW w:w="2480" w:type="dxa"/>
            <w:vAlign w:val="bottom"/>
          </w:tcPr>
          <w:p>
            <w:pPr>
              <w:ind w:left="20"/>
              <w:spacing w:after="0"/>
              <w:rPr>
                <w:sz w:val="20"/>
                <w:szCs w:val="20"/>
                <w:color w:val="auto"/>
              </w:rPr>
            </w:pPr>
            <w:r>
              <w:rPr>
                <w:rFonts w:ascii="Arial" w:cs="Arial" w:eastAsia="Arial" w:hAnsi="Arial"/>
                <w:sz w:val="11"/>
                <w:szCs w:val="11"/>
                <w:b w:val="1"/>
                <w:bCs w:val="1"/>
                <w:color w:val="auto"/>
              </w:rPr>
              <w:t>As of December 31, 2023</w:t>
            </w:r>
          </w:p>
        </w:tc>
        <w:tc>
          <w:tcPr>
            <w:tcW w:w="1120" w:type="dxa"/>
            <w:vAlign w:val="bottom"/>
            <w:tcBorders>
              <w:top w:val="single" w:sz="8" w:color="auto"/>
              <w:bottom w:val="single" w:sz="8" w:color="auto"/>
            </w:tcBorders>
          </w:tcPr>
          <w:p>
            <w:pPr>
              <w:jc w:val="right"/>
              <w:ind w:right="983"/>
              <w:spacing w:after="0"/>
              <w:rPr>
                <w:sz w:val="20"/>
                <w:szCs w:val="20"/>
                <w:color w:val="auto"/>
              </w:rPr>
            </w:pPr>
            <w:r>
              <w:rPr>
                <w:rFonts w:ascii="Arial" w:cs="Arial" w:eastAsia="Arial" w:hAnsi="Arial"/>
                <w:sz w:val="11"/>
                <w:szCs w:val="11"/>
                <w:b w:val="1"/>
                <w:bCs w:val="1"/>
                <w:color w:val="auto"/>
                <w:w w:val="97"/>
              </w:rPr>
              <w:t>$</w:t>
            </w:r>
          </w:p>
        </w:tc>
        <w:tc>
          <w:tcPr>
            <w:tcW w:w="2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44</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4,849</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19,488</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408</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24,796</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480" w:type="dxa"/>
            <w:vAlign w:val="bottom"/>
          </w:tcPr>
          <w:p>
            <w:pPr>
              <w:ind w:left="20"/>
              <w:spacing w:after="0"/>
              <w:rPr>
                <w:sz w:val="20"/>
                <w:szCs w:val="20"/>
                <w:color w:val="auto"/>
              </w:rPr>
            </w:pPr>
            <w:r>
              <w:rPr>
                <w:rFonts w:ascii="Arial" w:cs="Arial" w:eastAsia="Arial" w:hAnsi="Arial"/>
                <w:sz w:val="11"/>
                <w:szCs w:val="11"/>
                <w:b w:val="1"/>
                <w:bCs w:val="1"/>
                <w:color w:val="auto"/>
              </w:rPr>
              <w:t>Net book value as of December 31, 2022</w:t>
            </w:r>
          </w:p>
        </w:tc>
        <w:tc>
          <w:tcPr>
            <w:tcW w:w="1120" w:type="dxa"/>
            <w:vAlign w:val="bottom"/>
            <w:tcBorders>
              <w:bottom w:val="single" w:sz="8" w:color="auto"/>
            </w:tcBorders>
          </w:tcPr>
          <w:p>
            <w:pPr>
              <w:jc w:val="right"/>
              <w:ind w:right="983"/>
              <w:spacing w:after="0"/>
              <w:rPr>
                <w:sz w:val="20"/>
                <w:szCs w:val="20"/>
                <w:color w:val="auto"/>
              </w:rPr>
            </w:pPr>
            <w:r>
              <w:rPr>
                <w:rFonts w:ascii="Arial" w:cs="Arial" w:eastAsia="Arial" w:hAnsi="Arial"/>
                <w:sz w:val="11"/>
                <w:szCs w:val="11"/>
                <w:b w:val="1"/>
                <w:bCs w:val="1"/>
                <w:color w:val="auto"/>
                <w:w w:val="97"/>
              </w:rPr>
              <w:t>$</w:t>
            </w:r>
          </w:p>
        </w:tc>
        <w:tc>
          <w:tcPr>
            <w:tcW w:w="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83</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3,323</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3,765</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48</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3,377</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10,596</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480" w:type="dxa"/>
            <w:vAlign w:val="bottom"/>
          </w:tcPr>
          <w:p>
            <w:pPr>
              <w:ind w:left="20"/>
              <w:spacing w:after="0"/>
              <w:rPr>
                <w:sz w:val="20"/>
                <w:szCs w:val="20"/>
                <w:color w:val="auto"/>
              </w:rPr>
            </w:pPr>
            <w:r>
              <w:rPr>
                <w:rFonts w:ascii="Arial" w:cs="Arial" w:eastAsia="Arial" w:hAnsi="Arial"/>
                <w:sz w:val="11"/>
                <w:szCs w:val="11"/>
                <w:b w:val="1"/>
                <w:bCs w:val="1"/>
                <w:color w:val="auto"/>
              </w:rPr>
              <w:t>Net book value as of December 31, 2023</w:t>
            </w:r>
          </w:p>
        </w:tc>
        <w:tc>
          <w:tcPr>
            <w:tcW w:w="1120" w:type="dxa"/>
            <w:vAlign w:val="bottom"/>
            <w:tcBorders>
              <w:bottom w:val="single" w:sz="8" w:color="auto"/>
            </w:tcBorders>
          </w:tcPr>
          <w:p>
            <w:pPr>
              <w:jc w:val="right"/>
              <w:ind w:right="983"/>
              <w:spacing w:after="0"/>
              <w:rPr>
                <w:sz w:val="20"/>
                <w:szCs w:val="20"/>
                <w:color w:val="auto"/>
              </w:rPr>
            </w:pPr>
            <w:r>
              <w:rPr>
                <w:rFonts w:ascii="Arial" w:cs="Arial" w:eastAsia="Arial" w:hAnsi="Arial"/>
                <w:sz w:val="11"/>
                <w:szCs w:val="11"/>
                <w:b w:val="1"/>
                <w:bCs w:val="1"/>
                <w:color w:val="auto"/>
                <w:w w:val="97"/>
              </w:rPr>
              <w:t>$</w:t>
            </w:r>
          </w:p>
        </w:tc>
        <w:tc>
          <w:tcPr>
            <w:tcW w:w="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94</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3,732</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4,793</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1,505</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10,164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left="640" w:hanging="253"/>
        <w:spacing w:after="0" w:line="232" w:lineRule="auto"/>
        <w:tabs>
          <w:tab w:leader="none" w:pos="671" w:val="left"/>
        </w:tabs>
        <w:numPr>
          <w:ilvl w:val="0"/>
          <w:numId w:val="103"/>
        </w:numPr>
        <w:rPr>
          <w:rFonts w:ascii="Arial" w:cs="Arial" w:eastAsia="Arial" w:hAnsi="Arial"/>
          <w:sz w:val="17"/>
          <w:szCs w:val="17"/>
          <w:color w:val="auto"/>
          <w:vertAlign w:val="superscript"/>
        </w:rPr>
      </w:pPr>
      <w:r>
        <w:rPr>
          <w:rFonts w:ascii="Arial" w:cs="Arial" w:eastAsia="Arial" w:hAnsi="Arial"/>
          <w:sz w:val="13"/>
          <w:szCs w:val="13"/>
          <w:color w:val="auto"/>
        </w:rPr>
        <w:t>The Company earned investment tax credits related to the Company’s construction of a wafer fabrication facility in Saratoga County, New York (which were netted against additions relating to Building and Leasehold Improvements and Equipment). These credits were generally earned based on when the related assets were placed in service. The Company recorded the investment tax credits as a reduction of property, plant and equipment costs. As of December 31, 2023, and 2022, the investment tax credits included in property, plant and equipment amounted to $226 million and $179 million, respectively.</w:t>
      </w:r>
    </w:p>
    <w:p>
      <w:pPr>
        <w:spacing w:after="0" w:line="78"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Construction in progress includes property, plant and equipment that are still in progress of construction and qualification process for equipment, necessary for these assets to be operating in the manner for their intended use. When these assets are completed and placed in service, they are transferred to property, plant and equipment and depreciation commences. The Company transferred $2.6 billion and $1.4 billion in 2023 and 2022, respectively, from construction in progress to the respective property, plant and equipment category.</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gross amount of ROU assets recorded under leases, which are included in property, plant and equipment amounted to $996 million and $888 million as of December 31, 2023 and 2022, respectively. The net carrying value of ROU assets amounted to $335 million and $282 million as of December 31, 2023 and 2022, respectively. Amortization of ROU assets is included in depreciation expense. Depreciation expense for the years ended December 31, 2023, 2022 and 2021 for all ROU assets was $57 million, $82 million and $81 million,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Depreciation expense on property, plant and equipment is as follows: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59"/>
        </w:trPr>
        <w:tc>
          <w:tcPr>
            <w:tcW w:w="6660" w:type="dxa"/>
            <w:vAlign w:val="bottom"/>
          </w:tcPr>
          <w:p>
            <w:pPr>
              <w:ind w:left="20"/>
              <w:spacing w:after="0"/>
              <w:rPr>
                <w:sz w:val="20"/>
                <w:szCs w:val="20"/>
                <w:color w:val="auto"/>
              </w:rPr>
            </w:pPr>
            <w:r>
              <w:rPr>
                <w:rFonts w:ascii="Arial" w:cs="Arial" w:eastAsia="Arial" w:hAnsi="Arial"/>
                <w:sz w:val="13"/>
                <w:szCs w:val="13"/>
                <w:color w:val="auto"/>
              </w:rPr>
              <w:t>Cost of revenue</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1,259</w:t>
            </w:r>
          </w:p>
        </w:tc>
        <w:tc>
          <w:tcPr>
            <w:tcW w:w="80" w:type="dxa"/>
            <w:vAlign w:val="bottom"/>
          </w:tcPr>
          <w:p>
            <w:pPr>
              <w:spacing w:after="0"/>
              <w:rPr>
                <w:sz w:val="13"/>
                <w:szCs w:val="13"/>
                <w:color w:val="auto"/>
              </w:rPr>
            </w:pP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1,377</w:t>
            </w:r>
          </w:p>
        </w:tc>
        <w:tc>
          <w:tcPr>
            <w:tcW w:w="80" w:type="dxa"/>
            <w:vAlign w:val="bottom"/>
          </w:tcPr>
          <w:p>
            <w:pPr>
              <w:spacing w:after="0"/>
              <w:rPr>
                <w:sz w:val="13"/>
                <w:szCs w:val="13"/>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1,309</w:t>
            </w: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 expenses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r>
      <w:tr>
        <w:trPr>
          <w:trHeight w:val="16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r>
      <w:tr>
        <w:trPr>
          <w:trHeight w:val="16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1,322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1,447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1,411</w:t>
            </w:r>
          </w:p>
        </w:tc>
      </w:tr>
    </w:tbl>
    <w:p>
      <w:pPr>
        <w:spacing w:after="0" w:line="234" w:lineRule="exact"/>
        <w:rPr>
          <w:sz w:val="20"/>
          <w:szCs w:val="20"/>
          <w:color w:val="auto"/>
        </w:rPr>
      </w:pPr>
    </w:p>
    <w:p>
      <w:pPr>
        <w:ind w:left="260" w:hanging="255"/>
        <w:spacing w:after="0"/>
        <w:tabs>
          <w:tab w:leader="none" w:pos="260" w:val="left"/>
        </w:tabs>
        <w:numPr>
          <w:ilvl w:val="0"/>
          <w:numId w:val="104"/>
        </w:numPr>
        <w:rPr>
          <w:rFonts w:ascii="Arial" w:cs="Arial" w:eastAsia="Arial" w:hAnsi="Arial"/>
          <w:sz w:val="13"/>
          <w:szCs w:val="13"/>
          <w:b w:val="1"/>
          <w:bCs w:val="1"/>
          <w:color w:val="auto"/>
        </w:rPr>
      </w:pPr>
      <w:r>
        <w:rPr>
          <w:rFonts w:ascii="Arial" w:cs="Arial" w:eastAsia="Arial" w:hAnsi="Arial"/>
          <w:sz w:val="13"/>
          <w:szCs w:val="13"/>
          <w:b w:val="1"/>
          <w:bCs w:val="1"/>
          <w:color w:val="auto"/>
        </w:rPr>
        <w:t>Goodwill and Intangible Assets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Technology,</w:t>
            </w: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1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Cost (in millions)</w:t>
            </w:r>
          </w:p>
        </w:tc>
        <w:tc>
          <w:tcPr>
            <w:tcW w:w="220" w:type="dxa"/>
            <w:vAlign w:val="bottom"/>
          </w:tcPr>
          <w:p>
            <w:pPr>
              <w:spacing w:after="0"/>
              <w:rPr>
                <w:sz w:val="9"/>
                <w:szCs w:val="9"/>
                <w:color w:val="auto"/>
              </w:rPr>
            </w:pPr>
          </w:p>
        </w:tc>
        <w:tc>
          <w:tcPr>
            <w:tcW w:w="1320" w:type="dxa"/>
            <w:vAlign w:val="bottom"/>
            <w:gridSpan w:val="2"/>
          </w:tcPr>
          <w:p>
            <w:pPr>
              <w:jc w:val="center"/>
              <w:ind w:right="280"/>
              <w:spacing w:after="0" w:line="113" w:lineRule="exact"/>
              <w:rPr>
                <w:sz w:val="20"/>
                <w:szCs w:val="20"/>
                <w:color w:val="auto"/>
              </w:rPr>
            </w:pPr>
            <w:r>
              <w:rPr>
                <w:rFonts w:ascii="Arial" w:cs="Arial" w:eastAsia="Arial" w:hAnsi="Arial"/>
                <w:sz w:val="11"/>
                <w:szCs w:val="11"/>
                <w:b w:val="1"/>
                <w:bCs w:val="1"/>
                <w:color w:val="auto"/>
              </w:rPr>
              <w:t>Licenses and</w:t>
            </w:r>
          </w:p>
        </w:tc>
        <w:tc>
          <w:tcPr>
            <w:tcW w:w="280" w:type="dxa"/>
            <w:vAlign w:val="bottom"/>
          </w:tcPr>
          <w:p>
            <w:pPr>
              <w:spacing w:after="0"/>
              <w:rPr>
                <w:sz w:val="9"/>
                <w:szCs w:val="9"/>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Software</w:t>
            </w:r>
          </w:p>
        </w:tc>
        <w:tc>
          <w:tcPr>
            <w:tcW w:w="300" w:type="dxa"/>
            <w:vAlign w:val="bottom"/>
          </w:tcPr>
          <w:p>
            <w:pPr>
              <w:spacing w:after="0"/>
              <w:rPr>
                <w:sz w:val="9"/>
                <w:szCs w:val="9"/>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Patents</w:t>
            </w:r>
          </w:p>
        </w:tc>
        <w:tc>
          <w:tcPr>
            <w:tcW w:w="280" w:type="dxa"/>
            <w:vAlign w:val="bottom"/>
          </w:tcPr>
          <w:p>
            <w:pPr>
              <w:spacing w:after="0"/>
              <w:rPr>
                <w:sz w:val="9"/>
                <w:szCs w:val="9"/>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Goodwill</w:t>
            </w:r>
          </w:p>
        </w:tc>
        <w:tc>
          <w:tcPr>
            <w:tcW w:w="1080" w:type="dxa"/>
            <w:vAlign w:val="bottom"/>
            <w:vMerge w:val="restart"/>
          </w:tcPr>
          <w:p>
            <w:pPr>
              <w:jc w:val="right"/>
              <w:ind w:right="103"/>
              <w:spacing w:after="0"/>
              <w:rPr>
                <w:sz w:val="20"/>
                <w:szCs w:val="20"/>
                <w:color w:val="auto"/>
              </w:rPr>
            </w:pPr>
            <w:r>
              <w:rPr>
                <w:rFonts w:ascii="Arial" w:cs="Arial" w:eastAsia="Arial" w:hAnsi="Arial"/>
                <w:sz w:val="11"/>
                <w:szCs w:val="11"/>
                <w:b w:val="1"/>
                <w:bCs w:val="1"/>
                <w:color w:val="auto"/>
              </w:rPr>
              <w:t>Others</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vMerge w:val="restart"/>
          </w:tcPr>
          <w:p>
            <w:pPr>
              <w:jc w:val="right"/>
              <w:ind w:right="54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21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rPr>
              <w:t>Similar Rights</w:t>
            </w:r>
          </w:p>
        </w:tc>
        <w:tc>
          <w:tcPr>
            <w:tcW w:w="2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100" w:type="dxa"/>
            <w:vAlign w:val="bottom"/>
          </w:tcPr>
          <w:p>
            <w:pPr>
              <w:ind w:left="20"/>
              <w:spacing w:after="0"/>
              <w:rPr>
                <w:sz w:val="20"/>
                <w:szCs w:val="20"/>
                <w:color w:val="auto"/>
              </w:rPr>
            </w:pPr>
            <w:r>
              <w:rPr>
                <w:rFonts w:ascii="Arial" w:cs="Arial" w:eastAsia="Arial" w:hAnsi="Arial"/>
                <w:sz w:val="11"/>
                <w:szCs w:val="11"/>
                <w:color w:val="auto"/>
              </w:rPr>
              <w:t>As of December 31, 2021</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1,202</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284</w:t>
            </w:r>
          </w:p>
        </w:tc>
        <w:tc>
          <w:tcPr>
            <w:tcW w:w="8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229</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18</w:t>
            </w:r>
          </w:p>
        </w:tc>
        <w:tc>
          <w:tcPr>
            <w:tcW w:w="80" w:type="dxa"/>
            <w:vAlign w:val="bottom"/>
          </w:tcPr>
          <w:p>
            <w:pPr>
              <w:spacing w:after="0"/>
              <w:rPr>
                <w:sz w:val="13"/>
                <w:szCs w:val="13"/>
                <w:color w:val="auto"/>
              </w:rPr>
            </w:pPr>
          </w:p>
        </w:tc>
        <w:tc>
          <w:tcPr>
            <w:tcW w:w="1080" w:type="dxa"/>
            <w:vAlign w:val="bottom"/>
          </w:tcPr>
          <w:p>
            <w:pPr>
              <w:jc w:val="right"/>
              <w:ind w:right="943"/>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132</w:t>
            </w:r>
          </w:p>
        </w:tc>
        <w:tc>
          <w:tcPr>
            <w:tcW w:w="8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1,865</w:t>
            </w:r>
          </w:p>
        </w:tc>
        <w:tc>
          <w:tcPr>
            <w:tcW w:w="0" w:type="dxa"/>
            <w:vAlign w:val="bottom"/>
          </w:tcPr>
          <w:p>
            <w:pPr>
              <w:spacing w:after="0"/>
              <w:rPr>
                <w:sz w:val="1"/>
                <w:szCs w:val="1"/>
                <w:color w:val="auto"/>
              </w:rPr>
            </w:pPr>
          </w:p>
        </w:tc>
      </w:tr>
      <w:tr>
        <w:trPr>
          <w:trHeight w:val="162"/>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Additions</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w:t>
            </w:r>
          </w:p>
        </w:tc>
        <w:tc>
          <w:tcPr>
            <w:tcW w:w="0" w:type="dxa"/>
            <w:vAlign w:val="bottom"/>
          </w:tcPr>
          <w:p>
            <w:pPr>
              <w:spacing w:after="0"/>
              <w:rPr>
                <w:sz w:val="1"/>
                <w:szCs w:val="1"/>
                <w:color w:val="auto"/>
              </w:rPr>
            </w:pPr>
          </w:p>
        </w:tc>
      </w:tr>
      <w:tr>
        <w:trPr>
          <w:trHeight w:val="156"/>
        </w:trPr>
        <w:tc>
          <w:tcPr>
            <w:tcW w:w="2100" w:type="dxa"/>
            <w:vAlign w:val="bottom"/>
          </w:tcPr>
          <w:p>
            <w:pPr>
              <w:ind w:left="20"/>
              <w:spacing w:after="0"/>
              <w:rPr>
                <w:sz w:val="20"/>
                <w:szCs w:val="20"/>
                <w:color w:val="auto"/>
              </w:rPr>
            </w:pPr>
            <w:r>
              <w:rPr>
                <w:rFonts w:ascii="Arial" w:cs="Arial" w:eastAsia="Arial" w:hAnsi="Arial"/>
                <w:sz w:val="11"/>
                <w:szCs w:val="11"/>
                <w:color w:val="auto"/>
              </w:rPr>
              <w:t>Disposals</w:t>
            </w:r>
          </w:p>
        </w:tc>
        <w:tc>
          <w:tcPr>
            <w:tcW w:w="2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153"/>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As of December 31, 2022</w:t>
            </w:r>
          </w:p>
        </w:tc>
        <w:tc>
          <w:tcPr>
            <w:tcW w:w="22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1,217</w:t>
            </w:r>
          </w:p>
        </w:tc>
        <w:tc>
          <w:tcPr>
            <w:tcW w:w="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368</w:t>
            </w: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226</w:t>
            </w:r>
          </w:p>
        </w:tc>
        <w:tc>
          <w:tcPr>
            <w:tcW w:w="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137</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1,966</w:t>
            </w:r>
          </w:p>
        </w:tc>
        <w:tc>
          <w:tcPr>
            <w:tcW w:w="0" w:type="dxa"/>
            <w:vAlign w:val="bottom"/>
          </w:tcPr>
          <w:p>
            <w:pPr>
              <w:spacing w:after="0"/>
              <w:rPr>
                <w:sz w:val="1"/>
                <w:szCs w:val="1"/>
                <w:color w:val="auto"/>
              </w:rPr>
            </w:pPr>
          </w:p>
        </w:tc>
      </w:tr>
      <w:tr>
        <w:trPr>
          <w:trHeight w:val="156"/>
        </w:trPr>
        <w:tc>
          <w:tcPr>
            <w:tcW w:w="2100" w:type="dxa"/>
            <w:vAlign w:val="bottom"/>
          </w:tcPr>
          <w:p>
            <w:pPr>
              <w:ind w:left="20"/>
              <w:spacing w:after="0"/>
              <w:rPr>
                <w:sz w:val="20"/>
                <w:szCs w:val="20"/>
                <w:color w:val="auto"/>
              </w:rPr>
            </w:pPr>
            <w:r>
              <w:rPr>
                <w:rFonts w:ascii="Arial" w:cs="Arial" w:eastAsia="Arial" w:hAnsi="Arial"/>
                <w:sz w:val="11"/>
                <w:szCs w:val="11"/>
                <w:color w:val="auto"/>
              </w:rPr>
              <w:t>Additions</w:t>
            </w:r>
          </w:p>
        </w:tc>
        <w:tc>
          <w:tcPr>
            <w:tcW w:w="22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61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96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157</w:t>
            </w:r>
          </w:p>
        </w:tc>
        <w:tc>
          <w:tcPr>
            <w:tcW w:w="0" w:type="dxa"/>
            <w:vAlign w:val="bottom"/>
          </w:tcPr>
          <w:p>
            <w:pPr>
              <w:spacing w:after="0"/>
              <w:rPr>
                <w:sz w:val="1"/>
                <w:szCs w:val="1"/>
                <w:color w:val="auto"/>
              </w:rPr>
            </w:pPr>
          </w:p>
        </w:tc>
      </w:tr>
      <w:tr>
        <w:trPr>
          <w:trHeight w:val="162"/>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Disposals</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50"/>
        </w:trPr>
        <w:tc>
          <w:tcPr>
            <w:tcW w:w="2100" w:type="dxa"/>
            <w:vAlign w:val="bottom"/>
          </w:tcPr>
          <w:p>
            <w:pPr>
              <w:ind w:left="20"/>
              <w:spacing w:after="0"/>
              <w:rPr>
                <w:sz w:val="20"/>
                <w:szCs w:val="20"/>
                <w:color w:val="auto"/>
              </w:rPr>
            </w:pPr>
            <w:r>
              <w:rPr>
                <w:rFonts w:ascii="Arial" w:cs="Arial" w:eastAsia="Arial" w:hAnsi="Arial"/>
                <w:sz w:val="11"/>
                <w:szCs w:val="11"/>
                <w:b w:val="1"/>
                <w:bCs w:val="1"/>
                <w:color w:val="auto"/>
              </w:rPr>
              <w:t>As of December 31, 2023</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1,238</w:t>
            </w: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464</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226</w:t>
            </w: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w:t>
            </w:r>
          </w:p>
        </w:tc>
        <w:tc>
          <w:tcPr>
            <w:tcW w:w="8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right"/>
              <w:ind w:right="943"/>
              <w:spacing w:after="0"/>
              <w:rPr>
                <w:sz w:val="20"/>
                <w:szCs w:val="20"/>
                <w:color w:val="auto"/>
              </w:rPr>
            </w:pPr>
            <w:r>
              <w:rPr>
                <w:rFonts w:ascii="Arial" w:cs="Arial" w:eastAsia="Arial" w:hAnsi="Arial"/>
                <w:sz w:val="11"/>
                <w:szCs w:val="11"/>
                <w:b w:val="1"/>
                <w:bCs w:val="1"/>
                <w:color w:val="auto"/>
                <w:w w:val="97"/>
              </w:rPr>
              <w:t>$</w:t>
            </w:r>
          </w:p>
        </w:tc>
        <w:tc>
          <w:tcPr>
            <w:tcW w:w="4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137</w:t>
            </w: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2,083</w:t>
            </w:r>
          </w:p>
        </w:tc>
        <w:tc>
          <w:tcPr>
            <w:tcW w:w="0" w:type="dxa"/>
            <w:vAlign w:val="bottom"/>
          </w:tcPr>
          <w:p>
            <w:pPr>
              <w:spacing w:after="0"/>
              <w:rPr>
                <w:sz w:val="1"/>
                <w:szCs w:val="1"/>
                <w:color w:val="auto"/>
              </w:rPr>
            </w:pP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00" w:type="dxa"/>
            <w:vAlign w:val="bottom"/>
          </w:tcPr>
          <w:p>
            <w:pPr>
              <w:ind w:left="20"/>
              <w:spacing w:after="0"/>
              <w:rPr>
                <w:sz w:val="20"/>
                <w:szCs w:val="20"/>
                <w:color w:val="auto"/>
              </w:rPr>
            </w:pPr>
            <w:r>
              <w:rPr>
                <w:rFonts w:ascii="Arial" w:cs="Arial" w:eastAsia="Arial" w:hAnsi="Arial"/>
                <w:sz w:val="11"/>
                <w:szCs w:val="11"/>
                <w:b w:val="1"/>
                <w:bCs w:val="1"/>
                <w:color w:val="auto"/>
              </w:rPr>
              <w:t>Accumulated Amortization</w:t>
            </w: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 of December 31, 2021</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867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943"/>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1,488</w:t>
            </w:r>
          </w:p>
        </w:tc>
        <w:tc>
          <w:tcPr>
            <w:tcW w:w="0" w:type="dxa"/>
            <w:vAlign w:val="bottom"/>
          </w:tcPr>
          <w:p>
            <w:pPr>
              <w:spacing w:after="0"/>
              <w:rPr>
                <w:sz w:val="1"/>
                <w:szCs w:val="1"/>
                <w:color w:val="auto"/>
              </w:rPr>
            </w:pPr>
          </w:p>
        </w:tc>
      </w:tr>
      <w:tr>
        <w:trPr>
          <w:trHeight w:val="156"/>
        </w:trPr>
        <w:tc>
          <w:tcPr>
            <w:tcW w:w="2100" w:type="dxa"/>
            <w:vAlign w:val="bottom"/>
          </w:tcPr>
          <w:p>
            <w:pPr>
              <w:ind w:left="20"/>
              <w:spacing w:after="0"/>
              <w:rPr>
                <w:sz w:val="20"/>
                <w:szCs w:val="20"/>
                <w:color w:val="auto"/>
              </w:rPr>
            </w:pPr>
            <w:r>
              <w:rPr>
                <w:rFonts w:ascii="Arial" w:cs="Arial" w:eastAsia="Arial" w:hAnsi="Arial"/>
                <w:sz w:val="11"/>
                <w:szCs w:val="11"/>
                <w:color w:val="auto"/>
              </w:rPr>
              <w:t>Additions</w:t>
            </w:r>
          </w:p>
        </w:tc>
        <w:tc>
          <w:tcPr>
            <w:tcW w:w="22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150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176</w:t>
            </w:r>
          </w:p>
        </w:tc>
        <w:tc>
          <w:tcPr>
            <w:tcW w:w="0" w:type="dxa"/>
            <w:vAlign w:val="bottom"/>
          </w:tcPr>
          <w:p>
            <w:pPr>
              <w:spacing w:after="0"/>
              <w:rPr>
                <w:sz w:val="1"/>
                <w:szCs w:val="1"/>
                <w:color w:val="auto"/>
              </w:rPr>
            </w:pPr>
          </w:p>
        </w:tc>
      </w:tr>
      <w:tr>
        <w:trPr>
          <w:trHeight w:val="162"/>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Disposals</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w:t>
            </w:r>
          </w:p>
        </w:tc>
        <w:tc>
          <w:tcPr>
            <w:tcW w:w="0" w:type="dxa"/>
            <w:vAlign w:val="bottom"/>
          </w:tcPr>
          <w:p>
            <w:pPr>
              <w:spacing w:after="0"/>
              <w:rPr>
                <w:sz w:val="1"/>
                <w:szCs w:val="1"/>
                <w:color w:val="auto"/>
              </w:rPr>
            </w:pPr>
          </w:p>
        </w:tc>
      </w:tr>
      <w:tr>
        <w:trPr>
          <w:trHeight w:val="150"/>
        </w:trPr>
        <w:tc>
          <w:tcPr>
            <w:tcW w:w="2100" w:type="dxa"/>
            <w:vAlign w:val="bottom"/>
          </w:tcPr>
          <w:p>
            <w:pPr>
              <w:ind w:left="20"/>
              <w:spacing w:after="0"/>
              <w:rPr>
                <w:sz w:val="20"/>
                <w:szCs w:val="20"/>
                <w:color w:val="auto"/>
              </w:rPr>
            </w:pPr>
            <w:r>
              <w:rPr>
                <w:rFonts w:ascii="Arial" w:cs="Arial" w:eastAsia="Arial" w:hAnsi="Arial"/>
                <w:sz w:val="11"/>
                <w:szCs w:val="11"/>
                <w:color w:val="auto"/>
              </w:rPr>
              <w:t>As of December 31, 2022</w:t>
            </w: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971</w:t>
            </w: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276</w:t>
            </w: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225</w:t>
            </w: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10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131</w:t>
            </w: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1,603</w:t>
            </w:r>
          </w:p>
        </w:tc>
        <w:tc>
          <w:tcPr>
            <w:tcW w:w="0" w:type="dxa"/>
            <w:vAlign w:val="bottom"/>
          </w:tcPr>
          <w:p>
            <w:pPr>
              <w:spacing w:after="0"/>
              <w:rPr>
                <w:sz w:val="1"/>
                <w:szCs w:val="1"/>
                <w:color w:val="auto"/>
              </w:rPr>
            </w:pPr>
          </w:p>
        </w:tc>
      </w:tr>
      <w:tr>
        <w:trPr>
          <w:trHeight w:val="159"/>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Additions</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w:t>
            </w:r>
          </w:p>
        </w:tc>
        <w:tc>
          <w:tcPr>
            <w:tcW w:w="0" w:type="dxa"/>
            <w:vAlign w:val="bottom"/>
          </w:tcPr>
          <w:p>
            <w:pPr>
              <w:spacing w:after="0"/>
              <w:rPr>
                <w:sz w:val="1"/>
                <w:szCs w:val="1"/>
                <w:color w:val="auto"/>
              </w:rPr>
            </w:pPr>
          </w:p>
        </w:tc>
      </w:tr>
      <w:tr>
        <w:trPr>
          <w:trHeight w:val="156"/>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Disposals</w:t>
            </w: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73"/>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 of December 31, 2023</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1,052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283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225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080" w:type="dxa"/>
            <w:vAlign w:val="bottom"/>
            <w:shd w:val="clear" w:color="auto" w:fill="CCEEFF"/>
          </w:tcPr>
          <w:p>
            <w:pPr>
              <w:jc w:val="right"/>
              <w:ind w:right="943"/>
              <w:spacing w:after="0"/>
              <w:rPr>
                <w:sz w:val="20"/>
                <w:szCs w:val="20"/>
                <w:color w:val="auto"/>
              </w:rPr>
            </w:pPr>
            <w:r>
              <w:rPr>
                <w:rFonts w:ascii="Arial" w:cs="Arial" w:eastAsia="Arial" w:hAnsi="Arial"/>
                <w:sz w:val="11"/>
                <w:szCs w:val="11"/>
                <w:b w:val="1"/>
                <w:bCs w:val="1"/>
                <w:color w:val="auto"/>
                <w:w w:val="97"/>
              </w:rPr>
              <w:t>$</w:t>
            </w: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1,692</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61530" cy="168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16827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p>
      <w:pPr>
        <w:spacing w:after="0" w:line="153" w:lineRule="exact"/>
        <w:rPr>
          <w:sz w:val="20"/>
          <w:szCs w:val="20"/>
          <w:color w:val="auto"/>
        </w:rPr>
      </w:pPr>
    </w:p>
    <w:p>
      <w:pPr>
        <w:ind w:left="20"/>
        <w:spacing w:after="0" w:line="274" w:lineRule="auto"/>
        <w:rPr>
          <w:sz w:val="20"/>
          <w:szCs w:val="20"/>
          <w:color w:val="auto"/>
        </w:rPr>
      </w:pPr>
      <w:r>
        <w:rPr>
          <w:rFonts w:ascii="Arial" w:cs="Arial" w:eastAsia="Arial" w:hAnsi="Arial"/>
          <w:sz w:val="11"/>
          <w:szCs w:val="11"/>
          <w:b w:val="1"/>
          <w:bCs w:val="1"/>
          <w:color w:val="auto"/>
        </w:rPr>
        <w:t>Net book value as of December 31, 2022</w:t>
      </w:r>
    </w:p>
    <w:p>
      <w:pPr>
        <w:spacing w:after="0" w:line="146" w:lineRule="exact"/>
        <w:rPr>
          <w:sz w:val="20"/>
          <w:szCs w:val="20"/>
          <w:color w:val="auto"/>
        </w:rPr>
      </w:pPr>
    </w:p>
    <w:p>
      <w:pPr>
        <w:ind w:left="20"/>
        <w:spacing w:after="0" w:line="274" w:lineRule="auto"/>
        <w:rPr>
          <w:sz w:val="20"/>
          <w:szCs w:val="20"/>
          <w:color w:val="auto"/>
        </w:rPr>
      </w:pPr>
      <w:r>
        <w:rPr>
          <w:rFonts w:ascii="Arial" w:cs="Arial" w:eastAsia="Arial" w:hAnsi="Arial"/>
          <w:sz w:val="11"/>
          <w:szCs w:val="11"/>
          <w:b w:val="1"/>
          <w:bCs w:val="1"/>
          <w:color w:val="auto"/>
        </w:rPr>
        <w:t>Net book value as of December 31, 2023</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320" w:type="dxa"/>
            <w:vAlign w:val="bottom"/>
          </w:tcPr>
          <w:p>
            <w:pPr>
              <w:jc w:val="right"/>
              <w:ind w:right="83"/>
              <w:spacing w:after="0"/>
              <w:rPr>
                <w:sz w:val="20"/>
                <w:szCs w:val="20"/>
                <w:color w:val="auto"/>
              </w:rPr>
            </w:pPr>
            <w:r>
              <w:rPr>
                <w:rFonts w:ascii="Arial" w:cs="Arial" w:eastAsia="Arial" w:hAnsi="Arial"/>
                <w:sz w:val="11"/>
                <w:szCs w:val="11"/>
                <w:b w:val="1"/>
                <w:bCs w:val="1"/>
                <w:color w:val="auto"/>
                <w:w w:val="86"/>
              </w:rPr>
              <w:t>246</w:t>
            </w:r>
          </w:p>
        </w:tc>
        <w:tc>
          <w:tcPr>
            <w:tcW w:w="64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92</w:t>
            </w:r>
          </w:p>
        </w:tc>
        <w:tc>
          <w:tcPr>
            <w:tcW w:w="80" w:type="dxa"/>
            <w:vAlign w:val="bottom"/>
          </w:tcPr>
          <w:p>
            <w:pPr>
              <w:spacing w:after="0"/>
              <w:rPr>
                <w:sz w:val="13"/>
                <w:szCs w:val="13"/>
                <w:color w:val="auto"/>
              </w:rPr>
            </w:pPr>
          </w:p>
        </w:tc>
        <w:tc>
          <w:tcPr>
            <w:tcW w:w="72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3"/>
                <w:szCs w:val="13"/>
                <w:color w:val="auto"/>
              </w:rPr>
            </w:pPr>
          </w:p>
        </w:tc>
        <w:tc>
          <w:tcPr>
            <w:tcW w:w="68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w:t>
            </w:r>
          </w:p>
        </w:tc>
        <w:tc>
          <w:tcPr>
            <w:tcW w:w="80" w:type="dxa"/>
            <w:vAlign w:val="bottom"/>
          </w:tcPr>
          <w:p>
            <w:pPr>
              <w:spacing w:after="0"/>
              <w:rPr>
                <w:sz w:val="13"/>
                <w:szCs w:val="13"/>
                <w:color w:val="auto"/>
              </w:rPr>
            </w:pPr>
          </w:p>
        </w:tc>
        <w:tc>
          <w:tcPr>
            <w:tcW w:w="72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w w:val="97"/>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w:t>
            </w:r>
          </w:p>
        </w:tc>
        <w:tc>
          <w:tcPr>
            <w:tcW w:w="80" w:type="dxa"/>
            <w:vAlign w:val="bottom"/>
          </w:tcPr>
          <w:p>
            <w:pPr>
              <w:spacing w:after="0"/>
              <w:rPr>
                <w:sz w:val="13"/>
                <w:szCs w:val="13"/>
                <w:color w:val="auto"/>
              </w:rPr>
            </w:pPr>
          </w:p>
        </w:tc>
        <w:tc>
          <w:tcPr>
            <w:tcW w:w="64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363</w:t>
            </w:r>
          </w:p>
        </w:tc>
      </w:tr>
      <w:tr>
        <w:trPr>
          <w:trHeight w:val="20"/>
        </w:trPr>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75"/>
        </w:trPr>
        <w:tc>
          <w:tcPr>
            <w:tcW w:w="320" w:type="dxa"/>
            <w:vAlign w:val="bottom"/>
          </w:tcPr>
          <w:p>
            <w:pPr>
              <w:jc w:val="right"/>
              <w:ind w:right="83"/>
              <w:spacing w:after="0"/>
              <w:rPr>
                <w:sz w:val="20"/>
                <w:szCs w:val="20"/>
                <w:color w:val="auto"/>
              </w:rPr>
            </w:pPr>
            <w:r>
              <w:rPr>
                <w:rFonts w:ascii="Arial" w:cs="Arial" w:eastAsia="Arial" w:hAnsi="Arial"/>
                <w:sz w:val="11"/>
                <w:szCs w:val="11"/>
                <w:b w:val="1"/>
                <w:bCs w:val="1"/>
                <w:color w:val="auto"/>
                <w:w w:val="86"/>
              </w:rPr>
              <w:t>186</w:t>
            </w:r>
          </w:p>
        </w:tc>
        <w:tc>
          <w:tcPr>
            <w:tcW w:w="64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181</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24"/>
                <w:szCs w:val="24"/>
                <w:color w:val="auto"/>
              </w:rPr>
            </w:pPr>
          </w:p>
        </w:tc>
        <w:tc>
          <w:tcPr>
            <w:tcW w:w="68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w w:val="97"/>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5</w:t>
            </w:r>
          </w:p>
        </w:tc>
        <w:tc>
          <w:tcPr>
            <w:tcW w:w="80" w:type="dxa"/>
            <w:vAlign w:val="bottom"/>
          </w:tcPr>
          <w:p>
            <w:pPr>
              <w:spacing w:after="0"/>
              <w:rPr>
                <w:sz w:val="24"/>
                <w:szCs w:val="24"/>
                <w:color w:val="auto"/>
              </w:rPr>
            </w:pPr>
          </w:p>
        </w:tc>
        <w:tc>
          <w:tcPr>
            <w:tcW w:w="64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391</w:t>
            </w:r>
          </w:p>
        </w:tc>
      </w:tr>
      <w:tr>
        <w:trPr>
          <w:trHeight w:val="20"/>
        </w:trPr>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-2104390</wp:posOffset>
            </wp:positionH>
            <wp:positionV relativeFrom="paragraph">
              <wp:posOffset>-180975</wp:posOffset>
            </wp:positionV>
            <wp:extent cx="7161530" cy="1816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181610"/>
                    </a:xfrm>
                    <a:prstGeom prst="rect">
                      <a:avLst/>
                    </a:prstGeom>
                    <a:noFill/>
                  </pic:spPr>
                </pic:pic>
              </a:graphicData>
            </a:graphic>
          </wp:anchor>
        </w:drawing>
        <w:drawing>
          <wp:anchor simplePos="0" relativeHeight="251657728" behindDoc="1" locked="0" layoutInCell="0" allowOverlap="1">
            <wp:simplePos x="0" y="0"/>
            <wp:positionH relativeFrom="column">
              <wp:posOffset>-770255</wp:posOffset>
            </wp:positionH>
            <wp:positionV relativeFrom="paragraph">
              <wp:posOffset>-282575</wp:posOffset>
            </wp:positionV>
            <wp:extent cx="92329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23290" cy="6985"/>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3">
            <w:col w:w="1880" w:space="240"/>
            <w:col w:w="480" w:space="720"/>
            <w:col w:w="7960"/>
          </w:cols>
          <w:pgMar w:left="300" w:top="214" w:right="31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color w:val="auto"/>
        </w:rPr>
        <w:t>Amortization expense on intangible assets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26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60"/>
        </w:trPr>
        <w:tc>
          <w:tcPr>
            <w:tcW w:w="40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Cost of revenue</w:t>
            </w:r>
          </w:p>
        </w:tc>
        <w:tc>
          <w:tcPr>
            <w:tcW w:w="2980" w:type="dxa"/>
            <w:vAlign w:val="bottom"/>
            <w:gridSpan w:val="2"/>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r>
      <w:tr>
        <w:trPr>
          <w:trHeight w:val="169"/>
        </w:trPr>
        <w:tc>
          <w:tcPr>
            <w:tcW w:w="4020" w:type="dxa"/>
            <w:vAlign w:val="bottom"/>
          </w:tcPr>
          <w:p>
            <w:pPr>
              <w:ind w:left="20"/>
              <w:spacing w:after="0"/>
              <w:rPr>
                <w:sz w:val="20"/>
                <w:szCs w:val="20"/>
                <w:color w:val="auto"/>
              </w:rPr>
            </w:pPr>
            <w:r>
              <w:rPr>
                <w:rFonts w:ascii="Arial" w:cs="Arial" w:eastAsia="Arial" w:hAnsi="Arial"/>
                <w:sz w:val="13"/>
                <w:szCs w:val="13"/>
                <w:color w:val="auto"/>
              </w:rPr>
              <w:t>Research and development expenses</w:t>
            </w:r>
          </w:p>
        </w:tc>
        <w:tc>
          <w:tcPr>
            <w:tcW w:w="2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171"/>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26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60"/>
        </w:trPr>
        <w:tc>
          <w:tcPr>
            <w:tcW w:w="402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264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129</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176</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207</w:t>
            </w:r>
          </w:p>
        </w:tc>
      </w:tr>
      <w:tr>
        <w:trPr>
          <w:trHeight w:val="699"/>
        </w:trPr>
        <w:tc>
          <w:tcPr>
            <w:tcW w:w="4020" w:type="dxa"/>
            <w:vAlign w:val="bottom"/>
          </w:tcPr>
          <w:p>
            <w:pPr>
              <w:spacing w:after="0"/>
              <w:rPr>
                <w:sz w:val="24"/>
                <w:szCs w:val="24"/>
                <w:color w:val="auto"/>
              </w:rPr>
            </w:pPr>
          </w:p>
        </w:tc>
        <w:tc>
          <w:tcPr>
            <w:tcW w:w="2980" w:type="dxa"/>
            <w:vAlign w:val="bottom"/>
            <w:gridSpan w:val="2"/>
          </w:tcPr>
          <w:p>
            <w:pPr>
              <w:jc w:val="right"/>
              <w:ind w:right="1156"/>
              <w:spacing w:after="0"/>
              <w:rPr>
                <w:sz w:val="20"/>
                <w:szCs w:val="20"/>
                <w:color w:val="auto"/>
              </w:rPr>
            </w:pPr>
            <w:r>
              <w:rPr>
                <w:rFonts w:ascii="Arial" w:cs="Arial" w:eastAsia="Arial" w:hAnsi="Arial"/>
                <w:sz w:val="13"/>
                <w:szCs w:val="13"/>
                <w:color w:val="auto"/>
              </w:rPr>
              <w:t>F-21</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9"/>
        </w:trPr>
        <w:tc>
          <w:tcPr>
            <w:tcW w:w="4020" w:type="dxa"/>
            <w:vAlign w:val="bottom"/>
            <w:tcBorders>
              <w:bottom w:val="single" w:sz="8" w:color="9A9A9A"/>
            </w:tcBorders>
          </w:tcPr>
          <w:p>
            <w:pPr>
              <w:spacing w:after="0"/>
              <w:rPr>
                <w:sz w:val="7"/>
                <w:szCs w:val="7"/>
                <w:color w:val="auto"/>
              </w:rPr>
            </w:pPr>
          </w:p>
        </w:tc>
        <w:tc>
          <w:tcPr>
            <w:tcW w:w="26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Other Financial Assets And Liabilities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foreign currency forward contracts are outstanding at December 31, 2023 and 2022 (in millions, except average foreign currency/US$):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0"/>
                <w:szCs w:val="10"/>
                <w:b w:val="1"/>
                <w:bCs w:val="1"/>
                <w:color w:val="auto"/>
                <w:w w:val="97"/>
              </w:rPr>
              <w:t>Fair Value of Derivative Instruments</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jc w:val="center"/>
              <w:ind w:right="91"/>
              <w:spacing w:after="0" w:line="93" w:lineRule="exact"/>
              <w:rPr>
                <w:sz w:val="20"/>
                <w:szCs w:val="20"/>
                <w:color w:val="auto"/>
              </w:rPr>
            </w:pPr>
            <w:r>
              <w:rPr>
                <w:rFonts w:ascii="Arial" w:cs="Arial" w:eastAsia="Arial" w:hAnsi="Arial"/>
                <w:sz w:val="10"/>
                <w:szCs w:val="10"/>
                <w:b w:val="1"/>
                <w:bCs w:val="1"/>
                <w:color w:val="auto"/>
              </w:rPr>
              <w:t>Other</w:t>
            </w:r>
          </w:p>
        </w:tc>
        <w:tc>
          <w:tcPr>
            <w:tcW w:w="80" w:type="dxa"/>
            <w:vAlign w:val="bottom"/>
          </w:tcPr>
          <w:p>
            <w:pPr>
              <w:spacing w:after="0"/>
              <w:rPr>
                <w:sz w:val="8"/>
                <w:szCs w:val="8"/>
                <w:color w:val="auto"/>
              </w:rPr>
            </w:pPr>
          </w:p>
        </w:tc>
        <w:tc>
          <w:tcPr>
            <w:tcW w:w="840" w:type="dxa"/>
            <w:vAlign w:val="bottom"/>
          </w:tcPr>
          <w:p>
            <w:pPr>
              <w:jc w:val="center"/>
              <w:ind w:right="11"/>
              <w:spacing w:after="0" w:line="93" w:lineRule="exact"/>
              <w:rPr>
                <w:sz w:val="20"/>
                <w:szCs w:val="20"/>
                <w:color w:val="auto"/>
              </w:rPr>
            </w:pPr>
            <w:r>
              <w:rPr>
                <w:rFonts w:ascii="Arial" w:cs="Arial" w:eastAsia="Arial" w:hAnsi="Arial"/>
                <w:sz w:val="10"/>
                <w:szCs w:val="10"/>
                <w:b w:val="1"/>
                <w:bCs w:val="1"/>
                <w:color w:val="auto"/>
                <w:w w:val="97"/>
              </w:rPr>
              <w:t>Other</w:t>
            </w:r>
          </w:p>
        </w:tc>
        <w:tc>
          <w:tcPr>
            <w:tcW w:w="160" w:type="dxa"/>
            <w:vAlign w:val="bottom"/>
          </w:tcPr>
          <w:p>
            <w:pPr>
              <w:spacing w:after="0"/>
              <w:rPr>
                <w:sz w:val="8"/>
                <w:szCs w:val="8"/>
                <w:color w:val="auto"/>
              </w:rPr>
            </w:pPr>
          </w:p>
        </w:tc>
        <w:tc>
          <w:tcPr>
            <w:tcW w:w="760" w:type="dxa"/>
            <w:vAlign w:val="bottom"/>
          </w:tcPr>
          <w:p>
            <w:pPr>
              <w:jc w:val="center"/>
              <w:ind w:right="91"/>
              <w:spacing w:after="0" w:line="93" w:lineRule="exact"/>
              <w:rPr>
                <w:sz w:val="20"/>
                <w:szCs w:val="20"/>
                <w:color w:val="auto"/>
              </w:rPr>
            </w:pPr>
            <w:r>
              <w:rPr>
                <w:rFonts w:ascii="Arial" w:cs="Arial" w:eastAsia="Arial" w:hAnsi="Arial"/>
                <w:sz w:val="10"/>
                <w:szCs w:val="10"/>
                <w:b w:val="1"/>
                <w:bCs w:val="1"/>
                <w:color w:val="auto"/>
                <w:w w:val="97"/>
              </w:rPr>
              <w:t>Other</w:t>
            </w:r>
          </w:p>
        </w:tc>
        <w:tc>
          <w:tcPr>
            <w:tcW w:w="120" w:type="dxa"/>
            <w:vAlign w:val="bottom"/>
          </w:tcPr>
          <w:p>
            <w:pPr>
              <w:spacing w:after="0"/>
              <w:rPr>
                <w:sz w:val="8"/>
                <w:szCs w:val="8"/>
                <w:color w:val="auto"/>
              </w:rPr>
            </w:pPr>
          </w:p>
        </w:tc>
        <w:tc>
          <w:tcPr>
            <w:tcW w:w="800" w:type="dxa"/>
            <w:vAlign w:val="bottom"/>
          </w:tcPr>
          <w:p>
            <w:pPr>
              <w:jc w:val="center"/>
              <w:ind w:right="91"/>
              <w:spacing w:after="0" w:line="93" w:lineRule="exact"/>
              <w:rPr>
                <w:sz w:val="20"/>
                <w:szCs w:val="20"/>
                <w:color w:val="auto"/>
              </w:rPr>
            </w:pPr>
            <w:r>
              <w:rPr>
                <w:rFonts w:ascii="Arial" w:cs="Arial" w:eastAsia="Arial" w:hAnsi="Arial"/>
                <w:sz w:val="10"/>
                <w:szCs w:val="10"/>
                <w:b w:val="1"/>
                <w:bCs w:val="1"/>
                <w:color w:val="auto"/>
                <w:w w:val="97"/>
              </w:rPr>
              <w:t>Other</w:t>
            </w: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jc w:val="center"/>
              <w:ind w:right="91"/>
              <w:spacing w:after="0" w:line="93" w:lineRule="exact"/>
              <w:rPr>
                <w:sz w:val="20"/>
                <w:szCs w:val="20"/>
                <w:color w:val="auto"/>
              </w:rPr>
            </w:pPr>
            <w:r>
              <w:rPr>
                <w:rFonts w:ascii="Arial" w:cs="Arial" w:eastAsia="Arial" w:hAnsi="Arial"/>
                <w:sz w:val="10"/>
                <w:szCs w:val="10"/>
                <w:b w:val="1"/>
                <w:bCs w:val="1"/>
                <w:color w:val="auto"/>
              </w:rPr>
              <w:t>Average</w:t>
            </w:r>
          </w:p>
        </w:tc>
        <w:tc>
          <w:tcPr>
            <w:tcW w:w="1080" w:type="dxa"/>
            <w:vAlign w:val="bottom"/>
            <w:gridSpan w:val="2"/>
            <w:vMerge w:val="restart"/>
          </w:tcPr>
          <w:p>
            <w:pPr>
              <w:jc w:val="center"/>
              <w:ind w:right="211"/>
              <w:spacing w:after="0"/>
              <w:rPr>
                <w:sz w:val="20"/>
                <w:szCs w:val="20"/>
                <w:color w:val="auto"/>
              </w:rPr>
            </w:pPr>
            <w:r>
              <w:rPr>
                <w:rFonts w:ascii="Arial" w:cs="Arial" w:eastAsia="Arial" w:hAnsi="Arial"/>
                <w:sz w:val="10"/>
                <w:szCs w:val="10"/>
                <w:b w:val="1"/>
                <w:bCs w:val="1"/>
                <w:color w:val="auto"/>
                <w:w w:val="96"/>
              </w:rPr>
              <w:t>Average</w:t>
            </w: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jc w:val="center"/>
              <w:ind w:right="91"/>
              <w:spacing w:after="0" w:line="96" w:lineRule="exact"/>
              <w:rPr>
                <w:sz w:val="20"/>
                <w:szCs w:val="20"/>
                <w:color w:val="auto"/>
              </w:rPr>
            </w:pPr>
            <w:r>
              <w:rPr>
                <w:rFonts w:ascii="Arial" w:cs="Arial" w:eastAsia="Arial" w:hAnsi="Arial"/>
                <w:sz w:val="10"/>
                <w:szCs w:val="10"/>
                <w:b w:val="1"/>
                <w:bCs w:val="1"/>
                <w:color w:val="auto"/>
                <w:w w:val="99"/>
              </w:rPr>
              <w:t>Current</w:t>
            </w:r>
          </w:p>
        </w:tc>
        <w:tc>
          <w:tcPr>
            <w:tcW w:w="80" w:type="dxa"/>
            <w:vAlign w:val="bottom"/>
          </w:tcPr>
          <w:p>
            <w:pPr>
              <w:spacing w:after="0"/>
              <w:rPr>
                <w:sz w:val="8"/>
                <w:szCs w:val="8"/>
                <w:color w:val="auto"/>
              </w:rPr>
            </w:pPr>
          </w:p>
        </w:tc>
        <w:tc>
          <w:tcPr>
            <w:tcW w:w="840" w:type="dxa"/>
            <w:vAlign w:val="bottom"/>
          </w:tcPr>
          <w:p>
            <w:pPr>
              <w:jc w:val="center"/>
              <w:ind w:right="11"/>
              <w:spacing w:after="0" w:line="96" w:lineRule="exact"/>
              <w:rPr>
                <w:sz w:val="20"/>
                <w:szCs w:val="20"/>
                <w:color w:val="auto"/>
              </w:rPr>
            </w:pPr>
            <w:r>
              <w:rPr>
                <w:rFonts w:ascii="Arial" w:cs="Arial" w:eastAsia="Arial" w:hAnsi="Arial"/>
                <w:sz w:val="10"/>
                <w:szCs w:val="10"/>
                <w:b w:val="1"/>
                <w:bCs w:val="1"/>
                <w:color w:val="auto"/>
              </w:rPr>
              <w:t>Non-current</w:t>
            </w:r>
          </w:p>
        </w:tc>
        <w:tc>
          <w:tcPr>
            <w:tcW w:w="160" w:type="dxa"/>
            <w:vAlign w:val="bottom"/>
          </w:tcPr>
          <w:p>
            <w:pPr>
              <w:spacing w:after="0"/>
              <w:rPr>
                <w:sz w:val="8"/>
                <w:szCs w:val="8"/>
                <w:color w:val="auto"/>
              </w:rPr>
            </w:pPr>
          </w:p>
        </w:tc>
        <w:tc>
          <w:tcPr>
            <w:tcW w:w="760" w:type="dxa"/>
            <w:vAlign w:val="bottom"/>
          </w:tcPr>
          <w:p>
            <w:pPr>
              <w:jc w:val="center"/>
              <w:ind w:right="111"/>
              <w:spacing w:after="0" w:line="96" w:lineRule="exact"/>
              <w:rPr>
                <w:sz w:val="20"/>
                <w:szCs w:val="20"/>
                <w:color w:val="auto"/>
              </w:rPr>
            </w:pPr>
            <w:r>
              <w:rPr>
                <w:rFonts w:ascii="Arial" w:cs="Arial" w:eastAsia="Arial" w:hAnsi="Arial"/>
                <w:sz w:val="10"/>
                <w:szCs w:val="10"/>
                <w:b w:val="1"/>
                <w:bCs w:val="1"/>
                <w:color w:val="auto"/>
                <w:w w:val="99"/>
              </w:rPr>
              <w:t>Current</w:t>
            </w:r>
          </w:p>
        </w:tc>
        <w:tc>
          <w:tcPr>
            <w:tcW w:w="120" w:type="dxa"/>
            <w:vAlign w:val="bottom"/>
          </w:tcPr>
          <w:p>
            <w:pPr>
              <w:spacing w:after="0"/>
              <w:rPr>
                <w:sz w:val="8"/>
                <w:szCs w:val="8"/>
                <w:color w:val="auto"/>
              </w:rPr>
            </w:pPr>
          </w:p>
        </w:tc>
        <w:tc>
          <w:tcPr>
            <w:tcW w:w="800" w:type="dxa"/>
            <w:vAlign w:val="bottom"/>
          </w:tcPr>
          <w:p>
            <w:pPr>
              <w:jc w:val="center"/>
              <w:ind w:right="71"/>
              <w:spacing w:after="0" w:line="96" w:lineRule="exact"/>
              <w:rPr>
                <w:sz w:val="20"/>
                <w:szCs w:val="20"/>
                <w:color w:val="auto"/>
              </w:rPr>
            </w:pPr>
            <w:r>
              <w:rPr>
                <w:rFonts w:ascii="Arial" w:cs="Arial" w:eastAsia="Arial" w:hAnsi="Arial"/>
                <w:sz w:val="10"/>
                <w:szCs w:val="10"/>
                <w:b w:val="1"/>
                <w:bCs w:val="1"/>
                <w:color w:val="auto"/>
                <w:w w:val="97"/>
              </w:rPr>
              <w:t>Non-current</w:t>
            </w:r>
          </w:p>
        </w:tc>
        <w:tc>
          <w:tcPr>
            <w:tcW w:w="160" w:type="dxa"/>
            <w:vAlign w:val="bottom"/>
          </w:tcPr>
          <w:p>
            <w:pPr>
              <w:spacing w:after="0"/>
              <w:rPr>
                <w:sz w:val="8"/>
                <w:szCs w:val="8"/>
                <w:color w:val="auto"/>
              </w:rPr>
            </w:pPr>
          </w:p>
        </w:tc>
        <w:tc>
          <w:tcPr>
            <w:tcW w:w="740" w:type="dxa"/>
            <w:vAlign w:val="bottom"/>
            <w:vMerge w:val="restart"/>
          </w:tcPr>
          <w:p>
            <w:pPr>
              <w:jc w:val="right"/>
              <w:ind w:right="211"/>
              <w:spacing w:after="0"/>
              <w:rPr>
                <w:sz w:val="20"/>
                <w:szCs w:val="20"/>
                <w:color w:val="auto"/>
              </w:rPr>
            </w:pPr>
            <w:r>
              <w:rPr>
                <w:rFonts w:ascii="Arial" w:cs="Arial" w:eastAsia="Arial" w:hAnsi="Arial"/>
                <w:sz w:val="10"/>
                <w:szCs w:val="10"/>
                <w:b w:val="1"/>
                <w:bCs w:val="1"/>
                <w:color w:val="auto"/>
              </w:rPr>
              <w:t>Notional</w:t>
            </w:r>
          </w:p>
        </w:tc>
        <w:tc>
          <w:tcPr>
            <w:tcW w:w="1060" w:type="dxa"/>
            <w:vAlign w:val="bottom"/>
          </w:tcPr>
          <w:p>
            <w:pPr>
              <w:jc w:val="center"/>
              <w:ind w:right="91"/>
              <w:spacing w:after="0" w:line="96" w:lineRule="exact"/>
              <w:rPr>
                <w:sz w:val="20"/>
                <w:szCs w:val="20"/>
                <w:color w:val="auto"/>
              </w:rPr>
            </w:pPr>
            <w:r>
              <w:rPr>
                <w:rFonts w:ascii="Arial" w:cs="Arial" w:eastAsia="Arial" w:hAnsi="Arial"/>
                <w:sz w:val="10"/>
                <w:szCs w:val="10"/>
                <w:b w:val="1"/>
                <w:bCs w:val="1"/>
                <w:color w:val="auto"/>
                <w:w w:val="98"/>
              </w:rPr>
              <w:t>Foreign</w:t>
            </w:r>
          </w:p>
        </w:tc>
        <w:tc>
          <w:tcPr>
            <w:tcW w:w="10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8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Derivative Instruments</w:t>
            </w:r>
          </w:p>
        </w:tc>
        <w:tc>
          <w:tcPr>
            <w:tcW w:w="160" w:type="dxa"/>
            <w:vAlign w:val="bottom"/>
          </w:tcPr>
          <w:p>
            <w:pPr>
              <w:spacing w:after="0"/>
              <w:rPr>
                <w:sz w:val="8"/>
                <w:szCs w:val="8"/>
                <w:color w:val="auto"/>
              </w:rPr>
            </w:pPr>
          </w:p>
        </w:tc>
        <w:tc>
          <w:tcPr>
            <w:tcW w:w="740" w:type="dxa"/>
            <w:vAlign w:val="bottom"/>
          </w:tcPr>
          <w:p>
            <w:pPr>
              <w:jc w:val="center"/>
              <w:ind w:right="91"/>
              <w:spacing w:after="0" w:line="96" w:lineRule="exact"/>
              <w:rPr>
                <w:sz w:val="20"/>
                <w:szCs w:val="20"/>
                <w:color w:val="auto"/>
              </w:rPr>
            </w:pPr>
            <w:r>
              <w:rPr>
                <w:rFonts w:ascii="Arial" w:cs="Arial" w:eastAsia="Arial" w:hAnsi="Arial"/>
                <w:sz w:val="10"/>
                <w:szCs w:val="10"/>
                <w:b w:val="1"/>
                <w:bCs w:val="1"/>
                <w:color w:val="auto"/>
              </w:rPr>
              <w:t>Financial</w:t>
            </w:r>
          </w:p>
        </w:tc>
        <w:tc>
          <w:tcPr>
            <w:tcW w:w="80" w:type="dxa"/>
            <w:vAlign w:val="bottom"/>
          </w:tcPr>
          <w:p>
            <w:pPr>
              <w:spacing w:after="0"/>
              <w:rPr>
                <w:sz w:val="8"/>
                <w:szCs w:val="8"/>
                <w:color w:val="auto"/>
              </w:rPr>
            </w:pPr>
          </w:p>
        </w:tc>
        <w:tc>
          <w:tcPr>
            <w:tcW w:w="840" w:type="dxa"/>
            <w:vAlign w:val="bottom"/>
          </w:tcPr>
          <w:p>
            <w:pPr>
              <w:jc w:val="center"/>
              <w:ind w:right="11"/>
              <w:spacing w:after="0" w:line="96" w:lineRule="exact"/>
              <w:rPr>
                <w:sz w:val="20"/>
                <w:szCs w:val="20"/>
                <w:color w:val="auto"/>
              </w:rPr>
            </w:pPr>
            <w:r>
              <w:rPr>
                <w:rFonts w:ascii="Arial" w:cs="Arial" w:eastAsia="Arial" w:hAnsi="Arial"/>
                <w:sz w:val="10"/>
                <w:szCs w:val="10"/>
                <w:b w:val="1"/>
                <w:bCs w:val="1"/>
                <w:color w:val="auto"/>
                <w:w w:val="96"/>
              </w:rPr>
              <w:t>Financial</w:t>
            </w:r>
          </w:p>
        </w:tc>
        <w:tc>
          <w:tcPr>
            <w:tcW w:w="160" w:type="dxa"/>
            <w:vAlign w:val="bottom"/>
          </w:tcPr>
          <w:p>
            <w:pPr>
              <w:spacing w:after="0"/>
              <w:rPr>
                <w:sz w:val="8"/>
                <w:szCs w:val="8"/>
                <w:color w:val="auto"/>
              </w:rPr>
            </w:pPr>
          </w:p>
        </w:tc>
        <w:tc>
          <w:tcPr>
            <w:tcW w:w="760" w:type="dxa"/>
            <w:vAlign w:val="bottom"/>
          </w:tcPr>
          <w:p>
            <w:pPr>
              <w:jc w:val="center"/>
              <w:ind w:right="111"/>
              <w:spacing w:after="0" w:line="96" w:lineRule="exact"/>
              <w:rPr>
                <w:sz w:val="20"/>
                <w:szCs w:val="20"/>
                <w:color w:val="auto"/>
              </w:rPr>
            </w:pPr>
            <w:r>
              <w:rPr>
                <w:rFonts w:ascii="Arial" w:cs="Arial" w:eastAsia="Arial" w:hAnsi="Arial"/>
                <w:sz w:val="10"/>
                <w:szCs w:val="10"/>
                <w:b w:val="1"/>
                <w:bCs w:val="1"/>
                <w:color w:val="auto"/>
              </w:rPr>
              <w:t>Financial</w:t>
            </w:r>
          </w:p>
        </w:tc>
        <w:tc>
          <w:tcPr>
            <w:tcW w:w="120" w:type="dxa"/>
            <w:vAlign w:val="bottom"/>
          </w:tcPr>
          <w:p>
            <w:pPr>
              <w:spacing w:after="0"/>
              <w:rPr>
                <w:sz w:val="8"/>
                <w:szCs w:val="8"/>
                <w:color w:val="auto"/>
              </w:rPr>
            </w:pPr>
          </w:p>
        </w:tc>
        <w:tc>
          <w:tcPr>
            <w:tcW w:w="800" w:type="dxa"/>
            <w:vAlign w:val="bottom"/>
          </w:tcPr>
          <w:p>
            <w:pPr>
              <w:jc w:val="center"/>
              <w:ind w:right="71"/>
              <w:spacing w:after="0" w:line="96" w:lineRule="exact"/>
              <w:rPr>
                <w:sz w:val="20"/>
                <w:szCs w:val="20"/>
                <w:color w:val="auto"/>
              </w:rPr>
            </w:pPr>
            <w:r>
              <w:rPr>
                <w:rFonts w:ascii="Arial" w:cs="Arial" w:eastAsia="Arial" w:hAnsi="Arial"/>
                <w:sz w:val="10"/>
                <w:szCs w:val="10"/>
                <w:b w:val="1"/>
                <w:bCs w:val="1"/>
                <w:color w:val="auto"/>
              </w:rPr>
              <w:t>Financial</w:t>
            </w: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60" w:type="dxa"/>
            <w:vAlign w:val="bottom"/>
          </w:tcPr>
          <w:p>
            <w:pPr>
              <w:jc w:val="center"/>
              <w:ind w:right="71"/>
              <w:spacing w:after="0" w:line="96" w:lineRule="exact"/>
              <w:rPr>
                <w:sz w:val="20"/>
                <w:szCs w:val="20"/>
                <w:color w:val="auto"/>
              </w:rPr>
            </w:pPr>
            <w:r>
              <w:rPr>
                <w:rFonts w:ascii="Arial" w:cs="Arial" w:eastAsia="Arial" w:hAnsi="Arial"/>
                <w:sz w:val="10"/>
                <w:szCs w:val="10"/>
                <w:b w:val="1"/>
                <w:bCs w:val="1"/>
                <w:color w:val="auto"/>
                <w:w w:val="98"/>
              </w:rPr>
              <w:t>Currency/</w:t>
            </w:r>
          </w:p>
        </w:tc>
        <w:tc>
          <w:tcPr>
            <w:tcW w:w="540" w:type="dxa"/>
            <w:vAlign w:val="bottom"/>
          </w:tcPr>
          <w:p>
            <w:pPr>
              <w:jc w:val="center"/>
              <w:ind w:left="211"/>
              <w:spacing w:after="0" w:line="96" w:lineRule="exact"/>
              <w:rPr>
                <w:sz w:val="20"/>
                <w:szCs w:val="20"/>
                <w:color w:val="auto"/>
              </w:rPr>
            </w:pPr>
            <w:r>
              <w:rPr>
                <w:rFonts w:ascii="Arial" w:cs="Arial" w:eastAsia="Arial" w:hAnsi="Arial"/>
                <w:sz w:val="10"/>
                <w:szCs w:val="10"/>
                <w:b w:val="1"/>
                <w:bCs w:val="1"/>
                <w:color w:val="auto"/>
              </w:rPr>
              <w:t>Strike</w:t>
            </w:r>
          </w:p>
        </w:tc>
        <w:tc>
          <w:tcPr>
            <w:tcW w:w="540" w:type="dxa"/>
            <w:vAlign w:val="bottom"/>
          </w:tcPr>
          <w:p>
            <w:pPr>
              <w:spacing w:after="0"/>
              <w:rPr>
                <w:sz w:val="8"/>
                <w:szCs w:val="8"/>
                <w:color w:val="auto"/>
              </w:rPr>
            </w:pPr>
          </w:p>
        </w:tc>
        <w:tc>
          <w:tcPr>
            <w:tcW w:w="780" w:type="dxa"/>
            <w:vAlign w:val="bottom"/>
            <w:vMerge w:val="restart"/>
          </w:tcPr>
          <w:p>
            <w:pPr>
              <w:jc w:val="right"/>
              <w:ind w:right="211"/>
              <w:spacing w:after="0"/>
              <w:rPr>
                <w:sz w:val="20"/>
                <w:szCs w:val="20"/>
                <w:color w:val="auto"/>
              </w:rPr>
            </w:pPr>
            <w:r>
              <w:rPr>
                <w:rFonts w:ascii="Arial" w:cs="Arial" w:eastAsia="Arial" w:hAnsi="Arial"/>
                <w:sz w:val="10"/>
                <w:szCs w:val="10"/>
                <w:b w:val="1"/>
                <w:bCs w:val="1"/>
                <w:color w:val="auto"/>
              </w:rPr>
              <w:t>Maturity</w:t>
            </w:r>
          </w:p>
        </w:tc>
        <w:tc>
          <w:tcPr>
            <w:tcW w:w="0" w:type="dxa"/>
            <w:vAlign w:val="bottom"/>
          </w:tcPr>
          <w:p>
            <w:pPr>
              <w:spacing w:after="0"/>
              <w:rPr>
                <w:sz w:val="1"/>
                <w:szCs w:val="1"/>
                <w:color w:val="auto"/>
              </w:rPr>
            </w:pPr>
          </w:p>
        </w:tc>
      </w:tr>
      <w:tr>
        <w:trPr>
          <w:trHeight w:val="145"/>
        </w:trPr>
        <w:tc>
          <w:tcPr>
            <w:tcW w:w="38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91"/>
              <w:spacing w:after="0"/>
              <w:rPr>
                <w:sz w:val="20"/>
                <w:szCs w:val="20"/>
                <w:color w:val="auto"/>
              </w:rPr>
            </w:pPr>
            <w:r>
              <w:rPr>
                <w:rFonts w:ascii="Arial" w:cs="Arial" w:eastAsia="Arial" w:hAnsi="Arial"/>
                <w:sz w:val="10"/>
                <w:szCs w:val="10"/>
                <w:b w:val="1"/>
                <w:bCs w:val="1"/>
                <w:color w:val="auto"/>
                <w:w w:val="97"/>
              </w:rPr>
              <w:t>Assets</w:t>
            </w: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1"/>
              <w:spacing w:after="0"/>
              <w:rPr>
                <w:sz w:val="20"/>
                <w:szCs w:val="20"/>
                <w:color w:val="auto"/>
              </w:rPr>
            </w:pPr>
            <w:r>
              <w:rPr>
                <w:rFonts w:ascii="Arial" w:cs="Arial" w:eastAsia="Arial" w:hAnsi="Arial"/>
                <w:sz w:val="10"/>
                <w:szCs w:val="10"/>
                <w:b w:val="1"/>
                <w:bCs w:val="1"/>
                <w:color w:val="auto"/>
              </w:rPr>
              <w:t>Assets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91"/>
              <w:spacing w:after="0"/>
              <w:rPr>
                <w:sz w:val="20"/>
                <w:szCs w:val="20"/>
                <w:color w:val="auto"/>
              </w:rPr>
            </w:pPr>
            <w:r>
              <w:rPr>
                <w:rFonts w:ascii="Arial" w:cs="Arial" w:eastAsia="Arial" w:hAnsi="Arial"/>
                <w:sz w:val="10"/>
                <w:szCs w:val="10"/>
                <w:b w:val="1"/>
                <w:bCs w:val="1"/>
                <w:color w:val="auto"/>
                <w:w w:val="99"/>
              </w:rPr>
              <w:t>Liabilities</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91"/>
              <w:spacing w:after="0"/>
              <w:rPr>
                <w:sz w:val="20"/>
                <w:szCs w:val="20"/>
                <w:color w:val="auto"/>
              </w:rPr>
            </w:pPr>
            <w:r>
              <w:rPr>
                <w:rFonts w:ascii="Arial" w:cs="Arial" w:eastAsia="Arial" w:hAnsi="Arial"/>
                <w:sz w:val="10"/>
                <w:szCs w:val="10"/>
                <w:b w:val="1"/>
                <w:bCs w:val="1"/>
                <w:color w:val="auto"/>
                <w:w w:val="99"/>
              </w:rPr>
              <w:t>Liabilities</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b w:val="1"/>
                <w:bCs w:val="1"/>
                <w:color w:val="auto"/>
              </w:rPr>
              <w:t>Amount</w:t>
            </w:r>
          </w:p>
        </w:tc>
        <w:tc>
          <w:tcPr>
            <w:tcW w:w="1060" w:type="dxa"/>
            <w:vAlign w:val="bottom"/>
            <w:tcBorders>
              <w:bottom w:val="single" w:sz="8" w:color="auto"/>
            </w:tcBorders>
          </w:tcPr>
          <w:p>
            <w:pPr>
              <w:jc w:val="center"/>
              <w:ind w:right="91"/>
              <w:spacing w:after="0"/>
              <w:rPr>
                <w:sz w:val="20"/>
                <w:szCs w:val="20"/>
                <w:color w:val="auto"/>
              </w:rPr>
            </w:pPr>
            <w:r>
              <w:rPr>
                <w:rFonts w:ascii="Arial" w:cs="Arial" w:eastAsia="Arial" w:hAnsi="Arial"/>
                <w:sz w:val="10"/>
                <w:szCs w:val="10"/>
                <w:b w:val="1"/>
                <w:bCs w:val="1"/>
                <w:color w:val="auto"/>
              </w:rPr>
              <w:t>US$</w:t>
            </w:r>
          </w:p>
        </w:tc>
        <w:tc>
          <w:tcPr>
            <w:tcW w:w="540" w:type="dxa"/>
            <w:vAlign w:val="bottom"/>
            <w:tcBorders>
              <w:bottom w:val="single" w:sz="8" w:color="auto"/>
            </w:tcBorders>
          </w:tcPr>
          <w:p>
            <w:pPr>
              <w:jc w:val="center"/>
              <w:ind w:left="211"/>
              <w:spacing w:after="0"/>
              <w:rPr>
                <w:sz w:val="20"/>
                <w:szCs w:val="20"/>
                <w:color w:val="auto"/>
              </w:rPr>
            </w:pPr>
            <w:r>
              <w:rPr>
                <w:rFonts w:ascii="Arial" w:cs="Arial" w:eastAsia="Arial" w:hAnsi="Arial"/>
                <w:sz w:val="10"/>
                <w:szCs w:val="10"/>
                <w:b w:val="1"/>
                <w:bCs w:val="1"/>
                <w:color w:val="auto"/>
                <w:w w:val="97"/>
              </w:rPr>
              <w:t>Price</w:t>
            </w:r>
          </w:p>
        </w:tc>
        <w:tc>
          <w:tcPr>
            <w:tcW w:w="5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00" w:type="dxa"/>
            <w:vAlign w:val="bottom"/>
          </w:tcPr>
          <w:p>
            <w:pPr>
              <w:ind w:left="20"/>
              <w:spacing w:after="0"/>
              <w:rPr>
                <w:sz w:val="20"/>
                <w:szCs w:val="20"/>
                <w:color w:val="auto"/>
              </w:rPr>
            </w:pPr>
            <w:r>
              <w:rPr>
                <w:rFonts w:ascii="Arial" w:cs="Arial" w:eastAsia="Arial" w:hAnsi="Arial"/>
                <w:sz w:val="10"/>
                <w:szCs w:val="10"/>
                <w:color w:val="auto"/>
              </w:rPr>
              <w:t>Outstanding as of December 31, 2022:</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Forward contracts:</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00" w:type="dxa"/>
            <w:vAlign w:val="bottom"/>
          </w:tcPr>
          <w:p>
            <w:pPr>
              <w:ind w:left="280"/>
              <w:spacing w:after="0"/>
              <w:rPr>
                <w:sz w:val="20"/>
                <w:szCs w:val="20"/>
                <w:color w:val="auto"/>
              </w:rPr>
            </w:pPr>
            <w:r>
              <w:rPr>
                <w:rFonts w:ascii="Arial" w:cs="Arial" w:eastAsia="Arial" w:hAnsi="Arial"/>
                <w:sz w:val="10"/>
                <w:szCs w:val="10"/>
                <w:color w:val="auto"/>
              </w:rPr>
              <w:t>Euro forward contracts (receive euros/pay US$)</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46</w:t>
            </w: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3</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(32)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1,203</w:t>
            </w:r>
          </w:p>
        </w:tc>
        <w:tc>
          <w:tcPr>
            <w:tcW w:w="1060" w:type="dxa"/>
            <w:vAlign w:val="bottom"/>
          </w:tcPr>
          <w:p>
            <w:pPr>
              <w:jc w:val="right"/>
              <w:ind w:right="151"/>
              <w:spacing w:after="0"/>
              <w:rPr>
                <w:sz w:val="20"/>
                <w:szCs w:val="20"/>
                <w:color w:val="auto"/>
              </w:rPr>
            </w:pPr>
            <w:r>
              <w:rPr>
                <w:rFonts w:ascii="Arial" w:cs="Arial" w:eastAsia="Arial" w:hAnsi="Arial"/>
                <w:sz w:val="10"/>
                <w:szCs w:val="10"/>
                <w:color w:val="auto"/>
              </w:rPr>
              <w:t>0.94</w:t>
            </w:r>
          </w:p>
        </w:tc>
        <w:tc>
          <w:tcPr>
            <w:tcW w:w="540" w:type="dxa"/>
            <w:vAlign w:val="bottom"/>
          </w:tcPr>
          <w:p>
            <w:pPr>
              <w:spacing w:after="0"/>
              <w:rPr>
                <w:sz w:val="11"/>
                <w:szCs w:val="11"/>
                <w:color w:val="auto"/>
              </w:rPr>
            </w:pPr>
          </w:p>
        </w:tc>
        <w:tc>
          <w:tcPr>
            <w:tcW w:w="5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2023 - 2024</w:t>
            </w:r>
          </w:p>
        </w:tc>
        <w:tc>
          <w:tcPr>
            <w:tcW w:w="0" w:type="dxa"/>
            <w:vAlign w:val="bottom"/>
          </w:tcPr>
          <w:p>
            <w:pPr>
              <w:spacing w:after="0"/>
              <w:rPr>
                <w:sz w:val="1"/>
                <w:szCs w:val="1"/>
                <w:color w:val="auto"/>
              </w:rPr>
            </w:pPr>
          </w:p>
        </w:tc>
      </w:tr>
      <w:tr>
        <w:trPr>
          <w:trHeight w:val="142"/>
        </w:trPr>
        <w:tc>
          <w:tcPr>
            <w:tcW w:w="3800" w:type="dxa"/>
            <w:vAlign w:val="bottom"/>
            <w:shd w:val="clear" w:color="auto" w:fill="CCEEFF"/>
          </w:tcPr>
          <w:p>
            <w:pPr>
              <w:ind w:left="280"/>
              <w:spacing w:after="0"/>
              <w:rPr>
                <w:sz w:val="20"/>
                <w:szCs w:val="20"/>
                <w:color w:val="auto"/>
              </w:rPr>
            </w:pPr>
            <w:r>
              <w:rPr>
                <w:rFonts w:ascii="Arial" w:cs="Arial" w:eastAsia="Arial" w:hAnsi="Arial"/>
                <w:sz w:val="10"/>
                <w:szCs w:val="10"/>
                <w:color w:val="auto"/>
              </w:rPr>
              <w:t>Singapore dollar forward contracts (receive Singapore$/pay US$)</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496</w:t>
            </w: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1.37</w:t>
            </w: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2023</w:t>
            </w:r>
          </w:p>
        </w:tc>
        <w:tc>
          <w:tcPr>
            <w:tcW w:w="0" w:type="dxa"/>
            <w:vAlign w:val="bottom"/>
          </w:tcPr>
          <w:p>
            <w:pPr>
              <w:spacing w:after="0"/>
              <w:rPr>
                <w:sz w:val="1"/>
                <w:szCs w:val="1"/>
                <w:color w:val="auto"/>
              </w:rPr>
            </w:pPr>
          </w:p>
        </w:tc>
      </w:tr>
      <w:tr>
        <w:trPr>
          <w:trHeight w:val="134"/>
        </w:trPr>
        <w:tc>
          <w:tcPr>
            <w:tcW w:w="3800" w:type="dxa"/>
            <w:vAlign w:val="bottom"/>
            <w:tcBorders>
              <w:bottom w:val="single" w:sz="8" w:color="CCEEFF"/>
            </w:tcBorders>
          </w:tcPr>
          <w:p>
            <w:pPr>
              <w:ind w:left="280"/>
              <w:spacing w:after="0"/>
              <w:rPr>
                <w:sz w:val="20"/>
                <w:szCs w:val="20"/>
                <w:color w:val="auto"/>
              </w:rPr>
            </w:pPr>
            <w:r>
              <w:rPr>
                <w:rFonts w:ascii="Arial" w:cs="Arial" w:eastAsia="Arial" w:hAnsi="Arial"/>
                <w:sz w:val="10"/>
                <w:szCs w:val="10"/>
                <w:color w:val="auto"/>
              </w:rPr>
              <w:t>Japanese yen forward contracts (receive Japanese yen/pay US$)</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w:t>
            </w: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236</w:t>
            </w:r>
          </w:p>
        </w:tc>
        <w:tc>
          <w:tcPr>
            <w:tcW w:w="1060" w:type="dxa"/>
            <w:vAlign w:val="bottom"/>
            <w:tcBorders>
              <w:bottom w:val="single" w:sz="8" w:color="CCEEFF"/>
            </w:tcBorders>
          </w:tcPr>
          <w:p>
            <w:pPr>
              <w:jc w:val="right"/>
              <w:ind w:right="151"/>
              <w:spacing w:after="0"/>
              <w:rPr>
                <w:sz w:val="20"/>
                <w:szCs w:val="20"/>
                <w:color w:val="auto"/>
              </w:rPr>
            </w:pPr>
            <w:r>
              <w:rPr>
                <w:rFonts w:ascii="Arial" w:cs="Arial" w:eastAsia="Arial" w:hAnsi="Arial"/>
                <w:sz w:val="10"/>
                <w:szCs w:val="10"/>
                <w:color w:val="auto"/>
              </w:rPr>
              <w:t>127.22</w:t>
            </w:r>
          </w:p>
        </w:tc>
        <w:tc>
          <w:tcPr>
            <w:tcW w:w="54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jc w:val="right"/>
              <w:ind w:right="131"/>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2023 - 2024</w:t>
            </w:r>
          </w:p>
        </w:tc>
        <w:tc>
          <w:tcPr>
            <w:tcW w:w="0" w:type="dxa"/>
            <w:vAlign w:val="bottom"/>
          </w:tcPr>
          <w:p>
            <w:pPr>
              <w:spacing w:after="0"/>
              <w:rPr>
                <w:sz w:val="1"/>
                <w:szCs w:val="1"/>
                <w:color w:val="auto"/>
              </w:rPr>
            </w:pPr>
          </w:p>
        </w:tc>
      </w:tr>
      <w:tr>
        <w:trPr>
          <w:trHeight w:val="133"/>
        </w:trPr>
        <w:tc>
          <w:tcPr>
            <w:tcW w:w="3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1,935</w:t>
            </w:r>
          </w:p>
        </w:tc>
        <w:tc>
          <w:tcPr>
            <w:tcW w:w="10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800" w:type="dxa"/>
            <w:vAlign w:val="bottom"/>
          </w:tcPr>
          <w:p>
            <w:pPr>
              <w:ind w:left="20"/>
              <w:spacing w:after="0"/>
              <w:rPr>
                <w:sz w:val="20"/>
                <w:szCs w:val="20"/>
                <w:color w:val="auto"/>
              </w:rPr>
            </w:pPr>
            <w:r>
              <w:rPr>
                <w:rFonts w:ascii="Arial" w:cs="Arial" w:eastAsia="Arial" w:hAnsi="Arial"/>
                <w:sz w:val="10"/>
                <w:szCs w:val="10"/>
                <w:color w:val="auto"/>
              </w:rPr>
              <w:t>Interest rate swaps</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42</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795</w:t>
            </w:r>
          </w:p>
        </w:tc>
        <w:tc>
          <w:tcPr>
            <w:tcW w:w="106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0.382%</w:t>
            </w:r>
          </w:p>
        </w:tc>
        <w:tc>
          <w:tcPr>
            <w:tcW w:w="540" w:type="dxa"/>
            <w:vAlign w:val="bottom"/>
          </w:tcPr>
          <w:p>
            <w:pPr>
              <w:jc w:val="right"/>
              <w:ind w:right="91"/>
              <w:spacing w:after="0"/>
              <w:rPr>
                <w:sz w:val="20"/>
                <w:szCs w:val="20"/>
                <w:color w:val="auto"/>
              </w:rPr>
            </w:pPr>
            <w:r>
              <w:rPr>
                <w:rFonts w:ascii="Arial" w:cs="Arial" w:eastAsia="Arial" w:hAnsi="Arial"/>
                <w:sz w:val="10"/>
                <w:szCs w:val="10"/>
                <w:color w:val="auto"/>
                <w:w w:val="94"/>
              </w:rPr>
              <w:t>- 1.731%</w:t>
            </w:r>
          </w:p>
        </w:tc>
        <w:tc>
          <w:tcPr>
            <w:tcW w:w="780" w:type="dxa"/>
            <w:vAlign w:val="bottom"/>
          </w:tcPr>
          <w:p>
            <w:pPr>
              <w:jc w:val="right"/>
              <w:spacing w:after="0"/>
              <w:rPr>
                <w:sz w:val="20"/>
                <w:szCs w:val="20"/>
                <w:color w:val="auto"/>
              </w:rPr>
            </w:pPr>
            <w:r>
              <w:rPr>
                <w:rFonts w:ascii="Arial" w:cs="Arial" w:eastAsia="Arial" w:hAnsi="Arial"/>
                <w:sz w:val="10"/>
                <w:szCs w:val="10"/>
                <w:color w:val="auto"/>
              </w:rPr>
              <w:t>2023 - 2026</w:t>
            </w:r>
          </w:p>
        </w:tc>
        <w:tc>
          <w:tcPr>
            <w:tcW w:w="0" w:type="dxa"/>
            <w:vAlign w:val="bottom"/>
          </w:tcPr>
          <w:p>
            <w:pPr>
              <w:spacing w:after="0"/>
              <w:rPr>
                <w:sz w:val="1"/>
                <w:szCs w:val="1"/>
                <w:color w:val="auto"/>
              </w:rPr>
            </w:pPr>
          </w:p>
        </w:tc>
      </w:tr>
      <w:tr>
        <w:trPr>
          <w:trHeight w:val="142"/>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Cross currency interest rate swaps (receive euros/pay US$)</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535</w:t>
            </w: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0.89</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3.834%</w:t>
            </w:r>
          </w:p>
        </w:tc>
        <w:tc>
          <w:tcPr>
            <w:tcW w:w="5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94"/>
              </w:rPr>
              <w:t>- 4.182%</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2024 - 2026</w:t>
            </w:r>
          </w:p>
        </w:tc>
        <w:tc>
          <w:tcPr>
            <w:tcW w:w="0" w:type="dxa"/>
            <w:vAlign w:val="bottom"/>
          </w:tcPr>
          <w:p>
            <w:pPr>
              <w:spacing w:after="0"/>
              <w:rPr>
                <w:sz w:val="1"/>
                <w:szCs w:val="1"/>
                <w:color w:val="auto"/>
              </w:rPr>
            </w:pPr>
          </w:p>
        </w:tc>
      </w:tr>
      <w:tr>
        <w:trPr>
          <w:trHeight w:val="134"/>
        </w:trPr>
        <w:tc>
          <w:tcPr>
            <w:tcW w:w="3800" w:type="dxa"/>
            <w:vAlign w:val="bottom"/>
          </w:tcPr>
          <w:p>
            <w:pPr>
              <w:ind w:left="20"/>
              <w:spacing w:after="0"/>
              <w:rPr>
                <w:sz w:val="20"/>
                <w:szCs w:val="20"/>
                <w:color w:val="auto"/>
              </w:rPr>
            </w:pPr>
            <w:r>
              <w:rPr>
                <w:rFonts w:ascii="Arial" w:cs="Arial" w:eastAsia="Arial" w:hAnsi="Arial"/>
                <w:sz w:val="10"/>
                <w:szCs w:val="10"/>
                <w:color w:val="auto"/>
              </w:rPr>
              <w:t>Cross currency swaps (receive Singapore $/pay US$)</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51</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796</w:t>
            </w:r>
          </w:p>
        </w:tc>
        <w:tc>
          <w:tcPr>
            <w:tcW w:w="1060" w:type="dxa"/>
            <w:vAlign w:val="bottom"/>
          </w:tcPr>
          <w:p>
            <w:pPr>
              <w:jc w:val="right"/>
              <w:ind w:right="151"/>
              <w:spacing w:after="0"/>
              <w:rPr>
                <w:sz w:val="20"/>
                <w:szCs w:val="20"/>
                <w:color w:val="auto"/>
              </w:rPr>
            </w:pPr>
            <w:r>
              <w:rPr>
                <w:rFonts w:ascii="Arial" w:cs="Arial" w:eastAsia="Arial" w:hAnsi="Arial"/>
                <w:sz w:val="10"/>
                <w:szCs w:val="10"/>
                <w:color w:val="auto"/>
              </w:rPr>
              <w:t>1.37</w:t>
            </w:r>
          </w:p>
        </w:tc>
        <w:tc>
          <w:tcPr>
            <w:tcW w:w="540" w:type="dxa"/>
            <w:vAlign w:val="bottom"/>
          </w:tcPr>
          <w:p>
            <w:pPr>
              <w:jc w:val="right"/>
              <w:spacing w:after="0"/>
              <w:rPr>
                <w:sz w:val="20"/>
                <w:szCs w:val="20"/>
                <w:color w:val="auto"/>
              </w:rPr>
            </w:pPr>
            <w:r>
              <w:rPr>
                <w:rFonts w:ascii="Arial" w:cs="Arial" w:eastAsia="Arial" w:hAnsi="Arial"/>
                <w:sz w:val="10"/>
                <w:szCs w:val="10"/>
                <w:color w:val="auto"/>
              </w:rPr>
              <w:t>1.830%</w:t>
            </w:r>
          </w:p>
        </w:tc>
        <w:tc>
          <w:tcPr>
            <w:tcW w:w="540" w:type="dxa"/>
            <w:vAlign w:val="bottom"/>
          </w:tcPr>
          <w:p>
            <w:pPr>
              <w:jc w:val="right"/>
              <w:ind w:right="91"/>
              <w:spacing w:after="0"/>
              <w:rPr>
                <w:sz w:val="20"/>
                <w:szCs w:val="20"/>
                <w:color w:val="auto"/>
              </w:rPr>
            </w:pPr>
            <w:r>
              <w:rPr>
                <w:rFonts w:ascii="Arial" w:cs="Arial" w:eastAsia="Arial" w:hAnsi="Arial"/>
                <w:sz w:val="10"/>
                <w:szCs w:val="10"/>
                <w:color w:val="auto"/>
                <w:w w:val="94"/>
              </w:rPr>
              <w:t>- 1.941%</w:t>
            </w:r>
          </w:p>
        </w:tc>
        <w:tc>
          <w:tcPr>
            <w:tcW w:w="780" w:type="dxa"/>
            <w:vAlign w:val="bottom"/>
          </w:tcPr>
          <w:p>
            <w:pPr>
              <w:jc w:val="right"/>
              <w:spacing w:after="0"/>
              <w:rPr>
                <w:sz w:val="20"/>
                <w:szCs w:val="20"/>
                <w:color w:val="auto"/>
              </w:rPr>
            </w:pPr>
            <w:r>
              <w:rPr>
                <w:rFonts w:ascii="Arial" w:cs="Arial" w:eastAsia="Arial" w:hAnsi="Arial"/>
                <w:sz w:val="10"/>
                <w:szCs w:val="10"/>
                <w:color w:val="auto"/>
              </w:rPr>
              <w:t>2028</w:t>
            </w:r>
          </w:p>
        </w:tc>
        <w:tc>
          <w:tcPr>
            <w:tcW w:w="0" w:type="dxa"/>
            <w:vAlign w:val="bottom"/>
          </w:tcPr>
          <w:p>
            <w:pPr>
              <w:spacing w:after="0"/>
              <w:rPr>
                <w:sz w:val="1"/>
                <w:szCs w:val="1"/>
                <w:color w:val="auto"/>
              </w:rPr>
            </w:pPr>
          </w:p>
        </w:tc>
      </w:tr>
      <w:tr>
        <w:trPr>
          <w:trHeight w:val="142"/>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Commodity swaps</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w:t>
            </w: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512.56</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2023</w:t>
            </w:r>
          </w:p>
        </w:tc>
        <w:tc>
          <w:tcPr>
            <w:tcW w:w="0" w:type="dxa"/>
            <w:vAlign w:val="bottom"/>
          </w:tcPr>
          <w:p>
            <w:pPr>
              <w:spacing w:after="0"/>
              <w:rPr>
                <w:sz w:val="1"/>
                <w:szCs w:val="1"/>
                <w:color w:val="auto"/>
              </w:rPr>
            </w:pPr>
          </w:p>
        </w:tc>
      </w:tr>
      <w:tr>
        <w:trPr>
          <w:trHeight w:val="125"/>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Total</w:t>
            </w:r>
          </w:p>
        </w:tc>
        <w:tc>
          <w:tcPr>
            <w:tcW w:w="1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98</w:t>
            </w:r>
          </w:p>
        </w:tc>
        <w:tc>
          <w:tcPr>
            <w:tcW w:w="1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4,108</w:t>
            </w:r>
          </w:p>
        </w:tc>
        <w:tc>
          <w:tcPr>
            <w:tcW w:w="106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00" w:type="dxa"/>
            <w:vAlign w:val="bottom"/>
          </w:tcPr>
          <w:p>
            <w:pPr>
              <w:ind w:left="20"/>
              <w:spacing w:after="0"/>
              <w:rPr>
                <w:sz w:val="20"/>
                <w:szCs w:val="20"/>
                <w:color w:val="auto"/>
              </w:rPr>
            </w:pPr>
            <w:r>
              <w:rPr>
                <w:rFonts w:ascii="Arial" w:cs="Arial" w:eastAsia="Arial" w:hAnsi="Arial"/>
                <w:sz w:val="10"/>
                <w:szCs w:val="10"/>
                <w:color w:val="auto"/>
              </w:rPr>
              <w:t>Outstanding as of December 31, 2023:</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Forward contracts:</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00" w:type="dxa"/>
            <w:vAlign w:val="bottom"/>
          </w:tcPr>
          <w:p>
            <w:pPr>
              <w:ind w:left="280"/>
              <w:spacing w:after="0"/>
              <w:rPr>
                <w:sz w:val="20"/>
                <w:szCs w:val="20"/>
                <w:color w:val="auto"/>
              </w:rPr>
            </w:pPr>
            <w:r>
              <w:rPr>
                <w:rFonts w:ascii="Arial" w:cs="Arial" w:eastAsia="Arial" w:hAnsi="Arial"/>
                <w:sz w:val="10"/>
                <w:szCs w:val="10"/>
                <w:color w:val="auto"/>
              </w:rPr>
              <w:t>Euro forward contracts (receive euros/pay US$)</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14</w:t>
            </w: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845</w:t>
            </w:r>
          </w:p>
        </w:tc>
        <w:tc>
          <w:tcPr>
            <w:tcW w:w="1060" w:type="dxa"/>
            <w:vAlign w:val="bottom"/>
          </w:tcPr>
          <w:p>
            <w:pPr>
              <w:jc w:val="right"/>
              <w:ind w:right="151"/>
              <w:spacing w:after="0"/>
              <w:rPr>
                <w:sz w:val="20"/>
                <w:szCs w:val="20"/>
                <w:color w:val="auto"/>
              </w:rPr>
            </w:pPr>
            <w:r>
              <w:rPr>
                <w:rFonts w:ascii="Arial" w:cs="Arial" w:eastAsia="Arial" w:hAnsi="Arial"/>
                <w:sz w:val="10"/>
                <w:szCs w:val="10"/>
                <w:color w:val="auto"/>
              </w:rPr>
              <w:t>0.91</w:t>
            </w:r>
          </w:p>
        </w:tc>
        <w:tc>
          <w:tcPr>
            <w:tcW w:w="540" w:type="dxa"/>
            <w:vAlign w:val="bottom"/>
          </w:tcPr>
          <w:p>
            <w:pPr>
              <w:spacing w:after="0"/>
              <w:rPr>
                <w:sz w:val="11"/>
                <w:szCs w:val="11"/>
                <w:color w:val="auto"/>
              </w:rPr>
            </w:pPr>
          </w:p>
        </w:tc>
        <w:tc>
          <w:tcPr>
            <w:tcW w:w="5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2024 - 2025</w:t>
            </w:r>
          </w:p>
        </w:tc>
        <w:tc>
          <w:tcPr>
            <w:tcW w:w="0" w:type="dxa"/>
            <w:vAlign w:val="bottom"/>
          </w:tcPr>
          <w:p>
            <w:pPr>
              <w:spacing w:after="0"/>
              <w:rPr>
                <w:sz w:val="1"/>
                <w:szCs w:val="1"/>
                <w:color w:val="auto"/>
              </w:rPr>
            </w:pPr>
          </w:p>
        </w:tc>
      </w:tr>
      <w:tr>
        <w:trPr>
          <w:trHeight w:val="142"/>
        </w:trPr>
        <w:tc>
          <w:tcPr>
            <w:tcW w:w="3800" w:type="dxa"/>
            <w:vAlign w:val="bottom"/>
            <w:shd w:val="clear" w:color="auto" w:fill="CCEEFF"/>
          </w:tcPr>
          <w:p>
            <w:pPr>
              <w:ind w:left="280"/>
              <w:spacing w:after="0"/>
              <w:rPr>
                <w:sz w:val="20"/>
                <w:szCs w:val="20"/>
                <w:color w:val="auto"/>
              </w:rPr>
            </w:pPr>
            <w:r>
              <w:rPr>
                <w:rFonts w:ascii="Arial" w:cs="Arial" w:eastAsia="Arial" w:hAnsi="Arial"/>
                <w:sz w:val="10"/>
                <w:szCs w:val="10"/>
                <w:color w:val="auto"/>
              </w:rPr>
              <w:t>Singapore dollar forward contracts (receive Singapore$/pay US$)</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483</w:t>
            </w: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1.33</w:t>
            </w: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2024 - 2025</w:t>
            </w:r>
          </w:p>
        </w:tc>
        <w:tc>
          <w:tcPr>
            <w:tcW w:w="0" w:type="dxa"/>
            <w:vAlign w:val="bottom"/>
          </w:tcPr>
          <w:p>
            <w:pPr>
              <w:spacing w:after="0"/>
              <w:rPr>
                <w:sz w:val="1"/>
                <w:szCs w:val="1"/>
                <w:color w:val="auto"/>
              </w:rPr>
            </w:pPr>
          </w:p>
        </w:tc>
      </w:tr>
      <w:tr>
        <w:trPr>
          <w:trHeight w:val="134"/>
        </w:trPr>
        <w:tc>
          <w:tcPr>
            <w:tcW w:w="3800" w:type="dxa"/>
            <w:vAlign w:val="bottom"/>
            <w:tcBorders>
              <w:bottom w:val="single" w:sz="8" w:color="CCEEFF"/>
            </w:tcBorders>
          </w:tcPr>
          <w:p>
            <w:pPr>
              <w:ind w:left="280"/>
              <w:spacing w:after="0"/>
              <w:rPr>
                <w:sz w:val="20"/>
                <w:szCs w:val="20"/>
                <w:color w:val="auto"/>
              </w:rPr>
            </w:pPr>
            <w:r>
              <w:rPr>
                <w:rFonts w:ascii="Arial" w:cs="Arial" w:eastAsia="Arial" w:hAnsi="Arial"/>
                <w:sz w:val="10"/>
                <w:szCs w:val="10"/>
                <w:color w:val="auto"/>
              </w:rPr>
              <w:t>Japanese yen forward contracts (receive Japanese yen/pay US$)</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w:t>
            </w: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116</w:t>
            </w:r>
          </w:p>
        </w:tc>
        <w:tc>
          <w:tcPr>
            <w:tcW w:w="1060" w:type="dxa"/>
            <w:vAlign w:val="bottom"/>
            <w:tcBorders>
              <w:bottom w:val="single" w:sz="8" w:color="CCEEFF"/>
            </w:tcBorders>
          </w:tcPr>
          <w:p>
            <w:pPr>
              <w:jc w:val="right"/>
              <w:ind w:right="151"/>
              <w:spacing w:after="0"/>
              <w:rPr>
                <w:sz w:val="20"/>
                <w:szCs w:val="20"/>
                <w:color w:val="auto"/>
              </w:rPr>
            </w:pPr>
            <w:r>
              <w:rPr>
                <w:rFonts w:ascii="Arial" w:cs="Arial" w:eastAsia="Arial" w:hAnsi="Arial"/>
                <w:sz w:val="10"/>
                <w:szCs w:val="10"/>
                <w:color w:val="auto"/>
              </w:rPr>
              <w:t>140.20</w:t>
            </w:r>
          </w:p>
        </w:tc>
        <w:tc>
          <w:tcPr>
            <w:tcW w:w="54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jc w:val="right"/>
              <w:ind w:right="131"/>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2024 - 2025</w:t>
            </w:r>
          </w:p>
        </w:tc>
        <w:tc>
          <w:tcPr>
            <w:tcW w:w="0" w:type="dxa"/>
            <w:vAlign w:val="bottom"/>
          </w:tcPr>
          <w:p>
            <w:pPr>
              <w:spacing w:after="0"/>
              <w:rPr>
                <w:sz w:val="1"/>
                <w:szCs w:val="1"/>
                <w:color w:val="auto"/>
              </w:rPr>
            </w:pPr>
          </w:p>
        </w:tc>
      </w:tr>
      <w:tr>
        <w:trPr>
          <w:trHeight w:val="133"/>
        </w:trPr>
        <w:tc>
          <w:tcPr>
            <w:tcW w:w="3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1,444</w:t>
            </w:r>
          </w:p>
        </w:tc>
        <w:tc>
          <w:tcPr>
            <w:tcW w:w="10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800" w:type="dxa"/>
            <w:vAlign w:val="bottom"/>
          </w:tcPr>
          <w:p>
            <w:pPr>
              <w:ind w:left="20"/>
              <w:spacing w:after="0"/>
              <w:rPr>
                <w:sz w:val="20"/>
                <w:szCs w:val="20"/>
                <w:color w:val="auto"/>
              </w:rPr>
            </w:pPr>
            <w:r>
              <w:rPr>
                <w:rFonts w:ascii="Arial" w:cs="Arial" w:eastAsia="Arial" w:hAnsi="Arial"/>
                <w:sz w:val="10"/>
                <w:szCs w:val="10"/>
                <w:color w:val="auto"/>
              </w:rPr>
              <w:t>Interest rate swaps</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17</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5</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653</w:t>
            </w:r>
          </w:p>
        </w:tc>
        <w:tc>
          <w:tcPr>
            <w:tcW w:w="106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0.442%</w:t>
            </w:r>
          </w:p>
        </w:tc>
        <w:tc>
          <w:tcPr>
            <w:tcW w:w="540" w:type="dxa"/>
            <w:vAlign w:val="bottom"/>
          </w:tcPr>
          <w:p>
            <w:pPr>
              <w:jc w:val="right"/>
              <w:ind w:right="91"/>
              <w:spacing w:after="0"/>
              <w:rPr>
                <w:sz w:val="20"/>
                <w:szCs w:val="20"/>
                <w:color w:val="auto"/>
              </w:rPr>
            </w:pPr>
            <w:r>
              <w:rPr>
                <w:rFonts w:ascii="Arial" w:cs="Arial" w:eastAsia="Arial" w:hAnsi="Arial"/>
                <w:sz w:val="10"/>
                <w:szCs w:val="10"/>
                <w:color w:val="auto"/>
                <w:w w:val="94"/>
              </w:rPr>
              <w:t>- 1.761%</w:t>
            </w:r>
          </w:p>
        </w:tc>
        <w:tc>
          <w:tcPr>
            <w:tcW w:w="780" w:type="dxa"/>
            <w:vAlign w:val="bottom"/>
          </w:tcPr>
          <w:p>
            <w:pPr>
              <w:jc w:val="right"/>
              <w:spacing w:after="0"/>
              <w:rPr>
                <w:sz w:val="20"/>
                <w:szCs w:val="20"/>
                <w:color w:val="auto"/>
              </w:rPr>
            </w:pPr>
            <w:r>
              <w:rPr>
                <w:rFonts w:ascii="Arial" w:cs="Arial" w:eastAsia="Arial" w:hAnsi="Arial"/>
                <w:sz w:val="10"/>
                <w:szCs w:val="10"/>
                <w:color w:val="auto"/>
              </w:rPr>
              <w:t>2024 - 2026</w:t>
            </w:r>
          </w:p>
        </w:tc>
        <w:tc>
          <w:tcPr>
            <w:tcW w:w="0" w:type="dxa"/>
            <w:vAlign w:val="bottom"/>
          </w:tcPr>
          <w:p>
            <w:pPr>
              <w:spacing w:after="0"/>
              <w:rPr>
                <w:sz w:val="1"/>
                <w:szCs w:val="1"/>
                <w:color w:val="auto"/>
              </w:rPr>
            </w:pPr>
          </w:p>
        </w:tc>
      </w:tr>
      <w:tr>
        <w:trPr>
          <w:trHeight w:val="142"/>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Cross currency interest rate swaps (receive euros/pay US$)</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519</w:t>
            </w: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0.89</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3.834%</w:t>
            </w:r>
          </w:p>
        </w:tc>
        <w:tc>
          <w:tcPr>
            <w:tcW w:w="5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94"/>
              </w:rPr>
              <w:t>- 4.182%</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2024 - 2026</w:t>
            </w:r>
          </w:p>
        </w:tc>
        <w:tc>
          <w:tcPr>
            <w:tcW w:w="0" w:type="dxa"/>
            <w:vAlign w:val="bottom"/>
          </w:tcPr>
          <w:p>
            <w:pPr>
              <w:spacing w:after="0"/>
              <w:rPr>
                <w:sz w:val="1"/>
                <w:szCs w:val="1"/>
                <w:color w:val="auto"/>
              </w:rPr>
            </w:pPr>
          </w:p>
        </w:tc>
      </w:tr>
      <w:tr>
        <w:trPr>
          <w:trHeight w:val="134"/>
        </w:trPr>
        <w:tc>
          <w:tcPr>
            <w:tcW w:w="3800" w:type="dxa"/>
            <w:vAlign w:val="bottom"/>
          </w:tcPr>
          <w:p>
            <w:pPr>
              <w:ind w:left="20"/>
              <w:spacing w:after="0"/>
              <w:rPr>
                <w:sz w:val="20"/>
                <w:szCs w:val="20"/>
                <w:color w:val="auto"/>
              </w:rPr>
            </w:pPr>
            <w:r>
              <w:rPr>
                <w:rFonts w:ascii="Arial" w:cs="Arial" w:eastAsia="Arial" w:hAnsi="Arial"/>
                <w:sz w:val="10"/>
                <w:szCs w:val="10"/>
                <w:color w:val="auto"/>
              </w:rPr>
              <w:t>Cross currency swaps (receive Singapore $/pay US$)</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73</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1,127</w:t>
            </w:r>
          </w:p>
        </w:tc>
        <w:tc>
          <w:tcPr>
            <w:tcW w:w="1060" w:type="dxa"/>
            <w:vAlign w:val="bottom"/>
          </w:tcPr>
          <w:p>
            <w:pPr>
              <w:jc w:val="right"/>
              <w:ind w:right="151"/>
              <w:spacing w:after="0"/>
              <w:rPr>
                <w:sz w:val="20"/>
                <w:szCs w:val="20"/>
                <w:color w:val="auto"/>
              </w:rPr>
            </w:pPr>
            <w:r>
              <w:rPr>
                <w:rFonts w:ascii="Arial" w:cs="Arial" w:eastAsia="Arial" w:hAnsi="Arial"/>
                <w:sz w:val="10"/>
                <w:szCs w:val="10"/>
                <w:color w:val="auto"/>
              </w:rPr>
              <w:t>1.37</w:t>
            </w:r>
          </w:p>
        </w:tc>
        <w:tc>
          <w:tcPr>
            <w:tcW w:w="540" w:type="dxa"/>
            <w:vAlign w:val="bottom"/>
          </w:tcPr>
          <w:p>
            <w:pPr>
              <w:jc w:val="right"/>
              <w:spacing w:after="0"/>
              <w:rPr>
                <w:sz w:val="20"/>
                <w:szCs w:val="20"/>
                <w:color w:val="auto"/>
              </w:rPr>
            </w:pPr>
            <w:r>
              <w:rPr>
                <w:rFonts w:ascii="Arial" w:cs="Arial" w:eastAsia="Arial" w:hAnsi="Arial"/>
                <w:sz w:val="10"/>
                <w:szCs w:val="10"/>
                <w:color w:val="auto"/>
              </w:rPr>
              <w:t>1.83%</w:t>
            </w:r>
          </w:p>
        </w:tc>
        <w:tc>
          <w:tcPr>
            <w:tcW w:w="540" w:type="dxa"/>
            <w:vAlign w:val="bottom"/>
          </w:tcPr>
          <w:p>
            <w:pPr>
              <w:jc w:val="right"/>
              <w:ind w:right="91"/>
              <w:spacing w:after="0"/>
              <w:rPr>
                <w:sz w:val="20"/>
                <w:szCs w:val="20"/>
                <w:color w:val="auto"/>
              </w:rPr>
            </w:pPr>
            <w:r>
              <w:rPr>
                <w:rFonts w:ascii="Arial" w:cs="Arial" w:eastAsia="Arial" w:hAnsi="Arial"/>
                <w:sz w:val="10"/>
                <w:szCs w:val="10"/>
                <w:color w:val="auto"/>
                <w:w w:val="94"/>
              </w:rPr>
              <w:t>- 1.941%</w:t>
            </w:r>
          </w:p>
        </w:tc>
        <w:tc>
          <w:tcPr>
            <w:tcW w:w="780" w:type="dxa"/>
            <w:vAlign w:val="bottom"/>
          </w:tcPr>
          <w:p>
            <w:pPr>
              <w:jc w:val="right"/>
              <w:spacing w:after="0"/>
              <w:rPr>
                <w:sz w:val="20"/>
                <w:szCs w:val="20"/>
                <w:color w:val="auto"/>
              </w:rPr>
            </w:pPr>
            <w:r>
              <w:rPr>
                <w:rFonts w:ascii="Arial" w:cs="Arial" w:eastAsia="Arial" w:hAnsi="Arial"/>
                <w:sz w:val="10"/>
                <w:szCs w:val="10"/>
                <w:color w:val="auto"/>
              </w:rPr>
              <w:t>2028</w:t>
            </w:r>
          </w:p>
        </w:tc>
        <w:tc>
          <w:tcPr>
            <w:tcW w:w="0" w:type="dxa"/>
            <w:vAlign w:val="bottom"/>
          </w:tcPr>
          <w:p>
            <w:pPr>
              <w:spacing w:after="0"/>
              <w:rPr>
                <w:sz w:val="1"/>
                <w:szCs w:val="1"/>
                <w:color w:val="auto"/>
              </w:rPr>
            </w:pPr>
          </w:p>
        </w:tc>
      </w:tr>
      <w:tr>
        <w:trPr>
          <w:trHeight w:val="142"/>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Commodity swaps</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237</w:t>
            </w: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0.91</w:t>
            </w: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73.59</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2024 - 2025</w:t>
            </w:r>
          </w:p>
        </w:tc>
        <w:tc>
          <w:tcPr>
            <w:tcW w:w="0" w:type="dxa"/>
            <w:vAlign w:val="bottom"/>
          </w:tcPr>
          <w:p>
            <w:pPr>
              <w:spacing w:after="0"/>
              <w:rPr>
                <w:sz w:val="1"/>
                <w:szCs w:val="1"/>
                <w:color w:val="auto"/>
              </w:rPr>
            </w:pPr>
          </w:p>
        </w:tc>
      </w:tr>
      <w:tr>
        <w:trPr>
          <w:trHeight w:val="125"/>
        </w:trPr>
        <w:tc>
          <w:tcPr>
            <w:tcW w:w="380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1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80</w:t>
            </w:r>
          </w:p>
        </w:tc>
        <w:tc>
          <w:tcPr>
            <w:tcW w:w="1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w:t>
            </w: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3,980</w:t>
            </w: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60" w:type="dxa"/>
            <w:vAlign w:val="bottom"/>
            <w:gridSpan w:val="5"/>
          </w:tcPr>
          <w:p>
            <w:pPr>
              <w:spacing w:after="0"/>
              <w:rPr>
                <w:sz w:val="20"/>
                <w:szCs w:val="20"/>
                <w:color w:val="auto"/>
              </w:rPr>
            </w:pPr>
            <w:r>
              <w:rPr>
                <w:rFonts w:ascii="Arial" w:cs="Arial" w:eastAsia="Arial" w:hAnsi="Arial"/>
                <w:sz w:val="13"/>
                <w:szCs w:val="13"/>
                <w:color w:val="auto"/>
                <w:w w:val="99"/>
              </w:rPr>
              <w:t>The following table presents the fair values and locations of these derivative instruments recorded in the consolidated statements of financial position:</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4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3"/>
                <w:szCs w:val="13"/>
                <w:b w:val="1"/>
                <w:bCs w:val="1"/>
                <w:color w:val="auto"/>
              </w:rPr>
              <w:t>Fair Value of Derivative Instruments</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45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980" w:type="dxa"/>
            <w:vAlign w:val="bottom"/>
          </w:tcPr>
          <w:p>
            <w:pPr>
              <w:jc w:val="center"/>
              <w:ind w:left="216"/>
              <w:spacing w:after="0" w:line="118" w:lineRule="exact"/>
              <w:rPr>
                <w:sz w:val="20"/>
                <w:szCs w:val="20"/>
                <w:color w:val="auto"/>
              </w:rPr>
            </w:pPr>
            <w:r>
              <w:rPr>
                <w:rFonts w:ascii="Arial" w:cs="Arial" w:eastAsia="Arial" w:hAnsi="Arial"/>
                <w:sz w:val="13"/>
                <w:szCs w:val="13"/>
                <w:b w:val="1"/>
                <w:bCs w:val="1"/>
                <w:color w:val="auto"/>
                <w:w w:val="97"/>
              </w:rPr>
              <w:t>Other</w:t>
            </w:r>
          </w:p>
        </w:tc>
        <w:tc>
          <w:tcPr>
            <w:tcW w:w="240" w:type="dxa"/>
            <w:vAlign w:val="bottom"/>
          </w:tcPr>
          <w:p>
            <w:pPr>
              <w:spacing w:after="0"/>
              <w:rPr>
                <w:sz w:val="10"/>
                <w:szCs w:val="10"/>
                <w:color w:val="auto"/>
              </w:rPr>
            </w:pPr>
          </w:p>
        </w:tc>
        <w:tc>
          <w:tcPr>
            <w:tcW w:w="1040" w:type="dxa"/>
            <w:vAlign w:val="bottom"/>
          </w:tcPr>
          <w:p>
            <w:pPr>
              <w:jc w:val="center"/>
              <w:ind w:left="196"/>
              <w:spacing w:after="0" w:line="118" w:lineRule="exact"/>
              <w:rPr>
                <w:sz w:val="20"/>
                <w:szCs w:val="20"/>
                <w:color w:val="auto"/>
              </w:rPr>
            </w:pPr>
            <w:r>
              <w:rPr>
                <w:rFonts w:ascii="Arial" w:cs="Arial" w:eastAsia="Arial" w:hAnsi="Arial"/>
                <w:sz w:val="13"/>
                <w:szCs w:val="13"/>
                <w:b w:val="1"/>
                <w:bCs w:val="1"/>
                <w:color w:val="auto"/>
                <w:w w:val="97"/>
              </w:rPr>
              <w:t>Other</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jc w:val="center"/>
              <w:ind w:right="136"/>
              <w:spacing w:after="0" w:line="118"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0"/>
                <w:szCs w:val="10"/>
                <w:color w:val="auto"/>
              </w:rPr>
            </w:pPr>
          </w:p>
        </w:tc>
        <w:tc>
          <w:tcPr>
            <w:tcW w:w="1080" w:type="dxa"/>
            <w:vAlign w:val="bottom"/>
          </w:tcPr>
          <w:p>
            <w:pPr>
              <w:jc w:val="center"/>
              <w:ind w:right="116"/>
              <w:spacing w:after="0" w:line="118"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27"/>
        </w:trPr>
        <w:tc>
          <w:tcPr>
            <w:tcW w:w="4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980" w:type="dxa"/>
            <w:vAlign w:val="bottom"/>
          </w:tcPr>
          <w:p>
            <w:pPr>
              <w:jc w:val="center"/>
              <w:ind w:left="216"/>
              <w:spacing w:after="0" w:line="128" w:lineRule="exact"/>
              <w:rPr>
                <w:sz w:val="20"/>
                <w:szCs w:val="20"/>
                <w:color w:val="auto"/>
              </w:rPr>
            </w:pPr>
            <w:r>
              <w:rPr>
                <w:rFonts w:ascii="Arial" w:cs="Arial" w:eastAsia="Arial" w:hAnsi="Arial"/>
                <w:sz w:val="13"/>
                <w:szCs w:val="13"/>
                <w:b w:val="1"/>
                <w:bCs w:val="1"/>
                <w:color w:val="auto"/>
                <w:w w:val="97"/>
              </w:rPr>
              <w:t>Current</w:t>
            </w:r>
          </w:p>
        </w:tc>
        <w:tc>
          <w:tcPr>
            <w:tcW w:w="240" w:type="dxa"/>
            <w:vAlign w:val="bottom"/>
          </w:tcPr>
          <w:p>
            <w:pPr>
              <w:spacing w:after="0"/>
              <w:rPr>
                <w:sz w:val="11"/>
                <w:szCs w:val="11"/>
                <w:color w:val="auto"/>
              </w:rPr>
            </w:pPr>
          </w:p>
        </w:tc>
        <w:tc>
          <w:tcPr>
            <w:tcW w:w="1040" w:type="dxa"/>
            <w:vAlign w:val="bottom"/>
          </w:tcPr>
          <w:p>
            <w:pPr>
              <w:jc w:val="center"/>
              <w:ind w:left="196"/>
              <w:spacing w:after="0" w:line="128" w:lineRule="exact"/>
              <w:rPr>
                <w:sz w:val="20"/>
                <w:szCs w:val="20"/>
                <w:color w:val="auto"/>
              </w:rPr>
            </w:pPr>
            <w:r>
              <w:rPr>
                <w:rFonts w:ascii="Arial" w:cs="Arial" w:eastAsia="Arial" w:hAnsi="Arial"/>
                <w:sz w:val="13"/>
                <w:szCs w:val="13"/>
                <w:b w:val="1"/>
                <w:bCs w:val="1"/>
                <w:color w:val="auto"/>
                <w:w w:val="99"/>
              </w:rPr>
              <w:t>Non-current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center"/>
              <w:ind w:right="136"/>
              <w:spacing w:after="0" w:line="128" w:lineRule="exact"/>
              <w:rPr>
                <w:sz w:val="20"/>
                <w:szCs w:val="20"/>
                <w:color w:val="auto"/>
              </w:rPr>
            </w:pPr>
            <w:r>
              <w:rPr>
                <w:rFonts w:ascii="Arial" w:cs="Arial" w:eastAsia="Arial" w:hAnsi="Arial"/>
                <w:sz w:val="13"/>
                <w:szCs w:val="13"/>
                <w:b w:val="1"/>
                <w:bCs w:val="1"/>
                <w:color w:val="auto"/>
                <w:w w:val="97"/>
              </w:rPr>
              <w:t>Current</w:t>
            </w:r>
          </w:p>
        </w:tc>
        <w:tc>
          <w:tcPr>
            <w:tcW w:w="180" w:type="dxa"/>
            <w:vAlign w:val="bottom"/>
          </w:tcPr>
          <w:p>
            <w:pPr>
              <w:spacing w:after="0"/>
              <w:rPr>
                <w:sz w:val="11"/>
                <w:szCs w:val="11"/>
                <w:color w:val="auto"/>
              </w:rPr>
            </w:pPr>
          </w:p>
        </w:tc>
        <w:tc>
          <w:tcPr>
            <w:tcW w:w="1080" w:type="dxa"/>
            <w:vAlign w:val="bottom"/>
          </w:tcPr>
          <w:p>
            <w:pPr>
              <w:jc w:val="center"/>
              <w:ind w:right="96"/>
              <w:spacing w:after="0" w:line="128" w:lineRule="exact"/>
              <w:rPr>
                <w:sz w:val="20"/>
                <w:szCs w:val="20"/>
                <w:color w:val="auto"/>
              </w:rPr>
            </w:pPr>
            <w:r>
              <w:rPr>
                <w:rFonts w:ascii="Arial" w:cs="Arial" w:eastAsia="Arial" w:hAnsi="Arial"/>
                <w:sz w:val="13"/>
                <w:szCs w:val="13"/>
                <w:b w:val="1"/>
                <w:bCs w:val="1"/>
                <w:color w:val="auto"/>
                <w:w w:val="96"/>
              </w:rPr>
              <w:t>Non-current</w:t>
            </w:r>
          </w:p>
        </w:tc>
        <w:tc>
          <w:tcPr>
            <w:tcW w:w="0" w:type="dxa"/>
            <w:vAlign w:val="bottom"/>
          </w:tcPr>
          <w:p>
            <w:pPr>
              <w:spacing w:after="0"/>
              <w:rPr>
                <w:sz w:val="1"/>
                <w:szCs w:val="1"/>
                <w:color w:val="auto"/>
              </w:rPr>
            </w:pPr>
          </w:p>
        </w:tc>
      </w:tr>
      <w:tr>
        <w:trPr>
          <w:trHeight w:val="127"/>
        </w:trPr>
        <w:tc>
          <w:tcPr>
            <w:tcW w:w="45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Derivative Instruments</w:t>
            </w:r>
          </w:p>
        </w:tc>
        <w:tc>
          <w:tcPr>
            <w:tcW w:w="1760" w:type="dxa"/>
            <w:vAlign w:val="bottom"/>
          </w:tcPr>
          <w:p>
            <w:pPr>
              <w:spacing w:after="0"/>
              <w:rPr>
                <w:sz w:val="11"/>
                <w:szCs w:val="11"/>
                <w:color w:val="auto"/>
              </w:rPr>
            </w:pPr>
          </w:p>
        </w:tc>
        <w:tc>
          <w:tcPr>
            <w:tcW w:w="980" w:type="dxa"/>
            <w:vAlign w:val="bottom"/>
          </w:tcPr>
          <w:p>
            <w:pPr>
              <w:jc w:val="center"/>
              <w:ind w:left="216"/>
              <w:spacing w:after="0" w:line="128" w:lineRule="exact"/>
              <w:rPr>
                <w:sz w:val="20"/>
                <w:szCs w:val="20"/>
                <w:color w:val="auto"/>
              </w:rPr>
            </w:pPr>
            <w:r>
              <w:rPr>
                <w:rFonts w:ascii="Arial" w:cs="Arial" w:eastAsia="Arial" w:hAnsi="Arial"/>
                <w:sz w:val="13"/>
                <w:szCs w:val="13"/>
                <w:b w:val="1"/>
                <w:bCs w:val="1"/>
                <w:color w:val="auto"/>
                <w:w w:val="95"/>
              </w:rPr>
              <w:t>Financial</w:t>
            </w:r>
          </w:p>
        </w:tc>
        <w:tc>
          <w:tcPr>
            <w:tcW w:w="240" w:type="dxa"/>
            <w:vAlign w:val="bottom"/>
          </w:tcPr>
          <w:p>
            <w:pPr>
              <w:spacing w:after="0"/>
              <w:rPr>
                <w:sz w:val="11"/>
                <w:szCs w:val="11"/>
                <w:color w:val="auto"/>
              </w:rPr>
            </w:pPr>
          </w:p>
        </w:tc>
        <w:tc>
          <w:tcPr>
            <w:tcW w:w="1040" w:type="dxa"/>
            <w:vAlign w:val="bottom"/>
          </w:tcPr>
          <w:p>
            <w:pPr>
              <w:jc w:val="center"/>
              <w:ind w:left="196"/>
              <w:spacing w:after="0" w:line="128" w:lineRule="exact"/>
              <w:rPr>
                <w:sz w:val="20"/>
                <w:szCs w:val="20"/>
                <w:color w:val="auto"/>
              </w:rPr>
            </w:pPr>
            <w:r>
              <w:rPr>
                <w:rFonts w:ascii="Arial" w:cs="Arial" w:eastAsia="Arial" w:hAnsi="Arial"/>
                <w:sz w:val="13"/>
                <w:szCs w:val="13"/>
                <w:b w:val="1"/>
                <w:bCs w:val="1"/>
                <w:color w:val="auto"/>
                <w:w w:val="95"/>
              </w:rPr>
              <w:t>Financial</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center"/>
              <w:ind w:right="136"/>
              <w:spacing w:after="0" w:line="128" w:lineRule="exact"/>
              <w:rPr>
                <w:sz w:val="20"/>
                <w:szCs w:val="20"/>
                <w:color w:val="auto"/>
              </w:rPr>
            </w:pPr>
            <w:r>
              <w:rPr>
                <w:rFonts w:ascii="Arial" w:cs="Arial" w:eastAsia="Arial" w:hAnsi="Arial"/>
                <w:sz w:val="13"/>
                <w:szCs w:val="13"/>
                <w:b w:val="1"/>
                <w:bCs w:val="1"/>
                <w:color w:val="auto"/>
                <w:w w:val="95"/>
              </w:rPr>
              <w:t>Financial</w:t>
            </w:r>
          </w:p>
        </w:tc>
        <w:tc>
          <w:tcPr>
            <w:tcW w:w="180" w:type="dxa"/>
            <w:vAlign w:val="bottom"/>
          </w:tcPr>
          <w:p>
            <w:pPr>
              <w:spacing w:after="0"/>
              <w:rPr>
                <w:sz w:val="11"/>
                <w:szCs w:val="11"/>
                <w:color w:val="auto"/>
              </w:rPr>
            </w:pPr>
          </w:p>
        </w:tc>
        <w:tc>
          <w:tcPr>
            <w:tcW w:w="1080" w:type="dxa"/>
            <w:vAlign w:val="bottom"/>
          </w:tcPr>
          <w:p>
            <w:pPr>
              <w:jc w:val="center"/>
              <w:ind w:right="96"/>
              <w:spacing w:after="0" w:line="128" w:lineRule="exact"/>
              <w:rPr>
                <w:sz w:val="20"/>
                <w:szCs w:val="20"/>
                <w:color w:val="auto"/>
              </w:rPr>
            </w:pPr>
            <w:r>
              <w:rPr>
                <w:rFonts w:ascii="Arial" w:cs="Arial" w:eastAsia="Arial" w:hAnsi="Arial"/>
                <w:sz w:val="13"/>
                <w:szCs w:val="13"/>
                <w:b w:val="1"/>
                <w:bCs w:val="1"/>
                <w:color w:val="auto"/>
                <w:w w:val="99"/>
              </w:rPr>
              <w:t>Financial</w:t>
            </w:r>
          </w:p>
        </w:tc>
        <w:tc>
          <w:tcPr>
            <w:tcW w:w="0" w:type="dxa"/>
            <w:vAlign w:val="bottom"/>
          </w:tcPr>
          <w:p>
            <w:pPr>
              <w:spacing w:after="0"/>
              <w:rPr>
                <w:sz w:val="1"/>
                <w:szCs w:val="1"/>
                <w:color w:val="auto"/>
              </w:rPr>
            </w:pPr>
          </w:p>
        </w:tc>
      </w:tr>
      <w:tr>
        <w:trPr>
          <w:trHeight w:val="170"/>
        </w:trPr>
        <w:tc>
          <w:tcPr>
            <w:tcW w:w="4540" w:type="dxa"/>
            <w:vAlign w:val="bottom"/>
            <w:tcBorders>
              <w:bottom w:val="single" w:sz="8" w:color="auto"/>
            </w:tcBorders>
            <w:vMerge w:val="continue"/>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left="216"/>
              <w:spacing w:after="0"/>
              <w:rPr>
                <w:sz w:val="20"/>
                <w:szCs w:val="20"/>
                <w:color w:val="auto"/>
              </w:rPr>
            </w:pPr>
            <w:r>
              <w:rPr>
                <w:rFonts w:ascii="Arial" w:cs="Arial" w:eastAsia="Arial" w:hAnsi="Arial"/>
                <w:sz w:val="13"/>
                <w:szCs w:val="13"/>
                <w:b w:val="1"/>
                <w:bCs w:val="1"/>
                <w:color w:val="auto"/>
                <w:w w:val="98"/>
              </w:rPr>
              <w:t>Assets</w:t>
            </w: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left="196"/>
              <w:spacing w:after="0"/>
              <w:rPr>
                <w:sz w:val="20"/>
                <w:szCs w:val="20"/>
                <w:color w:val="auto"/>
              </w:rPr>
            </w:pPr>
            <w:r>
              <w:rPr>
                <w:rFonts w:ascii="Arial" w:cs="Arial" w:eastAsia="Arial" w:hAnsi="Arial"/>
                <w:sz w:val="13"/>
                <w:szCs w:val="13"/>
                <w:b w:val="1"/>
                <w:bCs w:val="1"/>
                <w:color w:val="auto"/>
                <w:w w:val="98"/>
              </w:rPr>
              <w:t>Assets</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96"/>
              </w:rPr>
              <w:t>Liabilities</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9"/>
              </w:rPr>
              <w:t>Liabilities</w:t>
            </w:r>
          </w:p>
        </w:tc>
        <w:tc>
          <w:tcPr>
            <w:tcW w:w="0" w:type="dxa"/>
            <w:vAlign w:val="bottom"/>
          </w:tcPr>
          <w:p>
            <w:pPr>
              <w:spacing w:after="0"/>
              <w:rPr>
                <w:sz w:val="1"/>
                <w:szCs w:val="1"/>
                <w:color w:val="auto"/>
              </w:rPr>
            </w:pPr>
          </w:p>
        </w:tc>
      </w:tr>
      <w:tr>
        <w:trPr>
          <w:trHeight w:val="159"/>
        </w:trPr>
        <w:tc>
          <w:tcPr>
            <w:tcW w:w="4540" w:type="dxa"/>
            <w:vAlign w:val="bottom"/>
          </w:tcPr>
          <w:p>
            <w:pPr>
              <w:ind w:left="20"/>
              <w:spacing w:after="0"/>
              <w:rPr>
                <w:sz w:val="20"/>
                <w:szCs w:val="20"/>
                <w:color w:val="auto"/>
              </w:rPr>
            </w:pPr>
            <w:r>
              <w:rPr>
                <w:rFonts w:ascii="Arial" w:cs="Arial" w:eastAsia="Arial" w:hAnsi="Arial"/>
                <w:sz w:val="13"/>
                <w:szCs w:val="13"/>
                <w:color w:val="auto"/>
              </w:rPr>
              <w:t>Outstanding as of December 31, 2022:</w:t>
            </w:r>
          </w:p>
        </w:tc>
        <w:tc>
          <w:tcPr>
            <w:tcW w:w="1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Derivatives designated as hedging instruments</w:t>
            </w:r>
          </w:p>
        </w:tc>
        <w:tc>
          <w:tcPr>
            <w:tcW w:w="17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40" w:type="dxa"/>
            <w:vAlign w:val="bottom"/>
          </w:tcPr>
          <w:p>
            <w:pPr>
              <w:ind w:left="100"/>
              <w:spacing w:after="0"/>
              <w:rPr>
                <w:sz w:val="20"/>
                <w:szCs w:val="20"/>
                <w:color w:val="auto"/>
              </w:rPr>
            </w:pPr>
            <w:r>
              <w:rPr>
                <w:rFonts w:ascii="Arial" w:cs="Arial" w:eastAsia="Arial" w:hAnsi="Arial"/>
                <w:sz w:val="13"/>
                <w:szCs w:val="13"/>
                <w:color w:val="auto"/>
              </w:rPr>
              <w:t>Foreign currency forwards</w:t>
            </w:r>
          </w:p>
        </w:tc>
        <w:tc>
          <w:tcPr>
            <w:tcW w:w="2740" w:type="dxa"/>
            <w:vAlign w:val="bottom"/>
            <w:gridSpan w:val="2"/>
          </w:tcPr>
          <w:p>
            <w:pPr>
              <w:jc w:val="right"/>
              <w:ind w:right="816"/>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69</w:t>
            </w:r>
          </w:p>
        </w:tc>
        <w:tc>
          <w:tcPr>
            <w:tcW w:w="1040" w:type="dxa"/>
            <w:vAlign w:val="bottom"/>
          </w:tcPr>
          <w:p>
            <w:pPr>
              <w:jc w:val="right"/>
              <w:ind w:right="856"/>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3</w:t>
            </w:r>
          </w:p>
        </w:tc>
        <w:tc>
          <w:tcPr>
            <w:tcW w:w="2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(52)</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 rate swaps</w:t>
            </w:r>
          </w:p>
        </w:tc>
        <w:tc>
          <w:tcPr>
            <w:tcW w:w="17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540" w:type="dxa"/>
            <w:vAlign w:val="bottom"/>
          </w:tcPr>
          <w:p>
            <w:pPr>
              <w:ind w:left="100"/>
              <w:spacing w:after="0"/>
              <w:rPr>
                <w:sz w:val="20"/>
                <w:szCs w:val="20"/>
                <w:color w:val="auto"/>
              </w:rPr>
            </w:pPr>
            <w:r>
              <w:rPr>
                <w:rFonts w:ascii="Arial" w:cs="Arial" w:eastAsia="Arial" w:hAnsi="Arial"/>
                <w:sz w:val="13"/>
                <w:szCs w:val="13"/>
                <w:color w:val="auto"/>
              </w:rPr>
              <w:t>Cross currency swaps and cross currency interest rate swaps</w:t>
            </w:r>
          </w:p>
        </w:tc>
        <w:tc>
          <w:tcPr>
            <w:tcW w:w="1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53</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Commodity swaps</w:t>
            </w:r>
          </w:p>
        </w:tc>
        <w:tc>
          <w:tcPr>
            <w:tcW w:w="17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0"/>
        </w:trPr>
        <w:tc>
          <w:tcPr>
            <w:tcW w:w="4540" w:type="dxa"/>
            <w:vAlign w:val="bottom"/>
          </w:tcPr>
          <w:p>
            <w:pPr>
              <w:ind w:left="20"/>
              <w:spacing w:after="0"/>
              <w:rPr>
                <w:sz w:val="20"/>
                <w:szCs w:val="20"/>
                <w:color w:val="auto"/>
              </w:rPr>
            </w:pPr>
            <w:r>
              <w:rPr>
                <w:rFonts w:ascii="Arial" w:cs="Arial" w:eastAsia="Arial" w:hAnsi="Arial"/>
                <w:sz w:val="13"/>
                <w:szCs w:val="13"/>
                <w:b w:val="1"/>
                <w:bCs w:val="1"/>
                <w:color w:val="auto"/>
              </w:rPr>
              <w:t>Derivatives not designated as hedging instruments</w:t>
            </w:r>
          </w:p>
        </w:tc>
        <w:tc>
          <w:tcPr>
            <w:tcW w:w="1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Foreign currency forwards</w:t>
            </w:r>
          </w:p>
        </w:tc>
        <w:tc>
          <w:tcPr>
            <w:tcW w:w="176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454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2740" w:type="dxa"/>
            <w:vAlign w:val="bottom"/>
            <w:gridSpan w:val="2"/>
          </w:tcPr>
          <w:p>
            <w:pPr>
              <w:jc w:val="right"/>
              <w:ind w:right="816"/>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79</w:t>
            </w:r>
          </w:p>
        </w:tc>
        <w:tc>
          <w:tcPr>
            <w:tcW w:w="1040" w:type="dxa"/>
            <w:vAlign w:val="bottom"/>
          </w:tcPr>
          <w:p>
            <w:pPr>
              <w:jc w:val="right"/>
              <w:ind w:right="856"/>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98</w:t>
            </w:r>
          </w:p>
        </w:tc>
        <w:tc>
          <w:tcPr>
            <w:tcW w:w="2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(61)</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54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540" w:type="dxa"/>
            <w:vAlign w:val="bottom"/>
          </w:tcPr>
          <w:p>
            <w:pPr>
              <w:ind w:left="20"/>
              <w:spacing w:after="0"/>
              <w:rPr>
                <w:sz w:val="20"/>
                <w:szCs w:val="20"/>
                <w:color w:val="auto"/>
              </w:rPr>
            </w:pPr>
            <w:r>
              <w:rPr>
                <w:rFonts w:ascii="Arial" w:cs="Arial" w:eastAsia="Arial" w:hAnsi="Arial"/>
                <w:sz w:val="13"/>
                <w:szCs w:val="13"/>
                <w:color w:val="auto"/>
              </w:rPr>
              <w:t>Outstanding as of December 31, 2023:</w:t>
            </w:r>
          </w:p>
        </w:tc>
        <w:tc>
          <w:tcPr>
            <w:tcW w:w="1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Derivatives designated as hedging instruments</w:t>
            </w:r>
          </w:p>
        </w:tc>
        <w:tc>
          <w:tcPr>
            <w:tcW w:w="17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40" w:type="dxa"/>
            <w:vAlign w:val="bottom"/>
          </w:tcPr>
          <w:p>
            <w:pPr>
              <w:ind w:left="100"/>
              <w:spacing w:after="0"/>
              <w:rPr>
                <w:sz w:val="20"/>
                <w:szCs w:val="20"/>
                <w:color w:val="auto"/>
              </w:rPr>
            </w:pPr>
            <w:r>
              <w:rPr>
                <w:rFonts w:ascii="Arial" w:cs="Arial" w:eastAsia="Arial" w:hAnsi="Arial"/>
                <w:sz w:val="13"/>
                <w:szCs w:val="13"/>
                <w:color w:val="auto"/>
              </w:rPr>
              <w:t>Foreign currency forwards</w:t>
            </w:r>
          </w:p>
        </w:tc>
        <w:tc>
          <w:tcPr>
            <w:tcW w:w="2740" w:type="dxa"/>
            <w:vAlign w:val="bottom"/>
            <w:gridSpan w:val="2"/>
          </w:tcPr>
          <w:p>
            <w:pPr>
              <w:jc w:val="right"/>
              <w:ind w:right="816"/>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24</w:t>
            </w:r>
          </w:p>
        </w:tc>
        <w:tc>
          <w:tcPr>
            <w:tcW w:w="1040" w:type="dxa"/>
            <w:vAlign w:val="bottom"/>
          </w:tcPr>
          <w:p>
            <w:pPr>
              <w:jc w:val="right"/>
              <w:ind w:right="856"/>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56"/>
              <w:spacing w:after="0"/>
              <w:rPr>
                <w:sz w:val="20"/>
                <w:szCs w:val="20"/>
                <w:color w:val="auto"/>
              </w:rPr>
            </w:pPr>
            <w:r>
              <w:rPr>
                <w:rFonts w:ascii="Arial" w:cs="Arial" w:eastAsia="Arial" w:hAnsi="Arial"/>
                <w:sz w:val="13"/>
                <w:szCs w:val="13"/>
                <w:color w:val="auto"/>
              </w:rPr>
              <w:t>— $</w:t>
            </w:r>
          </w:p>
        </w:tc>
        <w:tc>
          <w:tcPr>
            <w:tcW w:w="1020" w:type="dxa"/>
            <w:vAlign w:val="bottom"/>
          </w:tcPr>
          <w:p>
            <w:pPr>
              <w:jc w:val="right"/>
              <w:spacing w:after="0"/>
              <w:rPr>
                <w:sz w:val="20"/>
                <w:szCs w:val="20"/>
                <w:color w:val="auto"/>
              </w:rPr>
            </w:pPr>
            <w:r>
              <w:rPr>
                <w:rFonts w:ascii="Arial" w:cs="Arial" w:eastAsia="Arial" w:hAnsi="Arial"/>
                <w:sz w:val="13"/>
                <w:szCs w:val="13"/>
                <w:color w:val="auto"/>
              </w:rPr>
              <w:t>(9)</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 rate swaps</w:t>
            </w:r>
          </w:p>
        </w:tc>
        <w:tc>
          <w:tcPr>
            <w:tcW w:w="17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540" w:type="dxa"/>
            <w:vAlign w:val="bottom"/>
          </w:tcPr>
          <w:p>
            <w:pPr>
              <w:ind w:left="100"/>
              <w:spacing w:after="0"/>
              <w:rPr>
                <w:sz w:val="20"/>
                <w:szCs w:val="20"/>
                <w:color w:val="auto"/>
              </w:rPr>
            </w:pPr>
            <w:r>
              <w:rPr>
                <w:rFonts w:ascii="Arial" w:cs="Arial" w:eastAsia="Arial" w:hAnsi="Arial"/>
                <w:sz w:val="13"/>
                <w:szCs w:val="13"/>
                <w:color w:val="auto"/>
              </w:rPr>
              <w:t>Cross currency swaps and cross currency interest rate swaps</w:t>
            </w:r>
          </w:p>
        </w:tc>
        <w:tc>
          <w:tcPr>
            <w:tcW w:w="1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5</w:t>
            </w:r>
          </w:p>
        </w:tc>
        <w:tc>
          <w:tcPr>
            <w:tcW w:w="10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74</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Commodity swaps</w:t>
            </w:r>
          </w:p>
        </w:tc>
        <w:tc>
          <w:tcPr>
            <w:tcW w:w="17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0"/>
        </w:trPr>
        <w:tc>
          <w:tcPr>
            <w:tcW w:w="4540" w:type="dxa"/>
            <w:vAlign w:val="bottom"/>
          </w:tcPr>
          <w:p>
            <w:pPr>
              <w:ind w:left="20"/>
              <w:spacing w:after="0"/>
              <w:rPr>
                <w:sz w:val="20"/>
                <w:szCs w:val="20"/>
                <w:color w:val="auto"/>
              </w:rPr>
            </w:pPr>
            <w:r>
              <w:rPr>
                <w:rFonts w:ascii="Arial" w:cs="Arial" w:eastAsia="Arial" w:hAnsi="Arial"/>
                <w:sz w:val="13"/>
                <w:szCs w:val="13"/>
                <w:b w:val="1"/>
                <w:bCs w:val="1"/>
                <w:color w:val="auto"/>
              </w:rPr>
              <w:t>Derivatives not designated as hedging instruments</w:t>
            </w:r>
          </w:p>
        </w:tc>
        <w:tc>
          <w:tcPr>
            <w:tcW w:w="1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Foreign currency forwards</w:t>
            </w:r>
          </w:p>
        </w:tc>
        <w:tc>
          <w:tcPr>
            <w:tcW w:w="17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5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Commodity swaps</w:t>
            </w:r>
          </w:p>
        </w:tc>
        <w:tc>
          <w:tcPr>
            <w:tcW w:w="17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2"/>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17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1"/>
        </w:trPr>
        <w:tc>
          <w:tcPr>
            <w:tcW w:w="4540" w:type="dxa"/>
            <w:vAlign w:val="bottom"/>
          </w:tcPr>
          <w:p>
            <w:pPr>
              <w:spacing w:after="0"/>
              <w:rPr>
                <w:sz w:val="24"/>
                <w:szCs w:val="24"/>
                <w:color w:val="auto"/>
              </w:rPr>
            </w:pPr>
          </w:p>
        </w:tc>
        <w:tc>
          <w:tcPr>
            <w:tcW w:w="2740" w:type="dxa"/>
            <w:vAlign w:val="bottom"/>
            <w:gridSpan w:val="2"/>
          </w:tcPr>
          <w:p>
            <w:pPr>
              <w:jc w:val="right"/>
              <w:ind w:right="1436"/>
              <w:spacing w:after="0"/>
              <w:rPr>
                <w:sz w:val="20"/>
                <w:szCs w:val="20"/>
                <w:color w:val="auto"/>
              </w:rPr>
            </w:pPr>
            <w:r>
              <w:rPr>
                <w:rFonts w:ascii="Arial" w:cs="Arial" w:eastAsia="Arial" w:hAnsi="Arial"/>
                <w:sz w:val="13"/>
                <w:szCs w:val="13"/>
                <w:color w:val="auto"/>
              </w:rPr>
              <w:t>F-23</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45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effect of derivatives designated as hedging instruments on the consolidated statements of operations and comprehensive income (loss) (net of tax):</w:t>
      </w:r>
    </w:p>
    <w:p>
      <w:pPr>
        <w:spacing w:after="0" w:line="8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As of December 31, 2023 and 2022, the estimated amount of loss from cash flow hedges currently retained in consolidated statements of comprehensive income (loss) expected to be reclassified into the consolidated statements of operations within the next 12 months is approximately $15 million and $17 million, respectively.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360" w:type="dxa"/>
            <w:vAlign w:val="bottom"/>
          </w:tcPr>
          <w:p>
            <w:pPr>
              <w:spacing w:after="0"/>
              <w:rPr>
                <w:sz w:val="10"/>
                <w:szCs w:val="10"/>
                <w:color w:val="auto"/>
              </w:rPr>
            </w:pPr>
          </w:p>
        </w:tc>
        <w:tc>
          <w:tcPr>
            <w:tcW w:w="980" w:type="dxa"/>
            <w:vAlign w:val="bottom"/>
            <w:vMerge w:val="restart"/>
          </w:tcPr>
          <w:p>
            <w:pPr>
              <w:jc w:val="center"/>
              <w:ind w:left="216"/>
              <w:spacing w:after="0"/>
              <w:rPr>
                <w:sz w:val="20"/>
                <w:szCs w:val="20"/>
                <w:color w:val="auto"/>
              </w:rPr>
            </w:pPr>
            <w:r>
              <w:rPr>
                <w:rFonts w:ascii="Arial" w:cs="Arial" w:eastAsia="Arial" w:hAnsi="Arial"/>
                <w:sz w:val="10"/>
                <w:szCs w:val="10"/>
                <w:b w:val="1"/>
                <w:bCs w:val="1"/>
                <w:color w:val="auto"/>
                <w:w w:val="95"/>
              </w:rPr>
              <w:t>Amount of</w:t>
            </w:r>
          </w:p>
        </w:tc>
        <w:tc>
          <w:tcPr>
            <w:tcW w:w="260" w:type="dxa"/>
            <w:vAlign w:val="bottom"/>
          </w:tcPr>
          <w:p>
            <w:pPr>
              <w:spacing w:after="0"/>
              <w:rPr>
                <w:sz w:val="10"/>
                <w:szCs w:val="10"/>
                <w:color w:val="auto"/>
              </w:rPr>
            </w:pPr>
          </w:p>
        </w:tc>
        <w:tc>
          <w:tcPr>
            <w:tcW w:w="1020" w:type="dxa"/>
            <w:vAlign w:val="bottom"/>
            <w:vMerge w:val="restart"/>
          </w:tcPr>
          <w:p>
            <w:pPr>
              <w:jc w:val="center"/>
              <w:ind w:left="176"/>
              <w:spacing w:after="0"/>
              <w:rPr>
                <w:sz w:val="20"/>
                <w:szCs w:val="20"/>
                <w:color w:val="auto"/>
              </w:rPr>
            </w:pPr>
            <w:r>
              <w:rPr>
                <w:rFonts w:ascii="Arial" w:cs="Arial" w:eastAsia="Arial" w:hAnsi="Arial"/>
                <w:sz w:val="10"/>
                <w:szCs w:val="10"/>
                <w:b w:val="1"/>
                <w:bCs w:val="1"/>
                <w:color w:val="auto"/>
                <w:w w:val="95"/>
              </w:rPr>
              <w:t>Amount of</w:t>
            </w: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jc w:val="center"/>
              <w:ind w:left="16"/>
              <w:spacing w:after="0"/>
              <w:rPr>
                <w:sz w:val="20"/>
                <w:szCs w:val="20"/>
                <w:color w:val="auto"/>
              </w:rPr>
            </w:pPr>
            <w:r>
              <w:rPr>
                <w:rFonts w:ascii="Arial" w:cs="Arial" w:eastAsia="Arial" w:hAnsi="Arial"/>
                <w:sz w:val="10"/>
                <w:szCs w:val="10"/>
                <w:b w:val="1"/>
                <w:bCs w:val="1"/>
                <w:color w:val="auto"/>
                <w:w w:val="97"/>
              </w:rPr>
              <w:t>Amounts of</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3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Gains</w:t>
            </w: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restart"/>
          </w:tcPr>
          <w:p>
            <w:pPr>
              <w:jc w:val="center"/>
              <w:ind w:right="174"/>
              <w:spacing w:after="0"/>
              <w:rPr>
                <w:sz w:val="20"/>
                <w:szCs w:val="20"/>
                <w:color w:val="auto"/>
              </w:rPr>
            </w:pPr>
            <w:r>
              <w:rPr>
                <w:rFonts w:ascii="Arial" w:cs="Arial" w:eastAsia="Arial" w:hAnsi="Arial"/>
                <w:sz w:val="10"/>
                <w:szCs w:val="10"/>
                <w:b w:val="1"/>
                <w:bCs w:val="1"/>
                <w:color w:val="auto"/>
                <w:w w:val="99"/>
              </w:rPr>
              <w:t>Amount of</w:t>
            </w:r>
          </w:p>
        </w:tc>
        <w:tc>
          <w:tcPr>
            <w:tcW w:w="0" w:type="dxa"/>
            <w:vAlign w:val="bottom"/>
          </w:tcPr>
          <w:p>
            <w:pPr>
              <w:spacing w:after="0"/>
              <w:rPr>
                <w:sz w:val="1"/>
                <w:szCs w:val="1"/>
                <w:color w:val="auto"/>
              </w:rPr>
            </w:pPr>
          </w:p>
        </w:tc>
      </w:tr>
      <w:tr>
        <w:trPr>
          <w:trHeight w:val="95"/>
        </w:trPr>
        <w:tc>
          <w:tcPr>
            <w:tcW w:w="2360" w:type="dxa"/>
            <w:vAlign w:val="bottom"/>
          </w:tcPr>
          <w:p>
            <w:pPr>
              <w:spacing w:after="0"/>
              <w:rPr>
                <w:sz w:val="8"/>
                <w:szCs w:val="8"/>
                <w:color w:val="auto"/>
              </w:rPr>
            </w:pPr>
          </w:p>
        </w:tc>
        <w:tc>
          <w:tcPr>
            <w:tcW w:w="980" w:type="dxa"/>
            <w:vAlign w:val="bottom"/>
          </w:tcPr>
          <w:p>
            <w:pPr>
              <w:jc w:val="center"/>
              <w:ind w:left="216"/>
              <w:spacing w:after="0" w:line="96" w:lineRule="exact"/>
              <w:rPr>
                <w:sz w:val="20"/>
                <w:szCs w:val="20"/>
                <w:color w:val="auto"/>
              </w:rPr>
            </w:pPr>
            <w:r>
              <w:rPr>
                <w:rFonts w:ascii="Arial" w:cs="Arial" w:eastAsia="Arial" w:hAnsi="Arial"/>
                <w:sz w:val="10"/>
                <w:szCs w:val="10"/>
                <w:b w:val="1"/>
                <w:bCs w:val="1"/>
                <w:color w:val="auto"/>
              </w:rPr>
              <w:t>Gains</w:t>
            </w:r>
          </w:p>
        </w:tc>
        <w:tc>
          <w:tcPr>
            <w:tcW w:w="260" w:type="dxa"/>
            <w:vAlign w:val="bottom"/>
          </w:tcPr>
          <w:p>
            <w:pPr>
              <w:spacing w:after="0"/>
              <w:rPr>
                <w:sz w:val="8"/>
                <w:szCs w:val="8"/>
                <w:color w:val="auto"/>
              </w:rPr>
            </w:pPr>
          </w:p>
        </w:tc>
        <w:tc>
          <w:tcPr>
            <w:tcW w:w="1020" w:type="dxa"/>
            <w:vAlign w:val="bottom"/>
          </w:tcPr>
          <w:p>
            <w:pPr>
              <w:jc w:val="center"/>
              <w:ind w:left="176"/>
              <w:spacing w:after="0" w:line="96" w:lineRule="exact"/>
              <w:rPr>
                <w:sz w:val="20"/>
                <w:szCs w:val="20"/>
                <w:color w:val="auto"/>
              </w:rPr>
            </w:pPr>
            <w:r>
              <w:rPr>
                <w:rFonts w:ascii="Arial" w:cs="Arial" w:eastAsia="Arial" w:hAnsi="Arial"/>
                <w:sz w:val="10"/>
                <w:szCs w:val="10"/>
                <w:b w:val="1"/>
                <w:bCs w:val="1"/>
                <w:color w:val="auto"/>
              </w:rPr>
              <w:t>Gains (Losses)</w:t>
            </w: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97"/>
              </w:rPr>
              <w:t>(Losses)</w:t>
            </w: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12"/>
            <w:vMerge w:val="restart"/>
          </w:tcPr>
          <w:p>
            <w:pPr>
              <w:jc w:val="center"/>
              <w:ind w:right="220"/>
              <w:spacing w:after="0"/>
              <w:rPr>
                <w:sz w:val="20"/>
                <w:szCs w:val="20"/>
                <w:color w:val="auto"/>
              </w:rPr>
            </w:pPr>
            <w:r>
              <w:rPr>
                <w:rFonts w:ascii="Arial" w:cs="Arial" w:eastAsia="Arial" w:hAnsi="Arial"/>
                <w:sz w:val="10"/>
                <w:szCs w:val="10"/>
                <w:b w:val="1"/>
                <w:bCs w:val="1"/>
                <w:color w:val="auto"/>
                <w:w w:val="99"/>
              </w:rPr>
              <w:t>Amount of</w:t>
            </w: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360" w:type="dxa"/>
            <w:vAlign w:val="bottom"/>
          </w:tcPr>
          <w:p>
            <w:pPr>
              <w:spacing w:after="0"/>
              <w:rPr>
                <w:sz w:val="8"/>
                <w:szCs w:val="8"/>
                <w:color w:val="auto"/>
              </w:rPr>
            </w:pPr>
          </w:p>
        </w:tc>
        <w:tc>
          <w:tcPr>
            <w:tcW w:w="980" w:type="dxa"/>
            <w:vAlign w:val="bottom"/>
          </w:tcPr>
          <w:p>
            <w:pPr>
              <w:jc w:val="center"/>
              <w:ind w:left="216"/>
              <w:spacing w:after="0" w:line="96" w:lineRule="exact"/>
              <w:rPr>
                <w:sz w:val="20"/>
                <w:szCs w:val="20"/>
                <w:color w:val="auto"/>
              </w:rPr>
            </w:pPr>
            <w:r>
              <w:rPr>
                <w:rFonts w:ascii="Arial" w:cs="Arial" w:eastAsia="Arial" w:hAnsi="Arial"/>
                <w:sz w:val="10"/>
                <w:szCs w:val="10"/>
                <w:b w:val="1"/>
                <w:bCs w:val="1"/>
                <w:color w:val="auto"/>
                <w:w w:val="97"/>
              </w:rPr>
              <w:t>(Losses)</w:t>
            </w:r>
          </w:p>
        </w:tc>
        <w:tc>
          <w:tcPr>
            <w:tcW w:w="260" w:type="dxa"/>
            <w:vAlign w:val="bottom"/>
          </w:tcPr>
          <w:p>
            <w:pPr>
              <w:spacing w:after="0"/>
              <w:rPr>
                <w:sz w:val="8"/>
                <w:szCs w:val="8"/>
                <w:color w:val="auto"/>
              </w:rPr>
            </w:pPr>
          </w:p>
        </w:tc>
        <w:tc>
          <w:tcPr>
            <w:tcW w:w="1020" w:type="dxa"/>
            <w:vAlign w:val="bottom"/>
          </w:tcPr>
          <w:p>
            <w:pPr>
              <w:jc w:val="center"/>
              <w:ind w:left="196"/>
              <w:spacing w:after="0" w:line="96" w:lineRule="exact"/>
              <w:rPr>
                <w:sz w:val="20"/>
                <w:szCs w:val="20"/>
                <w:color w:val="auto"/>
              </w:rPr>
            </w:pPr>
            <w:r>
              <w:rPr>
                <w:rFonts w:ascii="Arial" w:cs="Arial" w:eastAsia="Arial" w:hAnsi="Arial"/>
                <w:sz w:val="10"/>
                <w:szCs w:val="10"/>
                <w:b w:val="1"/>
                <w:bCs w:val="1"/>
                <w:color w:val="auto"/>
                <w:w w:val="99"/>
              </w:rPr>
              <w:t>Reclassified</w:t>
            </w: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left="16"/>
              <w:spacing w:after="0" w:line="96" w:lineRule="exact"/>
              <w:rPr>
                <w:sz w:val="20"/>
                <w:szCs w:val="20"/>
                <w:color w:val="auto"/>
              </w:rPr>
            </w:pPr>
            <w:r>
              <w:rPr>
                <w:rFonts w:ascii="Arial" w:cs="Arial" w:eastAsia="Arial" w:hAnsi="Arial"/>
                <w:sz w:val="10"/>
                <w:szCs w:val="10"/>
                <w:b w:val="1"/>
                <w:bCs w:val="1"/>
                <w:color w:val="auto"/>
                <w:w w:val="99"/>
              </w:rPr>
              <w:t>Reclassified</w:t>
            </w: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1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jc w:val="center"/>
              <w:ind w:right="174"/>
              <w:spacing w:after="0" w:line="96" w:lineRule="exact"/>
              <w:rPr>
                <w:sz w:val="20"/>
                <w:szCs w:val="20"/>
                <w:color w:val="auto"/>
              </w:rPr>
            </w:pPr>
            <w:r>
              <w:rPr>
                <w:rFonts w:ascii="Arial" w:cs="Arial" w:eastAsia="Arial" w:hAnsi="Arial"/>
                <w:sz w:val="10"/>
                <w:szCs w:val="10"/>
                <w:b w:val="1"/>
                <w:bCs w:val="1"/>
                <w:color w:val="auto"/>
                <w:w w:val="98"/>
              </w:rPr>
              <w:t>Gain</w:t>
            </w:r>
          </w:p>
        </w:tc>
        <w:tc>
          <w:tcPr>
            <w:tcW w:w="0" w:type="dxa"/>
            <w:vAlign w:val="bottom"/>
          </w:tcPr>
          <w:p>
            <w:pPr>
              <w:spacing w:after="0"/>
              <w:rPr>
                <w:sz w:val="1"/>
                <w:szCs w:val="1"/>
                <w:color w:val="auto"/>
              </w:rPr>
            </w:pPr>
          </w:p>
        </w:tc>
      </w:tr>
      <w:tr>
        <w:trPr>
          <w:trHeight w:val="86"/>
        </w:trPr>
        <w:tc>
          <w:tcPr>
            <w:tcW w:w="23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980" w:type="dxa"/>
            <w:vAlign w:val="bottom"/>
          </w:tcPr>
          <w:p>
            <w:pPr>
              <w:jc w:val="center"/>
              <w:ind w:left="216"/>
              <w:spacing w:after="0" w:line="85" w:lineRule="exact"/>
              <w:rPr>
                <w:sz w:val="20"/>
                <w:szCs w:val="20"/>
                <w:color w:val="auto"/>
              </w:rPr>
            </w:pPr>
            <w:r>
              <w:rPr>
                <w:rFonts w:ascii="Arial" w:cs="Arial" w:eastAsia="Arial" w:hAnsi="Arial"/>
                <w:sz w:val="9"/>
                <w:szCs w:val="9"/>
                <w:b w:val="1"/>
                <w:bCs w:val="1"/>
                <w:color w:val="auto"/>
              </w:rPr>
              <w:t>Recognized in</w:t>
            </w:r>
          </w:p>
        </w:tc>
        <w:tc>
          <w:tcPr>
            <w:tcW w:w="260" w:type="dxa"/>
            <w:vAlign w:val="bottom"/>
          </w:tcPr>
          <w:p>
            <w:pPr>
              <w:spacing w:after="0"/>
              <w:rPr>
                <w:sz w:val="7"/>
                <w:szCs w:val="7"/>
                <w:color w:val="auto"/>
              </w:rPr>
            </w:pPr>
          </w:p>
        </w:tc>
        <w:tc>
          <w:tcPr>
            <w:tcW w:w="1020" w:type="dxa"/>
            <w:vAlign w:val="bottom"/>
          </w:tcPr>
          <w:p>
            <w:pPr>
              <w:jc w:val="center"/>
              <w:ind w:left="196"/>
              <w:spacing w:after="0" w:line="85" w:lineRule="exact"/>
              <w:rPr>
                <w:sz w:val="20"/>
                <w:szCs w:val="20"/>
                <w:color w:val="auto"/>
              </w:rPr>
            </w:pPr>
            <w:r>
              <w:rPr>
                <w:rFonts w:ascii="Arial" w:cs="Arial" w:eastAsia="Arial" w:hAnsi="Arial"/>
                <w:sz w:val="9"/>
                <w:szCs w:val="9"/>
                <w:b w:val="1"/>
                <w:bCs w:val="1"/>
                <w:color w:val="auto"/>
              </w:rPr>
              <w:t>from</w:t>
            </w: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jc w:val="center"/>
              <w:ind w:left="16"/>
              <w:spacing w:after="0" w:line="85" w:lineRule="exact"/>
              <w:rPr>
                <w:sz w:val="20"/>
                <w:szCs w:val="20"/>
                <w:color w:val="auto"/>
              </w:rPr>
            </w:pPr>
            <w:r>
              <w:rPr>
                <w:rFonts w:ascii="Arial" w:cs="Arial" w:eastAsia="Arial" w:hAnsi="Arial"/>
                <w:sz w:val="9"/>
                <w:szCs w:val="9"/>
                <w:b w:val="1"/>
                <w:bCs w:val="1"/>
                <w:color w:val="auto"/>
              </w:rPr>
              <w:t>from</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60" w:type="dxa"/>
            <w:vAlign w:val="bottom"/>
            <w:tcBorders>
              <w:top w:val="single" w:sz="8" w:color="auto"/>
            </w:tcBorders>
            <w:gridSpan w:val="6"/>
          </w:tcPr>
          <w:p>
            <w:pPr>
              <w:jc w:val="center"/>
              <w:ind w:right="140"/>
              <w:spacing w:after="0" w:line="85" w:lineRule="exact"/>
              <w:rPr>
                <w:sz w:val="20"/>
                <w:szCs w:val="20"/>
                <w:color w:val="auto"/>
              </w:rPr>
            </w:pPr>
            <w:r>
              <w:rPr>
                <w:rFonts w:ascii="Arial" w:cs="Arial" w:eastAsia="Arial" w:hAnsi="Arial"/>
                <w:sz w:val="9"/>
                <w:szCs w:val="9"/>
                <w:b w:val="1"/>
                <w:bCs w:val="1"/>
                <w:color w:val="auto"/>
              </w:rPr>
              <w:t>Gain</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jc w:val="center"/>
              <w:ind w:right="174"/>
              <w:spacing w:after="0" w:line="85" w:lineRule="exact"/>
              <w:rPr>
                <w:sz w:val="20"/>
                <w:szCs w:val="20"/>
                <w:color w:val="auto"/>
              </w:rPr>
            </w:pPr>
            <w:r>
              <w:rPr>
                <w:rFonts w:ascii="Arial" w:cs="Arial" w:eastAsia="Arial" w:hAnsi="Arial"/>
                <w:sz w:val="9"/>
                <w:szCs w:val="9"/>
                <w:b w:val="1"/>
                <w:bCs w:val="1"/>
                <w:color w:val="auto"/>
              </w:rPr>
              <w:t>(Losses)</w:t>
            </w: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980" w:type="dxa"/>
            <w:vAlign w:val="bottom"/>
          </w:tcPr>
          <w:p>
            <w:pPr>
              <w:jc w:val="center"/>
              <w:ind w:left="236"/>
              <w:spacing w:after="0" w:line="75" w:lineRule="exact"/>
              <w:rPr>
                <w:sz w:val="20"/>
                <w:szCs w:val="20"/>
                <w:color w:val="auto"/>
              </w:rPr>
            </w:pPr>
            <w:r>
              <w:rPr>
                <w:rFonts w:ascii="Arial" w:cs="Arial" w:eastAsia="Arial" w:hAnsi="Arial"/>
                <w:sz w:val="7"/>
                <w:szCs w:val="7"/>
                <w:b w:val="1"/>
                <w:bCs w:val="1"/>
                <w:color w:val="auto"/>
              </w:rPr>
              <w:t>Accumulated</w:t>
            </w:r>
          </w:p>
        </w:tc>
        <w:tc>
          <w:tcPr>
            <w:tcW w:w="260" w:type="dxa"/>
            <w:vAlign w:val="bottom"/>
          </w:tcPr>
          <w:p>
            <w:pPr>
              <w:spacing w:after="0"/>
              <w:rPr>
                <w:sz w:val="6"/>
                <w:szCs w:val="6"/>
                <w:color w:val="auto"/>
              </w:rPr>
            </w:pPr>
          </w:p>
        </w:tc>
        <w:tc>
          <w:tcPr>
            <w:tcW w:w="1020" w:type="dxa"/>
            <w:vAlign w:val="bottom"/>
          </w:tcPr>
          <w:p>
            <w:pPr>
              <w:jc w:val="center"/>
              <w:ind w:left="196"/>
              <w:spacing w:after="0" w:line="75" w:lineRule="exact"/>
              <w:rPr>
                <w:sz w:val="20"/>
                <w:szCs w:val="20"/>
                <w:color w:val="auto"/>
              </w:rPr>
            </w:pPr>
            <w:r>
              <w:rPr>
                <w:rFonts w:ascii="Arial" w:cs="Arial" w:eastAsia="Arial" w:hAnsi="Arial"/>
                <w:sz w:val="7"/>
                <w:szCs w:val="7"/>
                <w:b w:val="1"/>
                <w:bCs w:val="1"/>
                <w:color w:val="auto"/>
              </w:rPr>
              <w:t>Accumulated</w:t>
            </w:r>
          </w:p>
        </w:tc>
        <w:tc>
          <w:tcPr>
            <w:tcW w:w="220" w:type="dxa"/>
            <w:vAlign w:val="bottom"/>
          </w:tcPr>
          <w:p>
            <w:pPr>
              <w:spacing w:after="0"/>
              <w:rPr>
                <w:sz w:val="6"/>
                <w:szCs w:val="6"/>
                <w:color w:val="auto"/>
              </w:rPr>
            </w:pPr>
          </w:p>
        </w:tc>
        <w:tc>
          <w:tcPr>
            <w:tcW w:w="1240" w:type="dxa"/>
            <w:vAlign w:val="bottom"/>
          </w:tcPr>
          <w:p>
            <w:pPr>
              <w:jc w:val="center"/>
              <w:spacing w:after="0" w:line="75" w:lineRule="exact"/>
              <w:rPr>
                <w:sz w:val="20"/>
                <w:szCs w:val="20"/>
                <w:color w:val="auto"/>
              </w:rPr>
            </w:pPr>
            <w:r>
              <w:rPr>
                <w:rFonts w:ascii="Arial" w:cs="Arial" w:eastAsia="Arial" w:hAnsi="Arial"/>
                <w:sz w:val="7"/>
                <w:szCs w:val="7"/>
                <w:b w:val="1"/>
                <w:bCs w:val="1"/>
                <w:color w:val="auto"/>
              </w:rPr>
              <w:t>Location of</w:t>
            </w:r>
          </w:p>
        </w:tc>
        <w:tc>
          <w:tcPr>
            <w:tcW w:w="200" w:type="dxa"/>
            <w:vAlign w:val="bottom"/>
          </w:tcPr>
          <w:p>
            <w:pPr>
              <w:spacing w:after="0"/>
              <w:rPr>
                <w:sz w:val="6"/>
                <w:szCs w:val="6"/>
                <w:color w:val="auto"/>
              </w:rPr>
            </w:pPr>
          </w:p>
        </w:tc>
        <w:tc>
          <w:tcPr>
            <w:tcW w:w="800" w:type="dxa"/>
            <w:vAlign w:val="bottom"/>
          </w:tcPr>
          <w:p>
            <w:pPr>
              <w:jc w:val="center"/>
              <w:ind w:left="16"/>
              <w:spacing w:after="0" w:line="75" w:lineRule="exact"/>
              <w:rPr>
                <w:sz w:val="20"/>
                <w:szCs w:val="20"/>
                <w:color w:val="auto"/>
              </w:rPr>
            </w:pPr>
            <w:r>
              <w:rPr>
                <w:rFonts w:ascii="Arial" w:cs="Arial" w:eastAsia="Arial" w:hAnsi="Arial"/>
                <w:sz w:val="7"/>
                <w:szCs w:val="7"/>
                <w:b w:val="1"/>
                <w:bCs w:val="1"/>
                <w:color w:val="auto"/>
              </w:rPr>
              <w:t>Accumulated</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 w:type="dxa"/>
            <w:vAlign w:val="bottom"/>
            <w:tcBorders>
              <w:top w:val="single" w:sz="8" w:color="auto"/>
              <w:bottom w:val="single" w:sz="8" w:color="auto"/>
            </w:tcBorders>
            <w:gridSpan w:val="3"/>
          </w:tcPr>
          <w:p>
            <w:pPr>
              <w:jc w:val="center"/>
              <w:spacing w:after="0" w:line="75" w:lineRule="exact"/>
              <w:rPr>
                <w:sz w:val="20"/>
                <w:szCs w:val="20"/>
                <w:color w:val="auto"/>
              </w:rPr>
            </w:pPr>
            <w:r>
              <w:rPr>
                <w:rFonts w:ascii="Arial" w:cs="Arial" w:eastAsia="Arial" w:hAnsi="Arial"/>
                <w:sz w:val="7"/>
                <w:szCs w:val="7"/>
                <w:b w:val="1"/>
                <w:bCs w:val="1"/>
                <w:color w:val="auto"/>
                <w:w w:val="76"/>
              </w:rPr>
              <w:t>(Losses)</w:t>
            </w: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jc w:val="center"/>
              <w:spacing w:after="0" w:line="75" w:lineRule="exact"/>
              <w:rPr>
                <w:sz w:val="20"/>
                <w:szCs w:val="20"/>
                <w:color w:val="auto"/>
              </w:rPr>
            </w:pPr>
            <w:r>
              <w:rPr>
                <w:rFonts w:ascii="Arial" w:cs="Arial" w:eastAsia="Arial" w:hAnsi="Arial"/>
                <w:sz w:val="7"/>
                <w:szCs w:val="7"/>
                <w:b w:val="1"/>
                <w:bCs w:val="1"/>
                <w:color w:val="auto"/>
              </w:rPr>
              <w:t>Location of Gains</w:t>
            </w:r>
          </w:p>
        </w:tc>
        <w:tc>
          <w:tcPr>
            <w:tcW w:w="220" w:type="dxa"/>
            <w:vAlign w:val="bottom"/>
          </w:tcPr>
          <w:p>
            <w:pPr>
              <w:spacing w:after="0"/>
              <w:rPr>
                <w:sz w:val="6"/>
                <w:szCs w:val="6"/>
                <w:color w:val="auto"/>
              </w:rPr>
            </w:pPr>
          </w:p>
        </w:tc>
        <w:tc>
          <w:tcPr>
            <w:tcW w:w="1040" w:type="dxa"/>
            <w:vAlign w:val="bottom"/>
          </w:tcPr>
          <w:p>
            <w:pPr>
              <w:jc w:val="center"/>
              <w:ind w:right="174"/>
              <w:spacing w:after="0" w:line="75" w:lineRule="exact"/>
              <w:rPr>
                <w:sz w:val="20"/>
                <w:szCs w:val="20"/>
                <w:color w:val="auto"/>
              </w:rPr>
            </w:pPr>
            <w:r>
              <w:rPr>
                <w:rFonts w:ascii="Arial" w:cs="Arial" w:eastAsia="Arial" w:hAnsi="Arial"/>
                <w:sz w:val="7"/>
                <w:szCs w:val="7"/>
                <w:b w:val="1"/>
                <w:bCs w:val="1"/>
                <w:color w:val="auto"/>
              </w:rPr>
              <w:t>Recognized</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980" w:type="dxa"/>
            <w:vAlign w:val="bottom"/>
          </w:tcPr>
          <w:p>
            <w:pPr>
              <w:jc w:val="center"/>
              <w:ind w:left="216"/>
              <w:spacing w:after="0" w:line="75" w:lineRule="exact"/>
              <w:rPr>
                <w:sz w:val="20"/>
                <w:szCs w:val="20"/>
                <w:color w:val="auto"/>
              </w:rPr>
            </w:pPr>
            <w:r>
              <w:rPr>
                <w:rFonts w:ascii="Arial" w:cs="Arial" w:eastAsia="Arial" w:hAnsi="Arial"/>
                <w:sz w:val="7"/>
                <w:szCs w:val="7"/>
                <w:b w:val="1"/>
                <w:bCs w:val="1"/>
                <w:color w:val="auto"/>
              </w:rPr>
              <w:t>OCI</w:t>
            </w:r>
          </w:p>
        </w:tc>
        <w:tc>
          <w:tcPr>
            <w:tcW w:w="260" w:type="dxa"/>
            <w:vAlign w:val="bottom"/>
          </w:tcPr>
          <w:p>
            <w:pPr>
              <w:spacing w:after="0"/>
              <w:rPr>
                <w:sz w:val="6"/>
                <w:szCs w:val="6"/>
                <w:color w:val="auto"/>
              </w:rPr>
            </w:pPr>
          </w:p>
        </w:tc>
        <w:tc>
          <w:tcPr>
            <w:tcW w:w="1020" w:type="dxa"/>
            <w:vAlign w:val="bottom"/>
          </w:tcPr>
          <w:p>
            <w:pPr>
              <w:jc w:val="center"/>
              <w:ind w:left="176"/>
              <w:spacing w:after="0" w:line="75" w:lineRule="exact"/>
              <w:rPr>
                <w:sz w:val="20"/>
                <w:szCs w:val="20"/>
                <w:color w:val="auto"/>
              </w:rPr>
            </w:pPr>
            <w:r>
              <w:rPr>
                <w:rFonts w:ascii="Arial" w:cs="Arial" w:eastAsia="Arial" w:hAnsi="Arial"/>
                <w:sz w:val="7"/>
                <w:szCs w:val="7"/>
                <w:b w:val="1"/>
                <w:bCs w:val="1"/>
                <w:color w:val="auto"/>
              </w:rPr>
              <w:t>OCI to cost of</w:t>
            </w:r>
          </w:p>
        </w:tc>
        <w:tc>
          <w:tcPr>
            <w:tcW w:w="220" w:type="dxa"/>
            <w:vAlign w:val="bottom"/>
          </w:tcPr>
          <w:p>
            <w:pPr>
              <w:spacing w:after="0"/>
              <w:rPr>
                <w:sz w:val="6"/>
                <w:szCs w:val="6"/>
                <w:color w:val="auto"/>
              </w:rPr>
            </w:pPr>
          </w:p>
        </w:tc>
        <w:tc>
          <w:tcPr>
            <w:tcW w:w="1240" w:type="dxa"/>
            <w:vAlign w:val="bottom"/>
          </w:tcPr>
          <w:p>
            <w:pPr>
              <w:jc w:val="center"/>
              <w:spacing w:after="0" w:line="75" w:lineRule="exact"/>
              <w:rPr>
                <w:sz w:val="20"/>
                <w:szCs w:val="20"/>
                <w:color w:val="auto"/>
              </w:rPr>
            </w:pPr>
            <w:r>
              <w:rPr>
                <w:rFonts w:ascii="Arial" w:cs="Arial" w:eastAsia="Arial" w:hAnsi="Arial"/>
                <w:sz w:val="7"/>
                <w:szCs w:val="7"/>
                <w:b w:val="1"/>
                <w:bCs w:val="1"/>
                <w:color w:val="auto"/>
              </w:rPr>
              <w:t>Gains (Losses)</w:t>
            </w:r>
          </w:p>
        </w:tc>
        <w:tc>
          <w:tcPr>
            <w:tcW w:w="200" w:type="dxa"/>
            <w:vAlign w:val="bottom"/>
          </w:tcPr>
          <w:p>
            <w:pPr>
              <w:spacing w:after="0"/>
              <w:rPr>
                <w:sz w:val="6"/>
                <w:szCs w:val="6"/>
                <w:color w:val="auto"/>
              </w:rPr>
            </w:pPr>
          </w:p>
        </w:tc>
        <w:tc>
          <w:tcPr>
            <w:tcW w:w="800" w:type="dxa"/>
            <w:vAlign w:val="bottom"/>
          </w:tcPr>
          <w:p>
            <w:pPr>
              <w:jc w:val="center"/>
              <w:ind w:left="16"/>
              <w:spacing w:after="0" w:line="75" w:lineRule="exact"/>
              <w:rPr>
                <w:sz w:val="20"/>
                <w:szCs w:val="20"/>
                <w:color w:val="auto"/>
              </w:rPr>
            </w:pPr>
            <w:r>
              <w:rPr>
                <w:rFonts w:ascii="Arial" w:cs="Arial" w:eastAsia="Arial" w:hAnsi="Arial"/>
                <w:sz w:val="7"/>
                <w:szCs w:val="7"/>
                <w:b w:val="1"/>
                <w:bCs w:val="1"/>
                <w:color w:val="auto"/>
              </w:rPr>
              <w:t>OCI into</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bottom w:val="single" w:sz="8" w:color="auto"/>
            </w:tcBorders>
            <w:gridSpan w:val="2"/>
          </w:tcPr>
          <w:p>
            <w:pPr>
              <w:spacing w:after="0"/>
              <w:rPr>
                <w:sz w:val="6"/>
                <w:szCs w:val="6"/>
                <w:color w:val="auto"/>
              </w:rPr>
            </w:pPr>
          </w:p>
        </w:tc>
        <w:tc>
          <w:tcPr>
            <w:tcW w:w="420" w:type="dxa"/>
            <w:vAlign w:val="bottom"/>
            <w:tcBorders>
              <w:bottom w:val="single" w:sz="8" w:color="auto"/>
            </w:tcBorders>
            <w:gridSpan w:val="7"/>
          </w:tcPr>
          <w:p>
            <w:pPr>
              <w:jc w:val="center"/>
              <w:spacing w:after="0" w:line="75" w:lineRule="exact"/>
              <w:rPr>
                <w:sz w:val="20"/>
                <w:szCs w:val="20"/>
                <w:color w:val="auto"/>
              </w:rPr>
            </w:pPr>
            <w:r>
              <w:rPr>
                <w:rFonts w:ascii="Arial" w:cs="Arial" w:eastAsia="Arial" w:hAnsi="Arial"/>
                <w:sz w:val="7"/>
                <w:szCs w:val="7"/>
                <w:b w:val="1"/>
                <w:bCs w:val="1"/>
                <w:color w:val="auto"/>
              </w:rPr>
              <w:t>Reclassified</w:t>
            </w:r>
          </w:p>
        </w:tc>
        <w:tc>
          <w:tcPr>
            <w:tcW w:w="80" w:type="dxa"/>
            <w:vAlign w:val="bottom"/>
            <w:tcBorders>
              <w:bottom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jc w:val="center"/>
              <w:spacing w:after="0" w:line="75" w:lineRule="exact"/>
              <w:rPr>
                <w:sz w:val="20"/>
                <w:szCs w:val="20"/>
                <w:color w:val="auto"/>
              </w:rPr>
            </w:pPr>
            <w:r>
              <w:rPr>
                <w:rFonts w:ascii="Arial" w:cs="Arial" w:eastAsia="Arial" w:hAnsi="Arial"/>
                <w:sz w:val="7"/>
                <w:szCs w:val="7"/>
                <w:b w:val="1"/>
                <w:bCs w:val="1"/>
                <w:color w:val="auto"/>
              </w:rPr>
              <w:t>(Losses)</w:t>
            </w:r>
          </w:p>
        </w:tc>
        <w:tc>
          <w:tcPr>
            <w:tcW w:w="220" w:type="dxa"/>
            <w:vAlign w:val="bottom"/>
          </w:tcPr>
          <w:p>
            <w:pPr>
              <w:spacing w:after="0"/>
              <w:rPr>
                <w:sz w:val="6"/>
                <w:szCs w:val="6"/>
                <w:color w:val="auto"/>
              </w:rPr>
            </w:pPr>
          </w:p>
        </w:tc>
        <w:tc>
          <w:tcPr>
            <w:tcW w:w="1040" w:type="dxa"/>
            <w:vAlign w:val="bottom"/>
          </w:tcPr>
          <w:p>
            <w:pPr>
              <w:jc w:val="center"/>
              <w:ind w:right="174"/>
              <w:spacing w:after="0" w:line="75" w:lineRule="exact"/>
              <w:rPr>
                <w:sz w:val="20"/>
                <w:szCs w:val="20"/>
                <w:color w:val="auto"/>
              </w:rPr>
            </w:pPr>
            <w:r>
              <w:rPr>
                <w:rFonts w:ascii="Arial" w:cs="Arial" w:eastAsia="Arial" w:hAnsi="Arial"/>
                <w:sz w:val="7"/>
                <w:szCs w:val="7"/>
                <w:b w:val="1"/>
                <w:bCs w:val="1"/>
                <w:color w:val="auto"/>
              </w:rPr>
              <w:t>into</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980" w:type="dxa"/>
            <w:vAlign w:val="bottom"/>
          </w:tcPr>
          <w:p>
            <w:pPr>
              <w:jc w:val="center"/>
              <w:ind w:left="216"/>
              <w:spacing w:after="0" w:line="75" w:lineRule="exact"/>
              <w:rPr>
                <w:sz w:val="20"/>
                <w:szCs w:val="20"/>
                <w:color w:val="auto"/>
              </w:rPr>
            </w:pPr>
            <w:r>
              <w:rPr>
                <w:rFonts w:ascii="Arial" w:cs="Arial" w:eastAsia="Arial" w:hAnsi="Arial"/>
                <w:sz w:val="7"/>
                <w:szCs w:val="7"/>
                <w:b w:val="1"/>
                <w:bCs w:val="1"/>
                <w:color w:val="auto"/>
              </w:rPr>
              <w:t>on Derivatives</w:t>
            </w:r>
          </w:p>
        </w:tc>
        <w:tc>
          <w:tcPr>
            <w:tcW w:w="260" w:type="dxa"/>
            <w:vAlign w:val="bottom"/>
          </w:tcPr>
          <w:p>
            <w:pPr>
              <w:spacing w:after="0"/>
              <w:rPr>
                <w:sz w:val="6"/>
                <w:szCs w:val="6"/>
                <w:color w:val="auto"/>
              </w:rPr>
            </w:pPr>
          </w:p>
        </w:tc>
        <w:tc>
          <w:tcPr>
            <w:tcW w:w="1020" w:type="dxa"/>
            <w:vAlign w:val="bottom"/>
          </w:tcPr>
          <w:p>
            <w:pPr>
              <w:jc w:val="center"/>
              <w:ind w:left="176"/>
              <w:spacing w:after="0" w:line="75" w:lineRule="exact"/>
              <w:rPr>
                <w:sz w:val="20"/>
                <w:szCs w:val="20"/>
                <w:color w:val="auto"/>
              </w:rPr>
            </w:pPr>
            <w:r>
              <w:rPr>
                <w:rFonts w:ascii="Arial" w:cs="Arial" w:eastAsia="Arial" w:hAnsi="Arial"/>
                <w:sz w:val="7"/>
                <w:szCs w:val="7"/>
                <w:b w:val="1"/>
                <w:bCs w:val="1"/>
                <w:color w:val="auto"/>
              </w:rPr>
              <w:t>Property,</w:t>
            </w:r>
          </w:p>
        </w:tc>
        <w:tc>
          <w:tcPr>
            <w:tcW w:w="220" w:type="dxa"/>
            <w:vAlign w:val="bottom"/>
          </w:tcPr>
          <w:p>
            <w:pPr>
              <w:spacing w:after="0"/>
              <w:rPr>
                <w:sz w:val="6"/>
                <w:szCs w:val="6"/>
                <w:color w:val="auto"/>
              </w:rPr>
            </w:pPr>
          </w:p>
        </w:tc>
        <w:tc>
          <w:tcPr>
            <w:tcW w:w="1240" w:type="dxa"/>
            <w:vAlign w:val="bottom"/>
          </w:tcPr>
          <w:p>
            <w:pPr>
              <w:jc w:val="center"/>
              <w:spacing w:after="0" w:line="75" w:lineRule="exact"/>
              <w:rPr>
                <w:sz w:val="20"/>
                <w:szCs w:val="20"/>
                <w:color w:val="auto"/>
              </w:rPr>
            </w:pPr>
            <w:r>
              <w:rPr>
                <w:rFonts w:ascii="Arial" w:cs="Arial" w:eastAsia="Arial" w:hAnsi="Arial"/>
                <w:sz w:val="7"/>
                <w:szCs w:val="7"/>
                <w:b w:val="1"/>
                <w:bCs w:val="1"/>
                <w:color w:val="auto"/>
              </w:rPr>
              <w:t>Reclassified from</w:t>
            </w:r>
          </w:p>
        </w:tc>
        <w:tc>
          <w:tcPr>
            <w:tcW w:w="200" w:type="dxa"/>
            <w:vAlign w:val="bottom"/>
          </w:tcPr>
          <w:p>
            <w:pPr>
              <w:spacing w:after="0"/>
              <w:rPr>
                <w:sz w:val="6"/>
                <w:szCs w:val="6"/>
                <w:color w:val="auto"/>
              </w:rPr>
            </w:pPr>
          </w:p>
        </w:tc>
        <w:tc>
          <w:tcPr>
            <w:tcW w:w="800" w:type="dxa"/>
            <w:vAlign w:val="bottom"/>
          </w:tcPr>
          <w:p>
            <w:pPr>
              <w:jc w:val="center"/>
              <w:ind w:left="16"/>
              <w:spacing w:after="0" w:line="75" w:lineRule="exact"/>
              <w:rPr>
                <w:sz w:val="20"/>
                <w:szCs w:val="20"/>
                <w:color w:val="auto"/>
              </w:rPr>
            </w:pPr>
            <w:r>
              <w:rPr>
                <w:rFonts w:ascii="Arial" w:cs="Arial" w:eastAsia="Arial" w:hAnsi="Arial"/>
                <w:sz w:val="7"/>
                <w:szCs w:val="7"/>
                <w:b w:val="1"/>
                <w:bCs w:val="1"/>
                <w:color w:val="auto"/>
              </w:rPr>
              <w:t>Income</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gridSpan w:val="6"/>
          </w:tcPr>
          <w:p>
            <w:pPr>
              <w:jc w:val="center"/>
              <w:ind w:right="200"/>
              <w:spacing w:after="0" w:line="75" w:lineRule="exact"/>
              <w:rPr>
                <w:sz w:val="20"/>
                <w:szCs w:val="20"/>
                <w:color w:val="auto"/>
              </w:rPr>
            </w:pPr>
            <w:r>
              <w:rPr>
                <w:rFonts w:ascii="Arial" w:cs="Arial" w:eastAsia="Arial" w:hAnsi="Arial"/>
                <w:sz w:val="7"/>
                <w:szCs w:val="7"/>
                <w:b w:val="1"/>
                <w:bCs w:val="1"/>
                <w:color w:val="auto"/>
              </w:rPr>
              <w:t>into</w:t>
            </w: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jc w:val="center"/>
              <w:spacing w:after="0" w:line="75" w:lineRule="exact"/>
              <w:rPr>
                <w:sz w:val="20"/>
                <w:szCs w:val="20"/>
                <w:color w:val="auto"/>
              </w:rPr>
            </w:pPr>
            <w:r>
              <w:rPr>
                <w:rFonts w:ascii="Arial" w:cs="Arial" w:eastAsia="Arial" w:hAnsi="Arial"/>
                <w:sz w:val="7"/>
                <w:szCs w:val="7"/>
                <w:b w:val="1"/>
                <w:bCs w:val="1"/>
                <w:color w:val="auto"/>
              </w:rPr>
              <w:t>Recognized into</w:t>
            </w:r>
          </w:p>
        </w:tc>
        <w:tc>
          <w:tcPr>
            <w:tcW w:w="220" w:type="dxa"/>
            <w:vAlign w:val="bottom"/>
          </w:tcPr>
          <w:p>
            <w:pPr>
              <w:spacing w:after="0"/>
              <w:rPr>
                <w:sz w:val="6"/>
                <w:szCs w:val="6"/>
                <w:color w:val="auto"/>
              </w:rPr>
            </w:pPr>
          </w:p>
        </w:tc>
        <w:tc>
          <w:tcPr>
            <w:tcW w:w="1040" w:type="dxa"/>
            <w:vAlign w:val="bottom"/>
          </w:tcPr>
          <w:p>
            <w:pPr>
              <w:jc w:val="center"/>
              <w:ind w:right="174"/>
              <w:spacing w:after="0" w:line="75" w:lineRule="exact"/>
              <w:rPr>
                <w:sz w:val="20"/>
                <w:szCs w:val="20"/>
                <w:color w:val="auto"/>
              </w:rPr>
            </w:pPr>
            <w:r>
              <w:rPr>
                <w:rFonts w:ascii="Arial" w:cs="Arial" w:eastAsia="Arial" w:hAnsi="Arial"/>
                <w:sz w:val="7"/>
                <w:szCs w:val="7"/>
                <w:b w:val="1"/>
                <w:bCs w:val="1"/>
                <w:color w:val="auto"/>
              </w:rPr>
              <w:t>Income</w:t>
            </w:r>
          </w:p>
        </w:tc>
        <w:tc>
          <w:tcPr>
            <w:tcW w:w="0" w:type="dxa"/>
            <w:vAlign w:val="bottom"/>
          </w:tcPr>
          <w:p>
            <w:pPr>
              <w:spacing w:after="0"/>
              <w:rPr>
                <w:sz w:val="1"/>
                <w:szCs w:val="1"/>
                <w:color w:val="auto"/>
              </w:rPr>
            </w:pPr>
          </w:p>
        </w:tc>
      </w:tr>
      <w:tr>
        <w:trPr>
          <w:trHeight w:val="86"/>
        </w:trPr>
        <w:tc>
          <w:tcPr>
            <w:tcW w:w="2360" w:type="dxa"/>
            <w:vAlign w:val="bottom"/>
          </w:tcPr>
          <w:p>
            <w:pPr>
              <w:spacing w:after="0"/>
              <w:rPr>
                <w:sz w:val="7"/>
                <w:szCs w:val="7"/>
                <w:color w:val="auto"/>
              </w:rPr>
            </w:pPr>
          </w:p>
        </w:tc>
        <w:tc>
          <w:tcPr>
            <w:tcW w:w="980" w:type="dxa"/>
            <w:vAlign w:val="bottom"/>
          </w:tcPr>
          <w:p>
            <w:pPr>
              <w:jc w:val="center"/>
              <w:ind w:left="216"/>
              <w:spacing w:after="0" w:line="85" w:lineRule="exact"/>
              <w:rPr>
                <w:sz w:val="20"/>
                <w:szCs w:val="20"/>
                <w:color w:val="auto"/>
              </w:rPr>
            </w:pPr>
            <w:r>
              <w:rPr>
                <w:rFonts w:ascii="Arial" w:cs="Arial" w:eastAsia="Arial" w:hAnsi="Arial"/>
                <w:sz w:val="9"/>
                <w:szCs w:val="9"/>
                <w:b w:val="1"/>
                <w:bCs w:val="1"/>
                <w:color w:val="auto"/>
              </w:rPr>
              <w:t>(effective</w:t>
            </w:r>
          </w:p>
        </w:tc>
        <w:tc>
          <w:tcPr>
            <w:tcW w:w="260" w:type="dxa"/>
            <w:vAlign w:val="bottom"/>
          </w:tcPr>
          <w:p>
            <w:pPr>
              <w:spacing w:after="0"/>
              <w:rPr>
                <w:sz w:val="7"/>
                <w:szCs w:val="7"/>
                <w:color w:val="auto"/>
              </w:rPr>
            </w:pPr>
          </w:p>
        </w:tc>
        <w:tc>
          <w:tcPr>
            <w:tcW w:w="1020" w:type="dxa"/>
            <w:vAlign w:val="bottom"/>
          </w:tcPr>
          <w:p>
            <w:pPr>
              <w:jc w:val="center"/>
              <w:ind w:left="176"/>
              <w:spacing w:after="0" w:line="85" w:lineRule="exact"/>
              <w:rPr>
                <w:sz w:val="20"/>
                <w:szCs w:val="20"/>
                <w:color w:val="auto"/>
              </w:rPr>
            </w:pPr>
            <w:r>
              <w:rPr>
                <w:rFonts w:ascii="Arial" w:cs="Arial" w:eastAsia="Arial" w:hAnsi="Arial"/>
                <w:sz w:val="9"/>
                <w:szCs w:val="9"/>
                <w:b w:val="1"/>
                <w:bCs w:val="1"/>
                <w:color w:val="auto"/>
              </w:rPr>
              <w:t>Plant and</w:t>
            </w:r>
          </w:p>
        </w:tc>
        <w:tc>
          <w:tcPr>
            <w:tcW w:w="220" w:type="dxa"/>
            <w:vAlign w:val="bottom"/>
          </w:tcPr>
          <w:p>
            <w:pPr>
              <w:spacing w:after="0"/>
              <w:rPr>
                <w:sz w:val="7"/>
                <w:szCs w:val="7"/>
                <w:color w:val="auto"/>
              </w:rPr>
            </w:pPr>
          </w:p>
        </w:tc>
        <w:tc>
          <w:tcPr>
            <w:tcW w:w="1240" w:type="dxa"/>
            <w:vAlign w:val="bottom"/>
          </w:tcPr>
          <w:p>
            <w:pPr>
              <w:jc w:val="center"/>
              <w:spacing w:after="0" w:line="85" w:lineRule="exact"/>
              <w:rPr>
                <w:sz w:val="20"/>
                <w:szCs w:val="20"/>
                <w:color w:val="auto"/>
              </w:rPr>
            </w:pPr>
            <w:r>
              <w:rPr>
                <w:rFonts w:ascii="Arial" w:cs="Arial" w:eastAsia="Arial" w:hAnsi="Arial"/>
                <w:sz w:val="9"/>
                <w:szCs w:val="9"/>
                <w:b w:val="1"/>
                <w:bCs w:val="1"/>
                <w:color w:val="auto"/>
              </w:rPr>
              <w:t>Accumulated</w:t>
            </w:r>
          </w:p>
        </w:tc>
        <w:tc>
          <w:tcPr>
            <w:tcW w:w="200" w:type="dxa"/>
            <w:vAlign w:val="bottom"/>
          </w:tcPr>
          <w:p>
            <w:pPr>
              <w:spacing w:after="0"/>
              <w:rPr>
                <w:sz w:val="7"/>
                <w:szCs w:val="7"/>
                <w:color w:val="auto"/>
              </w:rPr>
            </w:pPr>
          </w:p>
        </w:tc>
        <w:tc>
          <w:tcPr>
            <w:tcW w:w="800" w:type="dxa"/>
            <w:vAlign w:val="bottom"/>
          </w:tcPr>
          <w:p>
            <w:pPr>
              <w:jc w:val="center"/>
              <w:spacing w:after="0" w:line="85" w:lineRule="exact"/>
              <w:rPr>
                <w:sz w:val="20"/>
                <w:szCs w:val="20"/>
                <w:color w:val="auto"/>
              </w:rPr>
            </w:pPr>
            <w:r>
              <w:rPr>
                <w:rFonts w:ascii="Arial" w:cs="Arial" w:eastAsia="Arial" w:hAnsi="Arial"/>
                <w:sz w:val="9"/>
                <w:szCs w:val="9"/>
                <w:b w:val="1"/>
                <w:bCs w:val="1"/>
                <w:color w:val="auto"/>
              </w:rPr>
              <w:t>(Effective</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bottom w:val="single" w:sz="8" w:color="auto"/>
            </w:tcBorders>
            <w:gridSpan w:val="2"/>
          </w:tcPr>
          <w:p>
            <w:pPr>
              <w:spacing w:after="0"/>
              <w:rPr>
                <w:sz w:val="7"/>
                <w:szCs w:val="7"/>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7"/>
                <w:szCs w:val="7"/>
                <w:b w:val="1"/>
                <w:bCs w:val="1"/>
                <w:color w:val="auto"/>
                <w:w w:val="73"/>
              </w:rPr>
              <w:t>Income</w:t>
            </w:r>
          </w:p>
        </w:tc>
        <w:tc>
          <w:tcPr>
            <w:tcW w:w="80" w:type="dxa"/>
            <w:vAlign w:val="bottom"/>
            <w:tcBorders>
              <w:bottom w:val="single" w:sz="8" w:color="auto"/>
            </w:tcBorders>
            <w:gridSpan w:val="2"/>
          </w:tcPr>
          <w:p>
            <w:pPr>
              <w:spacing w:after="0"/>
              <w:rPr>
                <w:sz w:val="7"/>
                <w:szCs w:val="7"/>
                <w:color w:val="auto"/>
              </w:rPr>
            </w:pPr>
          </w:p>
        </w:tc>
        <w:tc>
          <w:tcPr>
            <w:tcW w:w="240" w:type="dxa"/>
            <w:vAlign w:val="bottom"/>
            <w:gridSpan w:val="4"/>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jc w:val="right"/>
              <w:ind w:right="134"/>
              <w:spacing w:after="0" w:line="85" w:lineRule="exact"/>
              <w:rPr>
                <w:sz w:val="20"/>
                <w:szCs w:val="20"/>
                <w:color w:val="auto"/>
              </w:rPr>
            </w:pPr>
            <w:r>
              <w:rPr>
                <w:rFonts w:ascii="Arial" w:cs="Arial" w:eastAsia="Arial" w:hAnsi="Arial"/>
                <w:sz w:val="9"/>
                <w:szCs w:val="9"/>
                <w:b w:val="1"/>
                <w:bCs w:val="1"/>
                <w:color w:val="auto"/>
              </w:rPr>
              <w:t>Income (Ineffective</w:t>
            </w:r>
          </w:p>
        </w:tc>
        <w:tc>
          <w:tcPr>
            <w:tcW w:w="220" w:type="dxa"/>
            <w:vAlign w:val="bottom"/>
          </w:tcPr>
          <w:p>
            <w:pPr>
              <w:spacing w:after="0"/>
              <w:rPr>
                <w:sz w:val="7"/>
                <w:szCs w:val="7"/>
                <w:color w:val="auto"/>
              </w:rPr>
            </w:pPr>
          </w:p>
        </w:tc>
        <w:tc>
          <w:tcPr>
            <w:tcW w:w="1040" w:type="dxa"/>
            <w:vAlign w:val="bottom"/>
          </w:tcPr>
          <w:p>
            <w:pPr>
              <w:jc w:val="center"/>
              <w:ind w:right="154"/>
              <w:spacing w:after="0" w:line="85" w:lineRule="exact"/>
              <w:rPr>
                <w:sz w:val="20"/>
                <w:szCs w:val="20"/>
                <w:color w:val="auto"/>
              </w:rPr>
            </w:pPr>
            <w:r>
              <w:rPr>
                <w:rFonts w:ascii="Arial" w:cs="Arial" w:eastAsia="Arial" w:hAnsi="Arial"/>
                <w:sz w:val="9"/>
                <w:szCs w:val="9"/>
                <w:b w:val="1"/>
                <w:bCs w:val="1"/>
                <w:color w:val="auto"/>
              </w:rPr>
              <w:t>(Ineffective</w:t>
            </w:r>
          </w:p>
        </w:tc>
        <w:tc>
          <w:tcPr>
            <w:tcW w:w="0" w:type="dxa"/>
            <w:vAlign w:val="bottom"/>
          </w:tcPr>
          <w:p>
            <w:pPr>
              <w:spacing w:after="0"/>
              <w:rPr>
                <w:sz w:val="1"/>
                <w:szCs w:val="1"/>
                <w:color w:val="auto"/>
              </w:rPr>
            </w:pPr>
          </w:p>
        </w:tc>
      </w:tr>
      <w:tr>
        <w:trPr>
          <w:trHeight w:val="85"/>
        </w:trPr>
        <w:tc>
          <w:tcPr>
            <w:tcW w:w="2360" w:type="dxa"/>
            <w:vAlign w:val="bottom"/>
          </w:tcPr>
          <w:p>
            <w:pPr>
              <w:spacing w:after="0"/>
              <w:rPr>
                <w:sz w:val="7"/>
                <w:szCs w:val="7"/>
                <w:color w:val="auto"/>
              </w:rPr>
            </w:pPr>
          </w:p>
        </w:tc>
        <w:tc>
          <w:tcPr>
            <w:tcW w:w="980" w:type="dxa"/>
            <w:vAlign w:val="bottom"/>
          </w:tcPr>
          <w:p>
            <w:pPr>
              <w:jc w:val="center"/>
              <w:ind w:left="236"/>
              <w:spacing w:after="0" w:line="85" w:lineRule="exact"/>
              <w:rPr>
                <w:sz w:val="20"/>
                <w:szCs w:val="20"/>
                <w:color w:val="auto"/>
              </w:rPr>
            </w:pPr>
            <w:r>
              <w:rPr>
                <w:rFonts w:ascii="Arial" w:cs="Arial" w:eastAsia="Arial" w:hAnsi="Arial"/>
                <w:sz w:val="9"/>
                <w:szCs w:val="9"/>
                <w:b w:val="1"/>
                <w:bCs w:val="1"/>
                <w:color w:val="auto"/>
              </w:rPr>
              <w:t>Portion)</w:t>
            </w:r>
          </w:p>
        </w:tc>
        <w:tc>
          <w:tcPr>
            <w:tcW w:w="260" w:type="dxa"/>
            <w:vAlign w:val="bottom"/>
          </w:tcPr>
          <w:p>
            <w:pPr>
              <w:spacing w:after="0"/>
              <w:rPr>
                <w:sz w:val="7"/>
                <w:szCs w:val="7"/>
                <w:color w:val="auto"/>
              </w:rPr>
            </w:pPr>
          </w:p>
        </w:tc>
        <w:tc>
          <w:tcPr>
            <w:tcW w:w="1020" w:type="dxa"/>
            <w:vAlign w:val="bottom"/>
          </w:tcPr>
          <w:p>
            <w:pPr>
              <w:jc w:val="center"/>
              <w:ind w:left="176"/>
              <w:spacing w:after="0" w:line="85" w:lineRule="exact"/>
              <w:rPr>
                <w:sz w:val="20"/>
                <w:szCs w:val="20"/>
                <w:color w:val="auto"/>
              </w:rPr>
            </w:pPr>
            <w:r>
              <w:rPr>
                <w:rFonts w:ascii="Arial" w:cs="Arial" w:eastAsia="Arial" w:hAnsi="Arial"/>
                <w:sz w:val="9"/>
                <w:szCs w:val="9"/>
                <w:b w:val="1"/>
                <w:bCs w:val="1"/>
                <w:color w:val="auto"/>
              </w:rPr>
              <w:t>Equipment</w:t>
            </w:r>
          </w:p>
        </w:tc>
        <w:tc>
          <w:tcPr>
            <w:tcW w:w="220" w:type="dxa"/>
            <w:vAlign w:val="bottom"/>
          </w:tcPr>
          <w:p>
            <w:pPr>
              <w:spacing w:after="0"/>
              <w:rPr>
                <w:sz w:val="7"/>
                <w:szCs w:val="7"/>
                <w:color w:val="auto"/>
              </w:rPr>
            </w:pPr>
          </w:p>
        </w:tc>
        <w:tc>
          <w:tcPr>
            <w:tcW w:w="1240" w:type="dxa"/>
            <w:vAlign w:val="bottom"/>
          </w:tcPr>
          <w:p>
            <w:pPr>
              <w:jc w:val="center"/>
              <w:spacing w:after="0" w:line="85" w:lineRule="exact"/>
              <w:rPr>
                <w:sz w:val="20"/>
                <w:szCs w:val="20"/>
                <w:color w:val="auto"/>
              </w:rPr>
            </w:pPr>
            <w:r>
              <w:rPr>
                <w:rFonts w:ascii="Arial" w:cs="Arial" w:eastAsia="Arial" w:hAnsi="Arial"/>
                <w:sz w:val="9"/>
                <w:szCs w:val="9"/>
                <w:b w:val="1"/>
                <w:bCs w:val="1"/>
                <w:color w:val="auto"/>
              </w:rPr>
              <w:t>OCI into Income</w:t>
            </w:r>
          </w:p>
        </w:tc>
        <w:tc>
          <w:tcPr>
            <w:tcW w:w="200" w:type="dxa"/>
            <w:vAlign w:val="bottom"/>
          </w:tcPr>
          <w:p>
            <w:pPr>
              <w:spacing w:after="0"/>
              <w:rPr>
                <w:sz w:val="7"/>
                <w:szCs w:val="7"/>
                <w:color w:val="auto"/>
              </w:rPr>
            </w:pPr>
          </w:p>
        </w:tc>
        <w:tc>
          <w:tcPr>
            <w:tcW w:w="800" w:type="dxa"/>
            <w:vAlign w:val="bottom"/>
          </w:tcPr>
          <w:p>
            <w:pPr>
              <w:jc w:val="center"/>
              <w:ind w:left="16"/>
              <w:spacing w:after="0" w:line="85" w:lineRule="exact"/>
              <w:rPr>
                <w:sz w:val="20"/>
                <w:szCs w:val="20"/>
                <w:color w:val="auto"/>
              </w:rPr>
            </w:pPr>
            <w:r>
              <w:rPr>
                <w:rFonts w:ascii="Arial" w:cs="Arial" w:eastAsia="Arial" w:hAnsi="Arial"/>
                <w:sz w:val="9"/>
                <w:szCs w:val="9"/>
                <w:b w:val="1"/>
                <w:bCs w:val="1"/>
                <w:color w:val="auto"/>
              </w:rPr>
              <w:t>Portion)</w:t>
            </w:r>
          </w:p>
        </w:tc>
        <w:tc>
          <w:tcPr>
            <w:tcW w:w="540" w:type="dxa"/>
            <w:vAlign w:val="bottom"/>
          </w:tcPr>
          <w:p>
            <w:pPr>
              <w:spacing w:after="0"/>
              <w:rPr>
                <w:sz w:val="7"/>
                <w:szCs w:val="7"/>
                <w:color w:val="auto"/>
              </w:rPr>
            </w:pPr>
          </w:p>
        </w:tc>
        <w:tc>
          <w:tcPr>
            <w:tcW w:w="900" w:type="dxa"/>
            <w:vAlign w:val="bottom"/>
            <w:gridSpan w:val="14"/>
          </w:tcPr>
          <w:p>
            <w:pPr>
              <w:jc w:val="center"/>
              <w:ind w:right="60"/>
              <w:spacing w:after="0" w:line="85" w:lineRule="exact"/>
              <w:rPr>
                <w:sz w:val="20"/>
                <w:szCs w:val="20"/>
                <w:color w:val="auto"/>
              </w:rPr>
            </w:pPr>
            <w:r>
              <w:rPr>
                <w:rFonts w:ascii="Arial" w:cs="Arial" w:eastAsia="Arial" w:hAnsi="Arial"/>
                <w:sz w:val="9"/>
                <w:szCs w:val="9"/>
                <w:b w:val="1"/>
                <w:bCs w:val="1"/>
                <w:color w:val="auto"/>
              </w:rPr>
              <w:t>(Missed Forecast)</w:t>
            </w:r>
          </w:p>
        </w:tc>
        <w:tc>
          <w:tcPr>
            <w:tcW w:w="240" w:type="dxa"/>
            <w:vAlign w:val="bottom"/>
          </w:tcPr>
          <w:p>
            <w:pPr>
              <w:spacing w:after="0"/>
              <w:rPr>
                <w:sz w:val="7"/>
                <w:szCs w:val="7"/>
                <w:color w:val="auto"/>
              </w:rPr>
            </w:pPr>
          </w:p>
        </w:tc>
        <w:tc>
          <w:tcPr>
            <w:tcW w:w="1260" w:type="dxa"/>
            <w:vAlign w:val="bottom"/>
          </w:tcPr>
          <w:p>
            <w:pPr>
              <w:jc w:val="center"/>
              <w:spacing w:after="0" w:line="85" w:lineRule="exact"/>
              <w:rPr>
                <w:sz w:val="20"/>
                <w:szCs w:val="20"/>
                <w:color w:val="auto"/>
              </w:rPr>
            </w:pPr>
            <w:r>
              <w:rPr>
                <w:rFonts w:ascii="Arial" w:cs="Arial" w:eastAsia="Arial" w:hAnsi="Arial"/>
                <w:sz w:val="9"/>
                <w:szCs w:val="9"/>
                <w:b w:val="1"/>
                <w:bCs w:val="1"/>
                <w:color w:val="auto"/>
              </w:rPr>
              <w:t>Portion)</w:t>
            </w:r>
          </w:p>
        </w:tc>
        <w:tc>
          <w:tcPr>
            <w:tcW w:w="220" w:type="dxa"/>
            <w:vAlign w:val="bottom"/>
          </w:tcPr>
          <w:p>
            <w:pPr>
              <w:spacing w:after="0"/>
              <w:rPr>
                <w:sz w:val="7"/>
                <w:szCs w:val="7"/>
                <w:color w:val="auto"/>
              </w:rPr>
            </w:pPr>
          </w:p>
        </w:tc>
        <w:tc>
          <w:tcPr>
            <w:tcW w:w="1040" w:type="dxa"/>
            <w:vAlign w:val="bottom"/>
          </w:tcPr>
          <w:p>
            <w:pPr>
              <w:jc w:val="center"/>
              <w:ind w:right="174"/>
              <w:spacing w:after="0" w:line="85" w:lineRule="exact"/>
              <w:rPr>
                <w:sz w:val="20"/>
                <w:szCs w:val="20"/>
                <w:color w:val="auto"/>
              </w:rPr>
            </w:pPr>
            <w:r>
              <w:rPr>
                <w:rFonts w:ascii="Arial" w:cs="Arial" w:eastAsia="Arial" w:hAnsi="Arial"/>
                <w:sz w:val="9"/>
                <w:szCs w:val="9"/>
                <w:b w:val="1"/>
                <w:bCs w:val="1"/>
                <w:color w:val="auto"/>
              </w:rPr>
              <w:t>Portion)</w:t>
            </w: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360" w:type="dxa"/>
            <w:vAlign w:val="bottom"/>
            <w:shd w:val="clear" w:color="auto" w:fill="CCEEFF"/>
          </w:tcPr>
          <w:p>
            <w:pPr>
              <w:ind w:left="20"/>
              <w:spacing w:after="0" w:line="110" w:lineRule="exact"/>
              <w:rPr>
                <w:sz w:val="20"/>
                <w:szCs w:val="20"/>
                <w:color w:val="auto"/>
              </w:rPr>
            </w:pPr>
            <w:r>
              <w:rPr>
                <w:rFonts w:ascii="Arial" w:cs="Arial" w:eastAsia="Arial" w:hAnsi="Arial"/>
                <w:sz w:val="10"/>
                <w:szCs w:val="10"/>
                <w:b w:val="1"/>
                <w:bCs w:val="1"/>
                <w:color w:val="auto"/>
              </w:rPr>
              <w:t>Year ended December 31, 2022</w:t>
            </w:r>
          </w:p>
        </w:tc>
        <w:tc>
          <w:tcPr>
            <w:tcW w:w="9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360" w:type="dxa"/>
            <w:vAlign w:val="bottom"/>
          </w:tcPr>
          <w:p>
            <w:pPr>
              <w:ind w:left="20"/>
              <w:spacing w:after="0" w:line="104" w:lineRule="exact"/>
              <w:rPr>
                <w:sz w:val="20"/>
                <w:szCs w:val="20"/>
                <w:color w:val="auto"/>
              </w:rPr>
            </w:pPr>
            <w:r>
              <w:rPr>
                <w:rFonts w:ascii="Arial" w:cs="Arial" w:eastAsia="Arial" w:hAnsi="Arial"/>
                <w:sz w:val="10"/>
                <w:szCs w:val="10"/>
                <w:color w:val="auto"/>
              </w:rPr>
              <w:t>Derivatives designated as hedging instruments—</w:t>
            </w: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ind w:left="20"/>
              <w:spacing w:after="0" w:line="104" w:lineRule="exact"/>
              <w:rPr>
                <w:sz w:val="20"/>
                <w:szCs w:val="20"/>
                <w:color w:val="auto"/>
              </w:rPr>
            </w:pPr>
            <w:r>
              <w:rPr>
                <w:rFonts w:ascii="Arial" w:cs="Arial" w:eastAsia="Arial" w:hAnsi="Arial"/>
                <w:sz w:val="10"/>
                <w:szCs w:val="10"/>
                <w:color w:val="auto"/>
              </w:rPr>
              <w:t>Cost of revenue and</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rPr>
                <w:sz w:val="20"/>
                <w:szCs w:val="20"/>
                <w:color w:val="auto"/>
              </w:rPr>
            </w:pPr>
            <w:r>
              <w:rPr>
                <w:rFonts w:ascii="Arial" w:cs="Arial" w:eastAsia="Arial" w:hAnsi="Arial"/>
                <w:sz w:val="10"/>
                <w:szCs w:val="10"/>
                <w:color w:val="auto"/>
              </w:rPr>
              <w:t>Forward currency forward contracts</w:t>
            </w:r>
          </w:p>
        </w:tc>
        <w:tc>
          <w:tcPr>
            <w:tcW w:w="980" w:type="dxa"/>
            <w:vAlign w:val="bottom"/>
          </w:tcPr>
          <w:p>
            <w:pPr>
              <w:jc w:val="right"/>
              <w:ind w:right="876"/>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0"/>
                <w:szCs w:val="10"/>
                <w:color w:val="auto"/>
                <w:w w:val="94"/>
              </w:rPr>
              <w:t>(105)</w:t>
            </w:r>
          </w:p>
        </w:tc>
        <w:tc>
          <w:tcPr>
            <w:tcW w:w="1020" w:type="dxa"/>
            <w:vAlign w:val="bottom"/>
          </w:tcPr>
          <w:p>
            <w:pPr>
              <w:jc w:val="right"/>
              <w:ind w:right="896"/>
              <w:spacing w:after="0"/>
              <w:rPr>
                <w:sz w:val="20"/>
                <w:szCs w:val="20"/>
                <w:color w:val="auto"/>
              </w:rPr>
            </w:pPr>
            <w:r>
              <w:rPr>
                <w:rFonts w:ascii="Arial" w:cs="Arial" w:eastAsia="Arial" w:hAnsi="Arial"/>
                <w:sz w:val="10"/>
                <w:szCs w:val="10"/>
                <w:color w:val="auto"/>
              </w:rPr>
              <w:t>$</w:t>
            </w:r>
          </w:p>
        </w:tc>
        <w:tc>
          <w:tcPr>
            <w:tcW w:w="1460" w:type="dxa"/>
            <w:vAlign w:val="bottom"/>
            <w:gridSpan w:val="2"/>
          </w:tcPr>
          <w:p>
            <w:pPr>
              <w:ind w:left="20"/>
              <w:spacing w:after="0"/>
              <w:rPr>
                <w:sz w:val="20"/>
                <w:szCs w:val="20"/>
                <w:color w:val="auto"/>
              </w:rPr>
            </w:pPr>
            <w:r>
              <w:rPr>
                <w:rFonts w:ascii="Arial" w:cs="Arial" w:eastAsia="Arial" w:hAnsi="Arial"/>
                <w:sz w:val="10"/>
                <w:szCs w:val="10"/>
                <w:color w:val="auto"/>
              </w:rPr>
              <w:t>(93) operating expenses</w:t>
            </w: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11"/>
                <w:szCs w:val="11"/>
                <w:color w:val="auto"/>
              </w:rPr>
            </w:pPr>
          </w:p>
        </w:tc>
        <w:tc>
          <w:tcPr>
            <w:tcW w:w="540" w:type="dxa"/>
            <w:vAlign w:val="bottom"/>
          </w:tcPr>
          <w:p>
            <w:pPr>
              <w:jc w:val="right"/>
              <w:ind w:right="271"/>
              <w:spacing w:after="0"/>
              <w:rPr>
                <w:sz w:val="20"/>
                <w:szCs w:val="20"/>
                <w:color w:val="auto"/>
              </w:rPr>
            </w:pPr>
            <w:r>
              <w:rPr>
                <w:rFonts w:ascii="Arial" w:cs="Arial" w:eastAsia="Arial" w:hAnsi="Arial"/>
                <w:sz w:val="10"/>
                <w:szCs w:val="10"/>
                <w:color w:val="auto"/>
              </w:rPr>
              <w:t>(76)</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134"/>
              <w:spacing w:after="0"/>
              <w:rPr>
                <w:sz w:val="20"/>
                <w:szCs w:val="20"/>
                <w:color w:val="auto"/>
              </w:rPr>
            </w:pPr>
            <w:r>
              <w:rPr>
                <w:rFonts w:ascii="Arial" w:cs="Arial" w:eastAsia="Arial" w:hAnsi="Arial"/>
                <w:sz w:val="10"/>
                <w:szCs w:val="10"/>
                <w:color w:val="auto"/>
                <w:w w:val="98"/>
              </w:rPr>
              <w:t>Other income (expense)</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09"/>
        </w:trPr>
        <w:tc>
          <w:tcPr>
            <w:tcW w:w="236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Derivatives designated as hedging instruments—</w:t>
            </w:r>
          </w:p>
        </w:tc>
        <w:tc>
          <w:tcPr>
            <w:tcW w:w="9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36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Interest rate swaps</w:t>
            </w: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ind w:left="80"/>
              <w:spacing w:after="0"/>
              <w:rPr>
                <w:sz w:val="20"/>
                <w:szCs w:val="20"/>
                <w:color w:val="auto"/>
              </w:rPr>
            </w:pPr>
            <w:r>
              <w:rPr>
                <w:rFonts w:ascii="Arial" w:cs="Arial" w:eastAsia="Arial" w:hAnsi="Arial"/>
                <w:sz w:val="10"/>
                <w:szCs w:val="10"/>
                <w:color w:val="auto"/>
              </w:rPr>
              <w:t>—</w:t>
            </w:r>
          </w:p>
        </w:tc>
        <w:tc>
          <w:tcPr>
            <w:tcW w:w="1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Finance expense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rPr>
              <w:t>6</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0"/>
                <w:szCs w:val="10"/>
                <w:color w:val="auto"/>
                <w:w w:val="98"/>
              </w:rPr>
              <w:t>Other income (expense)</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4"/>
        </w:trPr>
        <w:tc>
          <w:tcPr>
            <w:tcW w:w="2360" w:type="dxa"/>
            <w:vAlign w:val="bottom"/>
          </w:tcPr>
          <w:p>
            <w:pPr>
              <w:ind w:left="20"/>
              <w:spacing w:after="0" w:line="104" w:lineRule="exact"/>
              <w:rPr>
                <w:sz w:val="20"/>
                <w:szCs w:val="20"/>
                <w:color w:val="auto"/>
              </w:rPr>
            </w:pPr>
            <w:r>
              <w:rPr>
                <w:rFonts w:ascii="Arial" w:cs="Arial" w:eastAsia="Arial" w:hAnsi="Arial"/>
                <w:sz w:val="10"/>
                <w:szCs w:val="10"/>
                <w:color w:val="auto"/>
              </w:rPr>
              <w:t>Derivatives designated as hedging instruments—</w:t>
            </w: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vMerge w:val="restart"/>
          </w:tcPr>
          <w:p>
            <w:pPr>
              <w:ind w:left="20"/>
              <w:spacing w:after="0"/>
              <w:rPr>
                <w:sz w:val="20"/>
                <w:szCs w:val="20"/>
                <w:color w:val="auto"/>
              </w:rPr>
            </w:pPr>
            <w:r>
              <w:rPr>
                <w:rFonts w:ascii="Arial" w:cs="Arial" w:eastAsia="Arial" w:hAnsi="Arial"/>
                <w:sz w:val="10"/>
                <w:szCs w:val="10"/>
                <w:color w:val="auto"/>
              </w:rPr>
              <w:t>Cost of revenue and</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360" w:type="dxa"/>
            <w:vAlign w:val="bottom"/>
          </w:tcPr>
          <w:p>
            <w:pPr>
              <w:ind w:left="20"/>
              <w:spacing w:after="0" w:line="98" w:lineRule="exact"/>
              <w:rPr>
                <w:sz w:val="20"/>
                <w:szCs w:val="20"/>
                <w:color w:val="auto"/>
              </w:rPr>
            </w:pPr>
            <w:r>
              <w:rPr>
                <w:rFonts w:ascii="Arial" w:cs="Arial" w:eastAsia="Arial" w:hAnsi="Arial"/>
                <w:sz w:val="10"/>
                <w:szCs w:val="10"/>
                <w:color w:val="auto"/>
              </w:rPr>
              <w:t>Cross currency swaps and cross currency interest</w:t>
            </w:r>
          </w:p>
        </w:tc>
        <w:tc>
          <w:tcPr>
            <w:tcW w:w="980" w:type="dxa"/>
            <w:vAlign w:val="bottom"/>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Arial" w:cs="Arial" w:eastAsia="Arial" w:hAnsi="Arial"/>
                <w:sz w:val="10"/>
                <w:szCs w:val="10"/>
                <w:color w:val="auto"/>
              </w:rPr>
              <w:t>72</w:t>
            </w:r>
          </w:p>
        </w:tc>
        <w:tc>
          <w:tcPr>
            <w:tcW w:w="1020" w:type="dxa"/>
            <w:vAlign w:val="bottom"/>
          </w:tcPr>
          <w:p>
            <w:pPr>
              <w:spacing w:after="0"/>
              <w:rPr>
                <w:sz w:val="8"/>
                <w:szCs w:val="8"/>
                <w:color w:val="auto"/>
              </w:rPr>
            </w:pPr>
          </w:p>
        </w:tc>
        <w:tc>
          <w:tcPr>
            <w:tcW w:w="220" w:type="dxa"/>
            <w:vAlign w:val="bottom"/>
            <w:vMerge w:val="restart"/>
          </w:tcPr>
          <w:p>
            <w:pPr>
              <w:ind w:left="80"/>
              <w:spacing w:after="0"/>
              <w:rPr>
                <w:sz w:val="20"/>
                <w:szCs w:val="20"/>
                <w:color w:val="auto"/>
              </w:rPr>
            </w:pPr>
            <w:r>
              <w:rPr>
                <w:rFonts w:ascii="Arial" w:cs="Arial" w:eastAsia="Arial" w:hAnsi="Arial"/>
                <w:sz w:val="10"/>
                <w:szCs w:val="10"/>
                <w:color w:val="auto"/>
              </w:rPr>
              <w:t>—</w:t>
            </w:r>
          </w:p>
        </w:tc>
        <w:tc>
          <w:tcPr>
            <w:tcW w:w="12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40" w:type="dxa"/>
            <w:vAlign w:val="bottom"/>
            <w:gridSpan w:val="15"/>
            <w:vMerge w:val="restart"/>
          </w:tcPr>
          <w:p>
            <w:pPr>
              <w:jc w:val="right"/>
              <w:ind w:right="1240"/>
              <w:spacing w:after="0"/>
              <w:rPr>
                <w:sz w:val="20"/>
                <w:szCs w:val="20"/>
                <w:color w:val="auto"/>
              </w:rPr>
            </w:pPr>
            <w:r>
              <w:rPr>
                <w:rFonts w:ascii="Arial" w:cs="Arial" w:eastAsia="Arial" w:hAnsi="Arial"/>
                <w:sz w:val="10"/>
                <w:szCs w:val="10"/>
                <w:color w:val="auto"/>
              </w:rPr>
              <w:t>—</w:t>
            </w:r>
          </w:p>
        </w:tc>
        <w:tc>
          <w:tcPr>
            <w:tcW w:w="2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60" w:type="dxa"/>
            <w:vAlign w:val="bottom"/>
            <w:vMerge w:val="restart"/>
          </w:tcPr>
          <w:p>
            <w:pPr>
              <w:jc w:val="right"/>
              <w:ind w:right="134"/>
              <w:spacing w:after="0"/>
              <w:rPr>
                <w:sz w:val="20"/>
                <w:szCs w:val="20"/>
                <w:color w:val="auto"/>
              </w:rPr>
            </w:pPr>
            <w:r>
              <w:rPr>
                <w:rFonts w:ascii="Arial" w:cs="Arial" w:eastAsia="Arial" w:hAnsi="Arial"/>
                <w:sz w:val="10"/>
                <w:szCs w:val="10"/>
                <w:color w:val="auto"/>
                <w:w w:val="98"/>
              </w:rPr>
              <w:t>Other income (expense)</w:t>
            </w:r>
          </w:p>
        </w:tc>
        <w:tc>
          <w:tcPr>
            <w:tcW w:w="220" w:type="dxa"/>
            <w:vAlign w:val="bottom"/>
          </w:tcPr>
          <w:p>
            <w:pPr>
              <w:spacing w:after="0"/>
              <w:rPr>
                <w:sz w:val="8"/>
                <w:szCs w:val="8"/>
                <w:color w:val="auto"/>
              </w:rPr>
            </w:pPr>
          </w:p>
        </w:tc>
        <w:tc>
          <w:tcPr>
            <w:tcW w:w="1040" w:type="dxa"/>
            <w:vAlign w:val="bottom"/>
            <w:vMerge w:val="restart"/>
          </w:tcPr>
          <w:p>
            <w:pPr>
              <w:jc w:val="right"/>
              <w:ind w:right="14"/>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34"/>
        </w:trPr>
        <w:tc>
          <w:tcPr>
            <w:tcW w:w="2360" w:type="dxa"/>
            <w:vAlign w:val="bottom"/>
          </w:tcPr>
          <w:p>
            <w:pPr>
              <w:ind w:left="20"/>
              <w:spacing w:after="0"/>
              <w:rPr>
                <w:sz w:val="20"/>
                <w:szCs w:val="20"/>
                <w:color w:val="auto"/>
              </w:rPr>
            </w:pPr>
            <w:r>
              <w:rPr>
                <w:rFonts w:ascii="Arial" w:cs="Arial" w:eastAsia="Arial" w:hAnsi="Arial"/>
                <w:sz w:val="10"/>
                <w:szCs w:val="10"/>
                <w:color w:val="auto"/>
              </w:rPr>
              <w:t>rate swaps</w:t>
            </w:r>
          </w:p>
        </w:tc>
        <w:tc>
          <w:tcPr>
            <w:tcW w:w="9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1240" w:type="dxa"/>
            <w:vAlign w:val="bottom"/>
          </w:tcPr>
          <w:p>
            <w:pPr>
              <w:ind w:left="20"/>
              <w:spacing w:after="0"/>
              <w:rPr>
                <w:sz w:val="20"/>
                <w:szCs w:val="20"/>
                <w:color w:val="auto"/>
              </w:rPr>
            </w:pPr>
            <w:r>
              <w:rPr>
                <w:rFonts w:ascii="Arial" w:cs="Arial" w:eastAsia="Arial" w:hAnsi="Arial"/>
                <w:sz w:val="10"/>
                <w:szCs w:val="10"/>
                <w:color w:val="auto"/>
              </w:rPr>
              <w:t>operating expenses</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gridSpan w:val="15"/>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CEEFF"/>
          </w:tcPr>
          <w:p>
            <w:pPr>
              <w:ind w:left="20"/>
              <w:spacing w:after="0" w:line="108" w:lineRule="exact"/>
              <w:rPr>
                <w:sz w:val="20"/>
                <w:szCs w:val="20"/>
                <w:color w:val="auto"/>
              </w:rPr>
            </w:pPr>
            <w:r>
              <w:rPr>
                <w:rFonts w:ascii="Arial" w:cs="Arial" w:eastAsia="Arial" w:hAnsi="Arial"/>
                <w:sz w:val="10"/>
                <w:szCs w:val="10"/>
                <w:color w:val="auto"/>
              </w:rPr>
              <w:t>Derivatives designated as hedging instruments –</w:t>
            </w:r>
          </w:p>
        </w:tc>
        <w:tc>
          <w:tcPr>
            <w:tcW w:w="9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ind w:left="20"/>
              <w:spacing w:after="0" w:line="108" w:lineRule="exact"/>
              <w:rPr>
                <w:sz w:val="20"/>
                <w:szCs w:val="20"/>
                <w:color w:val="auto"/>
              </w:rPr>
            </w:pPr>
            <w:r>
              <w:rPr>
                <w:rFonts w:ascii="Arial" w:cs="Arial" w:eastAsia="Arial" w:hAnsi="Arial"/>
                <w:sz w:val="10"/>
                <w:szCs w:val="10"/>
                <w:color w:val="auto"/>
              </w:rPr>
              <w:t>Cost of revenue and</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Commodity swaps</w:t>
            </w:r>
          </w:p>
        </w:tc>
        <w:tc>
          <w:tcPr>
            <w:tcW w:w="98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2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0"/>
                <w:szCs w:val="10"/>
                <w:color w:val="auto"/>
              </w:rPr>
              <w:t>—</w:t>
            </w:r>
          </w:p>
        </w:tc>
        <w:tc>
          <w:tcPr>
            <w:tcW w:w="1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operating expenses</w:t>
            </w:r>
          </w:p>
        </w:tc>
        <w:tc>
          <w:tcPr>
            <w:tcW w:w="2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0"/>
                <w:szCs w:val="10"/>
                <w:color w:val="auto"/>
              </w:rPr>
              <w:t>26</w:t>
            </w:r>
          </w:p>
        </w:tc>
        <w:tc>
          <w:tcPr>
            <w:tcW w:w="14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0"/>
                <w:szCs w:val="10"/>
                <w:color w:val="auto"/>
                <w:w w:val="98"/>
              </w:rPr>
              <w:t>Other income (expense)</w:t>
            </w:r>
          </w:p>
        </w:tc>
        <w:tc>
          <w:tcPr>
            <w:tcW w:w="22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44"/>
        </w:trPr>
        <w:tc>
          <w:tcPr>
            <w:tcW w:w="2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Year ended December 31, 2023</w:t>
            </w:r>
          </w:p>
        </w:tc>
        <w:tc>
          <w:tcPr>
            <w:tcW w:w="9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360" w:type="dxa"/>
            <w:vAlign w:val="bottom"/>
          </w:tcPr>
          <w:p>
            <w:pPr>
              <w:ind w:left="20"/>
              <w:spacing w:after="0" w:line="104" w:lineRule="exact"/>
              <w:rPr>
                <w:sz w:val="20"/>
                <w:szCs w:val="20"/>
                <w:color w:val="auto"/>
              </w:rPr>
            </w:pPr>
            <w:r>
              <w:rPr>
                <w:rFonts w:ascii="Arial" w:cs="Arial" w:eastAsia="Arial" w:hAnsi="Arial"/>
                <w:sz w:val="10"/>
                <w:szCs w:val="10"/>
                <w:color w:val="auto"/>
              </w:rPr>
              <w:t>Derivatives designated as hedging instruments—</w:t>
            </w: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ind w:left="20"/>
              <w:spacing w:after="0" w:line="104" w:lineRule="exact"/>
              <w:rPr>
                <w:sz w:val="20"/>
                <w:szCs w:val="20"/>
                <w:color w:val="auto"/>
              </w:rPr>
            </w:pPr>
            <w:r>
              <w:rPr>
                <w:rFonts w:ascii="Arial" w:cs="Arial" w:eastAsia="Arial" w:hAnsi="Arial"/>
                <w:sz w:val="10"/>
                <w:szCs w:val="10"/>
                <w:color w:val="auto"/>
              </w:rPr>
              <w:t>Cost of revenue and</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rPr>
                <w:sz w:val="20"/>
                <w:szCs w:val="20"/>
                <w:color w:val="auto"/>
              </w:rPr>
            </w:pPr>
            <w:r>
              <w:rPr>
                <w:rFonts w:ascii="Arial" w:cs="Arial" w:eastAsia="Arial" w:hAnsi="Arial"/>
                <w:sz w:val="10"/>
                <w:szCs w:val="10"/>
                <w:color w:val="auto"/>
              </w:rPr>
              <w:t>Forward currency forward contracts</w:t>
            </w:r>
          </w:p>
        </w:tc>
        <w:tc>
          <w:tcPr>
            <w:tcW w:w="980" w:type="dxa"/>
            <w:vAlign w:val="bottom"/>
          </w:tcPr>
          <w:p>
            <w:pPr>
              <w:jc w:val="right"/>
              <w:ind w:right="876"/>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0"/>
                <w:szCs w:val="10"/>
                <w:color w:val="auto"/>
              </w:rPr>
              <w:t>17</w:t>
            </w:r>
          </w:p>
        </w:tc>
        <w:tc>
          <w:tcPr>
            <w:tcW w:w="1020" w:type="dxa"/>
            <w:vAlign w:val="bottom"/>
          </w:tcPr>
          <w:p>
            <w:pPr>
              <w:jc w:val="right"/>
              <w:ind w:right="896"/>
              <w:spacing w:after="0"/>
              <w:rPr>
                <w:sz w:val="20"/>
                <w:szCs w:val="20"/>
                <w:color w:val="auto"/>
              </w:rPr>
            </w:pPr>
            <w:r>
              <w:rPr>
                <w:rFonts w:ascii="Arial" w:cs="Arial" w:eastAsia="Arial" w:hAnsi="Arial"/>
                <w:sz w:val="10"/>
                <w:szCs w:val="10"/>
                <w:color w:val="auto"/>
              </w:rPr>
              <w:t>$</w:t>
            </w:r>
          </w:p>
        </w:tc>
        <w:tc>
          <w:tcPr>
            <w:tcW w:w="1460" w:type="dxa"/>
            <w:vAlign w:val="bottom"/>
            <w:gridSpan w:val="2"/>
          </w:tcPr>
          <w:p>
            <w:pPr>
              <w:ind w:left="20"/>
              <w:spacing w:after="0"/>
              <w:rPr>
                <w:sz w:val="20"/>
                <w:szCs w:val="20"/>
                <w:color w:val="auto"/>
              </w:rPr>
            </w:pPr>
            <w:r>
              <w:rPr>
                <w:rFonts w:ascii="Arial" w:cs="Arial" w:eastAsia="Arial" w:hAnsi="Arial"/>
                <w:sz w:val="10"/>
                <w:szCs w:val="10"/>
                <w:color w:val="auto"/>
              </w:rPr>
              <w:t>(17) operating expenses</w:t>
            </w: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11"/>
                <w:szCs w:val="11"/>
                <w:color w:val="auto"/>
              </w:rPr>
            </w:pPr>
          </w:p>
        </w:tc>
        <w:tc>
          <w:tcPr>
            <w:tcW w:w="540" w:type="dxa"/>
            <w:vAlign w:val="bottom"/>
          </w:tcPr>
          <w:p>
            <w:pPr>
              <w:jc w:val="right"/>
              <w:ind w:right="291"/>
              <w:spacing w:after="0"/>
              <w:rPr>
                <w:sz w:val="20"/>
                <w:szCs w:val="20"/>
                <w:color w:val="auto"/>
              </w:rPr>
            </w:pPr>
            <w:r>
              <w:rPr>
                <w:rFonts w:ascii="Arial" w:cs="Arial" w:eastAsia="Arial" w:hAnsi="Arial"/>
                <w:sz w:val="10"/>
                <w:szCs w:val="10"/>
                <w:color w:val="auto"/>
              </w:rPr>
              <w:t>34</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134"/>
              <w:spacing w:after="0"/>
              <w:rPr>
                <w:sz w:val="20"/>
                <w:szCs w:val="20"/>
                <w:color w:val="auto"/>
              </w:rPr>
            </w:pPr>
            <w:r>
              <w:rPr>
                <w:rFonts w:ascii="Arial" w:cs="Arial" w:eastAsia="Arial" w:hAnsi="Arial"/>
                <w:sz w:val="10"/>
                <w:szCs w:val="10"/>
                <w:color w:val="auto"/>
                <w:w w:val="98"/>
              </w:rPr>
              <w:t>Other income (expense)</w:t>
            </w:r>
          </w:p>
        </w:tc>
        <w:tc>
          <w:tcPr>
            <w:tcW w:w="220" w:type="dxa"/>
            <w:vAlign w:val="bottom"/>
          </w:tcPr>
          <w:p>
            <w:pPr>
              <w:spacing w:after="0"/>
              <w:rPr>
                <w:sz w:val="11"/>
                <w:szCs w:val="11"/>
                <w:color w:val="auto"/>
              </w:rPr>
            </w:pPr>
          </w:p>
        </w:tc>
        <w:tc>
          <w:tcPr>
            <w:tcW w:w="1040" w:type="dxa"/>
            <w:vAlign w:val="bottom"/>
          </w:tcPr>
          <w:p>
            <w:pPr>
              <w:jc w:val="right"/>
              <w:ind w:right="14"/>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36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Derivatives designated as hedging instruments—</w:t>
            </w:r>
          </w:p>
        </w:tc>
        <w:tc>
          <w:tcPr>
            <w:tcW w:w="9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36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Interest rate swaps</w:t>
            </w: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ind w:left="80"/>
              <w:spacing w:after="0"/>
              <w:rPr>
                <w:sz w:val="20"/>
                <w:szCs w:val="20"/>
                <w:color w:val="auto"/>
              </w:rPr>
            </w:pPr>
            <w:r>
              <w:rPr>
                <w:rFonts w:ascii="Arial" w:cs="Arial" w:eastAsia="Arial" w:hAnsi="Arial"/>
                <w:sz w:val="10"/>
                <w:szCs w:val="10"/>
                <w:color w:val="auto"/>
              </w:rPr>
              <w:t>—</w:t>
            </w:r>
          </w:p>
        </w:tc>
        <w:tc>
          <w:tcPr>
            <w:tcW w:w="1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Finance expense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rPr>
              <w:t>28</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0"/>
                <w:szCs w:val="10"/>
                <w:color w:val="auto"/>
                <w:w w:val="98"/>
              </w:rPr>
              <w:t>Other income (expense)</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4"/>
        </w:trPr>
        <w:tc>
          <w:tcPr>
            <w:tcW w:w="2360" w:type="dxa"/>
            <w:vAlign w:val="bottom"/>
          </w:tcPr>
          <w:p>
            <w:pPr>
              <w:ind w:left="20"/>
              <w:spacing w:after="0" w:line="104" w:lineRule="exact"/>
              <w:rPr>
                <w:sz w:val="20"/>
                <w:szCs w:val="20"/>
                <w:color w:val="auto"/>
              </w:rPr>
            </w:pPr>
            <w:r>
              <w:rPr>
                <w:rFonts w:ascii="Arial" w:cs="Arial" w:eastAsia="Arial" w:hAnsi="Arial"/>
                <w:sz w:val="10"/>
                <w:szCs w:val="10"/>
                <w:color w:val="auto"/>
              </w:rPr>
              <w:t>Derivatives designated as hedging instruments—</w:t>
            </w: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360" w:type="dxa"/>
            <w:vAlign w:val="bottom"/>
          </w:tcPr>
          <w:p>
            <w:pPr>
              <w:ind w:left="20"/>
              <w:spacing w:after="0" w:line="98" w:lineRule="exact"/>
              <w:rPr>
                <w:sz w:val="20"/>
                <w:szCs w:val="20"/>
                <w:color w:val="auto"/>
              </w:rPr>
            </w:pPr>
            <w:r>
              <w:rPr>
                <w:rFonts w:ascii="Arial" w:cs="Arial" w:eastAsia="Arial" w:hAnsi="Arial"/>
                <w:sz w:val="10"/>
                <w:szCs w:val="10"/>
                <w:color w:val="auto"/>
              </w:rPr>
              <w:t>Cross currency swaps and cross currency interest</w:t>
            </w:r>
          </w:p>
        </w:tc>
        <w:tc>
          <w:tcPr>
            <w:tcW w:w="980" w:type="dxa"/>
            <w:vAlign w:val="bottom"/>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Arial" w:cs="Arial" w:eastAsia="Arial" w:hAnsi="Arial"/>
                <w:sz w:val="10"/>
                <w:szCs w:val="10"/>
                <w:color w:val="auto"/>
              </w:rPr>
              <w:t>31</w:t>
            </w:r>
          </w:p>
        </w:tc>
        <w:tc>
          <w:tcPr>
            <w:tcW w:w="1020" w:type="dxa"/>
            <w:vAlign w:val="bottom"/>
          </w:tcPr>
          <w:p>
            <w:pPr>
              <w:spacing w:after="0"/>
              <w:rPr>
                <w:sz w:val="8"/>
                <w:szCs w:val="8"/>
                <w:color w:val="auto"/>
              </w:rPr>
            </w:pPr>
          </w:p>
        </w:tc>
        <w:tc>
          <w:tcPr>
            <w:tcW w:w="220" w:type="dxa"/>
            <w:vAlign w:val="bottom"/>
            <w:vMerge w:val="restart"/>
          </w:tcPr>
          <w:p>
            <w:pPr>
              <w:ind w:left="80"/>
              <w:spacing w:after="0"/>
              <w:rPr>
                <w:sz w:val="20"/>
                <w:szCs w:val="20"/>
                <w:color w:val="auto"/>
              </w:rPr>
            </w:pPr>
            <w:r>
              <w:rPr>
                <w:rFonts w:ascii="Arial" w:cs="Arial" w:eastAsia="Arial" w:hAnsi="Arial"/>
                <w:sz w:val="10"/>
                <w:szCs w:val="10"/>
                <w:color w:val="auto"/>
              </w:rPr>
              <w:t>—</w:t>
            </w:r>
          </w:p>
        </w:tc>
        <w:tc>
          <w:tcPr>
            <w:tcW w:w="1240" w:type="dxa"/>
            <w:vAlign w:val="bottom"/>
            <w:vMerge w:val="restart"/>
          </w:tcPr>
          <w:p>
            <w:pPr>
              <w:ind w:left="20"/>
              <w:spacing w:after="0"/>
              <w:rPr>
                <w:sz w:val="20"/>
                <w:szCs w:val="20"/>
                <w:color w:val="auto"/>
              </w:rPr>
            </w:pPr>
            <w:r>
              <w:rPr>
                <w:rFonts w:ascii="Arial" w:cs="Arial" w:eastAsia="Arial" w:hAnsi="Arial"/>
                <w:sz w:val="10"/>
                <w:szCs w:val="10"/>
                <w:color w:val="auto"/>
              </w:rPr>
              <w:t>Finance expense</w:t>
            </w: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vMerge w:val="restart"/>
          </w:tcPr>
          <w:p>
            <w:pPr>
              <w:jc w:val="right"/>
              <w:ind w:right="291"/>
              <w:spacing w:after="0"/>
              <w:rPr>
                <w:sz w:val="20"/>
                <w:szCs w:val="20"/>
                <w:color w:val="auto"/>
              </w:rPr>
            </w:pPr>
            <w:r>
              <w:rPr>
                <w:rFonts w:ascii="Arial" w:cs="Arial" w:eastAsia="Arial" w:hAnsi="Arial"/>
                <w:sz w:val="10"/>
                <w:szCs w:val="10"/>
                <w:color w:val="auto"/>
              </w:rPr>
              <w:t>6</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60" w:type="dxa"/>
            <w:vAlign w:val="bottom"/>
            <w:vMerge w:val="restart"/>
          </w:tcPr>
          <w:p>
            <w:pPr>
              <w:jc w:val="right"/>
              <w:ind w:right="134"/>
              <w:spacing w:after="0"/>
              <w:rPr>
                <w:sz w:val="20"/>
                <w:szCs w:val="20"/>
                <w:color w:val="auto"/>
              </w:rPr>
            </w:pPr>
            <w:r>
              <w:rPr>
                <w:rFonts w:ascii="Arial" w:cs="Arial" w:eastAsia="Arial" w:hAnsi="Arial"/>
                <w:sz w:val="10"/>
                <w:szCs w:val="10"/>
                <w:color w:val="auto"/>
                <w:w w:val="98"/>
              </w:rPr>
              <w:t>Other income (expense)</w:t>
            </w:r>
          </w:p>
        </w:tc>
        <w:tc>
          <w:tcPr>
            <w:tcW w:w="220" w:type="dxa"/>
            <w:vAlign w:val="bottom"/>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34"/>
        </w:trPr>
        <w:tc>
          <w:tcPr>
            <w:tcW w:w="2360" w:type="dxa"/>
            <w:vAlign w:val="bottom"/>
          </w:tcPr>
          <w:p>
            <w:pPr>
              <w:ind w:left="20"/>
              <w:spacing w:after="0"/>
              <w:rPr>
                <w:sz w:val="20"/>
                <w:szCs w:val="20"/>
                <w:color w:val="auto"/>
              </w:rPr>
            </w:pPr>
            <w:r>
              <w:rPr>
                <w:rFonts w:ascii="Arial" w:cs="Arial" w:eastAsia="Arial" w:hAnsi="Arial"/>
                <w:sz w:val="10"/>
                <w:szCs w:val="10"/>
                <w:color w:val="auto"/>
              </w:rPr>
              <w:t>rate swaps</w:t>
            </w:r>
          </w:p>
        </w:tc>
        <w:tc>
          <w:tcPr>
            <w:tcW w:w="9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income (expense)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rPr>
              <w:t>31</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360" w:type="dxa"/>
            <w:vAlign w:val="bottom"/>
          </w:tcPr>
          <w:p>
            <w:pPr>
              <w:ind w:left="20"/>
              <w:spacing w:after="0" w:line="104" w:lineRule="exact"/>
              <w:rPr>
                <w:sz w:val="20"/>
                <w:szCs w:val="20"/>
                <w:color w:val="auto"/>
              </w:rPr>
            </w:pPr>
            <w:r>
              <w:rPr>
                <w:rFonts w:ascii="Arial" w:cs="Arial" w:eastAsia="Arial" w:hAnsi="Arial"/>
                <w:sz w:val="10"/>
                <w:szCs w:val="10"/>
                <w:color w:val="auto"/>
              </w:rPr>
              <w:t>Derivatives designated as hedging instruments –</w:t>
            </w: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ind w:left="20"/>
              <w:spacing w:after="0" w:line="104" w:lineRule="exact"/>
              <w:rPr>
                <w:sz w:val="20"/>
                <w:szCs w:val="20"/>
                <w:color w:val="auto"/>
              </w:rPr>
            </w:pPr>
            <w:r>
              <w:rPr>
                <w:rFonts w:ascii="Arial" w:cs="Arial" w:eastAsia="Arial" w:hAnsi="Arial"/>
                <w:sz w:val="10"/>
                <w:szCs w:val="10"/>
                <w:color w:val="auto"/>
              </w:rPr>
              <w:t>Cost of revenue and</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rPr>
                <w:sz w:val="20"/>
                <w:szCs w:val="20"/>
                <w:color w:val="auto"/>
              </w:rPr>
            </w:pPr>
            <w:r>
              <w:rPr>
                <w:rFonts w:ascii="Arial" w:cs="Arial" w:eastAsia="Arial" w:hAnsi="Arial"/>
                <w:sz w:val="10"/>
                <w:szCs w:val="10"/>
                <w:color w:val="auto"/>
              </w:rPr>
              <w:t>Commodity swaps</w:t>
            </w:r>
          </w:p>
        </w:tc>
        <w:tc>
          <w:tcPr>
            <w:tcW w:w="9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(32)</w:t>
            </w:r>
          </w:p>
        </w:tc>
        <w:tc>
          <w:tcPr>
            <w:tcW w:w="1020" w:type="dxa"/>
            <w:vAlign w:val="bottom"/>
          </w:tcPr>
          <w:p>
            <w:pPr>
              <w:spacing w:after="0"/>
              <w:rPr>
                <w:sz w:val="11"/>
                <w:szCs w:val="11"/>
                <w:color w:val="auto"/>
              </w:rPr>
            </w:pPr>
          </w:p>
        </w:tc>
        <w:tc>
          <w:tcPr>
            <w:tcW w:w="220" w:type="dxa"/>
            <w:vAlign w:val="bottom"/>
          </w:tcPr>
          <w:p>
            <w:pPr>
              <w:ind w:left="80"/>
              <w:spacing w:after="0"/>
              <w:rPr>
                <w:sz w:val="20"/>
                <w:szCs w:val="20"/>
                <w:color w:val="auto"/>
              </w:rPr>
            </w:pPr>
            <w:r>
              <w:rPr>
                <w:rFonts w:ascii="Arial" w:cs="Arial" w:eastAsia="Arial" w:hAnsi="Arial"/>
                <w:sz w:val="10"/>
                <w:szCs w:val="10"/>
                <w:color w:val="auto"/>
              </w:rPr>
              <w:t>—</w:t>
            </w:r>
          </w:p>
        </w:tc>
        <w:tc>
          <w:tcPr>
            <w:tcW w:w="1240" w:type="dxa"/>
            <w:vAlign w:val="bottom"/>
          </w:tcPr>
          <w:p>
            <w:pPr>
              <w:ind w:left="20"/>
              <w:spacing w:after="0"/>
              <w:rPr>
                <w:sz w:val="20"/>
                <w:szCs w:val="20"/>
                <w:color w:val="auto"/>
              </w:rPr>
            </w:pPr>
            <w:r>
              <w:rPr>
                <w:rFonts w:ascii="Arial" w:cs="Arial" w:eastAsia="Arial" w:hAnsi="Arial"/>
                <w:sz w:val="10"/>
                <w:szCs w:val="10"/>
                <w:color w:val="auto"/>
              </w:rPr>
              <w:t>operating expenses</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jc w:val="right"/>
              <w:ind w:right="271"/>
              <w:spacing w:after="0"/>
              <w:rPr>
                <w:sz w:val="20"/>
                <w:szCs w:val="20"/>
                <w:color w:val="auto"/>
              </w:rPr>
            </w:pPr>
            <w:r>
              <w:rPr>
                <w:rFonts w:ascii="Arial" w:cs="Arial" w:eastAsia="Arial" w:hAnsi="Arial"/>
                <w:sz w:val="10"/>
                <w:szCs w:val="10"/>
                <w:color w:val="auto"/>
              </w:rPr>
              <w:t>(4)</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134"/>
              <w:spacing w:after="0"/>
              <w:rPr>
                <w:sz w:val="20"/>
                <w:szCs w:val="20"/>
                <w:color w:val="auto"/>
              </w:rPr>
            </w:pPr>
            <w:r>
              <w:rPr>
                <w:rFonts w:ascii="Arial" w:cs="Arial" w:eastAsia="Arial" w:hAnsi="Arial"/>
                <w:sz w:val="10"/>
                <w:szCs w:val="10"/>
                <w:color w:val="auto"/>
                <w:w w:val="98"/>
              </w:rPr>
              <w:t>Other income (expense)</w:t>
            </w:r>
          </w:p>
        </w:tc>
        <w:tc>
          <w:tcPr>
            <w:tcW w:w="220" w:type="dxa"/>
            <w:vAlign w:val="bottom"/>
          </w:tcPr>
          <w:p>
            <w:pPr>
              <w:spacing w:after="0"/>
              <w:rPr>
                <w:sz w:val="11"/>
                <w:szCs w:val="11"/>
                <w:color w:val="auto"/>
              </w:rPr>
            </w:pPr>
          </w:p>
        </w:tc>
        <w:tc>
          <w:tcPr>
            <w:tcW w:w="1040" w:type="dxa"/>
            <w:vAlign w:val="bottom"/>
          </w:tcPr>
          <w:p>
            <w:pPr>
              <w:jc w:val="right"/>
              <w:ind w:right="14"/>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3"/>
        </w:trPr>
        <w:tc>
          <w:tcPr>
            <w:tcW w:w="2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income (expense)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40" w:type="dxa"/>
            <w:vAlign w:val="bottom"/>
            <w:gridSpan w:val="15"/>
            <w:shd w:val="clear" w:color="auto" w:fill="CCEEFF"/>
          </w:tcPr>
          <w:p>
            <w:pPr>
              <w:jc w:val="right"/>
              <w:ind w:right="12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w:t>
            </w: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00" w:type="dxa"/>
            <w:vAlign w:val="bottom"/>
            <w:gridSpan w:val="3"/>
          </w:tcPr>
          <w:p>
            <w:pPr>
              <w:spacing w:after="0"/>
              <w:rPr>
                <w:sz w:val="20"/>
                <w:szCs w:val="20"/>
                <w:color w:val="auto"/>
              </w:rPr>
            </w:pPr>
            <w:r>
              <w:rPr>
                <w:rFonts w:ascii="Arial" w:cs="Arial" w:eastAsia="Arial" w:hAnsi="Arial"/>
                <w:sz w:val="13"/>
                <w:szCs w:val="13"/>
                <w:color w:val="auto"/>
              </w:rPr>
              <w:t>The following table presents the effect of derivatives not designated as hedging instruments on the consolidated statements of operations:</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500" w:type="dxa"/>
            <w:vAlign w:val="bottom"/>
          </w:tcPr>
          <w:p>
            <w:pPr>
              <w:spacing w:after="0"/>
              <w:rPr>
                <w:sz w:val="19"/>
                <w:szCs w:val="19"/>
                <w:color w:val="auto"/>
              </w:rPr>
            </w:pPr>
          </w:p>
        </w:tc>
        <w:tc>
          <w:tcPr>
            <w:tcW w:w="2300" w:type="dxa"/>
            <w:vAlign w:val="bottom"/>
            <w:gridSpan w:val="2"/>
          </w:tcPr>
          <w:p>
            <w:pPr>
              <w:ind w:left="380"/>
              <w:spacing w:after="0"/>
              <w:rPr>
                <w:sz w:val="20"/>
                <w:szCs w:val="20"/>
                <w:color w:val="auto"/>
              </w:rPr>
            </w:pPr>
            <w:r>
              <w:rPr>
                <w:rFonts w:ascii="Arial" w:cs="Arial" w:eastAsia="Arial" w:hAnsi="Arial"/>
                <w:sz w:val="13"/>
                <w:szCs w:val="13"/>
                <w:b w:val="1"/>
                <w:bCs w:val="1"/>
                <w:color w:val="auto"/>
              </w:rPr>
              <w:t>Location of Gains (Losses)</w:t>
            </w:r>
          </w:p>
        </w:tc>
        <w:tc>
          <w:tcPr>
            <w:tcW w:w="80" w:type="dxa"/>
            <w:vAlign w:val="bottom"/>
          </w:tcPr>
          <w:p>
            <w:pPr>
              <w:spacing w:after="0"/>
              <w:rPr>
                <w:sz w:val="19"/>
                <w:szCs w:val="19"/>
                <w:color w:val="auto"/>
              </w:rPr>
            </w:pPr>
          </w:p>
        </w:tc>
        <w:tc>
          <w:tcPr>
            <w:tcW w:w="2400" w:type="dxa"/>
            <w:vAlign w:val="bottom"/>
            <w:gridSpan w:val="4"/>
          </w:tcPr>
          <w:p>
            <w:pPr>
              <w:jc w:val="right"/>
              <w:spacing w:after="0"/>
              <w:rPr>
                <w:sz w:val="20"/>
                <w:szCs w:val="20"/>
                <w:color w:val="auto"/>
              </w:rPr>
            </w:pPr>
            <w:r>
              <w:rPr>
                <w:rFonts w:ascii="Arial" w:cs="Arial" w:eastAsia="Arial" w:hAnsi="Arial"/>
                <w:sz w:val="13"/>
                <w:szCs w:val="13"/>
                <w:b w:val="1"/>
                <w:bCs w:val="1"/>
                <w:color w:val="auto"/>
                <w:w w:val="98"/>
              </w:rPr>
              <w:t>Amount of Gains (Losses) Recognized</w:t>
            </w:r>
          </w:p>
        </w:tc>
        <w:tc>
          <w:tcPr>
            <w:tcW w:w="0" w:type="dxa"/>
            <w:vAlign w:val="bottom"/>
          </w:tcPr>
          <w:p>
            <w:pPr>
              <w:spacing w:after="0"/>
              <w:rPr>
                <w:sz w:val="1"/>
                <w:szCs w:val="1"/>
                <w:color w:val="auto"/>
              </w:rPr>
            </w:pPr>
          </w:p>
        </w:tc>
      </w:tr>
      <w:tr>
        <w:trPr>
          <w:trHeight w:val="170"/>
        </w:trPr>
        <w:tc>
          <w:tcPr>
            <w:tcW w:w="650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23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7"/>
              </w:rPr>
              <w:t>Recognized in Income on Derivative</w:t>
            </w:r>
          </w:p>
        </w:tc>
        <w:tc>
          <w:tcPr>
            <w:tcW w:w="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3"/>
                <w:szCs w:val="13"/>
                <w:b w:val="1"/>
                <w:bCs w:val="1"/>
                <w:color w:val="auto"/>
              </w:rPr>
              <w:t>in Income on Derivative</w:t>
            </w:r>
          </w:p>
        </w:tc>
        <w:tc>
          <w:tcPr>
            <w:tcW w:w="0" w:type="dxa"/>
            <w:vAlign w:val="bottom"/>
          </w:tcPr>
          <w:p>
            <w:pPr>
              <w:spacing w:after="0"/>
              <w:rPr>
                <w:sz w:val="1"/>
                <w:szCs w:val="1"/>
                <w:color w:val="auto"/>
              </w:rPr>
            </w:pPr>
          </w:p>
        </w:tc>
      </w:tr>
      <w:tr>
        <w:trPr>
          <w:trHeight w:val="149"/>
        </w:trPr>
        <w:tc>
          <w:tcPr>
            <w:tcW w:w="6500" w:type="dxa"/>
            <w:vAlign w:val="bottom"/>
          </w:tcPr>
          <w:p>
            <w:pPr>
              <w:ind w:left="20"/>
              <w:spacing w:after="0" w:line="148" w:lineRule="exact"/>
              <w:rPr>
                <w:sz w:val="20"/>
                <w:szCs w:val="20"/>
                <w:color w:val="auto"/>
              </w:rPr>
            </w:pPr>
            <w:r>
              <w:rPr>
                <w:rFonts w:ascii="Arial" w:cs="Arial" w:eastAsia="Arial" w:hAnsi="Arial"/>
                <w:sz w:val="13"/>
                <w:szCs w:val="13"/>
                <w:color w:val="auto"/>
              </w:rPr>
              <w:t>Year ended December 31, 2021</w:t>
            </w:r>
          </w:p>
        </w:tc>
        <w:tc>
          <w:tcPr>
            <w:tcW w:w="1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5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Derivatives not designed as hedging instruments—foreign currency forwards contracts</w:t>
            </w:r>
          </w:p>
        </w:tc>
        <w:tc>
          <w:tcPr>
            <w:tcW w:w="230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Selling, general and administrative</w:t>
            </w:r>
          </w:p>
        </w:tc>
        <w:tc>
          <w:tcPr>
            <w:tcW w:w="920" w:type="dxa"/>
            <w:vAlign w:val="bottom"/>
            <w:gridSpan w:val="2"/>
            <w:vMerge w:val="restart"/>
            <w:shd w:val="clear" w:color="auto" w:fill="CCEEFF"/>
          </w:tcPr>
          <w:p>
            <w:pPr>
              <w:jc w:val="right"/>
              <w:ind w:right="67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8"/>
        </w:trPr>
        <w:tc>
          <w:tcPr>
            <w:tcW w:w="6500" w:type="dxa"/>
            <w:vAlign w:val="bottom"/>
            <w:vMerge w:val="continue"/>
            <w:shd w:val="clear" w:color="auto" w:fill="CCEEFF"/>
          </w:tcPr>
          <w:p>
            <w:pPr>
              <w:spacing w:after="0"/>
              <w:rPr>
                <w:sz w:val="14"/>
                <w:szCs w:val="14"/>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expenses</w:t>
            </w: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5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Year ended December 31, 2022</w:t>
            </w:r>
          </w:p>
        </w:tc>
        <w:tc>
          <w:tcPr>
            <w:tcW w:w="17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00" w:type="dxa"/>
            <w:vAlign w:val="bottom"/>
          </w:tcPr>
          <w:p>
            <w:pPr>
              <w:ind w:left="20"/>
              <w:spacing w:after="0"/>
              <w:rPr>
                <w:sz w:val="20"/>
                <w:szCs w:val="20"/>
                <w:color w:val="auto"/>
              </w:rPr>
            </w:pPr>
            <w:r>
              <w:rPr>
                <w:rFonts w:ascii="Arial" w:cs="Arial" w:eastAsia="Arial" w:hAnsi="Arial"/>
                <w:sz w:val="13"/>
                <w:szCs w:val="13"/>
                <w:color w:val="auto"/>
              </w:rPr>
              <w:t>Derivatives not designed as hedging instruments—foreign currency forwards contracts</w:t>
            </w: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Other income (expense)</w:t>
            </w:r>
          </w:p>
        </w:tc>
        <w:tc>
          <w:tcPr>
            <w:tcW w:w="920" w:type="dxa"/>
            <w:vAlign w:val="bottom"/>
            <w:gridSpan w:val="2"/>
          </w:tcPr>
          <w:p>
            <w:pPr>
              <w:jc w:val="right"/>
              <w:ind w:right="67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71"/>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gain/(loss)</w:t>
            </w:r>
          </w:p>
        </w:tc>
        <w:tc>
          <w:tcPr>
            <w:tcW w:w="17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w:t>
            </w:r>
          </w:p>
        </w:tc>
        <w:tc>
          <w:tcPr>
            <w:tcW w:w="0" w:type="dxa"/>
            <w:vAlign w:val="bottom"/>
          </w:tcPr>
          <w:p>
            <w:pPr>
              <w:spacing w:after="0"/>
              <w:rPr>
                <w:sz w:val="1"/>
                <w:szCs w:val="1"/>
                <w:color w:val="auto"/>
              </w:rPr>
            </w:pPr>
          </w:p>
        </w:tc>
      </w:tr>
      <w:tr>
        <w:trPr>
          <w:trHeight w:val="192"/>
        </w:trPr>
        <w:tc>
          <w:tcPr>
            <w:tcW w:w="65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Year ended December 31, 2023</w:t>
            </w:r>
          </w:p>
        </w:tc>
        <w:tc>
          <w:tcPr>
            <w:tcW w:w="17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00" w:type="dxa"/>
            <w:vAlign w:val="bottom"/>
          </w:tcPr>
          <w:p>
            <w:pPr>
              <w:ind w:left="20"/>
              <w:spacing w:after="0"/>
              <w:rPr>
                <w:sz w:val="20"/>
                <w:szCs w:val="20"/>
                <w:color w:val="auto"/>
              </w:rPr>
            </w:pPr>
            <w:r>
              <w:rPr>
                <w:rFonts w:ascii="Arial" w:cs="Arial" w:eastAsia="Arial" w:hAnsi="Arial"/>
                <w:sz w:val="13"/>
                <w:szCs w:val="13"/>
                <w:color w:val="auto"/>
              </w:rPr>
              <w:t>Derivatives not designed as hedging instruments—foreign currency forwards contracts</w:t>
            </w: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Other income (expense)</w:t>
            </w:r>
          </w:p>
        </w:tc>
        <w:tc>
          <w:tcPr>
            <w:tcW w:w="920" w:type="dxa"/>
            <w:vAlign w:val="bottom"/>
            <w:gridSpan w:val="2"/>
          </w:tcPr>
          <w:p>
            <w:pPr>
              <w:jc w:val="right"/>
              <w:ind w:right="67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71"/>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Derivatives not designed as hedging instruments—commodity swaps</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0"/>
        </w:trPr>
        <w:tc>
          <w:tcPr>
            <w:tcW w:w="6500" w:type="dxa"/>
            <w:vAlign w:val="bottom"/>
          </w:tcPr>
          <w:p>
            <w:pPr>
              <w:ind w:left="20"/>
              <w:spacing w:after="0"/>
              <w:rPr>
                <w:sz w:val="20"/>
                <w:szCs w:val="20"/>
                <w:color w:val="auto"/>
              </w:rPr>
            </w:pPr>
            <w:r>
              <w:rPr>
                <w:rFonts w:ascii="Arial" w:cs="Arial" w:eastAsia="Arial" w:hAnsi="Arial"/>
                <w:sz w:val="13"/>
                <w:szCs w:val="13"/>
                <w:b w:val="1"/>
                <w:bCs w:val="1"/>
                <w:color w:val="auto"/>
              </w:rPr>
              <w:t>Total gain/(loss)</w:t>
            </w:r>
          </w:p>
        </w:tc>
        <w:tc>
          <w:tcPr>
            <w:tcW w:w="1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gridSpan w:val="2"/>
          </w:tcPr>
          <w:p>
            <w:pPr>
              <w:jc w:val="right"/>
              <w:ind w:right="676"/>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(24)</w:t>
            </w:r>
          </w:p>
        </w:tc>
        <w:tc>
          <w:tcPr>
            <w:tcW w:w="0" w:type="dxa"/>
            <w:vAlign w:val="bottom"/>
          </w:tcPr>
          <w:p>
            <w:pPr>
              <w:spacing w:after="0"/>
              <w:rPr>
                <w:sz w:val="1"/>
                <w:szCs w:val="1"/>
                <w:color w:val="auto"/>
              </w:rPr>
            </w:pPr>
          </w:p>
        </w:tc>
      </w:tr>
      <w:tr>
        <w:trPr>
          <w:trHeight w:val="397"/>
        </w:trPr>
        <w:tc>
          <w:tcPr>
            <w:tcW w:w="6500" w:type="dxa"/>
            <w:vAlign w:val="bottom"/>
          </w:tcPr>
          <w:p>
            <w:pPr>
              <w:spacing w:after="0"/>
              <w:rPr>
                <w:sz w:val="20"/>
                <w:szCs w:val="20"/>
                <w:color w:val="auto"/>
              </w:rPr>
            </w:pPr>
            <w:r>
              <w:rPr>
                <w:rFonts w:ascii="Arial" w:cs="Arial" w:eastAsia="Arial" w:hAnsi="Arial"/>
                <w:sz w:val="13"/>
                <w:szCs w:val="13"/>
                <w:b w:val="1"/>
                <w:bCs w:val="1"/>
                <w:color w:val="auto"/>
              </w:rPr>
              <w:t>11. Trade Payables and Other Liabilities</w:t>
            </w: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5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80" w:type="dxa"/>
            <w:vAlign w:val="bottom"/>
            <w:gridSpan w:val="4"/>
          </w:tcPr>
          <w:p>
            <w:pPr>
              <w:ind w:left="34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9"/>
                <w:szCs w:val="19"/>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17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50"/>
        </w:trPr>
        <w:tc>
          <w:tcPr>
            <w:tcW w:w="65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Current:</w:t>
            </w:r>
          </w:p>
        </w:tc>
        <w:tc>
          <w:tcPr>
            <w:tcW w:w="17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500" w:type="dxa"/>
            <w:vAlign w:val="bottom"/>
          </w:tcPr>
          <w:p>
            <w:pPr>
              <w:ind w:left="100"/>
              <w:spacing w:after="0"/>
              <w:rPr>
                <w:sz w:val="20"/>
                <w:szCs w:val="20"/>
                <w:color w:val="auto"/>
              </w:rPr>
            </w:pPr>
            <w:r>
              <w:rPr>
                <w:rFonts w:ascii="Arial" w:cs="Arial" w:eastAsia="Arial" w:hAnsi="Arial"/>
                <w:sz w:val="13"/>
                <w:szCs w:val="13"/>
                <w:color w:val="auto"/>
              </w:rPr>
              <w:t>Trade payables</w:t>
            </w:r>
          </w:p>
        </w:tc>
        <w:tc>
          <w:tcPr>
            <w:tcW w:w="2300" w:type="dxa"/>
            <w:vAlign w:val="bottom"/>
            <w:gridSpan w:val="2"/>
          </w:tcPr>
          <w:p>
            <w:pPr>
              <w:ind w:left="17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511</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532</w:t>
            </w:r>
          </w:p>
        </w:tc>
        <w:tc>
          <w:tcPr>
            <w:tcW w:w="0" w:type="dxa"/>
            <w:vAlign w:val="bottom"/>
          </w:tcPr>
          <w:p>
            <w:pPr>
              <w:spacing w:after="0"/>
              <w:rPr>
                <w:sz w:val="1"/>
                <w:szCs w:val="1"/>
                <w:color w:val="auto"/>
              </w:rPr>
            </w:pPr>
          </w:p>
        </w:tc>
      </w:tr>
      <w:tr>
        <w:trPr>
          <w:trHeight w:val="171"/>
        </w:trPr>
        <w:tc>
          <w:tcPr>
            <w:tcW w:w="65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expenses</w:t>
            </w:r>
          </w:p>
        </w:tc>
        <w:tc>
          <w:tcPr>
            <w:tcW w:w="17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w:t>
            </w:r>
          </w:p>
        </w:tc>
        <w:tc>
          <w:tcPr>
            <w:tcW w:w="0" w:type="dxa"/>
            <w:vAlign w:val="bottom"/>
          </w:tcPr>
          <w:p>
            <w:pPr>
              <w:spacing w:after="0"/>
              <w:rPr>
                <w:sz w:val="1"/>
                <w:szCs w:val="1"/>
                <w:color w:val="auto"/>
              </w:rPr>
            </w:pPr>
          </w:p>
        </w:tc>
      </w:tr>
      <w:tr>
        <w:trPr>
          <w:trHeight w:val="170"/>
        </w:trPr>
        <w:tc>
          <w:tcPr>
            <w:tcW w:w="6500" w:type="dxa"/>
            <w:vAlign w:val="bottom"/>
          </w:tcPr>
          <w:p>
            <w:pPr>
              <w:ind w:left="100"/>
              <w:spacing w:after="0" w:line="170" w:lineRule="exact"/>
              <w:rPr>
                <w:sz w:val="20"/>
                <w:szCs w:val="20"/>
                <w:color w:val="auto"/>
              </w:rPr>
            </w:pPr>
            <w:r>
              <w:rPr>
                <w:rFonts w:ascii="Arial" w:cs="Arial" w:eastAsia="Arial" w:hAnsi="Arial"/>
                <w:sz w:val="13"/>
                <w:szCs w:val="13"/>
                <w:color w:val="auto"/>
              </w:rPr>
              <w:t>Contract liabilities</w:t>
            </w:r>
            <w:r>
              <w:rPr>
                <w:rFonts w:ascii="Arial" w:cs="Arial" w:eastAsia="Arial" w:hAnsi="Arial"/>
                <w:sz w:val="16"/>
                <w:szCs w:val="16"/>
                <w:color w:val="auto"/>
                <w:vertAlign w:val="superscript"/>
              </w:rPr>
              <w:t>(1)</w:t>
            </w:r>
          </w:p>
        </w:tc>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895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592</w:t>
            </w:r>
          </w:p>
        </w:tc>
        <w:tc>
          <w:tcPr>
            <w:tcW w:w="0" w:type="dxa"/>
            <w:vAlign w:val="bottom"/>
          </w:tcPr>
          <w:p>
            <w:pPr>
              <w:spacing w:after="0"/>
              <w:rPr>
                <w:sz w:val="1"/>
                <w:szCs w:val="1"/>
                <w:color w:val="auto"/>
              </w:rPr>
            </w:pPr>
          </w:p>
        </w:tc>
      </w:tr>
      <w:tr>
        <w:trPr>
          <w:trHeight w:val="170"/>
        </w:trPr>
        <w:tc>
          <w:tcPr>
            <w:tcW w:w="6500" w:type="dxa"/>
            <w:vAlign w:val="bottom"/>
            <w:shd w:val="clear" w:color="auto" w:fill="CCEEFF"/>
          </w:tcPr>
          <w:p>
            <w:pPr>
              <w:ind w:left="100"/>
              <w:spacing w:after="0" w:line="170" w:lineRule="exact"/>
              <w:rPr>
                <w:sz w:val="20"/>
                <w:szCs w:val="20"/>
                <w:color w:val="auto"/>
              </w:rPr>
            </w:pPr>
            <w:r>
              <w:rPr>
                <w:rFonts w:ascii="Arial" w:cs="Arial" w:eastAsia="Arial" w:hAnsi="Arial"/>
                <w:sz w:val="13"/>
                <w:szCs w:val="13"/>
                <w:color w:val="auto"/>
              </w:rPr>
              <w:t>Advances and deposits</w:t>
            </w:r>
            <w:r>
              <w:rPr>
                <w:rFonts w:ascii="Arial" w:cs="Arial" w:eastAsia="Arial" w:hAnsi="Arial"/>
                <w:sz w:val="16"/>
                <w:szCs w:val="16"/>
                <w:color w:val="auto"/>
                <w:vertAlign w:val="superscript"/>
              </w:rPr>
              <w:t>(2)</w:t>
            </w:r>
          </w:p>
        </w:tc>
        <w:tc>
          <w:tcPr>
            <w:tcW w:w="17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69"/>
        </w:trPr>
        <w:tc>
          <w:tcPr>
            <w:tcW w:w="6500" w:type="dxa"/>
            <w:vAlign w:val="bottom"/>
          </w:tcPr>
          <w:p>
            <w:pPr>
              <w:ind w:left="100"/>
              <w:spacing w:after="0"/>
              <w:rPr>
                <w:sz w:val="20"/>
                <w:szCs w:val="20"/>
                <w:color w:val="auto"/>
              </w:rPr>
            </w:pPr>
            <w:r>
              <w:rPr>
                <w:rFonts w:ascii="Arial" w:cs="Arial" w:eastAsia="Arial" w:hAnsi="Arial"/>
                <w:sz w:val="13"/>
                <w:szCs w:val="13"/>
                <w:color w:val="auto"/>
              </w:rPr>
              <w:t>Payable for property, plant and equipment and Intangible Assets</w:t>
            </w:r>
          </w:p>
        </w:tc>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282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961</w:t>
            </w:r>
          </w:p>
        </w:tc>
        <w:tc>
          <w:tcPr>
            <w:tcW w:w="0" w:type="dxa"/>
            <w:vAlign w:val="bottom"/>
          </w:tcPr>
          <w:p>
            <w:pPr>
              <w:spacing w:after="0"/>
              <w:rPr>
                <w:sz w:val="1"/>
                <w:szCs w:val="1"/>
                <w:color w:val="auto"/>
              </w:rPr>
            </w:pPr>
          </w:p>
        </w:tc>
      </w:tr>
      <w:tr>
        <w:trPr>
          <w:trHeight w:val="171"/>
        </w:trPr>
        <w:tc>
          <w:tcPr>
            <w:tcW w:w="6500" w:type="dxa"/>
            <w:vAlign w:val="bottom"/>
            <w:shd w:val="clear" w:color="auto" w:fill="CCEEFF"/>
          </w:tcPr>
          <w:p>
            <w:pPr>
              <w:ind w:left="100"/>
              <w:spacing w:after="0" w:line="171" w:lineRule="exact"/>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(3)</w:t>
            </w:r>
          </w:p>
        </w:tc>
        <w:tc>
          <w:tcPr>
            <w:tcW w:w="172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60"/>
        </w:trPr>
        <w:tc>
          <w:tcPr>
            <w:tcW w:w="650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2300" w:type="dxa"/>
            <w:vAlign w:val="bottom"/>
            <w:gridSpan w:val="2"/>
          </w:tcPr>
          <w:p>
            <w:pPr>
              <w:ind w:left="1740"/>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rPr>
              <w:t>2,349</w:t>
            </w:r>
          </w:p>
        </w:tc>
        <w:tc>
          <w:tcPr>
            <w:tcW w:w="80" w:type="dxa"/>
            <w:vAlign w:val="bottom"/>
          </w:tcPr>
          <w:p>
            <w:pPr>
              <w:spacing w:after="0"/>
              <w:rPr>
                <w:sz w:val="13"/>
                <w:szCs w:val="13"/>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2,849</w:t>
            </w:r>
          </w:p>
        </w:tc>
        <w:tc>
          <w:tcPr>
            <w:tcW w:w="0" w:type="dxa"/>
            <w:vAlign w:val="bottom"/>
          </w:tcPr>
          <w:p>
            <w:pPr>
              <w:spacing w:after="0"/>
              <w:rPr>
                <w:sz w:val="1"/>
                <w:szCs w:val="1"/>
                <w:color w:val="auto"/>
              </w:rPr>
            </w:pPr>
          </w:p>
        </w:tc>
      </w:tr>
      <w:tr>
        <w:trPr>
          <w:trHeight w:val="150"/>
        </w:trPr>
        <w:tc>
          <w:tcPr>
            <w:tcW w:w="65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Non-current:</w:t>
            </w:r>
          </w:p>
        </w:tc>
        <w:tc>
          <w:tcPr>
            <w:tcW w:w="17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500" w:type="dxa"/>
            <w:vAlign w:val="bottom"/>
          </w:tcPr>
          <w:p>
            <w:pPr>
              <w:ind w:left="100"/>
              <w:spacing w:after="0"/>
              <w:rPr>
                <w:sz w:val="20"/>
                <w:szCs w:val="20"/>
                <w:color w:val="auto"/>
              </w:rPr>
            </w:pPr>
            <w:r>
              <w:rPr>
                <w:rFonts w:ascii="Arial" w:cs="Arial" w:eastAsia="Arial" w:hAnsi="Arial"/>
                <w:sz w:val="13"/>
                <w:szCs w:val="13"/>
                <w:color w:val="auto"/>
              </w:rPr>
              <w:t>Payable for Intangible Assets</w:t>
            </w:r>
          </w:p>
        </w:tc>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71"/>
        </w:trPr>
        <w:tc>
          <w:tcPr>
            <w:tcW w:w="6500" w:type="dxa"/>
            <w:vAlign w:val="bottom"/>
            <w:shd w:val="clear" w:color="auto" w:fill="CCEEFF"/>
          </w:tcPr>
          <w:p>
            <w:pPr>
              <w:ind w:left="100"/>
              <w:spacing w:after="0" w:line="171" w:lineRule="exact"/>
              <w:rPr>
                <w:sz w:val="20"/>
                <w:szCs w:val="20"/>
                <w:color w:val="auto"/>
              </w:rPr>
            </w:pPr>
            <w:r>
              <w:rPr>
                <w:rFonts w:ascii="Arial" w:cs="Arial" w:eastAsia="Arial" w:hAnsi="Arial"/>
                <w:sz w:val="13"/>
                <w:szCs w:val="13"/>
                <w:color w:val="auto"/>
              </w:rPr>
              <w:t>Contract liabilities</w:t>
            </w:r>
            <w:r>
              <w:rPr>
                <w:rFonts w:ascii="Arial" w:cs="Arial" w:eastAsia="Arial" w:hAnsi="Arial"/>
                <w:sz w:val="16"/>
                <w:szCs w:val="16"/>
                <w:color w:val="auto"/>
                <w:vertAlign w:val="superscript"/>
              </w:rPr>
              <w:t>(1)</w:t>
            </w:r>
          </w:p>
        </w:tc>
        <w:tc>
          <w:tcPr>
            <w:tcW w:w="17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1,088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1,326</w:t>
            </w:r>
          </w:p>
        </w:tc>
        <w:tc>
          <w:tcPr>
            <w:tcW w:w="0" w:type="dxa"/>
            <w:vAlign w:val="bottom"/>
          </w:tcPr>
          <w:p>
            <w:pPr>
              <w:spacing w:after="0"/>
              <w:rPr>
                <w:sz w:val="1"/>
                <w:szCs w:val="1"/>
                <w:color w:val="auto"/>
              </w:rPr>
            </w:pPr>
          </w:p>
        </w:tc>
      </w:tr>
      <w:tr>
        <w:trPr>
          <w:trHeight w:val="170"/>
        </w:trPr>
        <w:tc>
          <w:tcPr>
            <w:tcW w:w="6500" w:type="dxa"/>
            <w:vAlign w:val="bottom"/>
            <w:tcBorders>
              <w:bottom w:val="single" w:sz="8" w:color="CCEEFF"/>
            </w:tcBorders>
          </w:tcPr>
          <w:p>
            <w:pPr>
              <w:ind w:left="100"/>
              <w:spacing w:after="0" w:line="170" w:lineRule="exact"/>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(3)</w:t>
            </w:r>
          </w:p>
        </w:tc>
        <w:tc>
          <w:tcPr>
            <w:tcW w:w="17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26</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60"/>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172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1,190</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1,474</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500" w:hanging="240"/>
        <w:spacing w:after="0"/>
        <w:tabs>
          <w:tab w:leader="none" w:pos="500" w:val="left"/>
        </w:tabs>
        <w:numPr>
          <w:ilvl w:val="0"/>
          <w:numId w:val="105"/>
        </w:numPr>
        <w:rPr>
          <w:rFonts w:ascii="Arial" w:cs="Arial" w:eastAsia="Arial" w:hAnsi="Arial"/>
          <w:sz w:val="17"/>
          <w:szCs w:val="17"/>
          <w:color w:val="auto"/>
          <w:vertAlign w:val="superscript"/>
        </w:rPr>
      </w:pPr>
      <w:r>
        <w:rPr>
          <w:rFonts w:ascii="Arial" w:cs="Arial" w:eastAsia="Arial" w:hAnsi="Arial"/>
          <w:sz w:val="13"/>
          <w:szCs w:val="13"/>
          <w:color w:val="auto"/>
        </w:rPr>
        <w:t>Contract liabilities comprises contract liabilities for payments received in advance of the satisfaction of performance obligations for wafers, as well as NRE services.</w:t>
      </w:r>
    </w:p>
    <w:p>
      <w:pPr>
        <w:spacing w:after="0" w:line="55" w:lineRule="exact"/>
        <w:rPr>
          <w:rFonts w:ascii="Arial" w:cs="Arial" w:eastAsia="Arial" w:hAnsi="Arial"/>
          <w:sz w:val="17"/>
          <w:szCs w:val="17"/>
          <w:color w:val="auto"/>
          <w:vertAlign w:val="superscript"/>
        </w:rPr>
      </w:pPr>
    </w:p>
    <w:p>
      <w:pPr>
        <w:ind w:left="500" w:hanging="240"/>
        <w:spacing w:after="0" w:line="217" w:lineRule="auto"/>
        <w:tabs>
          <w:tab w:leader="none" w:pos="500" w:val="left"/>
        </w:tabs>
        <w:numPr>
          <w:ilvl w:val="0"/>
          <w:numId w:val="105"/>
        </w:numPr>
        <w:rPr>
          <w:rFonts w:ascii="Arial" w:cs="Arial" w:eastAsia="Arial" w:hAnsi="Arial"/>
          <w:sz w:val="17"/>
          <w:szCs w:val="17"/>
          <w:color w:val="auto"/>
          <w:vertAlign w:val="superscript"/>
        </w:rPr>
      </w:pPr>
      <w:r>
        <w:rPr>
          <w:rFonts w:ascii="Arial" w:cs="Arial" w:eastAsia="Arial" w:hAnsi="Arial"/>
          <w:sz w:val="13"/>
          <w:szCs w:val="13"/>
          <w:color w:val="auto"/>
        </w:rPr>
        <w:t>Advances and deposits include advances from customers of $22 million (2022: $73 million) collected for purchase orders.</w:t>
      </w:r>
    </w:p>
    <w:p>
      <w:pPr>
        <w:spacing w:after="0" w:line="56" w:lineRule="exact"/>
        <w:rPr>
          <w:rFonts w:ascii="Arial" w:cs="Arial" w:eastAsia="Arial" w:hAnsi="Arial"/>
          <w:sz w:val="17"/>
          <w:szCs w:val="17"/>
          <w:color w:val="auto"/>
          <w:vertAlign w:val="superscript"/>
        </w:rPr>
      </w:pPr>
    </w:p>
    <w:p>
      <w:pPr>
        <w:ind w:left="500" w:hanging="240"/>
        <w:spacing w:after="0" w:line="230" w:lineRule="auto"/>
        <w:tabs>
          <w:tab w:leader="none" w:pos="500" w:val="left"/>
        </w:tabs>
        <w:numPr>
          <w:ilvl w:val="0"/>
          <w:numId w:val="105"/>
        </w:numPr>
        <w:rPr>
          <w:rFonts w:ascii="Arial" w:cs="Arial" w:eastAsia="Arial" w:hAnsi="Arial"/>
          <w:sz w:val="17"/>
          <w:szCs w:val="17"/>
          <w:color w:val="auto"/>
          <w:vertAlign w:val="superscript"/>
        </w:rPr>
      </w:pPr>
      <w:r>
        <w:rPr>
          <w:rFonts w:ascii="Arial" w:cs="Arial" w:eastAsia="Arial" w:hAnsi="Arial"/>
          <w:sz w:val="13"/>
          <w:szCs w:val="13"/>
          <w:color w:val="auto"/>
        </w:rPr>
        <w:t>Other includes other financial liabilities, due from related parties, deferred tax liabilities and non-current advances and deposits. See Note 10 for further details on other financial liabilities.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the Consolidated Financial Statements</w:t>
      </w:r>
    </w:p>
    <w:p>
      <w:pPr>
        <w:sectPr>
          <w:pgSz w:w="11900" w:h="16838" w:orient="portrait"/>
          <w:cols w:equalWidth="0" w:num="1">
            <w:col w:w="11280"/>
          </w:cols>
          <w:pgMar w:left="300" w:top="214" w:right="319" w:bottom="1440" w:gutter="0" w:footer="0" w:header="0"/>
        </w:sectPr>
      </w:pP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activities in contract liabilities for the years ended December 31, 2023 and 2022:</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161530" cy="1143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83" w:lineRule="exact"/>
        <w:rPr>
          <w:sz w:val="20"/>
          <w:szCs w:val="20"/>
          <w:color w:val="auto"/>
        </w:rPr>
      </w:pPr>
    </w:p>
    <w:p>
      <w:pPr>
        <w:ind w:left="20"/>
        <w:spacing w:after="0"/>
        <w:rPr>
          <w:sz w:val="20"/>
          <w:szCs w:val="20"/>
          <w:color w:val="auto"/>
        </w:rPr>
      </w:pPr>
      <w:r>
        <w:rPr>
          <w:rFonts w:ascii="Arial" w:cs="Arial" w:eastAsia="Arial" w:hAnsi="Arial"/>
          <w:sz w:val="13"/>
          <w:szCs w:val="13"/>
          <w:color w:val="auto"/>
        </w:rPr>
        <w:t>Beginning contract liabilities balance</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Cash receipts in advance of satisfaction of performance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752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175260"/>
                    </a:xfrm>
                    <a:prstGeom prst="rect">
                      <a:avLst/>
                    </a:prstGeom>
                    <a:noFill/>
                  </pic:spPr>
                </pic:pic>
              </a:graphicData>
            </a:graphic>
          </wp:anchor>
        </w:drawing>
      </w:r>
    </w:p>
    <w:p>
      <w:pPr>
        <w:spacing w:after="0" w:line="9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Released to the consolidated statements of operations </w:t>
      </w:r>
      <w:r>
        <w:rPr>
          <w:rFonts w:ascii="Arial" w:cs="Arial" w:eastAsia="Arial" w:hAnsi="Arial"/>
          <w:sz w:val="16"/>
          <w:szCs w:val="16"/>
          <w:color w:val="auto"/>
          <w:vertAlign w:val="superscript"/>
        </w:rPr>
        <w:t>(1)</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3"/>
          <w:szCs w:val="13"/>
          <w:color w:val="auto"/>
        </w:rPr>
        <w:t>Amounts credited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079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(2)</w:t>
      </w:r>
    </w:p>
    <w:p>
      <w:pPr>
        <w:ind w:left="20"/>
        <w:spacing w:after="0"/>
        <w:rPr>
          <w:sz w:val="20"/>
          <w:szCs w:val="20"/>
          <w:color w:val="auto"/>
        </w:rPr>
      </w:pPr>
      <w:r>
        <w:rPr>
          <w:rFonts w:ascii="Arial" w:cs="Arial" w:eastAsia="Arial" w:hAnsi="Arial"/>
          <w:sz w:val="13"/>
          <w:szCs w:val="13"/>
          <w:color w:val="auto"/>
        </w:rPr>
        <w:t>Ending contract liabilities balance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3"/>
                <w:szCs w:val="13"/>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r>
      <w:tr>
        <w:trPr>
          <w:trHeight w:val="171"/>
        </w:trPr>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r>
      <w:tr>
        <w:trPr>
          <w:trHeight w:val="167"/>
        </w:trPr>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1,918</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1,901</w:t>
            </w:r>
          </w:p>
        </w:tc>
      </w:tr>
      <w:tr>
        <w:trPr>
          <w:trHeight w:val="170"/>
        </w:trPr>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1,189</w:t>
            </w:r>
          </w:p>
        </w:tc>
      </w:tr>
    </w:tbl>
    <w:p>
      <w:pPr>
        <w:spacing w:after="0" w:line="109" w:lineRule="exact"/>
        <w:rPr>
          <w:sz w:val="20"/>
          <w:szCs w:val="20"/>
          <w:color w:val="auto"/>
        </w:rPr>
      </w:pPr>
    </w:p>
    <w:p>
      <w:pPr>
        <w:ind w:left="2740" w:hanging="1565"/>
        <w:spacing w:after="0"/>
        <w:tabs>
          <w:tab w:leader="none" w:pos="27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(951)</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w:t>
      </w:r>
      <w:r>
        <w:rPr>
          <w:rFonts w:ascii="Arial" w:cs="Arial" w:eastAsia="Arial" w:hAnsi="Arial"/>
          <w:sz w:val="12"/>
          <w:szCs w:val="12"/>
          <w:color w:val="auto"/>
        </w:rPr>
        <w:t>(221)</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19</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194056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11" w:lineRule="exact"/>
        <w:rPr>
          <w:sz w:val="20"/>
          <w:szCs w:val="20"/>
          <w:color w:val="auto"/>
        </w:rPr>
      </w:pPr>
    </w:p>
    <w:p>
      <w:pPr>
        <w:ind w:left="20"/>
        <w:spacing w:after="0"/>
        <w:tabs>
          <w:tab w:leader="none" w:pos="1100" w:val="left"/>
          <w:tab w:leader="none" w:pos="1580" w:val="left"/>
          <w:tab w:leader="none" w:pos="26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1,983</w:t>
        <w:tab/>
        <w:t>$</w:t>
      </w:r>
      <w:r>
        <w:rPr>
          <w:sz w:val="20"/>
          <w:szCs w:val="20"/>
          <w:color w:val="auto"/>
        </w:rPr>
        <w:tab/>
      </w:r>
      <w:r>
        <w:rPr>
          <w:rFonts w:ascii="Arial" w:cs="Arial" w:eastAsia="Arial" w:hAnsi="Arial"/>
          <w:sz w:val="12"/>
          <w:szCs w:val="12"/>
          <w:color w:val="auto"/>
        </w:rPr>
        <w:t>1,918</w:t>
      </w:r>
    </w:p>
    <w:p>
      <w:pPr>
        <w:spacing w:after="0" w:line="17" w:lineRule="exact"/>
        <w:rPr>
          <w:sz w:val="20"/>
          <w:szCs w:val="20"/>
          <w:color w:val="auto"/>
        </w:rPr>
      </w:pPr>
    </w:p>
    <w:p>
      <w:pPr>
        <w:sectPr>
          <w:pgSz w:w="11900" w:h="16838" w:orient="portrait"/>
          <w:cols w:equalWidth="0" w:num="2">
            <w:col w:w="7500" w:space="720"/>
            <w:col w:w="3060"/>
          </w:cols>
          <w:pgMar w:left="300" w:top="214" w:right="319" w:bottom="1440" w:gutter="0" w:footer="0" w:header="0"/>
          <w:type w:val="continuous"/>
        </w:sectPr>
      </w:pPr>
    </w:p>
    <w:tbl>
      <w:tblPr>
        <w:tblLayout w:type="fixed"/>
        <w:tblInd w:w="0" w:type="dxa"/>
        <w:tblCellMar>
          <w:top w:w="0" w:type="dxa"/>
          <w:left w:w="0" w:type="dxa"/>
          <w:bottom w:w="0" w:type="dxa"/>
          <w:right w:w="0" w:type="dxa"/>
        </w:tblCellMar>
      </w:tblPr>
      <w:tr>
        <w:trPr>
          <w:trHeight w:val="152"/>
        </w:trPr>
        <w:tc>
          <w:tcPr>
            <w:tcW w:w="82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Current</w:t>
            </w:r>
          </w:p>
        </w:tc>
        <w:tc>
          <w:tcPr>
            <w:tcW w:w="600" w:type="dxa"/>
            <w:vAlign w:val="bottom"/>
          </w:tcPr>
          <w:p>
            <w:pPr>
              <w:jc w:val="right"/>
              <w:ind w:right="436"/>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895</w:t>
            </w:r>
          </w:p>
        </w:tc>
        <w:tc>
          <w:tcPr>
            <w:tcW w:w="80" w:type="dxa"/>
            <w:vAlign w:val="bottom"/>
          </w:tcPr>
          <w:p>
            <w:pPr>
              <w:spacing w:after="0"/>
              <w:rPr>
                <w:sz w:val="14"/>
                <w:szCs w:val="14"/>
                <w:color w:val="auto"/>
              </w:rPr>
            </w:pPr>
          </w:p>
        </w:tc>
        <w:tc>
          <w:tcPr>
            <w:tcW w:w="600" w:type="dxa"/>
            <w:vAlign w:val="bottom"/>
          </w:tcPr>
          <w:p>
            <w:pPr>
              <w:jc w:val="right"/>
              <w:ind w:right="45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592</w:t>
            </w: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w:t>
            </w:r>
          </w:p>
        </w:tc>
        <w:tc>
          <w:tcPr>
            <w:tcW w:w="6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1,088</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1,326</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6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1,983</w:t>
            </w:r>
          </w:p>
        </w:tc>
        <w:tc>
          <w:tcPr>
            <w:tcW w:w="80" w:type="dxa"/>
            <w:vAlign w:val="bottom"/>
          </w:tcPr>
          <w:p>
            <w:pPr>
              <w:spacing w:after="0"/>
              <w:rPr>
                <w:sz w:val="13"/>
                <w:szCs w:val="13"/>
                <w:color w:val="auto"/>
              </w:rPr>
            </w:pPr>
          </w:p>
        </w:tc>
        <w:tc>
          <w:tcPr>
            <w:tcW w:w="6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1,918</w:t>
            </w:r>
          </w:p>
        </w:tc>
      </w:tr>
    </w:tbl>
    <w:p>
      <w:pPr>
        <w:spacing w:after="0" w:line="149" w:lineRule="exact"/>
        <w:rPr>
          <w:sz w:val="20"/>
          <w:szCs w:val="20"/>
          <w:color w:val="auto"/>
        </w:rPr>
      </w:pPr>
    </w:p>
    <w:p>
      <w:pPr>
        <w:ind w:left="520" w:hanging="260"/>
        <w:spacing w:after="0" w:line="219" w:lineRule="auto"/>
        <w:tabs>
          <w:tab w:leader="none" w:pos="515" w:val="left"/>
        </w:tabs>
        <w:numPr>
          <w:ilvl w:val="1"/>
          <w:numId w:val="108"/>
        </w:numPr>
        <w:rPr>
          <w:rFonts w:ascii="Arial" w:cs="Arial" w:eastAsia="Arial" w:hAnsi="Arial"/>
          <w:sz w:val="17"/>
          <w:szCs w:val="17"/>
          <w:color w:val="auto"/>
          <w:vertAlign w:val="superscript"/>
        </w:rPr>
      </w:pPr>
      <w:r>
        <w:rPr>
          <w:rFonts w:ascii="Arial" w:cs="Arial" w:eastAsia="Arial" w:hAnsi="Arial"/>
          <w:sz w:val="13"/>
          <w:szCs w:val="13"/>
          <w:color w:val="auto"/>
        </w:rPr>
        <w:t>Of revenue released to the consolidated statements of operations for the years ended December 31, 2023 and 2022, $476 million and $522 million, respectively were included in the beginning balance of the contract liabilities.</w:t>
      </w:r>
    </w:p>
    <w:p>
      <w:pPr>
        <w:spacing w:after="0" w:line="49" w:lineRule="exact"/>
        <w:rPr>
          <w:rFonts w:ascii="Arial" w:cs="Arial" w:eastAsia="Arial" w:hAnsi="Arial"/>
          <w:sz w:val="17"/>
          <w:szCs w:val="17"/>
          <w:color w:val="auto"/>
          <w:vertAlign w:val="superscript"/>
        </w:rPr>
      </w:pPr>
    </w:p>
    <w:p>
      <w:pPr>
        <w:ind w:left="500" w:hanging="240"/>
        <w:spacing w:after="0"/>
        <w:tabs>
          <w:tab w:leader="none" w:pos="500" w:val="left"/>
        </w:tabs>
        <w:numPr>
          <w:ilvl w:val="1"/>
          <w:numId w:val="108"/>
        </w:numPr>
        <w:rPr>
          <w:rFonts w:ascii="Arial" w:cs="Arial" w:eastAsia="Arial" w:hAnsi="Arial"/>
          <w:sz w:val="17"/>
          <w:szCs w:val="17"/>
          <w:color w:val="auto"/>
          <w:vertAlign w:val="superscript"/>
        </w:rPr>
      </w:pPr>
      <w:r>
        <w:rPr>
          <w:rFonts w:ascii="Arial" w:cs="Arial" w:eastAsia="Arial" w:hAnsi="Arial"/>
          <w:sz w:val="13"/>
          <w:szCs w:val="13"/>
          <w:color w:val="auto"/>
        </w:rPr>
        <w:t>Includes $19 million reclassification from accrued liabilities to contract liabilities.</w:t>
      </w:r>
    </w:p>
    <w:p>
      <w:pPr>
        <w:spacing w:after="0" w:line="151" w:lineRule="exact"/>
        <w:rPr>
          <w:rFonts w:ascii="Arial" w:cs="Arial" w:eastAsia="Arial" w:hAnsi="Arial"/>
          <w:sz w:val="17"/>
          <w:szCs w:val="17"/>
          <w:color w:val="auto"/>
          <w:vertAlign w:val="superscript"/>
        </w:rPr>
      </w:pPr>
    </w:p>
    <w:p>
      <w:pPr>
        <w:ind w:left="260" w:hanging="255"/>
        <w:spacing w:after="0"/>
        <w:tabs>
          <w:tab w:leader="none" w:pos="260" w:val="left"/>
        </w:tabs>
        <w:numPr>
          <w:ilvl w:val="0"/>
          <w:numId w:val="109"/>
        </w:numPr>
        <w:rPr>
          <w:rFonts w:ascii="Arial" w:cs="Arial" w:eastAsia="Arial" w:hAnsi="Arial"/>
          <w:sz w:val="13"/>
          <w:szCs w:val="13"/>
          <w:b w:val="1"/>
          <w:bCs w:val="1"/>
          <w:color w:val="auto"/>
        </w:rPr>
      </w:pPr>
      <w:r>
        <w:rPr>
          <w:rFonts w:ascii="Arial" w:cs="Arial" w:eastAsia="Arial" w:hAnsi="Arial"/>
          <w:sz w:val="13"/>
          <w:szCs w:val="13"/>
          <w:b w:val="1"/>
          <w:bCs w:val="1"/>
          <w:color w:val="auto"/>
        </w:rPr>
        <w:t>Long-Term Debt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3"/>
                <w:szCs w:val="13"/>
                <w:color w:val="auto"/>
              </w:rPr>
            </w:pPr>
          </w:p>
        </w:tc>
        <w:tc>
          <w:tcPr>
            <w:tcW w:w="1360" w:type="dxa"/>
            <w:vAlign w:val="bottom"/>
          </w:tcPr>
          <w:p>
            <w:pPr>
              <w:jc w:val="center"/>
              <w:ind w:right="56"/>
              <w:spacing w:after="0"/>
              <w:rPr>
                <w:sz w:val="20"/>
                <w:szCs w:val="20"/>
                <w:color w:val="auto"/>
              </w:rPr>
            </w:pPr>
            <w:r>
              <w:rPr>
                <w:rFonts w:ascii="Arial" w:cs="Arial" w:eastAsia="Arial" w:hAnsi="Arial"/>
                <w:sz w:val="13"/>
                <w:szCs w:val="13"/>
                <w:b w:val="1"/>
                <w:bCs w:val="1"/>
                <w:color w:val="auto"/>
                <w:w w:val="99"/>
              </w:rPr>
              <w:t>December 31,</w:t>
            </w:r>
          </w:p>
        </w:tc>
      </w:tr>
      <w:tr>
        <w:trPr>
          <w:trHeight w:val="17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2022</w:t>
            </w:r>
          </w:p>
        </w:tc>
      </w:tr>
      <w:tr>
        <w:trPr>
          <w:trHeight w:val="150"/>
        </w:trPr>
        <w:tc>
          <w:tcPr>
            <w:tcW w:w="82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Current:</w:t>
            </w: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169"/>
        </w:trPr>
        <w:tc>
          <w:tcPr>
            <w:tcW w:w="8220" w:type="dxa"/>
            <w:vAlign w:val="bottom"/>
          </w:tcPr>
          <w:p>
            <w:pPr>
              <w:ind w:left="180"/>
              <w:spacing w:after="0"/>
              <w:rPr>
                <w:sz w:val="20"/>
                <w:szCs w:val="20"/>
                <w:color w:val="auto"/>
              </w:rPr>
            </w:pPr>
            <w:r>
              <w:rPr>
                <w:rFonts w:ascii="Arial" w:cs="Arial" w:eastAsia="Arial" w:hAnsi="Arial"/>
                <w:sz w:val="13"/>
                <w:szCs w:val="13"/>
                <w:color w:val="auto"/>
              </w:rPr>
              <w:t>Term loans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571</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223</w:t>
            </w: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69"/>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Term loans</w:t>
            </w: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1,801</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2,288</w:t>
            </w: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2,372</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2,511</w:t>
            </w:r>
          </w:p>
        </w:tc>
      </w:tr>
      <w:tr>
        <w:trPr>
          <w:trHeight w:val="296"/>
        </w:trPr>
        <w:tc>
          <w:tcPr>
            <w:tcW w:w="9800" w:type="dxa"/>
            <w:vAlign w:val="bottom"/>
            <w:gridSpan w:val="4"/>
          </w:tcPr>
          <w:p>
            <w:pPr>
              <w:spacing w:after="0"/>
              <w:rPr>
                <w:sz w:val="20"/>
                <w:szCs w:val="20"/>
                <w:color w:val="auto"/>
              </w:rPr>
            </w:pPr>
            <w:r>
              <w:rPr>
                <w:rFonts w:ascii="Arial" w:cs="Arial" w:eastAsia="Arial" w:hAnsi="Arial"/>
                <w:sz w:val="13"/>
                <w:szCs w:val="13"/>
                <w:color w:val="auto"/>
              </w:rPr>
              <w:t>The above balances are net of $7 million and $12 million of unamortized debt issuance costs for the years ended December 31, 2023 and 2022, respectively.</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4"/>
        </w:trPr>
        <w:tc>
          <w:tcPr>
            <w:tcW w:w="8220" w:type="dxa"/>
            <w:vAlign w:val="bottom"/>
          </w:tcPr>
          <w:p>
            <w:pPr>
              <w:spacing w:after="0"/>
              <w:rPr>
                <w:sz w:val="20"/>
                <w:szCs w:val="20"/>
                <w:color w:val="auto"/>
              </w:rPr>
            </w:pPr>
            <w:r>
              <w:rPr>
                <w:rFonts w:ascii="Arial" w:cs="Arial" w:eastAsia="Arial" w:hAnsi="Arial"/>
                <w:sz w:val="13"/>
                <w:szCs w:val="13"/>
                <w:color w:val="auto"/>
              </w:rPr>
              <w:t>Movements in interest bearing borrowings for the year ended December 31, 2023 and 2022 were as follows: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8"/>
        </w:trPr>
        <w:tc>
          <w:tcPr>
            <w:tcW w:w="822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140" w:type="dxa"/>
            <w:vAlign w:val="bottom"/>
          </w:tcPr>
          <w:p>
            <w:pPr>
              <w:spacing w:after="0"/>
              <w:rPr>
                <w:sz w:val="23"/>
                <w:szCs w:val="23"/>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December 31, 2023</w:t>
            </w:r>
          </w:p>
        </w:tc>
        <w:tc>
          <w:tcPr>
            <w:tcW w:w="120" w:type="dxa"/>
            <w:vAlign w:val="bottom"/>
          </w:tcPr>
          <w:p>
            <w:pPr>
              <w:spacing w:after="0"/>
              <w:rPr>
                <w:sz w:val="23"/>
                <w:szCs w:val="23"/>
                <w:color w:val="auto"/>
              </w:rPr>
            </w:pPr>
          </w:p>
        </w:tc>
        <w:tc>
          <w:tcPr>
            <w:tcW w:w="1360" w:type="dxa"/>
            <w:vAlign w:val="bottom"/>
          </w:tcPr>
          <w:p>
            <w:pPr>
              <w:jc w:val="center"/>
              <w:ind w:right="56"/>
              <w:spacing w:after="0"/>
              <w:rPr>
                <w:sz w:val="20"/>
                <w:szCs w:val="20"/>
                <w:color w:val="auto"/>
              </w:rPr>
            </w:pPr>
            <w:r>
              <w:rPr>
                <w:rFonts w:ascii="Arial" w:cs="Arial" w:eastAsia="Arial" w:hAnsi="Arial"/>
                <w:sz w:val="13"/>
                <w:szCs w:val="13"/>
                <w:b w:val="1"/>
                <w:bCs w:val="1"/>
                <w:color w:val="auto"/>
                <w:w w:val="99"/>
              </w:rPr>
              <w:t>December 31, 2022</w:t>
            </w:r>
          </w:p>
        </w:tc>
      </w:tr>
      <w:tr>
        <w:trPr>
          <w:trHeight w:val="160"/>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2,511</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2,013</w:t>
            </w: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New loans and borrowings</w:t>
            </w: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971</w:t>
            </w: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Repayments</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w:t>
            </w: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2,372</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2,511</w:t>
            </w:r>
          </w:p>
        </w:tc>
      </w:tr>
      <w:tr>
        <w:trPr>
          <w:trHeight w:val="699"/>
        </w:trPr>
        <w:tc>
          <w:tcPr>
            <w:tcW w:w="8220" w:type="dxa"/>
            <w:vAlign w:val="bottom"/>
          </w:tcPr>
          <w:p>
            <w:pPr>
              <w:ind w:left="5520"/>
              <w:spacing w:after="0"/>
              <w:rPr>
                <w:sz w:val="20"/>
                <w:szCs w:val="20"/>
                <w:color w:val="auto"/>
              </w:rPr>
            </w:pPr>
            <w:r>
              <w:rPr>
                <w:rFonts w:ascii="Arial" w:cs="Arial" w:eastAsia="Arial" w:hAnsi="Arial"/>
                <w:sz w:val="13"/>
                <w:szCs w:val="13"/>
                <w:color w:val="auto"/>
              </w:rPr>
              <w:t>F-26</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89"/>
        </w:trPr>
        <w:tc>
          <w:tcPr>
            <w:tcW w:w="8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Terms and Debt Repayment Schedule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term loan facilities. The below arrangements are all considered to be secured.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60" w:type="dxa"/>
            <w:vAlign w:val="bottom"/>
            <w:vMerge w:val="restart"/>
          </w:tcPr>
          <w:p>
            <w:pPr>
              <w:jc w:val="center"/>
              <w:ind w:right="31"/>
              <w:spacing w:after="0"/>
              <w:rPr>
                <w:sz w:val="20"/>
                <w:szCs w:val="20"/>
                <w:color w:val="auto"/>
              </w:rPr>
            </w:pPr>
            <w:r>
              <w:rPr>
                <w:rFonts w:ascii="Arial" w:cs="Arial" w:eastAsia="Arial" w:hAnsi="Arial"/>
                <w:sz w:val="10"/>
                <w:szCs w:val="10"/>
                <w:b w:val="1"/>
                <w:bCs w:val="1"/>
                <w:color w:val="auto"/>
                <w:w w:val="99"/>
              </w:rPr>
              <w:t>Nominal Interest</w:t>
            </w:r>
          </w:p>
        </w:tc>
        <w:tc>
          <w:tcPr>
            <w:tcW w:w="1380" w:type="dxa"/>
            <w:vAlign w:val="bottom"/>
          </w:tcPr>
          <w:p>
            <w:pPr>
              <w:jc w:val="center"/>
              <w:ind w:right="11"/>
              <w:spacing w:after="0"/>
              <w:rPr>
                <w:sz w:val="20"/>
                <w:szCs w:val="20"/>
                <w:color w:val="auto"/>
              </w:rPr>
            </w:pPr>
            <w:r>
              <w:rPr>
                <w:rFonts w:ascii="Arial" w:cs="Arial" w:eastAsia="Arial" w:hAnsi="Arial"/>
                <w:sz w:val="10"/>
                <w:szCs w:val="10"/>
                <w:b w:val="1"/>
                <w:bCs w:val="1"/>
                <w:color w:val="auto"/>
                <w:w w:val="99"/>
              </w:rPr>
              <w:t>Interest</w:t>
            </w:r>
          </w:p>
        </w:tc>
        <w:tc>
          <w:tcPr>
            <w:tcW w:w="1340" w:type="dxa"/>
            <w:vAlign w:val="bottom"/>
          </w:tcPr>
          <w:p>
            <w:pPr>
              <w:jc w:val="center"/>
              <w:ind w:left="31"/>
              <w:spacing w:after="0"/>
              <w:rPr>
                <w:sz w:val="20"/>
                <w:szCs w:val="20"/>
                <w:color w:val="auto"/>
              </w:rPr>
            </w:pPr>
            <w:r>
              <w:rPr>
                <w:rFonts w:ascii="Arial" w:cs="Arial" w:eastAsia="Arial" w:hAnsi="Arial"/>
                <w:sz w:val="10"/>
                <w:szCs w:val="10"/>
                <w:b w:val="1"/>
                <w:bCs w:val="1"/>
                <w:color w:val="auto"/>
                <w:w w:val="99"/>
              </w:rPr>
              <w:t>Principal</w:t>
            </w:r>
          </w:p>
        </w:tc>
        <w:tc>
          <w:tcPr>
            <w:tcW w:w="1080" w:type="dxa"/>
            <w:vAlign w:val="bottom"/>
          </w:tcPr>
          <w:p>
            <w:pPr>
              <w:jc w:val="center"/>
              <w:ind w:left="31"/>
              <w:spacing w:after="0"/>
              <w:rPr>
                <w:sz w:val="20"/>
                <w:szCs w:val="20"/>
                <w:color w:val="auto"/>
              </w:rPr>
            </w:pPr>
            <w:r>
              <w:rPr>
                <w:rFonts w:ascii="Arial" w:cs="Arial" w:eastAsia="Arial" w:hAnsi="Arial"/>
                <w:sz w:val="10"/>
                <w:szCs w:val="10"/>
                <w:b w:val="1"/>
                <w:bCs w:val="1"/>
                <w:color w:val="auto"/>
                <w:w w:val="92"/>
              </w:rPr>
              <w:t>Year</w:t>
            </w:r>
          </w:p>
        </w:tc>
        <w:tc>
          <w:tcPr>
            <w:tcW w:w="1080" w:type="dxa"/>
            <w:vAlign w:val="bottom"/>
          </w:tcPr>
          <w:p>
            <w:pPr>
              <w:jc w:val="center"/>
              <w:ind w:right="91"/>
              <w:spacing w:after="0"/>
              <w:rPr>
                <w:sz w:val="20"/>
                <w:szCs w:val="20"/>
                <w:color w:val="auto"/>
              </w:rPr>
            </w:pPr>
            <w:r>
              <w:rPr>
                <w:rFonts w:ascii="Arial" w:cs="Arial" w:eastAsia="Arial" w:hAnsi="Arial"/>
                <w:sz w:val="10"/>
                <w:szCs w:val="10"/>
                <w:b w:val="1"/>
                <w:bCs w:val="1"/>
                <w:color w:val="auto"/>
                <w:w w:val="98"/>
              </w:rPr>
              <w:t>2023</w:t>
            </w:r>
          </w:p>
        </w:tc>
        <w:tc>
          <w:tcPr>
            <w:tcW w:w="860" w:type="dxa"/>
            <w:vAlign w:val="bottom"/>
          </w:tcPr>
          <w:p>
            <w:pPr>
              <w:jc w:val="center"/>
              <w:ind w:right="71"/>
              <w:spacing w:after="0"/>
              <w:rPr>
                <w:sz w:val="20"/>
                <w:szCs w:val="20"/>
                <w:color w:val="auto"/>
              </w:rPr>
            </w:pPr>
            <w:r>
              <w:rPr>
                <w:rFonts w:ascii="Arial" w:cs="Arial" w:eastAsia="Arial" w:hAnsi="Arial"/>
                <w:sz w:val="10"/>
                <w:szCs w:val="10"/>
                <w:b w:val="1"/>
                <w:bCs w:val="1"/>
                <w:color w:val="auto"/>
                <w:w w:val="98"/>
              </w:rPr>
              <w:t>2022</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2640" w:type="dxa"/>
            <w:vAlign w:val="bottom"/>
            <w:vMerge w:val="restart"/>
          </w:tcPr>
          <w:p>
            <w:pPr>
              <w:ind w:left="1060"/>
              <w:spacing w:after="0"/>
              <w:rPr>
                <w:sz w:val="20"/>
                <w:szCs w:val="20"/>
                <w:color w:val="auto"/>
              </w:rPr>
            </w:pPr>
            <w:r>
              <w:rPr>
                <w:rFonts w:ascii="Arial" w:cs="Arial" w:eastAsia="Arial" w:hAnsi="Arial"/>
                <w:sz w:val="10"/>
                <w:szCs w:val="10"/>
                <w:b w:val="1"/>
                <w:bCs w:val="1"/>
                <w:color w:val="auto"/>
              </w:rPr>
              <w:t>Description</w:t>
            </w:r>
          </w:p>
        </w:tc>
        <w:tc>
          <w:tcPr>
            <w:tcW w:w="1180" w:type="dxa"/>
            <w:vAlign w:val="bottom"/>
            <w:vMerge w:val="restart"/>
          </w:tcPr>
          <w:p>
            <w:pPr>
              <w:jc w:val="center"/>
              <w:ind w:left="171"/>
              <w:spacing w:after="0"/>
              <w:rPr>
                <w:sz w:val="20"/>
                <w:szCs w:val="20"/>
                <w:color w:val="auto"/>
              </w:rPr>
            </w:pPr>
            <w:r>
              <w:rPr>
                <w:rFonts w:ascii="Arial" w:cs="Arial" w:eastAsia="Arial" w:hAnsi="Arial"/>
                <w:sz w:val="10"/>
                <w:szCs w:val="10"/>
                <w:b w:val="1"/>
                <w:bCs w:val="1"/>
                <w:color w:val="auto"/>
              </w:rPr>
              <w:t>Currency</w:t>
            </w:r>
          </w:p>
        </w:tc>
        <w:tc>
          <w:tcPr>
            <w:tcW w:w="1460" w:type="dxa"/>
            <w:vAlign w:val="bottom"/>
            <w:vMerge w:val="continue"/>
          </w:tcPr>
          <w:p>
            <w:pPr>
              <w:spacing w:after="0"/>
              <w:rPr>
                <w:sz w:val="8"/>
                <w:szCs w:val="8"/>
                <w:color w:val="auto"/>
              </w:rPr>
            </w:pPr>
          </w:p>
        </w:tc>
        <w:tc>
          <w:tcPr>
            <w:tcW w:w="1380" w:type="dxa"/>
            <w:vAlign w:val="bottom"/>
          </w:tcPr>
          <w:p>
            <w:pPr>
              <w:jc w:val="center"/>
              <w:spacing w:after="0" w:line="96" w:lineRule="exact"/>
              <w:rPr>
                <w:sz w:val="20"/>
                <w:szCs w:val="20"/>
                <w:color w:val="auto"/>
              </w:rPr>
            </w:pPr>
            <w:r>
              <w:rPr>
                <w:rFonts w:ascii="Arial" w:cs="Arial" w:eastAsia="Arial" w:hAnsi="Arial"/>
                <w:sz w:val="10"/>
                <w:szCs w:val="10"/>
                <w:b w:val="1"/>
                <w:bCs w:val="1"/>
                <w:color w:val="auto"/>
              </w:rPr>
              <w:t>Payment</w:t>
            </w:r>
          </w:p>
        </w:tc>
        <w:tc>
          <w:tcPr>
            <w:tcW w:w="1340" w:type="dxa"/>
            <w:vAlign w:val="bottom"/>
          </w:tcPr>
          <w:p>
            <w:pPr>
              <w:jc w:val="center"/>
              <w:ind w:left="51"/>
              <w:spacing w:after="0" w:line="96" w:lineRule="exact"/>
              <w:rPr>
                <w:sz w:val="20"/>
                <w:szCs w:val="20"/>
                <w:color w:val="auto"/>
              </w:rPr>
            </w:pPr>
            <w:r>
              <w:rPr>
                <w:rFonts w:ascii="Arial" w:cs="Arial" w:eastAsia="Arial" w:hAnsi="Arial"/>
                <w:sz w:val="10"/>
                <w:szCs w:val="10"/>
                <w:b w:val="1"/>
                <w:bCs w:val="1"/>
                <w:color w:val="auto"/>
                <w:w w:val="95"/>
              </w:rPr>
              <w:t>Payment</w:t>
            </w:r>
          </w:p>
        </w:tc>
        <w:tc>
          <w:tcPr>
            <w:tcW w:w="1080" w:type="dxa"/>
            <w:vAlign w:val="bottom"/>
          </w:tcPr>
          <w:p>
            <w:pPr>
              <w:jc w:val="center"/>
              <w:ind w:left="31"/>
              <w:spacing w:after="0" w:line="96" w:lineRule="exact"/>
              <w:rPr>
                <w:sz w:val="20"/>
                <w:szCs w:val="20"/>
                <w:color w:val="auto"/>
              </w:rPr>
            </w:pPr>
            <w:r>
              <w:rPr>
                <w:rFonts w:ascii="Arial" w:cs="Arial" w:eastAsia="Arial" w:hAnsi="Arial"/>
                <w:sz w:val="10"/>
                <w:szCs w:val="10"/>
                <w:b w:val="1"/>
                <w:bCs w:val="1"/>
                <w:color w:val="auto"/>
                <w:w w:val="84"/>
              </w:rPr>
              <w:t>of</w:t>
            </w:r>
          </w:p>
        </w:tc>
        <w:tc>
          <w:tcPr>
            <w:tcW w:w="1080" w:type="dxa"/>
            <w:vAlign w:val="bottom"/>
          </w:tcPr>
          <w:p>
            <w:pPr>
              <w:jc w:val="center"/>
              <w:ind w:right="71"/>
              <w:spacing w:after="0" w:line="96" w:lineRule="exact"/>
              <w:rPr>
                <w:sz w:val="20"/>
                <w:szCs w:val="20"/>
                <w:color w:val="auto"/>
              </w:rPr>
            </w:pPr>
            <w:r>
              <w:rPr>
                <w:rFonts w:ascii="Arial" w:cs="Arial" w:eastAsia="Arial" w:hAnsi="Arial"/>
                <w:sz w:val="10"/>
                <w:szCs w:val="10"/>
                <w:b w:val="1"/>
                <w:bCs w:val="1"/>
                <w:color w:val="auto"/>
                <w:w w:val="97"/>
              </w:rPr>
              <w:t>Carrying</w:t>
            </w:r>
          </w:p>
        </w:tc>
        <w:tc>
          <w:tcPr>
            <w:tcW w:w="860" w:type="dxa"/>
            <w:vAlign w:val="bottom"/>
          </w:tcPr>
          <w:p>
            <w:pPr>
              <w:jc w:val="center"/>
              <w:ind w:right="51"/>
              <w:spacing w:after="0" w:line="96" w:lineRule="exact"/>
              <w:rPr>
                <w:sz w:val="20"/>
                <w:szCs w:val="20"/>
                <w:color w:val="auto"/>
              </w:rPr>
            </w:pPr>
            <w:r>
              <w:rPr>
                <w:rFonts w:ascii="Arial" w:cs="Arial" w:eastAsia="Arial" w:hAnsi="Arial"/>
                <w:sz w:val="10"/>
                <w:szCs w:val="10"/>
                <w:b w:val="1"/>
                <w:bCs w:val="1"/>
                <w:color w:val="auto"/>
                <w:w w:val="97"/>
              </w:rPr>
              <w:t>Carrying</w:t>
            </w:r>
          </w:p>
        </w:tc>
        <w:tc>
          <w:tcPr>
            <w:tcW w:w="0" w:type="dxa"/>
            <w:vAlign w:val="bottom"/>
          </w:tcPr>
          <w:p>
            <w:pPr>
              <w:spacing w:after="0"/>
              <w:rPr>
                <w:sz w:val="1"/>
                <w:szCs w:val="1"/>
                <w:color w:val="auto"/>
              </w:rPr>
            </w:pPr>
          </w:p>
        </w:tc>
      </w:tr>
      <w:tr>
        <w:trPr>
          <w:trHeight w:val="145"/>
        </w:trPr>
        <w:tc>
          <w:tcPr>
            <w:tcW w:w="26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vMerge w:val="continue"/>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460" w:type="dxa"/>
            <w:vAlign w:val="bottom"/>
            <w:tcBorders>
              <w:bottom w:val="single" w:sz="8" w:color="auto"/>
            </w:tcBorders>
          </w:tcPr>
          <w:p>
            <w:pPr>
              <w:jc w:val="center"/>
              <w:ind w:right="31"/>
              <w:spacing w:after="0"/>
              <w:rPr>
                <w:sz w:val="20"/>
                <w:szCs w:val="20"/>
                <w:color w:val="auto"/>
              </w:rPr>
            </w:pPr>
            <w:r>
              <w:rPr>
                <w:rFonts w:ascii="Arial" w:cs="Arial" w:eastAsia="Arial" w:hAnsi="Arial"/>
                <w:sz w:val="10"/>
                <w:szCs w:val="10"/>
                <w:b w:val="1"/>
                <w:bCs w:val="1"/>
                <w:color w:val="auto"/>
              </w:rPr>
              <w:t>Rate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Terms</w:t>
            </w:r>
          </w:p>
        </w:tc>
        <w:tc>
          <w:tcPr>
            <w:tcW w:w="1340" w:type="dxa"/>
            <w:vAlign w:val="bottom"/>
            <w:tcBorders>
              <w:bottom w:val="single" w:sz="8" w:color="auto"/>
            </w:tcBorders>
          </w:tcPr>
          <w:p>
            <w:pPr>
              <w:jc w:val="center"/>
              <w:ind w:left="51"/>
              <w:spacing w:after="0"/>
              <w:rPr>
                <w:sz w:val="20"/>
                <w:szCs w:val="20"/>
                <w:color w:val="auto"/>
              </w:rPr>
            </w:pPr>
            <w:r>
              <w:rPr>
                <w:rFonts w:ascii="Arial" w:cs="Arial" w:eastAsia="Arial" w:hAnsi="Arial"/>
                <w:sz w:val="10"/>
                <w:szCs w:val="10"/>
                <w:b w:val="1"/>
                <w:bCs w:val="1"/>
                <w:color w:val="auto"/>
                <w:w w:val="93"/>
              </w:rPr>
              <w:t>Terms</w:t>
            </w:r>
          </w:p>
        </w:tc>
        <w:tc>
          <w:tcPr>
            <w:tcW w:w="1080" w:type="dxa"/>
            <w:vAlign w:val="bottom"/>
            <w:tcBorders>
              <w:bottom w:val="single" w:sz="8" w:color="auto"/>
            </w:tcBorders>
          </w:tcPr>
          <w:p>
            <w:pPr>
              <w:jc w:val="center"/>
              <w:ind w:left="51"/>
              <w:spacing w:after="0"/>
              <w:rPr>
                <w:sz w:val="20"/>
                <w:szCs w:val="20"/>
                <w:color w:val="auto"/>
              </w:rPr>
            </w:pPr>
            <w:r>
              <w:rPr>
                <w:rFonts w:ascii="Arial" w:cs="Arial" w:eastAsia="Arial" w:hAnsi="Arial"/>
                <w:sz w:val="10"/>
                <w:szCs w:val="10"/>
                <w:b w:val="1"/>
                <w:bCs w:val="1"/>
                <w:color w:val="auto"/>
                <w:w w:val="97"/>
              </w:rPr>
              <w:t>Maturity</w:t>
            </w:r>
          </w:p>
        </w:tc>
        <w:tc>
          <w:tcPr>
            <w:tcW w:w="1080" w:type="dxa"/>
            <w:vAlign w:val="bottom"/>
            <w:tcBorders>
              <w:bottom w:val="single" w:sz="8" w:color="auto"/>
            </w:tcBorders>
          </w:tcPr>
          <w:p>
            <w:pPr>
              <w:jc w:val="center"/>
              <w:ind w:right="71"/>
              <w:spacing w:after="0"/>
              <w:rPr>
                <w:sz w:val="20"/>
                <w:szCs w:val="20"/>
                <w:color w:val="auto"/>
              </w:rPr>
            </w:pPr>
            <w:r>
              <w:rPr>
                <w:rFonts w:ascii="Arial" w:cs="Arial" w:eastAsia="Arial" w:hAnsi="Arial"/>
                <w:sz w:val="10"/>
                <w:szCs w:val="10"/>
                <w:b w:val="1"/>
                <w:bCs w:val="1"/>
                <w:color w:val="auto"/>
                <w:w w:val="95"/>
              </w:rPr>
              <w:t>Amount</w:t>
            </w:r>
          </w:p>
        </w:tc>
        <w:tc>
          <w:tcPr>
            <w:tcW w:w="860" w:type="dxa"/>
            <w:vAlign w:val="bottom"/>
            <w:tcBorders>
              <w:bottom w:val="single" w:sz="8" w:color="auto"/>
            </w:tcBorders>
          </w:tcPr>
          <w:p>
            <w:pPr>
              <w:jc w:val="center"/>
              <w:ind w:right="71"/>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32"/>
        </w:trPr>
        <w:tc>
          <w:tcPr>
            <w:tcW w:w="260" w:type="dxa"/>
            <w:vAlign w:val="bottom"/>
            <w:shd w:val="clear" w:color="auto" w:fill="CCEEFF"/>
          </w:tcPr>
          <w:p>
            <w:pPr>
              <w:ind w:left="20"/>
              <w:spacing w:after="0"/>
              <w:rPr>
                <w:sz w:val="20"/>
                <w:szCs w:val="20"/>
                <w:color w:val="auto"/>
              </w:rPr>
            </w:pPr>
            <w:r>
              <w:rPr>
                <w:rFonts w:ascii="Arial" w:cs="Arial" w:eastAsia="Arial" w:hAnsi="Arial"/>
                <w:sz w:val="10"/>
                <w:szCs w:val="10"/>
                <w:color w:val="auto"/>
                <w:w w:val="98"/>
              </w:rPr>
              <w:t>2018</w:t>
            </w:r>
          </w:p>
        </w:tc>
        <w:tc>
          <w:tcPr>
            <w:tcW w:w="2640" w:type="dxa"/>
            <w:vAlign w:val="bottom"/>
            <w:shd w:val="clear" w:color="auto" w:fill="CCEEFF"/>
          </w:tcPr>
          <w:p>
            <w:pPr>
              <w:spacing w:after="0" w:line="132" w:lineRule="exact"/>
              <w:rPr>
                <w:sz w:val="20"/>
                <w:szCs w:val="20"/>
                <w:color w:val="auto"/>
              </w:rPr>
            </w:pPr>
            <w:r>
              <w:rPr>
                <w:rFonts w:ascii="Arial" w:cs="Arial" w:eastAsia="Arial" w:hAnsi="Arial"/>
                <w:sz w:val="10"/>
                <w:szCs w:val="10"/>
                <w:color w:val="auto"/>
              </w:rPr>
              <w:t>Tool Equipment Purchase and Lease Financing</w:t>
            </w:r>
            <w:r>
              <w:rPr>
                <w:rFonts w:ascii="Arial" w:cs="Arial" w:eastAsia="Arial" w:hAnsi="Arial"/>
                <w:sz w:val="12"/>
                <w:szCs w:val="12"/>
                <w:color w:val="auto"/>
                <w:vertAlign w:val="superscript"/>
              </w:rPr>
              <w:t>(1)</w:t>
            </w:r>
          </w:p>
        </w:tc>
        <w:tc>
          <w:tcPr>
            <w:tcW w:w="1180" w:type="dxa"/>
            <w:vAlign w:val="bottom"/>
            <w:shd w:val="clear" w:color="auto" w:fill="CCEEFF"/>
          </w:tcPr>
          <w:p>
            <w:pPr>
              <w:jc w:val="center"/>
              <w:ind w:left="171"/>
              <w:spacing w:after="0"/>
              <w:rPr>
                <w:sz w:val="20"/>
                <w:szCs w:val="20"/>
                <w:color w:val="auto"/>
              </w:rPr>
            </w:pPr>
            <w:r>
              <w:rPr>
                <w:rFonts w:ascii="Arial" w:cs="Arial" w:eastAsia="Arial" w:hAnsi="Arial"/>
                <w:sz w:val="10"/>
                <w:szCs w:val="10"/>
                <w:color w:val="auto"/>
                <w:w w:val="94"/>
              </w:rPr>
              <w:t>USD</w:t>
            </w:r>
          </w:p>
        </w:tc>
        <w:tc>
          <w:tcPr>
            <w:tcW w:w="1460" w:type="dxa"/>
            <w:vAlign w:val="bottom"/>
            <w:shd w:val="clear" w:color="auto" w:fill="CCEEFF"/>
          </w:tcPr>
          <w:p>
            <w:pPr>
              <w:jc w:val="center"/>
              <w:ind w:right="51"/>
              <w:spacing w:after="0"/>
              <w:rPr>
                <w:sz w:val="20"/>
                <w:szCs w:val="20"/>
                <w:color w:val="auto"/>
              </w:rPr>
            </w:pPr>
            <w:r>
              <w:rPr>
                <w:rFonts w:ascii="Arial" w:cs="Arial" w:eastAsia="Arial" w:hAnsi="Arial"/>
                <w:sz w:val="10"/>
                <w:szCs w:val="10"/>
                <w:color w:val="auto"/>
              </w:rPr>
              <w:t>SOFR + 1.60%</w:t>
            </w:r>
          </w:p>
        </w:tc>
        <w:tc>
          <w:tcPr>
            <w:tcW w:w="1380" w:type="dxa"/>
            <w:vAlign w:val="bottom"/>
            <w:shd w:val="clear" w:color="auto" w:fill="CCEEFF"/>
          </w:tcPr>
          <w:p>
            <w:pPr>
              <w:jc w:val="center"/>
              <w:ind w:right="11"/>
              <w:spacing w:after="0"/>
              <w:rPr>
                <w:sz w:val="20"/>
                <w:szCs w:val="20"/>
                <w:color w:val="auto"/>
              </w:rPr>
            </w:pPr>
            <w:r>
              <w:rPr>
                <w:rFonts w:ascii="Arial" w:cs="Arial" w:eastAsia="Arial" w:hAnsi="Arial"/>
                <w:sz w:val="10"/>
                <w:szCs w:val="10"/>
                <w:color w:val="auto"/>
                <w:w w:val="97"/>
              </w:rPr>
              <w:t>Quarterly</w:t>
            </w:r>
          </w:p>
        </w:tc>
        <w:tc>
          <w:tcPr>
            <w:tcW w:w="134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7"/>
              </w:rPr>
              <w:t>Quarterly</w:t>
            </w:r>
          </w:p>
        </w:tc>
        <w:tc>
          <w:tcPr>
            <w:tcW w:w="108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8"/>
              </w:rPr>
              <w:t>2023</w:t>
            </w: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38"/>
        </w:trPr>
        <w:tc>
          <w:tcPr>
            <w:tcW w:w="260" w:type="dxa"/>
            <w:vAlign w:val="bottom"/>
          </w:tcPr>
          <w:p>
            <w:pPr>
              <w:ind w:left="20"/>
              <w:spacing w:after="0"/>
              <w:rPr>
                <w:sz w:val="20"/>
                <w:szCs w:val="20"/>
                <w:color w:val="auto"/>
              </w:rPr>
            </w:pPr>
            <w:r>
              <w:rPr>
                <w:rFonts w:ascii="Arial" w:cs="Arial" w:eastAsia="Arial" w:hAnsi="Arial"/>
                <w:sz w:val="10"/>
                <w:szCs w:val="10"/>
                <w:color w:val="auto"/>
                <w:w w:val="98"/>
              </w:rPr>
              <w:t>2019</w:t>
            </w:r>
          </w:p>
        </w:tc>
        <w:tc>
          <w:tcPr>
            <w:tcW w:w="2640" w:type="dxa"/>
            <w:vAlign w:val="bottom"/>
          </w:tcPr>
          <w:p>
            <w:pPr>
              <w:spacing w:after="0"/>
              <w:rPr>
                <w:sz w:val="20"/>
                <w:szCs w:val="20"/>
                <w:color w:val="auto"/>
              </w:rPr>
            </w:pPr>
            <w:r>
              <w:rPr>
                <w:rFonts w:ascii="Arial" w:cs="Arial" w:eastAsia="Arial" w:hAnsi="Arial"/>
                <w:sz w:val="10"/>
                <w:szCs w:val="10"/>
                <w:color w:val="auto"/>
              </w:rPr>
              <w:t>Tool Equipment Purchase and Lease Financing</w:t>
            </w:r>
            <w:r>
              <w:rPr>
                <w:rFonts w:ascii="Arial" w:cs="Arial" w:eastAsia="Arial" w:hAnsi="Arial"/>
                <w:sz w:val="12"/>
                <w:szCs w:val="12"/>
                <w:color w:val="auto"/>
                <w:vertAlign w:val="superscript"/>
              </w:rPr>
              <w:t>(2)</w:t>
            </w:r>
          </w:p>
        </w:tc>
        <w:tc>
          <w:tcPr>
            <w:tcW w:w="1180" w:type="dxa"/>
            <w:vAlign w:val="bottom"/>
          </w:tcPr>
          <w:p>
            <w:pPr>
              <w:jc w:val="center"/>
              <w:ind w:left="171"/>
              <w:spacing w:after="0"/>
              <w:rPr>
                <w:sz w:val="20"/>
                <w:szCs w:val="20"/>
                <w:color w:val="auto"/>
              </w:rPr>
            </w:pPr>
            <w:r>
              <w:rPr>
                <w:rFonts w:ascii="Arial" w:cs="Arial" w:eastAsia="Arial" w:hAnsi="Arial"/>
                <w:sz w:val="10"/>
                <w:szCs w:val="10"/>
                <w:color w:val="auto"/>
                <w:w w:val="94"/>
              </w:rPr>
              <w:t>USD</w:t>
            </w:r>
          </w:p>
        </w:tc>
        <w:tc>
          <w:tcPr>
            <w:tcW w:w="1460" w:type="dxa"/>
            <w:vAlign w:val="bottom"/>
          </w:tcPr>
          <w:p>
            <w:pPr>
              <w:jc w:val="center"/>
              <w:ind w:right="51"/>
              <w:spacing w:after="0"/>
              <w:rPr>
                <w:sz w:val="20"/>
                <w:szCs w:val="20"/>
                <w:color w:val="auto"/>
              </w:rPr>
            </w:pPr>
            <w:r>
              <w:rPr>
                <w:rFonts w:ascii="Arial" w:cs="Arial" w:eastAsia="Arial" w:hAnsi="Arial"/>
                <w:sz w:val="10"/>
                <w:szCs w:val="10"/>
                <w:color w:val="auto"/>
              </w:rPr>
              <w:t>SOFR + 1.75%</w:t>
            </w:r>
          </w:p>
        </w:tc>
        <w:tc>
          <w:tcPr>
            <w:tcW w:w="1380" w:type="dxa"/>
            <w:vAlign w:val="bottom"/>
          </w:tcPr>
          <w:p>
            <w:pPr>
              <w:jc w:val="center"/>
              <w:ind w:right="11"/>
              <w:spacing w:after="0"/>
              <w:rPr>
                <w:sz w:val="20"/>
                <w:szCs w:val="20"/>
                <w:color w:val="auto"/>
              </w:rPr>
            </w:pPr>
            <w:r>
              <w:rPr>
                <w:rFonts w:ascii="Arial" w:cs="Arial" w:eastAsia="Arial" w:hAnsi="Arial"/>
                <w:sz w:val="10"/>
                <w:szCs w:val="10"/>
                <w:color w:val="auto"/>
                <w:w w:val="97"/>
              </w:rPr>
              <w:t>Quarterly</w:t>
            </w:r>
          </w:p>
        </w:tc>
        <w:tc>
          <w:tcPr>
            <w:tcW w:w="1340" w:type="dxa"/>
            <w:vAlign w:val="bottom"/>
          </w:tcPr>
          <w:p>
            <w:pPr>
              <w:jc w:val="center"/>
              <w:ind w:left="51"/>
              <w:spacing w:after="0"/>
              <w:rPr>
                <w:sz w:val="20"/>
                <w:szCs w:val="20"/>
                <w:color w:val="auto"/>
              </w:rPr>
            </w:pPr>
            <w:r>
              <w:rPr>
                <w:rFonts w:ascii="Arial" w:cs="Arial" w:eastAsia="Arial" w:hAnsi="Arial"/>
                <w:sz w:val="10"/>
                <w:szCs w:val="10"/>
                <w:color w:val="auto"/>
                <w:w w:val="97"/>
              </w:rPr>
              <w:t>Quarterly</w:t>
            </w:r>
          </w:p>
        </w:tc>
        <w:tc>
          <w:tcPr>
            <w:tcW w:w="1080" w:type="dxa"/>
            <w:vAlign w:val="bottom"/>
          </w:tcPr>
          <w:p>
            <w:pPr>
              <w:jc w:val="center"/>
              <w:ind w:left="51"/>
              <w:spacing w:after="0"/>
              <w:rPr>
                <w:sz w:val="20"/>
                <w:szCs w:val="20"/>
                <w:color w:val="auto"/>
              </w:rPr>
            </w:pPr>
            <w:r>
              <w:rPr>
                <w:rFonts w:ascii="Arial" w:cs="Arial" w:eastAsia="Arial" w:hAnsi="Arial"/>
                <w:sz w:val="10"/>
                <w:szCs w:val="10"/>
                <w:color w:val="auto"/>
                <w:w w:val="98"/>
              </w:rPr>
              <w:t>2024</w:t>
            </w:r>
          </w:p>
        </w:tc>
        <w:tc>
          <w:tcPr>
            <w:tcW w:w="1080" w:type="dxa"/>
            <w:vAlign w:val="bottom"/>
          </w:tcPr>
          <w:p>
            <w:pPr>
              <w:jc w:val="right"/>
              <w:ind w:right="111"/>
              <w:spacing w:after="0"/>
              <w:rPr>
                <w:sz w:val="20"/>
                <w:szCs w:val="20"/>
                <w:color w:val="auto"/>
              </w:rPr>
            </w:pPr>
            <w:r>
              <w:rPr>
                <w:rFonts w:ascii="Arial" w:cs="Arial" w:eastAsia="Arial" w:hAnsi="Arial"/>
                <w:sz w:val="10"/>
                <w:szCs w:val="10"/>
                <w:color w:val="auto"/>
              </w:rPr>
              <w:t>21</w:t>
            </w:r>
          </w:p>
        </w:tc>
        <w:tc>
          <w:tcPr>
            <w:tcW w:w="860" w:type="dxa"/>
            <w:vAlign w:val="bottom"/>
          </w:tcPr>
          <w:p>
            <w:pPr>
              <w:jc w:val="right"/>
              <w:spacing w:after="0"/>
              <w:rPr>
                <w:sz w:val="20"/>
                <w:szCs w:val="20"/>
                <w:color w:val="auto"/>
              </w:rPr>
            </w:pPr>
            <w:r>
              <w:rPr>
                <w:rFonts w:ascii="Arial" w:cs="Arial" w:eastAsia="Arial" w:hAnsi="Arial"/>
                <w:sz w:val="10"/>
                <w:szCs w:val="10"/>
                <w:color w:val="auto"/>
              </w:rPr>
              <w:t>85</w:t>
            </w:r>
          </w:p>
        </w:tc>
        <w:tc>
          <w:tcPr>
            <w:tcW w:w="0" w:type="dxa"/>
            <w:vAlign w:val="bottom"/>
          </w:tcPr>
          <w:p>
            <w:pPr>
              <w:spacing w:after="0"/>
              <w:rPr>
                <w:sz w:val="1"/>
                <w:szCs w:val="1"/>
                <w:color w:val="auto"/>
              </w:rPr>
            </w:pPr>
          </w:p>
        </w:tc>
      </w:tr>
      <w:tr>
        <w:trPr>
          <w:trHeight w:val="138"/>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USD Term Loan A</w:t>
            </w:r>
          </w:p>
        </w:tc>
        <w:tc>
          <w:tcPr>
            <w:tcW w:w="1180" w:type="dxa"/>
            <w:vAlign w:val="bottom"/>
            <w:shd w:val="clear" w:color="auto" w:fill="CCEEFF"/>
          </w:tcPr>
          <w:p>
            <w:pPr>
              <w:jc w:val="center"/>
              <w:ind w:left="171"/>
              <w:spacing w:after="0"/>
              <w:rPr>
                <w:sz w:val="20"/>
                <w:szCs w:val="20"/>
                <w:color w:val="auto"/>
              </w:rPr>
            </w:pPr>
            <w:r>
              <w:rPr>
                <w:rFonts w:ascii="Arial" w:cs="Arial" w:eastAsia="Arial" w:hAnsi="Arial"/>
                <w:sz w:val="10"/>
                <w:szCs w:val="10"/>
                <w:color w:val="auto"/>
                <w:w w:val="94"/>
              </w:rPr>
              <w:t>USD</w:t>
            </w:r>
          </w:p>
        </w:tc>
        <w:tc>
          <w:tcPr>
            <w:tcW w:w="1460" w:type="dxa"/>
            <w:vAlign w:val="bottom"/>
            <w:shd w:val="clear" w:color="auto" w:fill="CCEEFF"/>
          </w:tcPr>
          <w:p>
            <w:pPr>
              <w:jc w:val="center"/>
              <w:ind w:right="51"/>
              <w:spacing w:after="0"/>
              <w:rPr>
                <w:sz w:val="20"/>
                <w:szCs w:val="20"/>
                <w:color w:val="auto"/>
              </w:rPr>
            </w:pPr>
            <w:r>
              <w:rPr>
                <w:rFonts w:ascii="Arial" w:cs="Arial" w:eastAsia="Arial" w:hAnsi="Arial"/>
                <w:sz w:val="10"/>
                <w:szCs w:val="10"/>
                <w:color w:val="auto"/>
              </w:rPr>
              <w:t>SOFR + 2.90%</w:t>
            </w:r>
          </w:p>
        </w:tc>
        <w:tc>
          <w:tcPr>
            <w:tcW w:w="1380" w:type="dxa"/>
            <w:vAlign w:val="bottom"/>
            <w:shd w:val="clear" w:color="auto" w:fill="CCEEFF"/>
          </w:tcPr>
          <w:p>
            <w:pPr>
              <w:jc w:val="center"/>
              <w:ind w:right="11"/>
              <w:spacing w:after="0"/>
              <w:rPr>
                <w:sz w:val="20"/>
                <w:szCs w:val="20"/>
                <w:color w:val="auto"/>
              </w:rPr>
            </w:pPr>
            <w:r>
              <w:rPr>
                <w:rFonts w:ascii="Arial" w:cs="Arial" w:eastAsia="Arial" w:hAnsi="Arial"/>
                <w:sz w:val="10"/>
                <w:szCs w:val="10"/>
                <w:color w:val="auto"/>
                <w:w w:val="97"/>
              </w:rPr>
              <w:t>Quarterly</w:t>
            </w:r>
          </w:p>
        </w:tc>
        <w:tc>
          <w:tcPr>
            <w:tcW w:w="134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7"/>
              </w:rPr>
              <w:t>Semi-Annual</w:t>
            </w:r>
          </w:p>
        </w:tc>
        <w:tc>
          <w:tcPr>
            <w:tcW w:w="108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8"/>
              </w:rPr>
              <w:t>2025</w:t>
            </w: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64</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2900" w:type="dxa"/>
            <w:vAlign w:val="bottom"/>
            <w:gridSpan w:val="2"/>
          </w:tcPr>
          <w:p>
            <w:pPr>
              <w:ind w:left="20"/>
              <w:spacing w:after="0"/>
              <w:rPr>
                <w:sz w:val="20"/>
                <w:szCs w:val="20"/>
                <w:color w:val="auto"/>
              </w:rPr>
            </w:pPr>
            <w:r>
              <w:rPr>
                <w:rFonts w:ascii="Arial" w:cs="Arial" w:eastAsia="Arial" w:hAnsi="Arial"/>
                <w:sz w:val="10"/>
                <w:szCs w:val="10"/>
                <w:color w:val="auto"/>
              </w:rPr>
              <w:t>EUR Term Loan A</w:t>
            </w:r>
          </w:p>
        </w:tc>
        <w:tc>
          <w:tcPr>
            <w:tcW w:w="1180" w:type="dxa"/>
            <w:vAlign w:val="bottom"/>
          </w:tcPr>
          <w:p>
            <w:pPr>
              <w:jc w:val="center"/>
              <w:ind w:left="171"/>
              <w:spacing w:after="0"/>
              <w:rPr>
                <w:sz w:val="20"/>
                <w:szCs w:val="20"/>
                <w:color w:val="auto"/>
              </w:rPr>
            </w:pPr>
            <w:r>
              <w:rPr>
                <w:rFonts w:ascii="Arial" w:cs="Arial" w:eastAsia="Arial" w:hAnsi="Arial"/>
                <w:sz w:val="10"/>
                <w:szCs w:val="10"/>
                <w:color w:val="auto"/>
                <w:w w:val="94"/>
              </w:rPr>
              <w:t>EUR</w:t>
            </w:r>
          </w:p>
        </w:tc>
        <w:tc>
          <w:tcPr>
            <w:tcW w:w="1460" w:type="dxa"/>
            <w:vAlign w:val="bottom"/>
          </w:tcPr>
          <w:p>
            <w:pPr>
              <w:jc w:val="center"/>
              <w:ind w:right="51"/>
              <w:spacing w:after="0"/>
              <w:rPr>
                <w:sz w:val="20"/>
                <w:szCs w:val="20"/>
                <w:color w:val="auto"/>
              </w:rPr>
            </w:pPr>
            <w:r>
              <w:rPr>
                <w:rFonts w:ascii="Arial" w:cs="Arial" w:eastAsia="Arial" w:hAnsi="Arial"/>
                <w:sz w:val="10"/>
                <w:szCs w:val="10"/>
                <w:color w:val="auto"/>
                <w:w w:val="98"/>
              </w:rPr>
              <w:t>EURIBOR + 2.60%</w:t>
            </w:r>
          </w:p>
        </w:tc>
        <w:tc>
          <w:tcPr>
            <w:tcW w:w="1380" w:type="dxa"/>
            <w:vAlign w:val="bottom"/>
          </w:tcPr>
          <w:p>
            <w:pPr>
              <w:jc w:val="center"/>
              <w:ind w:right="11"/>
              <w:spacing w:after="0"/>
              <w:rPr>
                <w:sz w:val="20"/>
                <w:szCs w:val="20"/>
                <w:color w:val="auto"/>
              </w:rPr>
            </w:pPr>
            <w:r>
              <w:rPr>
                <w:rFonts w:ascii="Arial" w:cs="Arial" w:eastAsia="Arial" w:hAnsi="Arial"/>
                <w:sz w:val="10"/>
                <w:szCs w:val="10"/>
                <w:color w:val="auto"/>
                <w:w w:val="97"/>
              </w:rPr>
              <w:t>Quarterly</w:t>
            </w:r>
          </w:p>
        </w:tc>
        <w:tc>
          <w:tcPr>
            <w:tcW w:w="1340" w:type="dxa"/>
            <w:vAlign w:val="bottom"/>
          </w:tcPr>
          <w:p>
            <w:pPr>
              <w:jc w:val="center"/>
              <w:ind w:left="51"/>
              <w:spacing w:after="0"/>
              <w:rPr>
                <w:sz w:val="20"/>
                <w:szCs w:val="20"/>
                <w:color w:val="auto"/>
              </w:rPr>
            </w:pPr>
            <w:r>
              <w:rPr>
                <w:rFonts w:ascii="Arial" w:cs="Arial" w:eastAsia="Arial" w:hAnsi="Arial"/>
                <w:sz w:val="10"/>
                <w:szCs w:val="10"/>
                <w:color w:val="auto"/>
                <w:w w:val="97"/>
              </w:rPr>
              <w:t>Semi-Annual</w:t>
            </w:r>
          </w:p>
        </w:tc>
        <w:tc>
          <w:tcPr>
            <w:tcW w:w="1080" w:type="dxa"/>
            <w:vAlign w:val="bottom"/>
          </w:tcPr>
          <w:p>
            <w:pPr>
              <w:jc w:val="center"/>
              <w:ind w:left="51"/>
              <w:spacing w:after="0"/>
              <w:rPr>
                <w:sz w:val="20"/>
                <w:szCs w:val="20"/>
                <w:color w:val="auto"/>
              </w:rPr>
            </w:pPr>
            <w:r>
              <w:rPr>
                <w:rFonts w:ascii="Arial" w:cs="Arial" w:eastAsia="Arial" w:hAnsi="Arial"/>
                <w:sz w:val="10"/>
                <w:szCs w:val="10"/>
                <w:color w:val="auto"/>
                <w:w w:val="98"/>
              </w:rPr>
              <w:t>2025</w:t>
            </w:r>
          </w:p>
        </w:tc>
        <w:tc>
          <w:tcPr>
            <w:tcW w:w="1080" w:type="dxa"/>
            <w:vAlign w:val="bottom"/>
          </w:tcPr>
          <w:p>
            <w:pPr>
              <w:jc w:val="right"/>
              <w:ind w:right="111"/>
              <w:spacing w:after="0"/>
              <w:rPr>
                <w:sz w:val="20"/>
                <w:szCs w:val="20"/>
                <w:color w:val="auto"/>
              </w:rPr>
            </w:pPr>
            <w:r>
              <w:rPr>
                <w:rFonts w:ascii="Arial" w:cs="Arial" w:eastAsia="Arial" w:hAnsi="Arial"/>
                <w:sz w:val="10"/>
                <w:szCs w:val="10"/>
                <w:color w:val="auto"/>
              </w:rPr>
              <w:t>9</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260" w:type="dxa"/>
            <w:vAlign w:val="bottom"/>
            <w:shd w:val="clear" w:color="auto" w:fill="CCEEFF"/>
          </w:tcPr>
          <w:p>
            <w:pPr>
              <w:ind w:left="20"/>
              <w:spacing w:after="0"/>
              <w:rPr>
                <w:sz w:val="20"/>
                <w:szCs w:val="20"/>
                <w:color w:val="auto"/>
              </w:rPr>
            </w:pPr>
            <w:r>
              <w:rPr>
                <w:rFonts w:ascii="Arial" w:cs="Arial" w:eastAsia="Arial" w:hAnsi="Arial"/>
                <w:sz w:val="10"/>
                <w:szCs w:val="10"/>
                <w:color w:val="auto"/>
                <w:w w:val="98"/>
              </w:rPr>
              <w:t>2019</w:t>
            </w:r>
          </w:p>
        </w:tc>
        <w:tc>
          <w:tcPr>
            <w:tcW w:w="2640" w:type="dxa"/>
            <w:vAlign w:val="bottom"/>
            <w:shd w:val="clear" w:color="auto" w:fill="CCEEFF"/>
          </w:tcPr>
          <w:p>
            <w:pPr>
              <w:spacing w:after="0"/>
              <w:rPr>
                <w:sz w:val="20"/>
                <w:szCs w:val="20"/>
                <w:color w:val="auto"/>
              </w:rPr>
            </w:pPr>
            <w:r>
              <w:rPr>
                <w:rFonts w:ascii="Arial" w:cs="Arial" w:eastAsia="Arial" w:hAnsi="Arial"/>
                <w:sz w:val="10"/>
                <w:szCs w:val="10"/>
                <w:color w:val="auto"/>
              </w:rPr>
              <w:t>USD Dresden Equipment Financing</w:t>
            </w:r>
            <w:r>
              <w:rPr>
                <w:rFonts w:ascii="Arial" w:cs="Arial" w:eastAsia="Arial" w:hAnsi="Arial"/>
                <w:sz w:val="12"/>
                <w:szCs w:val="12"/>
                <w:color w:val="auto"/>
                <w:vertAlign w:val="superscript"/>
              </w:rPr>
              <w:t>(3)</w:t>
            </w:r>
          </w:p>
        </w:tc>
        <w:tc>
          <w:tcPr>
            <w:tcW w:w="1180" w:type="dxa"/>
            <w:vAlign w:val="bottom"/>
            <w:shd w:val="clear" w:color="auto" w:fill="CCEEFF"/>
          </w:tcPr>
          <w:p>
            <w:pPr>
              <w:jc w:val="center"/>
              <w:ind w:left="171"/>
              <w:spacing w:after="0"/>
              <w:rPr>
                <w:sz w:val="20"/>
                <w:szCs w:val="20"/>
                <w:color w:val="auto"/>
              </w:rPr>
            </w:pPr>
            <w:r>
              <w:rPr>
                <w:rFonts w:ascii="Arial" w:cs="Arial" w:eastAsia="Arial" w:hAnsi="Arial"/>
                <w:sz w:val="10"/>
                <w:szCs w:val="10"/>
                <w:color w:val="auto"/>
                <w:w w:val="94"/>
              </w:rPr>
              <w:t>USD</w:t>
            </w:r>
          </w:p>
        </w:tc>
        <w:tc>
          <w:tcPr>
            <w:tcW w:w="1460" w:type="dxa"/>
            <w:vAlign w:val="bottom"/>
            <w:shd w:val="clear" w:color="auto" w:fill="CCEEFF"/>
          </w:tcPr>
          <w:p>
            <w:pPr>
              <w:jc w:val="center"/>
              <w:ind w:right="51"/>
              <w:spacing w:after="0"/>
              <w:rPr>
                <w:sz w:val="20"/>
                <w:szCs w:val="20"/>
                <w:color w:val="auto"/>
              </w:rPr>
            </w:pPr>
            <w:r>
              <w:rPr>
                <w:rFonts w:ascii="Arial" w:cs="Arial" w:eastAsia="Arial" w:hAnsi="Arial"/>
                <w:sz w:val="10"/>
                <w:szCs w:val="10"/>
                <w:color w:val="auto"/>
              </w:rPr>
              <w:t>SOFR + 1.75%</w:t>
            </w:r>
          </w:p>
        </w:tc>
        <w:tc>
          <w:tcPr>
            <w:tcW w:w="1380" w:type="dxa"/>
            <w:vAlign w:val="bottom"/>
            <w:shd w:val="clear" w:color="auto" w:fill="CCEEFF"/>
          </w:tcPr>
          <w:p>
            <w:pPr>
              <w:jc w:val="center"/>
              <w:ind w:right="11"/>
              <w:spacing w:after="0"/>
              <w:rPr>
                <w:sz w:val="20"/>
                <w:szCs w:val="20"/>
                <w:color w:val="auto"/>
              </w:rPr>
            </w:pPr>
            <w:r>
              <w:rPr>
                <w:rFonts w:ascii="Arial" w:cs="Arial" w:eastAsia="Arial" w:hAnsi="Arial"/>
                <w:sz w:val="10"/>
                <w:szCs w:val="10"/>
                <w:color w:val="auto"/>
                <w:w w:val="99"/>
              </w:rPr>
              <w:t>Semi- Annual</w:t>
            </w:r>
          </w:p>
        </w:tc>
        <w:tc>
          <w:tcPr>
            <w:tcW w:w="134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7"/>
              </w:rPr>
              <w:t>Semi-Annual</w:t>
            </w:r>
          </w:p>
        </w:tc>
        <w:tc>
          <w:tcPr>
            <w:tcW w:w="108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8"/>
              </w:rPr>
              <w:t>2026</w:t>
            </w: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36</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w:t>
            </w:r>
          </w:p>
        </w:tc>
        <w:tc>
          <w:tcPr>
            <w:tcW w:w="0" w:type="dxa"/>
            <w:vAlign w:val="bottom"/>
          </w:tcPr>
          <w:p>
            <w:pPr>
              <w:spacing w:after="0"/>
              <w:rPr>
                <w:sz w:val="1"/>
                <w:szCs w:val="1"/>
                <w:color w:val="auto"/>
              </w:rPr>
            </w:pPr>
          </w:p>
        </w:tc>
      </w:tr>
      <w:tr>
        <w:trPr>
          <w:trHeight w:val="138"/>
        </w:trPr>
        <w:tc>
          <w:tcPr>
            <w:tcW w:w="260" w:type="dxa"/>
            <w:vAlign w:val="bottom"/>
          </w:tcPr>
          <w:p>
            <w:pPr>
              <w:ind w:left="20"/>
              <w:spacing w:after="0"/>
              <w:rPr>
                <w:sz w:val="20"/>
                <w:szCs w:val="20"/>
                <w:color w:val="auto"/>
              </w:rPr>
            </w:pPr>
            <w:r>
              <w:rPr>
                <w:rFonts w:ascii="Arial" w:cs="Arial" w:eastAsia="Arial" w:hAnsi="Arial"/>
                <w:sz w:val="10"/>
                <w:szCs w:val="10"/>
                <w:color w:val="auto"/>
                <w:w w:val="98"/>
              </w:rPr>
              <w:t>2020</w:t>
            </w:r>
          </w:p>
        </w:tc>
        <w:tc>
          <w:tcPr>
            <w:tcW w:w="2640" w:type="dxa"/>
            <w:vAlign w:val="bottom"/>
          </w:tcPr>
          <w:p>
            <w:pPr>
              <w:spacing w:after="0"/>
              <w:rPr>
                <w:sz w:val="20"/>
                <w:szCs w:val="20"/>
                <w:color w:val="auto"/>
              </w:rPr>
            </w:pPr>
            <w:r>
              <w:rPr>
                <w:rFonts w:ascii="Arial" w:cs="Arial" w:eastAsia="Arial" w:hAnsi="Arial"/>
                <w:sz w:val="10"/>
                <w:szCs w:val="10"/>
                <w:color w:val="auto"/>
              </w:rPr>
              <w:t>USD Equipment Financing</w:t>
            </w:r>
            <w:r>
              <w:rPr>
                <w:rFonts w:ascii="Arial" w:cs="Arial" w:eastAsia="Arial" w:hAnsi="Arial"/>
                <w:sz w:val="12"/>
                <w:szCs w:val="12"/>
                <w:color w:val="auto"/>
                <w:vertAlign w:val="superscript"/>
              </w:rPr>
              <w:t>(4)</w:t>
            </w:r>
          </w:p>
        </w:tc>
        <w:tc>
          <w:tcPr>
            <w:tcW w:w="1180" w:type="dxa"/>
            <w:vAlign w:val="bottom"/>
          </w:tcPr>
          <w:p>
            <w:pPr>
              <w:jc w:val="center"/>
              <w:ind w:left="171"/>
              <w:spacing w:after="0"/>
              <w:rPr>
                <w:sz w:val="20"/>
                <w:szCs w:val="20"/>
                <w:color w:val="auto"/>
              </w:rPr>
            </w:pPr>
            <w:r>
              <w:rPr>
                <w:rFonts w:ascii="Arial" w:cs="Arial" w:eastAsia="Arial" w:hAnsi="Arial"/>
                <w:sz w:val="10"/>
                <w:szCs w:val="10"/>
                <w:color w:val="auto"/>
                <w:w w:val="94"/>
              </w:rPr>
              <w:t>USD</w:t>
            </w:r>
          </w:p>
        </w:tc>
        <w:tc>
          <w:tcPr>
            <w:tcW w:w="1460" w:type="dxa"/>
            <w:vAlign w:val="bottom"/>
          </w:tcPr>
          <w:p>
            <w:pPr>
              <w:jc w:val="center"/>
              <w:ind w:right="51"/>
              <w:spacing w:after="0"/>
              <w:rPr>
                <w:sz w:val="20"/>
                <w:szCs w:val="20"/>
                <w:color w:val="auto"/>
              </w:rPr>
            </w:pPr>
            <w:r>
              <w:rPr>
                <w:rFonts w:ascii="Arial" w:cs="Arial" w:eastAsia="Arial" w:hAnsi="Arial"/>
                <w:sz w:val="10"/>
                <w:szCs w:val="10"/>
                <w:color w:val="auto"/>
              </w:rPr>
              <w:t>SOFR + 1.90%</w:t>
            </w:r>
          </w:p>
        </w:tc>
        <w:tc>
          <w:tcPr>
            <w:tcW w:w="1380" w:type="dxa"/>
            <w:vAlign w:val="bottom"/>
          </w:tcPr>
          <w:p>
            <w:pPr>
              <w:jc w:val="center"/>
              <w:ind w:right="11"/>
              <w:spacing w:after="0"/>
              <w:rPr>
                <w:sz w:val="20"/>
                <w:szCs w:val="20"/>
                <w:color w:val="auto"/>
              </w:rPr>
            </w:pPr>
            <w:r>
              <w:rPr>
                <w:rFonts w:ascii="Arial" w:cs="Arial" w:eastAsia="Arial" w:hAnsi="Arial"/>
                <w:sz w:val="10"/>
                <w:szCs w:val="10"/>
                <w:color w:val="auto"/>
                <w:w w:val="97"/>
              </w:rPr>
              <w:t>Quarterly</w:t>
            </w:r>
          </w:p>
        </w:tc>
        <w:tc>
          <w:tcPr>
            <w:tcW w:w="1340" w:type="dxa"/>
            <w:vAlign w:val="bottom"/>
          </w:tcPr>
          <w:p>
            <w:pPr>
              <w:jc w:val="center"/>
              <w:ind w:left="51"/>
              <w:spacing w:after="0"/>
              <w:rPr>
                <w:sz w:val="20"/>
                <w:szCs w:val="20"/>
                <w:color w:val="auto"/>
              </w:rPr>
            </w:pPr>
            <w:r>
              <w:rPr>
                <w:rFonts w:ascii="Arial" w:cs="Arial" w:eastAsia="Arial" w:hAnsi="Arial"/>
                <w:sz w:val="10"/>
                <w:szCs w:val="10"/>
                <w:color w:val="auto"/>
                <w:w w:val="97"/>
              </w:rPr>
              <w:t>Quarterly</w:t>
            </w:r>
          </w:p>
        </w:tc>
        <w:tc>
          <w:tcPr>
            <w:tcW w:w="1080" w:type="dxa"/>
            <w:vAlign w:val="bottom"/>
          </w:tcPr>
          <w:p>
            <w:pPr>
              <w:jc w:val="center"/>
              <w:ind w:left="51"/>
              <w:spacing w:after="0"/>
              <w:rPr>
                <w:sz w:val="20"/>
                <w:szCs w:val="20"/>
                <w:color w:val="auto"/>
              </w:rPr>
            </w:pPr>
            <w:r>
              <w:rPr>
                <w:rFonts w:ascii="Arial" w:cs="Arial" w:eastAsia="Arial" w:hAnsi="Arial"/>
                <w:sz w:val="10"/>
                <w:szCs w:val="10"/>
                <w:color w:val="auto"/>
                <w:w w:val="98"/>
              </w:rPr>
              <w:t>2025</w:t>
            </w:r>
          </w:p>
        </w:tc>
        <w:tc>
          <w:tcPr>
            <w:tcW w:w="1080" w:type="dxa"/>
            <w:vAlign w:val="bottom"/>
          </w:tcPr>
          <w:p>
            <w:pPr>
              <w:jc w:val="right"/>
              <w:ind w:right="111"/>
              <w:spacing w:after="0"/>
              <w:rPr>
                <w:sz w:val="20"/>
                <w:szCs w:val="20"/>
                <w:color w:val="auto"/>
              </w:rPr>
            </w:pPr>
            <w:r>
              <w:rPr>
                <w:rFonts w:ascii="Arial" w:cs="Arial" w:eastAsia="Arial" w:hAnsi="Arial"/>
                <w:sz w:val="10"/>
                <w:szCs w:val="10"/>
                <w:color w:val="auto"/>
              </w:rPr>
              <w:t>60</w:t>
            </w:r>
          </w:p>
        </w:tc>
        <w:tc>
          <w:tcPr>
            <w:tcW w:w="860" w:type="dxa"/>
            <w:vAlign w:val="bottom"/>
          </w:tcPr>
          <w:p>
            <w:pPr>
              <w:jc w:val="right"/>
              <w:spacing w:after="0"/>
              <w:rPr>
                <w:sz w:val="20"/>
                <w:szCs w:val="20"/>
                <w:color w:val="auto"/>
              </w:rPr>
            </w:pPr>
            <w:r>
              <w:rPr>
                <w:rFonts w:ascii="Arial" w:cs="Arial" w:eastAsia="Arial" w:hAnsi="Arial"/>
                <w:sz w:val="10"/>
                <w:szCs w:val="10"/>
                <w:color w:val="auto"/>
              </w:rPr>
              <w:t>59</w:t>
            </w:r>
          </w:p>
        </w:tc>
        <w:tc>
          <w:tcPr>
            <w:tcW w:w="0" w:type="dxa"/>
            <w:vAlign w:val="bottom"/>
          </w:tcPr>
          <w:p>
            <w:pPr>
              <w:spacing w:after="0"/>
              <w:rPr>
                <w:sz w:val="1"/>
                <w:szCs w:val="1"/>
                <w:color w:val="auto"/>
              </w:rPr>
            </w:pPr>
          </w:p>
        </w:tc>
      </w:tr>
      <w:tr>
        <w:trPr>
          <w:trHeight w:val="138"/>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2019 EUR Dresden Equipment Financing</w:t>
            </w:r>
            <w:r>
              <w:rPr>
                <w:rFonts w:ascii="Arial" w:cs="Arial" w:eastAsia="Arial" w:hAnsi="Arial"/>
                <w:sz w:val="12"/>
                <w:szCs w:val="12"/>
                <w:color w:val="auto"/>
                <w:vertAlign w:val="superscript"/>
              </w:rPr>
              <w:t>(3)</w:t>
            </w:r>
          </w:p>
        </w:tc>
        <w:tc>
          <w:tcPr>
            <w:tcW w:w="1180" w:type="dxa"/>
            <w:vAlign w:val="bottom"/>
            <w:shd w:val="clear" w:color="auto" w:fill="CCEEFF"/>
          </w:tcPr>
          <w:p>
            <w:pPr>
              <w:jc w:val="center"/>
              <w:ind w:left="171"/>
              <w:spacing w:after="0"/>
              <w:rPr>
                <w:sz w:val="20"/>
                <w:szCs w:val="20"/>
                <w:color w:val="auto"/>
              </w:rPr>
            </w:pPr>
            <w:r>
              <w:rPr>
                <w:rFonts w:ascii="Arial" w:cs="Arial" w:eastAsia="Arial" w:hAnsi="Arial"/>
                <w:sz w:val="10"/>
                <w:szCs w:val="10"/>
                <w:color w:val="auto"/>
                <w:w w:val="94"/>
              </w:rPr>
              <w:t>EUR</w:t>
            </w:r>
          </w:p>
        </w:tc>
        <w:tc>
          <w:tcPr>
            <w:tcW w:w="1460" w:type="dxa"/>
            <w:vAlign w:val="bottom"/>
            <w:shd w:val="clear" w:color="auto" w:fill="CCEEFF"/>
          </w:tcPr>
          <w:p>
            <w:pPr>
              <w:jc w:val="center"/>
              <w:ind w:right="51"/>
              <w:spacing w:after="0"/>
              <w:rPr>
                <w:sz w:val="20"/>
                <w:szCs w:val="20"/>
                <w:color w:val="auto"/>
              </w:rPr>
            </w:pPr>
            <w:r>
              <w:rPr>
                <w:rFonts w:ascii="Arial" w:cs="Arial" w:eastAsia="Arial" w:hAnsi="Arial"/>
                <w:sz w:val="10"/>
                <w:szCs w:val="10"/>
                <w:color w:val="auto"/>
                <w:w w:val="98"/>
              </w:rPr>
              <w:t>EURIBOR + 1.75%</w:t>
            </w:r>
          </w:p>
        </w:tc>
        <w:tc>
          <w:tcPr>
            <w:tcW w:w="1380" w:type="dxa"/>
            <w:vAlign w:val="bottom"/>
            <w:shd w:val="clear" w:color="auto" w:fill="CCEEFF"/>
          </w:tcPr>
          <w:p>
            <w:pPr>
              <w:jc w:val="center"/>
              <w:ind w:right="11"/>
              <w:spacing w:after="0"/>
              <w:rPr>
                <w:sz w:val="20"/>
                <w:szCs w:val="20"/>
                <w:color w:val="auto"/>
              </w:rPr>
            </w:pPr>
            <w:r>
              <w:rPr>
                <w:rFonts w:ascii="Arial" w:cs="Arial" w:eastAsia="Arial" w:hAnsi="Arial"/>
                <w:sz w:val="10"/>
                <w:szCs w:val="10"/>
                <w:color w:val="auto"/>
                <w:w w:val="99"/>
              </w:rPr>
              <w:t>Semi- Annual</w:t>
            </w:r>
          </w:p>
        </w:tc>
        <w:tc>
          <w:tcPr>
            <w:tcW w:w="134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7"/>
              </w:rPr>
              <w:t>Semi-Annual</w:t>
            </w:r>
          </w:p>
        </w:tc>
        <w:tc>
          <w:tcPr>
            <w:tcW w:w="108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8"/>
              </w:rPr>
              <w:t>2024</w:t>
            </w: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368</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30"/>
        </w:trPr>
        <w:tc>
          <w:tcPr>
            <w:tcW w:w="2900" w:type="dxa"/>
            <w:vAlign w:val="bottom"/>
            <w:gridSpan w:val="2"/>
          </w:tcPr>
          <w:p>
            <w:pPr>
              <w:ind w:left="20"/>
              <w:spacing w:after="0"/>
              <w:rPr>
                <w:sz w:val="20"/>
                <w:szCs w:val="20"/>
                <w:color w:val="auto"/>
              </w:rPr>
            </w:pPr>
            <w:r>
              <w:rPr>
                <w:rFonts w:ascii="Arial" w:cs="Arial" w:eastAsia="Arial" w:hAnsi="Arial"/>
                <w:sz w:val="10"/>
                <w:szCs w:val="10"/>
                <w:color w:val="auto"/>
              </w:rPr>
              <w:t>Various</w:t>
            </w:r>
          </w:p>
        </w:tc>
        <w:tc>
          <w:tcPr>
            <w:tcW w:w="1180" w:type="dxa"/>
            <w:vAlign w:val="bottom"/>
          </w:tcPr>
          <w:p>
            <w:pPr>
              <w:jc w:val="center"/>
              <w:ind w:left="171"/>
              <w:spacing w:after="0"/>
              <w:rPr>
                <w:sz w:val="20"/>
                <w:szCs w:val="20"/>
                <w:color w:val="auto"/>
              </w:rPr>
            </w:pPr>
            <w:r>
              <w:rPr>
                <w:rFonts w:ascii="Arial" w:cs="Arial" w:eastAsia="Arial" w:hAnsi="Arial"/>
                <w:sz w:val="10"/>
                <w:szCs w:val="10"/>
                <w:color w:val="auto"/>
              </w:rPr>
              <w:t>EUR, USD</w:t>
            </w:r>
          </w:p>
        </w:tc>
        <w:tc>
          <w:tcPr>
            <w:tcW w:w="1460" w:type="dxa"/>
            <w:vAlign w:val="bottom"/>
          </w:tcPr>
          <w:p>
            <w:pPr>
              <w:jc w:val="center"/>
              <w:ind w:right="51"/>
              <w:spacing w:after="0"/>
              <w:rPr>
                <w:sz w:val="20"/>
                <w:szCs w:val="20"/>
                <w:color w:val="auto"/>
              </w:rPr>
            </w:pPr>
            <w:r>
              <w:rPr>
                <w:rFonts w:ascii="Arial" w:cs="Arial" w:eastAsia="Arial" w:hAnsi="Arial"/>
                <w:sz w:val="10"/>
                <w:szCs w:val="10"/>
                <w:color w:val="auto"/>
                <w:w w:val="94"/>
              </w:rPr>
              <w:t>Various</w:t>
            </w:r>
          </w:p>
        </w:tc>
        <w:tc>
          <w:tcPr>
            <w:tcW w:w="1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80" w:type="dxa"/>
            <w:vAlign w:val="bottom"/>
          </w:tcPr>
          <w:p>
            <w:pPr>
              <w:jc w:val="center"/>
              <w:ind w:left="31"/>
              <w:spacing w:after="0"/>
              <w:rPr>
                <w:sz w:val="20"/>
                <w:szCs w:val="20"/>
                <w:color w:val="auto"/>
              </w:rPr>
            </w:pPr>
            <w:r>
              <w:rPr>
                <w:rFonts w:ascii="Arial" w:cs="Arial" w:eastAsia="Arial" w:hAnsi="Arial"/>
                <w:sz w:val="10"/>
                <w:szCs w:val="10"/>
                <w:color w:val="auto"/>
              </w:rPr>
              <w:t>2024-2026</w:t>
            </w:r>
          </w:p>
        </w:tc>
        <w:tc>
          <w:tcPr>
            <w:tcW w:w="1080" w:type="dxa"/>
            <w:vAlign w:val="bottom"/>
          </w:tcPr>
          <w:p>
            <w:pPr>
              <w:jc w:val="right"/>
              <w:ind w:right="111"/>
              <w:spacing w:after="0"/>
              <w:rPr>
                <w:sz w:val="20"/>
                <w:szCs w:val="20"/>
                <w:color w:val="auto"/>
              </w:rPr>
            </w:pPr>
            <w:r>
              <w:rPr>
                <w:rFonts w:ascii="Arial" w:cs="Arial" w:eastAsia="Arial" w:hAnsi="Arial"/>
                <w:sz w:val="10"/>
                <w:szCs w:val="10"/>
                <w:color w:val="auto"/>
              </w:rPr>
              <w:t>13</w:t>
            </w:r>
          </w:p>
        </w:tc>
        <w:tc>
          <w:tcPr>
            <w:tcW w:w="860" w:type="dxa"/>
            <w:vAlign w:val="bottom"/>
          </w:tcPr>
          <w:p>
            <w:pPr>
              <w:jc w:val="right"/>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Current total</w:t>
            </w:r>
          </w:p>
        </w:tc>
        <w:tc>
          <w:tcPr>
            <w:tcW w:w="118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571</w:t>
            </w:r>
          </w:p>
        </w:tc>
        <w:tc>
          <w:tcPr>
            <w:tcW w:w="40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223</w:t>
            </w:r>
          </w:p>
        </w:tc>
      </w:tr>
      <w:tr>
        <w:trPr>
          <w:trHeight w:val="114"/>
        </w:trPr>
        <w:tc>
          <w:tcPr>
            <w:tcW w:w="2900" w:type="dxa"/>
            <w:vAlign w:val="bottom"/>
            <w:gridSpan w:val="2"/>
          </w:tcPr>
          <w:p>
            <w:pPr>
              <w:ind w:left="20"/>
              <w:spacing w:after="0" w:line="110" w:lineRule="exact"/>
              <w:rPr>
                <w:sz w:val="20"/>
                <w:szCs w:val="20"/>
                <w:color w:val="auto"/>
              </w:rPr>
            </w:pPr>
            <w:r>
              <w:rPr>
                <w:rFonts w:ascii="Arial" w:cs="Arial" w:eastAsia="Arial" w:hAnsi="Arial"/>
                <w:sz w:val="10"/>
                <w:szCs w:val="10"/>
                <w:color w:val="auto"/>
              </w:rPr>
              <w:t>Non-current:</w:t>
            </w:r>
          </w:p>
        </w:tc>
        <w:tc>
          <w:tcPr>
            <w:tcW w:w="11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42"/>
        </w:trPr>
        <w:tc>
          <w:tcPr>
            <w:tcW w:w="260" w:type="dxa"/>
            <w:vAlign w:val="bottom"/>
            <w:shd w:val="clear" w:color="auto" w:fill="CCEEFF"/>
          </w:tcPr>
          <w:p>
            <w:pPr>
              <w:ind w:left="20"/>
              <w:spacing w:after="0"/>
              <w:rPr>
                <w:sz w:val="20"/>
                <w:szCs w:val="20"/>
                <w:color w:val="auto"/>
              </w:rPr>
            </w:pPr>
            <w:r>
              <w:rPr>
                <w:rFonts w:ascii="Arial" w:cs="Arial" w:eastAsia="Arial" w:hAnsi="Arial"/>
                <w:sz w:val="10"/>
                <w:szCs w:val="10"/>
                <w:color w:val="auto"/>
                <w:w w:val="98"/>
              </w:rPr>
              <w:t>2019</w:t>
            </w:r>
          </w:p>
        </w:tc>
        <w:tc>
          <w:tcPr>
            <w:tcW w:w="2640" w:type="dxa"/>
            <w:vAlign w:val="bottom"/>
            <w:shd w:val="clear" w:color="auto" w:fill="CCEEFF"/>
          </w:tcPr>
          <w:p>
            <w:pPr>
              <w:spacing w:after="0"/>
              <w:rPr>
                <w:sz w:val="20"/>
                <w:szCs w:val="20"/>
                <w:color w:val="auto"/>
              </w:rPr>
            </w:pPr>
            <w:r>
              <w:rPr>
                <w:rFonts w:ascii="Arial" w:cs="Arial" w:eastAsia="Arial" w:hAnsi="Arial"/>
                <w:sz w:val="10"/>
                <w:szCs w:val="10"/>
                <w:color w:val="auto"/>
              </w:rPr>
              <w:t>Tool Equipment Purchase and Lease Financing</w:t>
            </w:r>
            <w:r>
              <w:rPr>
                <w:rFonts w:ascii="Arial" w:cs="Arial" w:eastAsia="Arial" w:hAnsi="Arial"/>
                <w:sz w:val="12"/>
                <w:szCs w:val="12"/>
                <w:color w:val="auto"/>
                <w:vertAlign w:val="superscript"/>
              </w:rPr>
              <w:t>(2)</w:t>
            </w:r>
          </w:p>
        </w:tc>
        <w:tc>
          <w:tcPr>
            <w:tcW w:w="1180" w:type="dxa"/>
            <w:vAlign w:val="bottom"/>
            <w:shd w:val="clear" w:color="auto" w:fill="CCEEFF"/>
          </w:tcPr>
          <w:p>
            <w:pPr>
              <w:jc w:val="center"/>
              <w:ind w:left="171"/>
              <w:spacing w:after="0"/>
              <w:rPr>
                <w:sz w:val="20"/>
                <w:szCs w:val="20"/>
                <w:color w:val="auto"/>
              </w:rPr>
            </w:pPr>
            <w:r>
              <w:rPr>
                <w:rFonts w:ascii="Arial" w:cs="Arial" w:eastAsia="Arial" w:hAnsi="Arial"/>
                <w:sz w:val="10"/>
                <w:szCs w:val="10"/>
                <w:color w:val="auto"/>
                <w:w w:val="94"/>
              </w:rPr>
              <w:t>USD</w:t>
            </w:r>
          </w:p>
        </w:tc>
        <w:tc>
          <w:tcPr>
            <w:tcW w:w="1480" w:type="dxa"/>
            <w:vAlign w:val="bottom"/>
            <w:shd w:val="clear" w:color="auto" w:fill="CCEEFF"/>
          </w:tcPr>
          <w:p>
            <w:pPr>
              <w:jc w:val="center"/>
              <w:ind w:right="71"/>
              <w:spacing w:after="0"/>
              <w:rPr>
                <w:sz w:val="20"/>
                <w:szCs w:val="20"/>
                <w:color w:val="auto"/>
              </w:rPr>
            </w:pPr>
            <w:r>
              <w:rPr>
                <w:rFonts w:ascii="Arial" w:cs="Arial" w:eastAsia="Arial" w:hAnsi="Arial"/>
                <w:sz w:val="10"/>
                <w:szCs w:val="10"/>
                <w:color w:val="auto"/>
              </w:rPr>
              <w:t>SOFR + 1.75%</w:t>
            </w:r>
          </w:p>
        </w:tc>
        <w:tc>
          <w:tcPr>
            <w:tcW w:w="1360" w:type="dxa"/>
            <w:vAlign w:val="bottom"/>
            <w:shd w:val="clear" w:color="auto" w:fill="CCEEFF"/>
          </w:tcPr>
          <w:p>
            <w:pPr>
              <w:jc w:val="center"/>
              <w:ind w:right="31"/>
              <w:spacing w:after="0"/>
              <w:rPr>
                <w:sz w:val="20"/>
                <w:szCs w:val="20"/>
                <w:color w:val="auto"/>
              </w:rPr>
            </w:pPr>
            <w:r>
              <w:rPr>
                <w:rFonts w:ascii="Arial" w:cs="Arial" w:eastAsia="Arial" w:hAnsi="Arial"/>
                <w:sz w:val="10"/>
                <w:szCs w:val="10"/>
                <w:color w:val="auto"/>
                <w:w w:val="97"/>
              </w:rPr>
              <w:t>Quarterly</w:t>
            </w:r>
          </w:p>
        </w:tc>
        <w:tc>
          <w:tcPr>
            <w:tcW w:w="134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7"/>
              </w:rPr>
              <w:t>Quarterly</w:t>
            </w:r>
          </w:p>
        </w:tc>
        <w:tc>
          <w:tcPr>
            <w:tcW w:w="108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8"/>
              </w:rPr>
              <w:t>2024</w:t>
            </w: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w:t>
            </w:r>
          </w:p>
        </w:tc>
      </w:tr>
      <w:tr>
        <w:trPr>
          <w:trHeight w:val="138"/>
        </w:trPr>
        <w:tc>
          <w:tcPr>
            <w:tcW w:w="260" w:type="dxa"/>
            <w:vAlign w:val="bottom"/>
          </w:tcPr>
          <w:p>
            <w:pPr>
              <w:ind w:left="20"/>
              <w:spacing w:after="0"/>
              <w:rPr>
                <w:sz w:val="20"/>
                <w:szCs w:val="20"/>
                <w:color w:val="auto"/>
              </w:rPr>
            </w:pPr>
            <w:r>
              <w:rPr>
                <w:rFonts w:ascii="Arial" w:cs="Arial" w:eastAsia="Arial" w:hAnsi="Arial"/>
                <w:sz w:val="10"/>
                <w:szCs w:val="10"/>
                <w:color w:val="auto"/>
                <w:w w:val="98"/>
              </w:rPr>
              <w:t>2019</w:t>
            </w:r>
          </w:p>
        </w:tc>
        <w:tc>
          <w:tcPr>
            <w:tcW w:w="2640" w:type="dxa"/>
            <w:vAlign w:val="bottom"/>
          </w:tcPr>
          <w:p>
            <w:pPr>
              <w:spacing w:after="0"/>
              <w:rPr>
                <w:sz w:val="20"/>
                <w:szCs w:val="20"/>
                <w:color w:val="auto"/>
              </w:rPr>
            </w:pPr>
            <w:r>
              <w:rPr>
                <w:rFonts w:ascii="Arial" w:cs="Arial" w:eastAsia="Arial" w:hAnsi="Arial"/>
                <w:sz w:val="10"/>
                <w:szCs w:val="10"/>
                <w:color w:val="auto"/>
              </w:rPr>
              <w:t>USD Dresden Equipment Financing</w:t>
            </w:r>
            <w:r>
              <w:rPr>
                <w:rFonts w:ascii="Arial" w:cs="Arial" w:eastAsia="Arial" w:hAnsi="Arial"/>
                <w:sz w:val="12"/>
                <w:szCs w:val="12"/>
                <w:color w:val="auto"/>
                <w:vertAlign w:val="superscript"/>
              </w:rPr>
              <w:t>(3)</w:t>
            </w:r>
          </w:p>
        </w:tc>
        <w:tc>
          <w:tcPr>
            <w:tcW w:w="1180" w:type="dxa"/>
            <w:vAlign w:val="bottom"/>
          </w:tcPr>
          <w:p>
            <w:pPr>
              <w:jc w:val="center"/>
              <w:ind w:left="171"/>
              <w:spacing w:after="0"/>
              <w:rPr>
                <w:sz w:val="20"/>
                <w:szCs w:val="20"/>
                <w:color w:val="auto"/>
              </w:rPr>
            </w:pPr>
            <w:r>
              <w:rPr>
                <w:rFonts w:ascii="Arial" w:cs="Arial" w:eastAsia="Arial" w:hAnsi="Arial"/>
                <w:sz w:val="10"/>
                <w:szCs w:val="10"/>
                <w:color w:val="auto"/>
                <w:w w:val="94"/>
              </w:rPr>
              <w:t>USD</w:t>
            </w:r>
          </w:p>
        </w:tc>
        <w:tc>
          <w:tcPr>
            <w:tcW w:w="1480" w:type="dxa"/>
            <w:vAlign w:val="bottom"/>
          </w:tcPr>
          <w:p>
            <w:pPr>
              <w:jc w:val="center"/>
              <w:ind w:right="71"/>
              <w:spacing w:after="0"/>
              <w:rPr>
                <w:sz w:val="20"/>
                <w:szCs w:val="20"/>
                <w:color w:val="auto"/>
              </w:rPr>
            </w:pPr>
            <w:r>
              <w:rPr>
                <w:rFonts w:ascii="Arial" w:cs="Arial" w:eastAsia="Arial" w:hAnsi="Arial"/>
                <w:sz w:val="10"/>
                <w:szCs w:val="10"/>
                <w:color w:val="auto"/>
              </w:rPr>
              <w:t>SOFR + 2.25%</w:t>
            </w:r>
          </w:p>
        </w:tc>
        <w:tc>
          <w:tcPr>
            <w:tcW w:w="1360" w:type="dxa"/>
            <w:vAlign w:val="bottom"/>
          </w:tcPr>
          <w:p>
            <w:pPr>
              <w:jc w:val="center"/>
              <w:ind w:right="31"/>
              <w:spacing w:after="0"/>
              <w:rPr>
                <w:sz w:val="20"/>
                <w:szCs w:val="20"/>
                <w:color w:val="auto"/>
              </w:rPr>
            </w:pPr>
            <w:r>
              <w:rPr>
                <w:rFonts w:ascii="Arial" w:cs="Arial" w:eastAsia="Arial" w:hAnsi="Arial"/>
                <w:sz w:val="10"/>
                <w:szCs w:val="10"/>
                <w:color w:val="auto"/>
                <w:w w:val="97"/>
              </w:rPr>
              <w:t>Semi-Annual</w:t>
            </w:r>
          </w:p>
        </w:tc>
        <w:tc>
          <w:tcPr>
            <w:tcW w:w="1340" w:type="dxa"/>
            <w:vAlign w:val="bottom"/>
          </w:tcPr>
          <w:p>
            <w:pPr>
              <w:jc w:val="center"/>
              <w:ind w:left="51"/>
              <w:spacing w:after="0"/>
              <w:rPr>
                <w:sz w:val="20"/>
                <w:szCs w:val="20"/>
                <w:color w:val="auto"/>
              </w:rPr>
            </w:pPr>
            <w:r>
              <w:rPr>
                <w:rFonts w:ascii="Arial" w:cs="Arial" w:eastAsia="Arial" w:hAnsi="Arial"/>
                <w:sz w:val="10"/>
                <w:szCs w:val="10"/>
                <w:color w:val="auto"/>
                <w:w w:val="97"/>
              </w:rPr>
              <w:t>Semi-Annual</w:t>
            </w:r>
          </w:p>
        </w:tc>
        <w:tc>
          <w:tcPr>
            <w:tcW w:w="1080" w:type="dxa"/>
            <w:vAlign w:val="bottom"/>
          </w:tcPr>
          <w:p>
            <w:pPr>
              <w:jc w:val="center"/>
              <w:ind w:left="51"/>
              <w:spacing w:after="0"/>
              <w:rPr>
                <w:sz w:val="20"/>
                <w:szCs w:val="20"/>
                <w:color w:val="auto"/>
              </w:rPr>
            </w:pPr>
            <w:r>
              <w:rPr>
                <w:rFonts w:ascii="Arial" w:cs="Arial" w:eastAsia="Arial" w:hAnsi="Arial"/>
                <w:sz w:val="10"/>
                <w:szCs w:val="10"/>
                <w:color w:val="auto"/>
                <w:w w:val="98"/>
              </w:rPr>
              <w:t>2026</w:t>
            </w:r>
          </w:p>
        </w:tc>
        <w:tc>
          <w:tcPr>
            <w:tcW w:w="3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72</w:t>
            </w:r>
          </w:p>
        </w:tc>
        <w:tc>
          <w:tcPr>
            <w:tcW w:w="4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108</w:t>
            </w:r>
          </w:p>
        </w:tc>
      </w:tr>
      <w:tr>
        <w:trPr>
          <w:trHeight w:val="138"/>
        </w:trPr>
        <w:tc>
          <w:tcPr>
            <w:tcW w:w="260" w:type="dxa"/>
            <w:vAlign w:val="bottom"/>
            <w:shd w:val="clear" w:color="auto" w:fill="CCEEFF"/>
          </w:tcPr>
          <w:p>
            <w:pPr>
              <w:ind w:left="20"/>
              <w:spacing w:after="0"/>
              <w:rPr>
                <w:sz w:val="20"/>
                <w:szCs w:val="20"/>
                <w:color w:val="auto"/>
              </w:rPr>
            </w:pPr>
            <w:r>
              <w:rPr>
                <w:rFonts w:ascii="Arial" w:cs="Arial" w:eastAsia="Arial" w:hAnsi="Arial"/>
                <w:sz w:val="10"/>
                <w:szCs w:val="10"/>
                <w:color w:val="auto"/>
                <w:w w:val="98"/>
              </w:rPr>
              <w:t>2020</w:t>
            </w:r>
          </w:p>
        </w:tc>
        <w:tc>
          <w:tcPr>
            <w:tcW w:w="2640" w:type="dxa"/>
            <w:vAlign w:val="bottom"/>
            <w:shd w:val="clear" w:color="auto" w:fill="CCEEFF"/>
          </w:tcPr>
          <w:p>
            <w:pPr>
              <w:spacing w:after="0"/>
              <w:rPr>
                <w:sz w:val="20"/>
                <w:szCs w:val="20"/>
                <w:color w:val="auto"/>
              </w:rPr>
            </w:pPr>
            <w:r>
              <w:rPr>
                <w:rFonts w:ascii="Arial" w:cs="Arial" w:eastAsia="Arial" w:hAnsi="Arial"/>
                <w:sz w:val="10"/>
                <w:szCs w:val="10"/>
                <w:color w:val="auto"/>
              </w:rPr>
              <w:t>USD Equipment Financing</w:t>
            </w:r>
            <w:r>
              <w:rPr>
                <w:rFonts w:ascii="Arial" w:cs="Arial" w:eastAsia="Arial" w:hAnsi="Arial"/>
                <w:sz w:val="12"/>
                <w:szCs w:val="12"/>
                <w:color w:val="auto"/>
                <w:vertAlign w:val="superscript"/>
              </w:rPr>
              <w:t>(4)</w:t>
            </w:r>
          </w:p>
        </w:tc>
        <w:tc>
          <w:tcPr>
            <w:tcW w:w="1180" w:type="dxa"/>
            <w:vAlign w:val="bottom"/>
            <w:shd w:val="clear" w:color="auto" w:fill="CCEEFF"/>
          </w:tcPr>
          <w:p>
            <w:pPr>
              <w:jc w:val="center"/>
              <w:ind w:left="171"/>
              <w:spacing w:after="0"/>
              <w:rPr>
                <w:sz w:val="20"/>
                <w:szCs w:val="20"/>
                <w:color w:val="auto"/>
              </w:rPr>
            </w:pPr>
            <w:r>
              <w:rPr>
                <w:rFonts w:ascii="Arial" w:cs="Arial" w:eastAsia="Arial" w:hAnsi="Arial"/>
                <w:sz w:val="10"/>
                <w:szCs w:val="10"/>
                <w:color w:val="auto"/>
                <w:w w:val="94"/>
              </w:rPr>
              <w:t>USD</w:t>
            </w:r>
          </w:p>
        </w:tc>
        <w:tc>
          <w:tcPr>
            <w:tcW w:w="1480" w:type="dxa"/>
            <w:vAlign w:val="bottom"/>
            <w:shd w:val="clear" w:color="auto" w:fill="CCEEFF"/>
          </w:tcPr>
          <w:p>
            <w:pPr>
              <w:jc w:val="center"/>
              <w:ind w:right="71"/>
              <w:spacing w:after="0"/>
              <w:rPr>
                <w:sz w:val="20"/>
                <w:szCs w:val="20"/>
                <w:color w:val="auto"/>
              </w:rPr>
            </w:pPr>
            <w:r>
              <w:rPr>
                <w:rFonts w:ascii="Arial" w:cs="Arial" w:eastAsia="Arial" w:hAnsi="Arial"/>
                <w:sz w:val="10"/>
                <w:szCs w:val="10"/>
                <w:color w:val="auto"/>
              </w:rPr>
              <w:t>SOFR + 1.90%</w:t>
            </w:r>
          </w:p>
        </w:tc>
        <w:tc>
          <w:tcPr>
            <w:tcW w:w="1360" w:type="dxa"/>
            <w:vAlign w:val="bottom"/>
            <w:shd w:val="clear" w:color="auto" w:fill="CCEEFF"/>
          </w:tcPr>
          <w:p>
            <w:pPr>
              <w:jc w:val="center"/>
              <w:ind w:right="31"/>
              <w:spacing w:after="0"/>
              <w:rPr>
                <w:sz w:val="20"/>
                <w:szCs w:val="20"/>
                <w:color w:val="auto"/>
              </w:rPr>
            </w:pPr>
            <w:r>
              <w:rPr>
                <w:rFonts w:ascii="Arial" w:cs="Arial" w:eastAsia="Arial" w:hAnsi="Arial"/>
                <w:sz w:val="10"/>
                <w:szCs w:val="10"/>
                <w:color w:val="auto"/>
                <w:w w:val="97"/>
              </w:rPr>
              <w:t>Quarterly</w:t>
            </w:r>
          </w:p>
        </w:tc>
        <w:tc>
          <w:tcPr>
            <w:tcW w:w="134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7"/>
              </w:rPr>
              <w:t>Quarterly</w:t>
            </w:r>
          </w:p>
        </w:tc>
        <w:tc>
          <w:tcPr>
            <w:tcW w:w="108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8"/>
              </w:rPr>
              <w:t>2025</w:t>
            </w: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w:t>
            </w: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w:t>
            </w:r>
          </w:p>
        </w:tc>
      </w:tr>
      <w:tr>
        <w:trPr>
          <w:trHeight w:val="134"/>
        </w:trPr>
        <w:tc>
          <w:tcPr>
            <w:tcW w:w="2900" w:type="dxa"/>
            <w:vAlign w:val="bottom"/>
            <w:gridSpan w:val="2"/>
          </w:tcPr>
          <w:p>
            <w:pPr>
              <w:ind w:left="20"/>
              <w:spacing w:after="0"/>
              <w:rPr>
                <w:sz w:val="20"/>
                <w:szCs w:val="20"/>
                <w:color w:val="auto"/>
              </w:rPr>
            </w:pPr>
            <w:r>
              <w:rPr>
                <w:rFonts w:ascii="Arial" w:cs="Arial" w:eastAsia="Arial" w:hAnsi="Arial"/>
                <w:sz w:val="10"/>
                <w:szCs w:val="10"/>
                <w:color w:val="auto"/>
              </w:rPr>
              <w:t>USD Term Loan A</w:t>
            </w:r>
          </w:p>
        </w:tc>
        <w:tc>
          <w:tcPr>
            <w:tcW w:w="1180" w:type="dxa"/>
            <w:vAlign w:val="bottom"/>
          </w:tcPr>
          <w:p>
            <w:pPr>
              <w:jc w:val="center"/>
              <w:ind w:left="171"/>
              <w:spacing w:after="0"/>
              <w:rPr>
                <w:sz w:val="20"/>
                <w:szCs w:val="20"/>
                <w:color w:val="auto"/>
              </w:rPr>
            </w:pPr>
            <w:r>
              <w:rPr>
                <w:rFonts w:ascii="Arial" w:cs="Arial" w:eastAsia="Arial" w:hAnsi="Arial"/>
                <w:sz w:val="10"/>
                <w:szCs w:val="10"/>
                <w:color w:val="auto"/>
                <w:w w:val="94"/>
              </w:rPr>
              <w:t>USD</w:t>
            </w:r>
          </w:p>
        </w:tc>
        <w:tc>
          <w:tcPr>
            <w:tcW w:w="1480" w:type="dxa"/>
            <w:vAlign w:val="bottom"/>
          </w:tcPr>
          <w:p>
            <w:pPr>
              <w:jc w:val="center"/>
              <w:ind w:right="71"/>
              <w:spacing w:after="0"/>
              <w:rPr>
                <w:sz w:val="20"/>
                <w:szCs w:val="20"/>
                <w:color w:val="auto"/>
              </w:rPr>
            </w:pPr>
            <w:r>
              <w:rPr>
                <w:rFonts w:ascii="Arial" w:cs="Arial" w:eastAsia="Arial" w:hAnsi="Arial"/>
                <w:sz w:val="10"/>
                <w:szCs w:val="10"/>
                <w:color w:val="auto"/>
              </w:rPr>
              <w:t>SOFR + 2.90%</w:t>
            </w:r>
          </w:p>
        </w:tc>
        <w:tc>
          <w:tcPr>
            <w:tcW w:w="1360" w:type="dxa"/>
            <w:vAlign w:val="bottom"/>
          </w:tcPr>
          <w:p>
            <w:pPr>
              <w:jc w:val="center"/>
              <w:ind w:right="31"/>
              <w:spacing w:after="0"/>
              <w:rPr>
                <w:sz w:val="20"/>
                <w:szCs w:val="20"/>
                <w:color w:val="auto"/>
              </w:rPr>
            </w:pPr>
            <w:r>
              <w:rPr>
                <w:rFonts w:ascii="Arial" w:cs="Arial" w:eastAsia="Arial" w:hAnsi="Arial"/>
                <w:sz w:val="10"/>
                <w:szCs w:val="10"/>
                <w:color w:val="auto"/>
                <w:w w:val="97"/>
              </w:rPr>
              <w:t>Quarterly</w:t>
            </w:r>
          </w:p>
        </w:tc>
        <w:tc>
          <w:tcPr>
            <w:tcW w:w="1340" w:type="dxa"/>
            <w:vAlign w:val="bottom"/>
          </w:tcPr>
          <w:p>
            <w:pPr>
              <w:jc w:val="center"/>
              <w:ind w:left="51"/>
              <w:spacing w:after="0"/>
              <w:rPr>
                <w:sz w:val="20"/>
                <w:szCs w:val="20"/>
                <w:color w:val="auto"/>
              </w:rPr>
            </w:pPr>
            <w:r>
              <w:rPr>
                <w:rFonts w:ascii="Arial" w:cs="Arial" w:eastAsia="Arial" w:hAnsi="Arial"/>
                <w:sz w:val="10"/>
                <w:szCs w:val="10"/>
                <w:color w:val="auto"/>
                <w:w w:val="97"/>
              </w:rPr>
              <w:t>Semi-Annual</w:t>
            </w:r>
          </w:p>
        </w:tc>
        <w:tc>
          <w:tcPr>
            <w:tcW w:w="1080" w:type="dxa"/>
            <w:vAlign w:val="bottom"/>
          </w:tcPr>
          <w:p>
            <w:pPr>
              <w:jc w:val="center"/>
              <w:ind w:left="51"/>
              <w:spacing w:after="0"/>
              <w:rPr>
                <w:sz w:val="20"/>
                <w:szCs w:val="20"/>
                <w:color w:val="auto"/>
              </w:rPr>
            </w:pPr>
            <w:r>
              <w:rPr>
                <w:rFonts w:ascii="Arial" w:cs="Arial" w:eastAsia="Arial" w:hAnsi="Arial"/>
                <w:sz w:val="10"/>
                <w:szCs w:val="10"/>
                <w:color w:val="auto"/>
                <w:w w:val="98"/>
              </w:rPr>
              <w:t>2025</w:t>
            </w:r>
          </w:p>
        </w:tc>
        <w:tc>
          <w:tcPr>
            <w:tcW w:w="3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586</w:t>
            </w:r>
          </w:p>
        </w:tc>
        <w:tc>
          <w:tcPr>
            <w:tcW w:w="4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649</w:t>
            </w:r>
          </w:p>
        </w:tc>
      </w:tr>
      <w:tr>
        <w:trPr>
          <w:trHeight w:val="142"/>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EUR Term Loan A</w:t>
            </w:r>
          </w:p>
        </w:tc>
        <w:tc>
          <w:tcPr>
            <w:tcW w:w="1180" w:type="dxa"/>
            <w:vAlign w:val="bottom"/>
            <w:shd w:val="clear" w:color="auto" w:fill="CCEEFF"/>
          </w:tcPr>
          <w:p>
            <w:pPr>
              <w:jc w:val="center"/>
              <w:ind w:left="171"/>
              <w:spacing w:after="0"/>
              <w:rPr>
                <w:sz w:val="20"/>
                <w:szCs w:val="20"/>
                <w:color w:val="auto"/>
              </w:rPr>
            </w:pPr>
            <w:r>
              <w:rPr>
                <w:rFonts w:ascii="Arial" w:cs="Arial" w:eastAsia="Arial" w:hAnsi="Arial"/>
                <w:sz w:val="10"/>
                <w:szCs w:val="10"/>
                <w:color w:val="auto"/>
                <w:w w:val="94"/>
              </w:rPr>
              <w:t>EUR</w:t>
            </w:r>
          </w:p>
        </w:tc>
        <w:tc>
          <w:tcPr>
            <w:tcW w:w="1480" w:type="dxa"/>
            <w:vAlign w:val="bottom"/>
            <w:shd w:val="clear" w:color="auto" w:fill="CCEEFF"/>
          </w:tcPr>
          <w:p>
            <w:pPr>
              <w:jc w:val="center"/>
              <w:ind w:right="71"/>
              <w:spacing w:after="0"/>
              <w:rPr>
                <w:sz w:val="20"/>
                <w:szCs w:val="20"/>
                <w:color w:val="auto"/>
              </w:rPr>
            </w:pPr>
            <w:r>
              <w:rPr>
                <w:rFonts w:ascii="Arial" w:cs="Arial" w:eastAsia="Arial" w:hAnsi="Arial"/>
                <w:sz w:val="10"/>
                <w:szCs w:val="10"/>
                <w:color w:val="auto"/>
                <w:w w:val="98"/>
              </w:rPr>
              <w:t>EURIBOR + 2.60%</w:t>
            </w:r>
          </w:p>
        </w:tc>
        <w:tc>
          <w:tcPr>
            <w:tcW w:w="1360" w:type="dxa"/>
            <w:vAlign w:val="bottom"/>
            <w:shd w:val="clear" w:color="auto" w:fill="CCEEFF"/>
          </w:tcPr>
          <w:p>
            <w:pPr>
              <w:jc w:val="center"/>
              <w:ind w:right="31"/>
              <w:spacing w:after="0"/>
              <w:rPr>
                <w:sz w:val="20"/>
                <w:szCs w:val="20"/>
                <w:color w:val="auto"/>
              </w:rPr>
            </w:pPr>
            <w:r>
              <w:rPr>
                <w:rFonts w:ascii="Arial" w:cs="Arial" w:eastAsia="Arial" w:hAnsi="Arial"/>
                <w:sz w:val="10"/>
                <w:szCs w:val="10"/>
                <w:color w:val="auto"/>
                <w:w w:val="97"/>
              </w:rPr>
              <w:t>Quarterly</w:t>
            </w:r>
          </w:p>
        </w:tc>
        <w:tc>
          <w:tcPr>
            <w:tcW w:w="134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7"/>
              </w:rPr>
              <w:t>Semi-Annual</w:t>
            </w:r>
          </w:p>
        </w:tc>
        <w:tc>
          <w:tcPr>
            <w:tcW w:w="108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8"/>
              </w:rPr>
              <w:t>2025</w:t>
            </w: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w:t>
            </w: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w:t>
            </w:r>
          </w:p>
        </w:tc>
      </w:tr>
      <w:tr>
        <w:trPr>
          <w:trHeight w:val="138"/>
        </w:trPr>
        <w:tc>
          <w:tcPr>
            <w:tcW w:w="2900" w:type="dxa"/>
            <w:vAlign w:val="bottom"/>
            <w:gridSpan w:val="2"/>
          </w:tcPr>
          <w:p>
            <w:pPr>
              <w:ind w:left="20"/>
              <w:spacing w:after="0"/>
              <w:rPr>
                <w:sz w:val="20"/>
                <w:szCs w:val="20"/>
                <w:color w:val="auto"/>
              </w:rPr>
            </w:pPr>
            <w:r>
              <w:rPr>
                <w:rFonts w:ascii="Arial" w:cs="Arial" w:eastAsia="Arial" w:hAnsi="Arial"/>
                <w:sz w:val="10"/>
                <w:szCs w:val="10"/>
                <w:color w:val="auto"/>
              </w:rPr>
              <w:t>2019 EUR Dresden Equipment Financing</w:t>
            </w:r>
            <w:r>
              <w:rPr>
                <w:rFonts w:ascii="Arial" w:cs="Arial" w:eastAsia="Arial" w:hAnsi="Arial"/>
                <w:sz w:val="12"/>
                <w:szCs w:val="12"/>
                <w:color w:val="auto"/>
                <w:vertAlign w:val="superscript"/>
              </w:rPr>
              <w:t>(3)</w:t>
            </w:r>
          </w:p>
        </w:tc>
        <w:tc>
          <w:tcPr>
            <w:tcW w:w="1180" w:type="dxa"/>
            <w:vAlign w:val="bottom"/>
          </w:tcPr>
          <w:p>
            <w:pPr>
              <w:jc w:val="center"/>
              <w:ind w:left="171"/>
              <w:spacing w:after="0"/>
              <w:rPr>
                <w:sz w:val="20"/>
                <w:szCs w:val="20"/>
                <w:color w:val="auto"/>
              </w:rPr>
            </w:pPr>
            <w:r>
              <w:rPr>
                <w:rFonts w:ascii="Arial" w:cs="Arial" w:eastAsia="Arial" w:hAnsi="Arial"/>
                <w:sz w:val="10"/>
                <w:szCs w:val="10"/>
                <w:color w:val="auto"/>
                <w:w w:val="94"/>
              </w:rPr>
              <w:t>EUR</w:t>
            </w:r>
          </w:p>
        </w:tc>
        <w:tc>
          <w:tcPr>
            <w:tcW w:w="1480" w:type="dxa"/>
            <w:vAlign w:val="bottom"/>
          </w:tcPr>
          <w:p>
            <w:pPr>
              <w:jc w:val="center"/>
              <w:ind w:right="71"/>
              <w:spacing w:after="0"/>
              <w:rPr>
                <w:sz w:val="20"/>
                <w:szCs w:val="20"/>
                <w:color w:val="auto"/>
              </w:rPr>
            </w:pPr>
            <w:r>
              <w:rPr>
                <w:rFonts w:ascii="Arial" w:cs="Arial" w:eastAsia="Arial" w:hAnsi="Arial"/>
                <w:sz w:val="10"/>
                <w:szCs w:val="10"/>
                <w:color w:val="auto"/>
                <w:w w:val="98"/>
              </w:rPr>
              <w:t>EURIBOR + 2.25%</w:t>
            </w:r>
          </w:p>
        </w:tc>
        <w:tc>
          <w:tcPr>
            <w:tcW w:w="1360" w:type="dxa"/>
            <w:vAlign w:val="bottom"/>
          </w:tcPr>
          <w:p>
            <w:pPr>
              <w:jc w:val="center"/>
              <w:ind w:right="31"/>
              <w:spacing w:after="0"/>
              <w:rPr>
                <w:sz w:val="20"/>
                <w:szCs w:val="20"/>
                <w:color w:val="auto"/>
              </w:rPr>
            </w:pPr>
            <w:r>
              <w:rPr>
                <w:rFonts w:ascii="Arial" w:cs="Arial" w:eastAsia="Arial" w:hAnsi="Arial"/>
                <w:sz w:val="10"/>
                <w:szCs w:val="10"/>
                <w:color w:val="auto"/>
                <w:w w:val="97"/>
              </w:rPr>
              <w:t>Semi-Annual</w:t>
            </w:r>
          </w:p>
        </w:tc>
        <w:tc>
          <w:tcPr>
            <w:tcW w:w="1340" w:type="dxa"/>
            <w:vAlign w:val="bottom"/>
          </w:tcPr>
          <w:p>
            <w:pPr>
              <w:jc w:val="center"/>
              <w:ind w:left="51"/>
              <w:spacing w:after="0"/>
              <w:rPr>
                <w:sz w:val="20"/>
                <w:szCs w:val="20"/>
                <w:color w:val="auto"/>
              </w:rPr>
            </w:pPr>
            <w:r>
              <w:rPr>
                <w:rFonts w:ascii="Arial" w:cs="Arial" w:eastAsia="Arial" w:hAnsi="Arial"/>
                <w:sz w:val="10"/>
                <w:szCs w:val="10"/>
                <w:color w:val="auto"/>
                <w:w w:val="97"/>
              </w:rPr>
              <w:t>Semi-Annual</w:t>
            </w:r>
          </w:p>
        </w:tc>
        <w:tc>
          <w:tcPr>
            <w:tcW w:w="1080" w:type="dxa"/>
            <w:vAlign w:val="bottom"/>
          </w:tcPr>
          <w:p>
            <w:pPr>
              <w:jc w:val="center"/>
              <w:ind w:left="51"/>
              <w:spacing w:after="0"/>
              <w:rPr>
                <w:sz w:val="20"/>
                <w:szCs w:val="20"/>
                <w:color w:val="auto"/>
              </w:rPr>
            </w:pPr>
            <w:r>
              <w:rPr>
                <w:rFonts w:ascii="Arial" w:cs="Arial" w:eastAsia="Arial" w:hAnsi="Arial"/>
                <w:sz w:val="10"/>
                <w:szCs w:val="10"/>
                <w:color w:val="auto"/>
                <w:w w:val="98"/>
              </w:rPr>
              <w:t>2026</w:t>
            </w:r>
          </w:p>
        </w:tc>
        <w:tc>
          <w:tcPr>
            <w:tcW w:w="3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30</w:t>
            </w:r>
          </w:p>
        </w:tc>
        <w:tc>
          <w:tcPr>
            <w:tcW w:w="4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387</w:t>
            </w:r>
          </w:p>
        </w:tc>
      </w:tr>
      <w:tr>
        <w:trPr>
          <w:trHeight w:val="138"/>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2021 SGD EDB Loan</w:t>
            </w:r>
          </w:p>
        </w:tc>
        <w:tc>
          <w:tcPr>
            <w:tcW w:w="1180" w:type="dxa"/>
            <w:vAlign w:val="bottom"/>
            <w:shd w:val="clear" w:color="auto" w:fill="CCEEFF"/>
          </w:tcPr>
          <w:p>
            <w:pPr>
              <w:jc w:val="center"/>
              <w:ind w:left="171"/>
              <w:spacing w:after="0"/>
              <w:rPr>
                <w:sz w:val="20"/>
                <w:szCs w:val="20"/>
                <w:color w:val="auto"/>
              </w:rPr>
            </w:pPr>
            <w:r>
              <w:rPr>
                <w:rFonts w:ascii="Arial" w:cs="Arial" w:eastAsia="Arial" w:hAnsi="Arial"/>
                <w:sz w:val="10"/>
                <w:szCs w:val="10"/>
                <w:color w:val="auto"/>
                <w:w w:val="92"/>
              </w:rPr>
              <w:t>SGD</w:t>
            </w:r>
          </w:p>
        </w:tc>
        <w:tc>
          <w:tcPr>
            <w:tcW w:w="1480" w:type="dxa"/>
            <w:vAlign w:val="bottom"/>
            <w:shd w:val="clear" w:color="auto" w:fill="CCEEFF"/>
          </w:tcPr>
          <w:p>
            <w:pPr>
              <w:jc w:val="center"/>
              <w:ind w:right="71"/>
              <w:spacing w:after="0"/>
              <w:rPr>
                <w:sz w:val="20"/>
                <w:szCs w:val="20"/>
                <w:color w:val="auto"/>
              </w:rPr>
            </w:pPr>
            <w:r>
              <w:rPr>
                <w:rFonts w:ascii="Arial" w:cs="Arial" w:eastAsia="Arial" w:hAnsi="Arial"/>
                <w:sz w:val="10"/>
                <w:szCs w:val="10"/>
                <w:color w:val="auto"/>
                <w:w w:val="98"/>
              </w:rPr>
              <w:t>1.40%</w:t>
            </w:r>
          </w:p>
        </w:tc>
        <w:tc>
          <w:tcPr>
            <w:tcW w:w="1360" w:type="dxa"/>
            <w:vAlign w:val="bottom"/>
            <w:shd w:val="clear" w:color="auto" w:fill="CCEEFF"/>
          </w:tcPr>
          <w:p>
            <w:pPr>
              <w:jc w:val="center"/>
              <w:ind w:right="31"/>
              <w:spacing w:after="0"/>
              <w:rPr>
                <w:sz w:val="20"/>
                <w:szCs w:val="20"/>
                <w:color w:val="auto"/>
              </w:rPr>
            </w:pPr>
            <w:r>
              <w:rPr>
                <w:rFonts w:ascii="Arial" w:cs="Arial" w:eastAsia="Arial" w:hAnsi="Arial"/>
                <w:sz w:val="10"/>
                <w:szCs w:val="10"/>
                <w:color w:val="auto"/>
                <w:w w:val="97"/>
              </w:rPr>
              <w:t>Semi-Annual</w:t>
            </w:r>
          </w:p>
        </w:tc>
        <w:tc>
          <w:tcPr>
            <w:tcW w:w="134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7"/>
              </w:rPr>
              <w:t>Semi-Annual</w:t>
            </w:r>
          </w:p>
        </w:tc>
        <w:tc>
          <w:tcPr>
            <w:tcW w:w="108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8"/>
              </w:rPr>
              <w:t>2041</w:t>
            </w: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987</w:t>
            </w: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923</w:t>
            </w:r>
          </w:p>
        </w:tc>
      </w:tr>
      <w:tr>
        <w:trPr>
          <w:trHeight w:val="134"/>
        </w:trPr>
        <w:tc>
          <w:tcPr>
            <w:tcW w:w="29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Various</w:t>
            </w:r>
          </w:p>
        </w:tc>
        <w:tc>
          <w:tcPr>
            <w:tcW w:w="1180" w:type="dxa"/>
            <w:vAlign w:val="bottom"/>
            <w:tcBorders>
              <w:bottom w:val="single" w:sz="8" w:color="CCEEFF"/>
            </w:tcBorders>
          </w:tcPr>
          <w:p>
            <w:pPr>
              <w:jc w:val="center"/>
              <w:ind w:left="171"/>
              <w:spacing w:after="0"/>
              <w:rPr>
                <w:sz w:val="20"/>
                <w:szCs w:val="20"/>
                <w:color w:val="auto"/>
              </w:rPr>
            </w:pPr>
            <w:r>
              <w:rPr>
                <w:rFonts w:ascii="Arial" w:cs="Arial" w:eastAsia="Arial" w:hAnsi="Arial"/>
                <w:sz w:val="10"/>
                <w:szCs w:val="10"/>
                <w:color w:val="auto"/>
              </w:rPr>
              <w:t>EUR, USD</w:t>
            </w:r>
          </w:p>
        </w:tc>
        <w:tc>
          <w:tcPr>
            <w:tcW w:w="1480" w:type="dxa"/>
            <w:vAlign w:val="bottom"/>
            <w:tcBorders>
              <w:bottom w:val="single" w:sz="8" w:color="CCEEFF"/>
            </w:tcBorders>
          </w:tcPr>
          <w:p>
            <w:pPr>
              <w:jc w:val="center"/>
              <w:ind w:right="71"/>
              <w:spacing w:after="0"/>
              <w:rPr>
                <w:sz w:val="20"/>
                <w:szCs w:val="20"/>
                <w:color w:val="auto"/>
              </w:rPr>
            </w:pPr>
            <w:r>
              <w:rPr>
                <w:rFonts w:ascii="Arial" w:cs="Arial" w:eastAsia="Arial" w:hAnsi="Arial"/>
                <w:sz w:val="10"/>
                <w:szCs w:val="10"/>
                <w:color w:val="auto"/>
                <w:w w:val="94"/>
              </w:rPr>
              <w:t>Various</w:t>
            </w:r>
          </w:p>
        </w:tc>
        <w:tc>
          <w:tcPr>
            <w:tcW w:w="1360" w:type="dxa"/>
            <w:vAlign w:val="bottom"/>
            <w:tcBorders>
              <w:bottom w:val="single" w:sz="8" w:color="CCEEFF"/>
            </w:tcBorders>
          </w:tcPr>
          <w:p>
            <w:pPr>
              <w:spacing w:after="0"/>
              <w:rPr>
                <w:sz w:val="11"/>
                <w:szCs w:val="11"/>
                <w:color w:val="auto"/>
              </w:rPr>
            </w:pPr>
          </w:p>
        </w:tc>
        <w:tc>
          <w:tcPr>
            <w:tcW w:w="1340" w:type="dxa"/>
            <w:vAlign w:val="bottom"/>
            <w:tcBorders>
              <w:bottom w:val="single" w:sz="8" w:color="CCEEFF"/>
            </w:tcBorders>
          </w:tcPr>
          <w:p>
            <w:pPr>
              <w:spacing w:after="0"/>
              <w:rPr>
                <w:sz w:val="11"/>
                <w:szCs w:val="11"/>
                <w:color w:val="auto"/>
              </w:rPr>
            </w:pPr>
          </w:p>
        </w:tc>
        <w:tc>
          <w:tcPr>
            <w:tcW w:w="1080" w:type="dxa"/>
            <w:vAlign w:val="bottom"/>
            <w:tcBorders>
              <w:bottom w:val="single" w:sz="8" w:color="CCEEFF"/>
            </w:tcBorders>
          </w:tcPr>
          <w:p>
            <w:pPr>
              <w:jc w:val="center"/>
              <w:ind w:left="31"/>
              <w:spacing w:after="0"/>
              <w:rPr>
                <w:sz w:val="20"/>
                <w:szCs w:val="20"/>
                <w:color w:val="auto"/>
              </w:rPr>
            </w:pPr>
            <w:r>
              <w:rPr>
                <w:rFonts w:ascii="Arial" w:cs="Arial" w:eastAsia="Arial" w:hAnsi="Arial"/>
                <w:sz w:val="10"/>
                <w:szCs w:val="10"/>
                <w:color w:val="auto"/>
              </w:rPr>
              <w:t>2024-2027</w:t>
            </w:r>
          </w:p>
        </w:tc>
        <w:tc>
          <w:tcPr>
            <w:tcW w:w="3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w:t>
            </w:r>
          </w:p>
        </w:tc>
        <w:tc>
          <w:tcPr>
            <w:tcW w:w="4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w:t>
            </w:r>
          </w:p>
        </w:tc>
      </w:tr>
      <w:tr>
        <w:trPr>
          <w:trHeight w:val="133"/>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Non-current total</w:t>
            </w:r>
          </w:p>
        </w:tc>
        <w:tc>
          <w:tcPr>
            <w:tcW w:w="11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1,801</w:t>
            </w:r>
          </w:p>
        </w:tc>
        <w:tc>
          <w:tcPr>
            <w:tcW w:w="4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2,288</w:t>
            </w:r>
          </w:p>
        </w:tc>
      </w:tr>
      <w:tr>
        <w:trPr>
          <w:trHeight w:val="127"/>
        </w:trPr>
        <w:tc>
          <w:tcPr>
            <w:tcW w:w="260" w:type="dxa"/>
            <w:vAlign w:val="bottom"/>
          </w:tcPr>
          <w:p>
            <w:pPr>
              <w:ind w:left="20"/>
              <w:spacing w:after="0"/>
              <w:rPr>
                <w:sz w:val="20"/>
                <w:szCs w:val="20"/>
                <w:color w:val="auto"/>
              </w:rPr>
            </w:pPr>
            <w:r>
              <w:rPr>
                <w:rFonts w:ascii="Arial" w:cs="Arial" w:eastAsia="Arial" w:hAnsi="Arial"/>
                <w:sz w:val="10"/>
                <w:szCs w:val="10"/>
                <w:b w:val="1"/>
                <w:bCs w:val="1"/>
                <w:color w:val="auto"/>
                <w:w w:val="91"/>
              </w:rPr>
              <w:t>Total</w:t>
            </w:r>
          </w:p>
        </w:tc>
        <w:tc>
          <w:tcPr>
            <w:tcW w:w="2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2,372</w:t>
            </w:r>
          </w:p>
        </w:tc>
        <w:tc>
          <w:tcPr>
            <w:tcW w:w="40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2,511</w:t>
            </w:r>
          </w:p>
        </w:tc>
      </w:tr>
    </w:tbl>
    <w:p>
      <w:pPr>
        <w:spacing w:after="0" w:line="138" w:lineRule="exact"/>
        <w:rPr>
          <w:sz w:val="20"/>
          <w:szCs w:val="20"/>
          <w:color w:val="auto"/>
        </w:rPr>
      </w:pPr>
    </w:p>
    <w:p>
      <w:pPr>
        <w:jc w:val="both"/>
        <w:ind w:left="520" w:hanging="260"/>
        <w:spacing w:after="0" w:line="230" w:lineRule="auto"/>
        <w:tabs>
          <w:tab w:leader="none" w:pos="515" w:val="left"/>
        </w:tabs>
        <w:numPr>
          <w:ilvl w:val="0"/>
          <w:numId w:val="110"/>
        </w:numPr>
        <w:rPr>
          <w:rFonts w:ascii="Arial" w:cs="Arial" w:eastAsia="Arial" w:hAnsi="Arial"/>
          <w:sz w:val="17"/>
          <w:szCs w:val="17"/>
          <w:color w:val="auto"/>
          <w:vertAlign w:val="superscript"/>
        </w:rPr>
      </w:pPr>
      <w:r>
        <w:rPr>
          <w:rFonts w:ascii="Arial" w:cs="Arial" w:eastAsia="Arial" w:hAnsi="Arial"/>
          <w:sz w:val="13"/>
          <w:szCs w:val="13"/>
          <w:color w:val="auto"/>
        </w:rPr>
        <w:t>On March 2, 2018, GLOBALFOUNDRIES SINGAPORE PTE, LTD. (“GFS”) entered into several Equipment Purchase and Lease Agreements with four banks to sell and leaseback certain semiconductor manufacturing equipment located in GFS’ fabrication facilities in Singapore for a total of $375 million. The total minimum lease payments amount to $375 million, to be paid in equal quarterly installments through March 1, 2023.</w:t>
      </w:r>
    </w:p>
    <w:p>
      <w:pPr>
        <w:spacing w:after="0" w:line="77" w:lineRule="exact"/>
        <w:rPr>
          <w:rFonts w:ascii="Arial" w:cs="Arial" w:eastAsia="Arial" w:hAnsi="Arial"/>
          <w:sz w:val="17"/>
          <w:szCs w:val="17"/>
          <w:color w:val="auto"/>
          <w:vertAlign w:val="superscript"/>
        </w:rPr>
      </w:pPr>
    </w:p>
    <w:p>
      <w:pPr>
        <w:ind w:left="520" w:hanging="260"/>
        <w:spacing w:after="0" w:line="219" w:lineRule="auto"/>
        <w:tabs>
          <w:tab w:leader="none" w:pos="515" w:val="left"/>
        </w:tabs>
        <w:numPr>
          <w:ilvl w:val="0"/>
          <w:numId w:val="110"/>
        </w:numPr>
        <w:rPr>
          <w:rFonts w:ascii="Arial" w:cs="Arial" w:eastAsia="Arial" w:hAnsi="Arial"/>
          <w:sz w:val="17"/>
          <w:szCs w:val="17"/>
          <w:color w:val="auto"/>
          <w:vertAlign w:val="superscript"/>
        </w:rPr>
      </w:pPr>
      <w:r>
        <w:rPr>
          <w:rFonts w:ascii="Arial" w:cs="Arial" w:eastAsia="Arial" w:hAnsi="Arial"/>
          <w:sz w:val="13"/>
          <w:szCs w:val="13"/>
          <w:color w:val="auto"/>
        </w:rPr>
        <w:t>On January 21, 2019, GFS entered into several Equipment Purchase Agreements and Lease Agreements with five banks to sell and leaseback certain semiconductor manufacturing equipment located in GFS’ Fabs in Singapore for a total of $425 million.</w:t>
      </w:r>
    </w:p>
    <w:p>
      <w:pPr>
        <w:spacing w:after="0" w:line="67" w:lineRule="exact"/>
        <w:rPr>
          <w:rFonts w:ascii="Arial" w:cs="Arial" w:eastAsia="Arial" w:hAnsi="Arial"/>
          <w:sz w:val="17"/>
          <w:szCs w:val="17"/>
          <w:color w:val="auto"/>
          <w:vertAlign w:val="superscript"/>
        </w:rPr>
      </w:pPr>
    </w:p>
    <w:p>
      <w:pPr>
        <w:jc w:val="both"/>
        <w:ind w:left="520" w:hanging="260"/>
        <w:spacing w:after="0" w:line="236" w:lineRule="auto"/>
        <w:tabs>
          <w:tab w:leader="none" w:pos="515" w:val="left"/>
        </w:tabs>
        <w:numPr>
          <w:ilvl w:val="0"/>
          <w:numId w:val="110"/>
        </w:numPr>
        <w:rPr>
          <w:rFonts w:ascii="Arial" w:cs="Arial" w:eastAsia="Arial" w:hAnsi="Arial"/>
          <w:sz w:val="17"/>
          <w:szCs w:val="17"/>
          <w:color w:val="auto"/>
          <w:vertAlign w:val="superscript"/>
        </w:rPr>
      </w:pPr>
      <w:r>
        <w:rPr>
          <w:rFonts w:ascii="Arial" w:cs="Arial" w:eastAsia="Arial" w:hAnsi="Arial"/>
          <w:sz w:val="13"/>
          <w:szCs w:val="13"/>
          <w:color w:val="auto"/>
        </w:rPr>
        <w:t>On October 31, 2019, the Company, GLOBALFOUNDRIES Dresden Module One Limited Liability Company &amp; Co., KG. and GLOBALFOUNDRIES Dresden Module Two Limited Liability Company &amp; Co. KG. entered into a term facilities agreement with Bank of America Merrill Lynch International Designated Activity Company and ING Bank, a branch of ING-DIBA AG, as coordinating mandated lead arrangers, and Bank of America Merrill Lynch International Designated Activity Company as facility and security agent, which provides a maximum incremental facility commitment totaling $750 million secured by certain qualifying equipment assets.</w:t>
      </w:r>
    </w:p>
    <w:p>
      <w:pPr>
        <w:spacing w:after="0" w:line="67" w:lineRule="exact"/>
        <w:rPr>
          <w:rFonts w:ascii="Arial" w:cs="Arial" w:eastAsia="Arial" w:hAnsi="Arial"/>
          <w:sz w:val="17"/>
          <w:szCs w:val="17"/>
          <w:color w:val="auto"/>
          <w:vertAlign w:val="superscript"/>
        </w:rPr>
      </w:pPr>
    </w:p>
    <w:p>
      <w:pPr>
        <w:ind w:left="520" w:hanging="260"/>
        <w:spacing w:after="0" w:line="219" w:lineRule="auto"/>
        <w:tabs>
          <w:tab w:leader="none" w:pos="515" w:val="left"/>
        </w:tabs>
        <w:numPr>
          <w:ilvl w:val="0"/>
          <w:numId w:val="110"/>
        </w:numPr>
        <w:rPr>
          <w:rFonts w:ascii="Arial" w:cs="Arial" w:eastAsia="Arial" w:hAnsi="Arial"/>
          <w:sz w:val="17"/>
          <w:szCs w:val="17"/>
          <w:color w:val="auto"/>
          <w:vertAlign w:val="superscript"/>
        </w:rPr>
      </w:pPr>
      <w:r>
        <w:rPr>
          <w:rFonts w:ascii="Arial" w:cs="Arial" w:eastAsia="Arial" w:hAnsi="Arial"/>
          <w:sz w:val="13"/>
          <w:szCs w:val="13"/>
          <w:color w:val="auto"/>
        </w:rPr>
        <w:t>On April 23, 2020, GFS entered into several Equipment Purchase Agreements and Lease Agreements with four banks to sell and leaseback certain semiconductor manufacturing equipment located in GFS’ fabrication facilities in Singapore for a total of $300 million.</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color w:val="auto"/>
        </w:rPr>
        <w:t>2021 SGD EDB Loan</w:t>
      </w:r>
      <w:r>
        <w:rPr>
          <w:rFonts w:ascii="Arial" w:cs="Arial" w:eastAsia="Arial" w:hAnsi="Arial"/>
          <w:sz w:val="13"/>
          <w:szCs w:val="13"/>
          <w:color w:val="auto"/>
        </w:rPr>
        <w:t>—On September 3, 2021, the Company entered into a loan agreement with Singapore Economic Development Board (“EDB”), which provided loan facilities with maximum</w:t>
      </w:r>
      <w:r>
        <w:rPr>
          <w:rFonts w:ascii="Arial" w:cs="Arial" w:eastAsia="Arial" w:hAnsi="Arial"/>
          <w:sz w:val="13"/>
          <w:szCs w:val="13"/>
          <w:b w:val="1"/>
          <w:bCs w:val="1"/>
          <w:color w:val="auto"/>
        </w:rPr>
        <w:t xml:space="preserve"> </w:t>
      </w:r>
      <w:r>
        <w:rPr>
          <w:rFonts w:ascii="Arial" w:cs="Arial" w:eastAsia="Arial" w:hAnsi="Arial"/>
          <w:sz w:val="13"/>
          <w:szCs w:val="13"/>
          <w:color w:val="auto"/>
        </w:rPr>
        <w:t>drawdown of $1,149 million (SGD 1,541 million) at a fixed nominal interest rate of 1.4%. The difference between the nominal interest rate of the loan and the market interest rate for an equivalent loan is recognized as a government grant. The loan matures on June 1, 2041, with interest-only payments for the first 5 years and principal repayments commence thereafter, payable on a semi-annual basis.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2023, the Company’s total drawdown was $1.1 billion, of which $971 million was drawn down in 2022.</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of December 31, 2023 and 2022, $987 million and $923 million respectively, were recorded in long-term debt based on an effective interest rate of 3.20% and $179 million and $184 million respectively, were recorded in deferred income from government grants.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color w:val="auto"/>
        </w:rPr>
        <w:t>5-year Revolving and Letter of Credit Facilities Agreement</w:t>
      </w:r>
      <w:r>
        <w:rPr>
          <w:rFonts w:ascii="Arial" w:cs="Arial" w:eastAsia="Arial" w:hAnsi="Arial"/>
          <w:sz w:val="13"/>
          <w:szCs w:val="13"/>
          <w:color w:val="auto"/>
        </w:rPr>
        <w:t>—On October 13, 2021, the Company entered into an amendment to the 5-year Revolving and Letter of Credit Facilities Agreement to</w:t>
      </w:r>
      <w:r>
        <w:rPr>
          <w:rFonts w:ascii="Arial" w:cs="Arial" w:eastAsia="Arial" w:hAnsi="Arial"/>
          <w:sz w:val="13"/>
          <w:szCs w:val="13"/>
          <w:b w:val="1"/>
          <w:bCs w:val="1"/>
          <w:color w:val="auto"/>
        </w:rPr>
        <w:t xml:space="preserve"> </w:t>
      </w:r>
      <w:r>
        <w:rPr>
          <w:rFonts w:ascii="Arial" w:cs="Arial" w:eastAsia="Arial" w:hAnsi="Arial"/>
          <w:sz w:val="13"/>
          <w:szCs w:val="13"/>
          <w:color w:val="auto"/>
        </w:rPr>
        <w:t>increase the commitment to $1.0 billion.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20" w:type="dxa"/>
            <w:vAlign w:val="bottom"/>
          </w:tcPr>
          <w:p>
            <w:pPr>
              <w:spacing w:after="0"/>
              <w:rPr>
                <w:sz w:val="20"/>
                <w:szCs w:val="20"/>
                <w:color w:val="auto"/>
              </w:rPr>
            </w:pPr>
            <w:r>
              <w:rPr>
                <w:rFonts w:ascii="Arial" w:cs="Arial" w:eastAsia="Arial" w:hAnsi="Arial"/>
                <w:sz w:val="13"/>
                <w:szCs w:val="13"/>
                <w:color w:val="auto"/>
              </w:rPr>
              <w:t>The following table summarizes unutilized credit facilities available to the Company to maintain liquidity to fund operations:</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68"/>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99"/>
              </w:rPr>
              <w:t>December 31, 2023</w:t>
            </w: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December 31, 2022</w:t>
            </w: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SGD EDB Loan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Revolving Credit Facility</w:t>
            </w: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1,012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1,012</w:t>
            </w:r>
          </w:p>
        </w:tc>
      </w:tr>
      <w:tr>
        <w:trPr>
          <w:trHeight w:val="171"/>
        </w:trPr>
        <w:tc>
          <w:tcPr>
            <w:tcW w:w="822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Uncommitted Credit Facilities</w:t>
            </w:r>
            <w:r>
              <w:rPr>
                <w:rFonts w:ascii="Arial" w:cs="Arial" w:eastAsia="Arial" w:hAnsi="Arial"/>
                <w:sz w:val="16"/>
                <w:szCs w:val="16"/>
                <w:color w:val="auto"/>
                <w:vertAlign w:val="superscript"/>
              </w:rPr>
              <w:t>(1)</w:t>
            </w:r>
          </w:p>
        </w:tc>
        <w:tc>
          <w:tcPr>
            <w:tcW w:w="1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1,058</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1,118</w:t>
            </w:r>
          </w:p>
        </w:tc>
      </w:tr>
    </w:tbl>
    <w:p>
      <w:pPr>
        <w:spacing w:after="0" w:line="149" w:lineRule="exact"/>
        <w:rPr>
          <w:sz w:val="20"/>
          <w:szCs w:val="20"/>
          <w:color w:val="auto"/>
        </w:rPr>
      </w:pPr>
    </w:p>
    <w:p>
      <w:pPr>
        <w:ind w:left="260"/>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 xml:space="preserve"> Credit facility made available to the Company, but the lender is not obligated to loan funds.</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Assets pledged as security</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Various assets have been pledged to secure borrowings under pledged agreements for the Company. Cash and cash equivalents, trade accounts receivables, property,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plant and equipment, inventories, and financial assets have been pledged to secure borrowings under pledged agreements for the Company. The Company is not allowed to pledge these assets as security for other borrowings or to sell them outside normal course of business.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13. Leases</w:t>
      </w:r>
    </w:p>
    <w:p>
      <w:pPr>
        <w:spacing w:after="0" w:line="9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has various lease agreements for certain of its offices, facilities, and equipment. Leases may include one or more options to renew. Renewals are not in the determination of the lease term unless the renewals are deemed to be reasonably certain at lease commencement. The Company’s lease agreements do not contain any material residual value guarantees or material restrictive covenants. All leases were measured under a single criterion with the exception of those with terms not exceeding 12 months and low-value leases.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40" w:type="dxa"/>
            <w:vAlign w:val="bottom"/>
          </w:tcPr>
          <w:p>
            <w:pPr>
              <w:spacing w:after="0"/>
              <w:rPr>
                <w:sz w:val="13"/>
                <w:szCs w:val="13"/>
                <w:color w:val="auto"/>
              </w:rPr>
            </w:pPr>
          </w:p>
        </w:tc>
        <w:tc>
          <w:tcPr>
            <w:tcW w:w="1240" w:type="dxa"/>
            <w:vAlign w:val="bottom"/>
          </w:tcPr>
          <w:p>
            <w:pPr>
              <w:jc w:val="center"/>
              <w:ind w:left="276"/>
              <w:spacing w:after="0"/>
              <w:rPr>
                <w:sz w:val="20"/>
                <w:szCs w:val="20"/>
                <w:color w:val="auto"/>
              </w:rPr>
            </w:pPr>
            <w:r>
              <w:rPr>
                <w:rFonts w:ascii="Arial" w:cs="Arial" w:eastAsia="Arial" w:hAnsi="Arial"/>
                <w:sz w:val="13"/>
                <w:szCs w:val="13"/>
                <w:b w:val="1"/>
                <w:bCs w:val="1"/>
                <w:color w:val="auto"/>
                <w:w w:val="96"/>
              </w:rPr>
              <w:t>December 31,</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316"/>
              <w:spacing w:after="0"/>
              <w:rPr>
                <w:sz w:val="20"/>
                <w:szCs w:val="20"/>
                <w:color w:val="auto"/>
              </w:rPr>
            </w:pPr>
            <w:r>
              <w:rPr>
                <w:rFonts w:ascii="Arial" w:cs="Arial" w:eastAsia="Arial" w:hAnsi="Arial"/>
                <w:sz w:val="13"/>
                <w:szCs w:val="13"/>
                <w:b w:val="1"/>
                <w:bCs w:val="1"/>
                <w:color w:val="auto"/>
              </w:rPr>
              <w:t>December 31,</w:t>
            </w:r>
          </w:p>
        </w:tc>
      </w:tr>
      <w:tr>
        <w:trPr>
          <w:trHeight w:val="17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12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2023</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2022</w:t>
            </w:r>
          </w:p>
        </w:tc>
      </w:tr>
      <w:tr>
        <w:trPr>
          <w:trHeight w:val="160"/>
        </w:trPr>
        <w:tc>
          <w:tcPr>
            <w:tcW w:w="8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right-of-use assets</w:t>
            </w:r>
          </w:p>
        </w:tc>
        <w:tc>
          <w:tcPr>
            <w:tcW w:w="124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82</w:t>
            </w:r>
          </w:p>
        </w:tc>
      </w:tr>
      <w:tr>
        <w:trPr>
          <w:trHeight w:val="169"/>
        </w:trPr>
        <w:tc>
          <w:tcPr>
            <w:tcW w:w="8040" w:type="dxa"/>
            <w:vAlign w:val="bottom"/>
          </w:tcPr>
          <w:p>
            <w:pPr>
              <w:ind w:left="20"/>
              <w:spacing w:after="0"/>
              <w:rPr>
                <w:sz w:val="20"/>
                <w:szCs w:val="20"/>
                <w:color w:val="auto"/>
              </w:rPr>
            </w:pPr>
            <w:r>
              <w:rPr>
                <w:rFonts w:ascii="Arial" w:cs="Arial" w:eastAsia="Arial" w:hAnsi="Arial"/>
                <w:sz w:val="13"/>
                <w:szCs w:val="13"/>
                <w:color w:val="auto"/>
              </w:rPr>
              <w:t>Interest expense on lease liabilities</w:t>
            </w:r>
          </w:p>
        </w:tc>
        <w:tc>
          <w:tcPr>
            <w:tcW w:w="1240" w:type="dxa"/>
            <w:vAlign w:val="bottom"/>
          </w:tcPr>
          <w:p>
            <w:pPr>
              <w:spacing w:after="0"/>
              <w:rPr>
                <w:sz w:val="14"/>
                <w:szCs w:val="14"/>
                <w:color w:val="auto"/>
              </w:rPr>
            </w:pPr>
          </w:p>
        </w:tc>
        <w:tc>
          <w:tcPr>
            <w:tcW w:w="340" w:type="dxa"/>
            <w:vAlign w:val="bottom"/>
          </w:tcPr>
          <w:p>
            <w:pPr>
              <w:jc w:val="right"/>
              <w:ind w:right="96"/>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96"/>
              <w:spacing w:after="0"/>
              <w:rPr>
                <w:sz w:val="20"/>
                <w:szCs w:val="20"/>
                <w:color w:val="auto"/>
              </w:rPr>
            </w:pPr>
            <w:r>
              <w:rPr>
                <w:rFonts w:ascii="Arial" w:cs="Arial" w:eastAsia="Arial" w:hAnsi="Arial"/>
                <w:sz w:val="13"/>
                <w:szCs w:val="13"/>
                <w:color w:val="auto"/>
              </w:rPr>
              <w:t>23</w:t>
            </w:r>
          </w:p>
        </w:tc>
      </w:tr>
      <w:tr>
        <w:trPr>
          <w:trHeight w:val="170"/>
        </w:trPr>
        <w:tc>
          <w:tcPr>
            <w:tcW w:w="8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Short-term and low-value leases expense</w:t>
            </w:r>
          </w:p>
        </w:tc>
        <w:tc>
          <w:tcPr>
            <w:tcW w:w="12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net lease cost</w:t>
            </w:r>
          </w:p>
        </w:tc>
        <w:tc>
          <w:tcPr>
            <w:tcW w:w="11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78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w w:val="82"/>
              </w:rPr>
              <w:t>$</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106</w:t>
            </w:r>
          </w:p>
        </w:tc>
        <w:tc>
          <w:tcPr>
            <w:tcW w:w="0" w:type="dxa"/>
            <w:vAlign w:val="bottom"/>
          </w:tcPr>
          <w:p>
            <w:pPr>
              <w:spacing w:after="0"/>
              <w:rPr>
                <w:sz w:val="1"/>
                <w:szCs w:val="1"/>
                <w:color w:val="auto"/>
              </w:rPr>
            </w:pPr>
          </w:p>
        </w:tc>
      </w:tr>
      <w:tr>
        <w:trPr>
          <w:trHeight w:val="160"/>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remaining lease term</w:t>
            </w:r>
          </w:p>
        </w:tc>
        <w:tc>
          <w:tcPr>
            <w:tcW w:w="1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 years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 years</w:t>
            </w:r>
          </w:p>
        </w:tc>
        <w:tc>
          <w:tcPr>
            <w:tcW w:w="0" w:type="dxa"/>
            <w:vAlign w:val="bottom"/>
          </w:tcPr>
          <w:p>
            <w:pPr>
              <w:spacing w:after="0"/>
              <w:rPr>
                <w:sz w:val="1"/>
                <w:szCs w:val="1"/>
                <w:color w:val="auto"/>
              </w:rPr>
            </w:pPr>
          </w:p>
        </w:tc>
      </w:tr>
      <w:tr>
        <w:trPr>
          <w:trHeight w:val="167"/>
        </w:trPr>
        <w:tc>
          <w:tcPr>
            <w:tcW w:w="5080" w:type="dxa"/>
            <w:vAlign w:val="bottom"/>
          </w:tcPr>
          <w:p>
            <w:pPr>
              <w:ind w:left="20"/>
              <w:spacing w:after="0"/>
              <w:rPr>
                <w:sz w:val="20"/>
                <w:szCs w:val="20"/>
                <w:color w:val="auto"/>
              </w:rPr>
            </w:pPr>
            <w:r>
              <w:rPr>
                <w:rFonts w:ascii="Arial" w:cs="Arial" w:eastAsia="Arial" w:hAnsi="Arial"/>
                <w:sz w:val="13"/>
                <w:szCs w:val="13"/>
                <w:color w:val="auto"/>
              </w:rPr>
              <w:t>Weighted average discount rate</w:t>
            </w: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5.16 %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4.75 %</w:t>
            </w:r>
          </w:p>
        </w:tc>
        <w:tc>
          <w:tcPr>
            <w:tcW w:w="0" w:type="dxa"/>
            <w:vAlign w:val="bottom"/>
          </w:tcPr>
          <w:p>
            <w:pPr>
              <w:spacing w:after="0"/>
              <w:rPr>
                <w:sz w:val="1"/>
                <w:szCs w:val="1"/>
                <w:color w:val="auto"/>
              </w:rPr>
            </w:pPr>
          </w:p>
        </w:tc>
      </w:tr>
      <w:tr>
        <w:trPr>
          <w:trHeight w:val="318"/>
        </w:trPr>
        <w:tc>
          <w:tcPr>
            <w:tcW w:w="6200" w:type="dxa"/>
            <w:vAlign w:val="bottom"/>
            <w:gridSpan w:val="2"/>
          </w:tcPr>
          <w:p>
            <w:pPr>
              <w:spacing w:after="0"/>
              <w:rPr>
                <w:sz w:val="20"/>
                <w:szCs w:val="20"/>
                <w:color w:val="auto"/>
              </w:rPr>
            </w:pPr>
            <w:r>
              <w:rPr>
                <w:rFonts w:ascii="Arial" w:cs="Arial" w:eastAsia="Arial" w:hAnsi="Arial"/>
                <w:sz w:val="13"/>
                <w:szCs w:val="13"/>
                <w:color w:val="auto"/>
              </w:rPr>
              <w:t>The following is a schedule, by years, of maturities of lease liabilities as of December 31, 2023 and 2022:</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080" w:type="dxa"/>
            <w:vAlign w:val="bottom"/>
          </w:tcPr>
          <w:p>
            <w:pPr>
              <w:spacing w:after="0"/>
              <w:rPr>
                <w:sz w:val="23"/>
                <w:szCs w:val="23"/>
                <w:color w:val="auto"/>
              </w:rPr>
            </w:pPr>
          </w:p>
        </w:tc>
        <w:tc>
          <w:tcPr>
            <w:tcW w:w="270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3"/>
                <w:szCs w:val="13"/>
                <w:b w:val="1"/>
                <w:bCs w:val="1"/>
                <w:color w:val="auto"/>
              </w:rPr>
              <w:t>December 31, 2023</w:t>
            </w:r>
          </w:p>
        </w:tc>
        <w:tc>
          <w:tcPr>
            <w:tcW w:w="2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6"/>
          </w:tcPr>
          <w:p>
            <w:pPr>
              <w:jc w:val="center"/>
              <w:ind w:right="216"/>
              <w:spacing w:after="0"/>
              <w:rPr>
                <w:sz w:val="20"/>
                <w:szCs w:val="20"/>
                <w:color w:val="auto"/>
              </w:rPr>
            </w:pPr>
            <w:r>
              <w:rPr>
                <w:rFonts w:ascii="Arial" w:cs="Arial" w:eastAsia="Arial" w:hAnsi="Arial"/>
                <w:sz w:val="13"/>
                <w:szCs w:val="13"/>
                <w:b w:val="1"/>
                <w:bCs w:val="1"/>
                <w:color w:val="auto"/>
                <w:w w:val="97"/>
              </w:rPr>
              <w:t>December 31, 2022</w:t>
            </w:r>
          </w:p>
        </w:tc>
        <w:tc>
          <w:tcPr>
            <w:tcW w:w="0" w:type="dxa"/>
            <w:vAlign w:val="bottom"/>
          </w:tcPr>
          <w:p>
            <w:pPr>
              <w:spacing w:after="0"/>
              <w:rPr>
                <w:sz w:val="1"/>
                <w:szCs w:val="1"/>
                <w:color w:val="auto"/>
              </w:rPr>
            </w:pPr>
          </w:p>
        </w:tc>
      </w:tr>
      <w:tr>
        <w:trPr>
          <w:trHeight w:val="118"/>
        </w:trPr>
        <w:tc>
          <w:tcPr>
            <w:tcW w:w="5080" w:type="dxa"/>
            <w:vAlign w:val="bottom"/>
          </w:tcPr>
          <w:p>
            <w:pPr>
              <w:spacing w:after="0"/>
              <w:rPr>
                <w:sz w:val="10"/>
                <w:szCs w:val="10"/>
                <w:color w:val="auto"/>
              </w:rPr>
            </w:pPr>
          </w:p>
        </w:tc>
        <w:tc>
          <w:tcPr>
            <w:tcW w:w="1120" w:type="dxa"/>
            <w:vAlign w:val="bottom"/>
          </w:tcPr>
          <w:p>
            <w:pPr>
              <w:jc w:val="center"/>
              <w:ind w:left="316"/>
              <w:spacing w:after="0" w:line="118" w:lineRule="exact"/>
              <w:rPr>
                <w:sz w:val="20"/>
                <w:szCs w:val="20"/>
                <w:color w:val="auto"/>
              </w:rPr>
            </w:pPr>
            <w:r>
              <w:rPr>
                <w:rFonts w:ascii="Arial" w:cs="Arial" w:eastAsia="Arial" w:hAnsi="Arial"/>
                <w:sz w:val="13"/>
                <w:szCs w:val="13"/>
                <w:b w:val="1"/>
                <w:bCs w:val="1"/>
                <w:color w:val="auto"/>
                <w:w w:val="94"/>
              </w:rPr>
              <w:t>Minimum</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ind w:left="296"/>
              <w:spacing w:after="0" w:line="118" w:lineRule="exact"/>
              <w:rPr>
                <w:sz w:val="20"/>
                <w:szCs w:val="20"/>
                <w:color w:val="auto"/>
              </w:rPr>
            </w:pPr>
            <w:r>
              <w:rPr>
                <w:rFonts w:ascii="Arial" w:cs="Arial" w:eastAsia="Arial" w:hAnsi="Arial"/>
                <w:sz w:val="13"/>
                <w:szCs w:val="13"/>
                <w:b w:val="1"/>
                <w:bCs w:val="1"/>
                <w:color w:val="auto"/>
              </w:rPr>
              <w:t>Present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2"/>
          </w:tcPr>
          <w:p>
            <w:pPr>
              <w:jc w:val="center"/>
              <w:ind w:right="260"/>
              <w:spacing w:after="0" w:line="118" w:lineRule="exact"/>
              <w:rPr>
                <w:sz w:val="20"/>
                <w:szCs w:val="20"/>
                <w:color w:val="auto"/>
              </w:rPr>
            </w:pPr>
            <w:r>
              <w:rPr>
                <w:rFonts w:ascii="Arial" w:cs="Arial" w:eastAsia="Arial" w:hAnsi="Arial"/>
                <w:sz w:val="13"/>
                <w:szCs w:val="13"/>
                <w:b w:val="1"/>
                <w:bCs w:val="1"/>
                <w:color w:val="auto"/>
                <w:w w:val="94"/>
              </w:rPr>
              <w:t>Minimum</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center"/>
              <w:ind w:right="196"/>
              <w:spacing w:after="0" w:line="118" w:lineRule="exact"/>
              <w:rPr>
                <w:sz w:val="20"/>
                <w:szCs w:val="20"/>
                <w:color w:val="auto"/>
              </w:rPr>
            </w:pPr>
            <w:r>
              <w:rPr>
                <w:rFonts w:ascii="Arial" w:cs="Arial" w:eastAsia="Arial" w:hAnsi="Arial"/>
                <w:sz w:val="13"/>
                <w:szCs w:val="13"/>
                <w:b w:val="1"/>
                <w:bCs w:val="1"/>
                <w:color w:val="auto"/>
              </w:rPr>
              <w:t>Present</w:t>
            </w:r>
          </w:p>
        </w:tc>
        <w:tc>
          <w:tcPr>
            <w:tcW w:w="0" w:type="dxa"/>
            <w:vAlign w:val="bottom"/>
          </w:tcPr>
          <w:p>
            <w:pPr>
              <w:spacing w:after="0"/>
              <w:rPr>
                <w:sz w:val="1"/>
                <w:szCs w:val="1"/>
                <w:color w:val="auto"/>
              </w:rPr>
            </w:pPr>
          </w:p>
        </w:tc>
      </w:tr>
      <w:tr>
        <w:trPr>
          <w:trHeight w:val="127"/>
        </w:trPr>
        <w:tc>
          <w:tcPr>
            <w:tcW w:w="5080" w:type="dxa"/>
            <w:vAlign w:val="bottom"/>
          </w:tcPr>
          <w:p>
            <w:pPr>
              <w:spacing w:after="0"/>
              <w:rPr>
                <w:sz w:val="11"/>
                <w:szCs w:val="11"/>
                <w:color w:val="auto"/>
              </w:rPr>
            </w:pPr>
          </w:p>
        </w:tc>
        <w:tc>
          <w:tcPr>
            <w:tcW w:w="1120" w:type="dxa"/>
            <w:vAlign w:val="bottom"/>
          </w:tcPr>
          <w:p>
            <w:pPr>
              <w:jc w:val="center"/>
              <w:ind w:left="316"/>
              <w:spacing w:after="0" w:line="128" w:lineRule="exact"/>
              <w:rPr>
                <w:sz w:val="20"/>
                <w:szCs w:val="20"/>
                <w:color w:val="auto"/>
              </w:rPr>
            </w:pPr>
            <w:r>
              <w:rPr>
                <w:rFonts w:ascii="Arial" w:cs="Arial" w:eastAsia="Arial" w:hAnsi="Arial"/>
                <w:sz w:val="13"/>
                <w:szCs w:val="13"/>
                <w:b w:val="1"/>
                <w:bCs w:val="1"/>
                <w:color w:val="auto"/>
              </w:rPr>
              <w:t>Lease</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ind w:left="296"/>
              <w:spacing w:after="0" w:line="128" w:lineRule="exact"/>
              <w:rPr>
                <w:sz w:val="20"/>
                <w:szCs w:val="20"/>
                <w:color w:val="auto"/>
              </w:rPr>
            </w:pPr>
            <w:r>
              <w:rPr>
                <w:rFonts w:ascii="Arial" w:cs="Arial" w:eastAsia="Arial" w:hAnsi="Arial"/>
                <w:sz w:val="13"/>
                <w:szCs w:val="13"/>
                <w:b w:val="1"/>
                <w:bCs w:val="1"/>
                <w:color w:val="auto"/>
                <w:w w:val="94"/>
              </w:rPr>
              <w:t>Value of</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jc w:val="center"/>
              <w:ind w:right="260"/>
              <w:spacing w:after="0" w:line="128" w:lineRule="exact"/>
              <w:rPr>
                <w:sz w:val="20"/>
                <w:szCs w:val="20"/>
                <w:color w:val="auto"/>
              </w:rPr>
            </w:pPr>
            <w:r>
              <w:rPr>
                <w:rFonts w:ascii="Arial" w:cs="Arial" w:eastAsia="Arial" w:hAnsi="Arial"/>
                <w:sz w:val="13"/>
                <w:szCs w:val="13"/>
                <w:b w:val="1"/>
                <w:bCs w:val="1"/>
                <w:color w:val="auto"/>
              </w:rPr>
              <w:t>Lease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center"/>
              <w:ind w:right="196"/>
              <w:spacing w:after="0" w:line="128"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7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112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rPr>
              <w:t>Payments</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ind w:left="296"/>
              <w:spacing w:after="0"/>
              <w:rPr>
                <w:sz w:val="20"/>
                <w:szCs w:val="20"/>
                <w:color w:val="auto"/>
              </w:rPr>
            </w:pPr>
            <w:r>
              <w:rPr>
                <w:rFonts w:ascii="Arial" w:cs="Arial" w:eastAsia="Arial" w:hAnsi="Arial"/>
                <w:sz w:val="13"/>
                <w:szCs w:val="13"/>
                <w:b w:val="1"/>
                <w:bCs w:val="1"/>
                <w:color w:val="auto"/>
                <w:w w:val="97"/>
              </w:rPr>
              <w:t>Payments</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Payments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b w:val="1"/>
                <w:bCs w:val="1"/>
                <w:color w:val="auto"/>
                <w:w w:val="97"/>
              </w:rPr>
              <w:t>Payments</w:t>
            </w:r>
          </w:p>
        </w:tc>
        <w:tc>
          <w:tcPr>
            <w:tcW w:w="0" w:type="dxa"/>
            <w:vAlign w:val="bottom"/>
          </w:tcPr>
          <w:p>
            <w:pPr>
              <w:spacing w:after="0"/>
              <w:rPr>
                <w:sz w:val="1"/>
                <w:szCs w:val="1"/>
                <w:color w:val="auto"/>
              </w:rPr>
            </w:pPr>
          </w:p>
        </w:tc>
      </w:tr>
      <w:tr>
        <w:trPr>
          <w:trHeight w:val="160"/>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Within 1 year</w:t>
            </w:r>
          </w:p>
        </w:tc>
        <w:tc>
          <w:tcPr>
            <w:tcW w:w="1120" w:type="dxa"/>
            <w:vAlign w:val="bottom"/>
            <w:shd w:val="clear" w:color="auto" w:fill="CCEEFF"/>
          </w:tcPr>
          <w:p>
            <w:pPr>
              <w:jc w:val="right"/>
              <w:ind w:right="956"/>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976"/>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w:t>
            </w: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2-5 years</w:t>
            </w:r>
          </w:p>
        </w:tc>
        <w:tc>
          <w:tcPr>
            <w:tcW w:w="1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194</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128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184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70"/>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After 5 years</w:t>
            </w:r>
          </w:p>
        </w:tc>
        <w:tc>
          <w:tcPr>
            <w:tcW w:w="11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8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151</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120" w:type="dxa"/>
            <w:vAlign w:val="bottom"/>
          </w:tcPr>
          <w:p>
            <w:pPr>
              <w:jc w:val="right"/>
              <w:ind w:right="956"/>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521</w:t>
            </w:r>
          </w:p>
        </w:tc>
        <w:tc>
          <w:tcPr>
            <w:tcW w:w="80" w:type="dxa"/>
            <w:vAlign w:val="bottom"/>
          </w:tcPr>
          <w:p>
            <w:pPr>
              <w:spacing w:after="0"/>
              <w:rPr>
                <w:sz w:val="14"/>
                <w:szCs w:val="14"/>
                <w:color w:val="auto"/>
              </w:rPr>
            </w:pPr>
          </w:p>
        </w:tc>
        <w:tc>
          <w:tcPr>
            <w:tcW w:w="1120" w:type="dxa"/>
            <w:vAlign w:val="bottom"/>
          </w:tcPr>
          <w:p>
            <w:pPr>
              <w:jc w:val="right"/>
              <w:ind w:right="976"/>
              <w:spacing w:after="0"/>
              <w:rPr>
                <w:sz w:val="20"/>
                <w:szCs w:val="20"/>
                <w:color w:val="auto"/>
              </w:rPr>
            </w:pPr>
            <w:r>
              <w:rPr>
                <w:rFonts w:ascii="Arial" w:cs="Arial" w:eastAsia="Arial" w:hAnsi="Arial"/>
                <w:sz w:val="13"/>
                <w:szCs w:val="13"/>
                <w:b w:val="1"/>
                <w:bCs w:val="1"/>
                <w:color w:val="auto"/>
                <w:w w:val="82"/>
              </w:rPr>
              <w:t>$</w:t>
            </w:r>
          </w:p>
        </w:tc>
        <w:tc>
          <w:tcPr>
            <w:tcW w:w="360" w:type="dxa"/>
            <w:vAlign w:val="bottom"/>
            <w:gridSpan w:val="2"/>
          </w:tcPr>
          <w:p>
            <w:pPr>
              <w:jc w:val="right"/>
              <w:spacing w:after="0"/>
              <w:rPr>
                <w:sz w:val="20"/>
                <w:szCs w:val="20"/>
                <w:color w:val="auto"/>
              </w:rPr>
            </w:pPr>
            <w:r>
              <w:rPr>
                <w:rFonts w:ascii="Arial" w:cs="Arial" w:eastAsia="Arial" w:hAnsi="Arial"/>
                <w:sz w:val="13"/>
                <w:szCs w:val="13"/>
                <w:b w:val="1"/>
                <w:bCs w:val="1"/>
                <w:color w:val="auto"/>
              </w:rPr>
              <w:t>382</w:t>
            </w:r>
          </w:p>
        </w:tc>
        <w:tc>
          <w:tcPr>
            <w:tcW w:w="3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427</w:t>
            </w:r>
          </w:p>
        </w:tc>
        <w:tc>
          <w:tcPr>
            <w:tcW w:w="36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345</w:t>
            </w:r>
          </w:p>
        </w:tc>
        <w:tc>
          <w:tcPr>
            <w:tcW w:w="0" w:type="dxa"/>
            <w:vAlign w:val="bottom"/>
          </w:tcPr>
          <w:p>
            <w:pPr>
              <w:spacing w:after="0"/>
              <w:rPr>
                <w:sz w:val="1"/>
                <w:szCs w:val="1"/>
                <w:color w:val="auto"/>
              </w:rPr>
            </w:pPr>
          </w:p>
        </w:tc>
      </w:tr>
      <w:tr>
        <w:trPr>
          <w:trHeight w:val="170"/>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amounts representing</w:t>
            </w:r>
          </w:p>
        </w:tc>
        <w:tc>
          <w:tcPr>
            <w:tcW w:w="1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finance charges</w:t>
            </w:r>
          </w:p>
        </w:tc>
        <w:tc>
          <w:tcPr>
            <w:tcW w:w="1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(82)</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9"/>
        </w:trPr>
        <w:tc>
          <w:tcPr>
            <w:tcW w:w="5080" w:type="dxa"/>
            <w:vAlign w:val="bottom"/>
            <w:shd w:val="clear" w:color="auto" w:fill="CCEEFF"/>
          </w:tcPr>
          <w:p>
            <w:pPr>
              <w:ind w:left="20"/>
              <w:spacing w:after="0" w:line="109" w:lineRule="exact"/>
              <w:rPr>
                <w:sz w:val="20"/>
                <w:szCs w:val="20"/>
                <w:color w:val="auto"/>
              </w:rPr>
            </w:pPr>
            <w:r>
              <w:rPr>
                <w:rFonts w:ascii="Arial" w:cs="Arial" w:eastAsia="Arial" w:hAnsi="Arial"/>
                <w:sz w:val="12"/>
                <w:szCs w:val="12"/>
                <w:color w:val="auto"/>
              </w:rPr>
              <w:t>Present value of minimum</w:t>
            </w:r>
          </w:p>
        </w:tc>
        <w:tc>
          <w:tcPr>
            <w:tcW w:w="1120" w:type="dxa"/>
            <w:vAlign w:val="bottom"/>
            <w:vMerge w:val="restart"/>
            <w:shd w:val="clear" w:color="auto" w:fill="CCEEFF"/>
          </w:tcPr>
          <w:p>
            <w:pPr>
              <w:jc w:val="right"/>
              <w:ind w:right="956"/>
              <w:spacing w:after="0"/>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80" w:type="dxa"/>
            <w:vAlign w:val="bottom"/>
            <w:shd w:val="clear" w:color="auto" w:fill="CCEEFF"/>
          </w:tcPr>
          <w:p>
            <w:pPr>
              <w:spacing w:after="0"/>
              <w:rPr>
                <w:sz w:val="9"/>
                <w:szCs w:val="9"/>
                <w:color w:val="auto"/>
              </w:rPr>
            </w:pPr>
          </w:p>
        </w:tc>
        <w:tc>
          <w:tcPr>
            <w:tcW w:w="1120" w:type="dxa"/>
            <w:vAlign w:val="bottom"/>
            <w:vMerge w:val="restart"/>
            <w:shd w:val="clear" w:color="auto" w:fill="CCEEFF"/>
          </w:tcPr>
          <w:p>
            <w:pPr>
              <w:jc w:val="right"/>
              <w:ind w:right="976"/>
              <w:spacing w:after="0"/>
              <w:rPr>
                <w:sz w:val="20"/>
                <w:szCs w:val="20"/>
                <w:color w:val="auto"/>
              </w:rPr>
            </w:pPr>
            <w:r>
              <w:rPr>
                <w:rFonts w:ascii="Arial" w:cs="Arial" w:eastAsia="Arial" w:hAnsi="Arial"/>
                <w:sz w:val="13"/>
                <w:szCs w:val="13"/>
                <w:color w:val="auto"/>
                <w:w w:val="82"/>
              </w:rPr>
              <w:t>$</w:t>
            </w:r>
          </w:p>
        </w:tc>
        <w:tc>
          <w:tcPr>
            <w:tcW w:w="3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345</w:t>
            </w:r>
          </w:p>
        </w:tc>
        <w:tc>
          <w:tcPr>
            <w:tcW w:w="3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0" w:type="dxa"/>
            <w:vAlign w:val="bottom"/>
          </w:tcPr>
          <w:p>
            <w:pPr>
              <w:spacing w:after="0"/>
              <w:rPr>
                <w:sz w:val="1"/>
                <w:szCs w:val="1"/>
                <w:color w:val="auto"/>
              </w:rPr>
            </w:pPr>
          </w:p>
        </w:tc>
      </w:tr>
      <w:tr>
        <w:trPr>
          <w:trHeight w:val="170"/>
        </w:trPr>
        <w:tc>
          <w:tcPr>
            <w:tcW w:w="5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lease payments</w:t>
            </w:r>
          </w:p>
        </w:tc>
        <w:tc>
          <w:tcPr>
            <w:tcW w:w="1120" w:type="dxa"/>
            <w:vAlign w:val="bottom"/>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360" w:type="dxa"/>
            <w:vAlign w:val="bottom"/>
            <w:gridSpan w:val="3"/>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Current</w:t>
            </w: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w:t>
            </w:r>
          </w:p>
        </w:tc>
        <w:tc>
          <w:tcPr>
            <w:tcW w:w="1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160"/>
        </w:trPr>
        <w:tc>
          <w:tcPr>
            <w:tcW w:w="508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ind w:right="976"/>
              <w:spacing w:after="0"/>
              <w:rPr>
                <w:sz w:val="20"/>
                <w:szCs w:val="20"/>
                <w:color w:val="auto"/>
              </w:rPr>
            </w:pPr>
            <w:r>
              <w:rPr>
                <w:rFonts w:ascii="Arial" w:cs="Arial" w:eastAsia="Arial" w:hAnsi="Arial"/>
                <w:sz w:val="13"/>
                <w:szCs w:val="13"/>
                <w:b w:val="1"/>
                <w:bCs w:val="1"/>
                <w:color w:val="auto"/>
                <w:w w:val="82"/>
              </w:rPr>
              <w:t>$</w:t>
            </w:r>
          </w:p>
        </w:tc>
        <w:tc>
          <w:tcPr>
            <w:tcW w:w="360" w:type="dxa"/>
            <w:vAlign w:val="bottom"/>
            <w:gridSpan w:val="2"/>
          </w:tcPr>
          <w:p>
            <w:pPr>
              <w:jc w:val="right"/>
              <w:spacing w:after="0"/>
              <w:rPr>
                <w:sz w:val="20"/>
                <w:szCs w:val="20"/>
                <w:color w:val="auto"/>
              </w:rPr>
            </w:pPr>
            <w:r>
              <w:rPr>
                <w:rFonts w:ascii="Arial" w:cs="Arial" w:eastAsia="Arial" w:hAnsi="Arial"/>
                <w:sz w:val="13"/>
                <w:szCs w:val="13"/>
                <w:b w:val="1"/>
                <w:bCs w:val="1"/>
                <w:color w:val="auto"/>
              </w:rPr>
              <w:t>382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345</w:t>
            </w:r>
          </w:p>
        </w:tc>
        <w:tc>
          <w:tcPr>
            <w:tcW w:w="0" w:type="dxa"/>
            <w:vAlign w:val="bottom"/>
          </w:tcPr>
          <w:p>
            <w:pPr>
              <w:spacing w:after="0"/>
              <w:rPr>
                <w:sz w:val="1"/>
                <w:szCs w:val="1"/>
                <w:color w:val="auto"/>
              </w:rPr>
            </w:pPr>
          </w:p>
        </w:tc>
      </w:tr>
      <w:tr>
        <w:trPr>
          <w:trHeight w:val="699"/>
        </w:trPr>
        <w:tc>
          <w:tcPr>
            <w:tcW w:w="5080" w:type="dxa"/>
            <w:vAlign w:val="bottom"/>
          </w:tcPr>
          <w:p>
            <w:pPr>
              <w:spacing w:after="0"/>
              <w:rPr>
                <w:sz w:val="24"/>
                <w:szCs w:val="24"/>
                <w:color w:val="auto"/>
              </w:rPr>
            </w:pPr>
          </w:p>
        </w:tc>
        <w:tc>
          <w:tcPr>
            <w:tcW w:w="1120" w:type="dxa"/>
            <w:vAlign w:val="bottom"/>
          </w:tcPr>
          <w:p>
            <w:pPr>
              <w:jc w:val="right"/>
              <w:ind w:right="356"/>
              <w:spacing w:after="0"/>
              <w:rPr>
                <w:sz w:val="20"/>
                <w:szCs w:val="20"/>
                <w:color w:val="auto"/>
              </w:rPr>
            </w:pPr>
            <w:r>
              <w:rPr>
                <w:rFonts w:ascii="Arial" w:cs="Arial" w:eastAsia="Arial" w:hAnsi="Arial"/>
                <w:sz w:val="13"/>
                <w:szCs w:val="13"/>
                <w:color w:val="auto"/>
              </w:rPr>
              <w:t>F-28</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50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20" w:type="dxa"/>
            <w:vAlign w:val="bottom"/>
          </w:tcPr>
          <w:p>
            <w:pPr>
              <w:spacing w:after="0"/>
              <w:rPr>
                <w:sz w:val="20"/>
                <w:szCs w:val="20"/>
                <w:color w:val="auto"/>
              </w:rPr>
            </w:pPr>
            <w:r>
              <w:rPr>
                <w:rFonts w:ascii="Arial" w:cs="Arial" w:eastAsia="Arial" w:hAnsi="Arial"/>
                <w:sz w:val="13"/>
                <w:szCs w:val="13"/>
                <w:color w:val="auto"/>
              </w:rPr>
              <w:t>Supplemental cash flow information related to leases is as follows:</w:t>
            </w: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5"/>
        </w:trPr>
        <w:tc>
          <w:tcPr>
            <w:tcW w:w="8220" w:type="dxa"/>
            <w:vAlign w:val="bottom"/>
          </w:tcPr>
          <w:p>
            <w:pPr>
              <w:spacing w:after="0"/>
              <w:rPr>
                <w:sz w:val="19"/>
                <w:szCs w:val="19"/>
                <w:color w:val="auto"/>
              </w:rPr>
            </w:pPr>
          </w:p>
        </w:tc>
        <w:tc>
          <w:tcPr>
            <w:tcW w:w="1200" w:type="dxa"/>
            <w:vAlign w:val="bottom"/>
          </w:tcPr>
          <w:p>
            <w:pPr>
              <w:jc w:val="center"/>
              <w:ind w:left="236"/>
              <w:spacing w:after="0"/>
              <w:rPr>
                <w:sz w:val="20"/>
                <w:szCs w:val="20"/>
                <w:color w:val="auto"/>
              </w:rPr>
            </w:pPr>
            <w:r>
              <w:rPr>
                <w:rFonts w:ascii="Arial" w:cs="Arial" w:eastAsia="Arial" w:hAnsi="Arial"/>
                <w:sz w:val="13"/>
                <w:szCs w:val="13"/>
                <w:b w:val="1"/>
                <w:bCs w:val="1"/>
                <w:color w:val="auto"/>
                <w:w w:val="96"/>
              </w:rPr>
              <w:t>December 31,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r>
      <w:tr>
        <w:trPr>
          <w:trHeight w:val="171"/>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2023</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r>
      <w:tr>
        <w:trPr>
          <w:trHeight w:val="159"/>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used in operating activities:</w:t>
            </w: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Payments of short-term and low-value leases</w:t>
            </w:r>
          </w:p>
        </w:tc>
        <w:tc>
          <w:tcPr>
            <w:tcW w:w="1200" w:type="dxa"/>
            <w:vAlign w:val="bottom"/>
          </w:tcPr>
          <w:p>
            <w:pPr>
              <w:jc w:val="right"/>
              <w:ind w:right="1036"/>
              <w:spacing w:after="0"/>
              <w:rPr>
                <w:sz w:val="20"/>
                <w:szCs w:val="20"/>
                <w:color w:val="auto"/>
              </w:rPr>
            </w:pPr>
            <w:r>
              <w:rPr>
                <w:rFonts w:ascii="Arial" w:cs="Arial" w:eastAsia="Arial" w:hAnsi="Arial"/>
                <w:sz w:val="13"/>
                <w:szCs w:val="13"/>
                <w:color w:val="auto"/>
              </w:rPr>
              <w:t>$</w:t>
            </w:r>
          </w:p>
        </w:tc>
        <w:tc>
          <w:tcPr>
            <w:tcW w:w="580" w:type="dxa"/>
            <w:vAlign w:val="bottom"/>
            <w:gridSpan w:val="3"/>
          </w:tcPr>
          <w:p>
            <w:pPr>
              <w:ind w:left="100"/>
              <w:spacing w:after="0"/>
              <w:rPr>
                <w:sz w:val="20"/>
                <w:szCs w:val="20"/>
                <w:color w:val="auto"/>
              </w:rPr>
            </w:pPr>
            <w:r>
              <w:rPr>
                <w:rFonts w:ascii="Arial" w:cs="Arial" w:eastAsia="Arial" w:hAnsi="Arial"/>
                <w:sz w:val="13"/>
                <w:szCs w:val="13"/>
                <w:color w:val="auto"/>
              </w:rPr>
              <w:t>—   $</w:t>
            </w:r>
          </w:p>
        </w:tc>
        <w:tc>
          <w:tcPr>
            <w:tcW w:w="12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paid</w:t>
            </w: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70"/>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Cash flows used in financing activities:</w:t>
            </w: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of lease obligations</w:t>
            </w: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movement of ROU assets which primarily relates to building and leasehold improvements during the years ended December 31, 2023 and 2022 is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r>
      <w:tr>
        <w:trPr>
          <w:trHeight w:val="17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2023</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r>
      <w:tr>
        <w:trPr>
          <w:trHeight w:val="160"/>
        </w:trPr>
        <w:tc>
          <w:tcPr>
            <w:tcW w:w="82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Beginning balance</w:t>
            </w:r>
          </w:p>
        </w:tc>
        <w:tc>
          <w:tcPr>
            <w:tcW w:w="1200" w:type="dxa"/>
            <w:vAlign w:val="bottom"/>
            <w:shd w:val="clear" w:color="auto" w:fill="CCEEFF"/>
          </w:tcPr>
          <w:p>
            <w:pPr>
              <w:jc w:val="right"/>
              <w:ind w:right="1036"/>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w:t>
            </w: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Additions</w:t>
            </w:r>
          </w:p>
        </w:tc>
        <w:tc>
          <w:tcPr>
            <w:tcW w:w="1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117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Disposals</w:t>
            </w: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Amortization</w:t>
            </w:r>
          </w:p>
        </w:tc>
        <w:tc>
          <w:tcPr>
            <w:tcW w:w="1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w:t>
            </w: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Ending balance</w:t>
            </w:r>
          </w:p>
        </w:tc>
        <w:tc>
          <w:tcPr>
            <w:tcW w:w="120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335</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282</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14. Provisions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movement in provision for asset retirement obligations and restructuring expenses during the years ended December 31, 2023 and 2022 is as follows:</w:t>
      </w:r>
    </w:p>
    <w:p>
      <w:pPr>
        <w:sectPr>
          <w:pgSz w:w="11900" w:h="16838" w:orient="portrait"/>
          <w:cols w:equalWidth="0" w:num="1">
            <w:col w:w="11280"/>
          </w:cols>
          <w:pgMar w:left="300" w:top="214" w:right="319" w:bottom="1440" w:gutter="0" w:footer="0" w:header="0"/>
        </w:sectPr>
      </w:pPr>
    </w:p>
    <w:p>
      <w:pPr>
        <w:spacing w:after="0" w:line="19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161530" cy="1143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83" w:lineRule="exact"/>
        <w:rPr>
          <w:sz w:val="20"/>
          <w:szCs w:val="20"/>
          <w:color w:val="auto"/>
        </w:rPr>
      </w:pPr>
    </w:p>
    <w:p>
      <w:pPr>
        <w:ind w:left="20"/>
        <w:spacing w:after="0"/>
        <w:rPr>
          <w:sz w:val="20"/>
          <w:szCs w:val="20"/>
          <w:color w:val="auto"/>
        </w:rPr>
      </w:pPr>
      <w:r>
        <w:rPr>
          <w:rFonts w:ascii="Arial" w:cs="Arial" w:eastAsia="Arial" w:hAnsi="Arial"/>
          <w:sz w:val="13"/>
          <w:szCs w:val="13"/>
          <w:color w:val="auto"/>
        </w:rPr>
        <w:t>Beginning balance</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Arising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079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Accretion cost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Restructuring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079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Utilized</w:t>
      </w:r>
      <w:r>
        <w:rPr>
          <w:rFonts w:ascii="Arial" w:cs="Arial" w:eastAsia="Arial" w:hAnsi="Arial"/>
          <w:sz w:val="16"/>
          <w:szCs w:val="16"/>
          <w:color w:val="auto"/>
          <w:vertAlign w:val="superscript"/>
        </w:rPr>
        <w:t>(1)</w:t>
      </w:r>
    </w:p>
    <w:p>
      <w:pPr>
        <w:ind w:left="20"/>
        <w:spacing w:after="0"/>
        <w:rPr>
          <w:sz w:val="20"/>
          <w:szCs w:val="20"/>
          <w:color w:val="auto"/>
        </w:rPr>
      </w:pPr>
      <w:r>
        <w:rPr>
          <w:rFonts w:ascii="Arial" w:cs="Arial" w:eastAsia="Arial" w:hAnsi="Arial"/>
          <w:sz w:val="12"/>
          <w:szCs w:val="12"/>
          <w:color w:val="auto"/>
        </w:rPr>
        <w:t>Released to the consolidated statements of operations</w:t>
      </w:r>
      <w:r>
        <w:rPr>
          <w:rFonts w:ascii="Arial" w:cs="Arial" w:eastAsia="Arial" w:hAnsi="Arial"/>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61530" cy="1143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Ending balance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3"/>
                <w:szCs w:val="13"/>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r>
      <w:tr>
        <w:trPr>
          <w:trHeight w:val="170"/>
        </w:trPr>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r>
      <w:tr>
        <w:trPr>
          <w:trHeight w:val="158"/>
        </w:trPr>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298</w:t>
            </w:r>
          </w:p>
        </w:tc>
        <w:tc>
          <w:tcPr>
            <w:tcW w:w="80" w:type="dxa"/>
            <w:vAlign w:val="bottom"/>
          </w:tcPr>
          <w:p>
            <w:pPr>
              <w:spacing w:after="0"/>
              <w:rPr>
                <w:sz w:val="13"/>
                <w:szCs w:val="13"/>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349</w:t>
            </w:r>
          </w:p>
        </w:tc>
      </w:tr>
      <w:tr>
        <w:trPr>
          <w:trHeight w:val="170"/>
        </w:trPr>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0"/>
        </w:trPr>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70"/>
        </w:trPr>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70"/>
        </w:trPr>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(136)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71"/>
        </w:trPr>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(88)</w:t>
            </w:r>
          </w:p>
        </w:tc>
      </w:tr>
      <w:tr>
        <w:trPr>
          <w:trHeight w:val="162"/>
        </w:trPr>
        <w:tc>
          <w:tcPr>
            <w:tcW w:w="2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240</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298</w:t>
            </w:r>
          </w:p>
        </w:tc>
      </w:tr>
    </w:tbl>
    <w:p>
      <w:pPr>
        <w:spacing w:after="0" w:line="149" w:lineRule="exact"/>
        <w:rPr>
          <w:sz w:val="20"/>
          <w:szCs w:val="20"/>
          <w:color w:val="auto"/>
        </w:rPr>
      </w:pPr>
    </w:p>
    <w:p>
      <w:pPr>
        <w:sectPr>
          <w:pgSz w:w="11900" w:h="16838" w:orient="portrait"/>
          <w:cols w:equalWidth="0" w:num="2">
            <w:col w:w="7500" w:space="720"/>
            <w:col w:w="3060"/>
          </w:cols>
          <w:pgMar w:left="300" w:top="214" w:right="319" w:bottom="1440" w:gutter="0" w:footer="0" w:header="0"/>
          <w:type w:val="continuous"/>
        </w:sectPr>
      </w:pPr>
    </w:p>
    <w:p>
      <w:pPr>
        <w:ind w:left="520" w:hanging="133"/>
        <w:spacing w:after="0" w:line="293" w:lineRule="auto"/>
        <w:tabs>
          <w:tab w:leader="none" w:pos="517" w:val="left"/>
        </w:tabs>
        <w:numPr>
          <w:ilvl w:val="0"/>
          <w:numId w:val="111"/>
        </w:numPr>
        <w:rPr>
          <w:rFonts w:ascii="Arial" w:cs="Arial" w:eastAsia="Arial" w:hAnsi="Arial"/>
          <w:sz w:val="14"/>
          <w:szCs w:val="14"/>
          <w:color w:val="auto"/>
          <w:vertAlign w:val="superscript"/>
        </w:rPr>
      </w:pPr>
      <w:r>
        <w:rPr>
          <w:rFonts w:ascii="Arial" w:cs="Arial" w:eastAsia="Arial" w:hAnsi="Arial"/>
          <w:sz w:val="11"/>
          <w:szCs w:val="11"/>
          <w:color w:val="auto"/>
        </w:rPr>
        <w:t>Includes $10 million and $40 million related to asset retirement obligations, $126 million and $5 million related to restructuring expense and $0 and $7 million related to sale of EFK business for the years ended December 31, 2023 and 2022, respectively.</w:t>
      </w:r>
    </w:p>
    <w:p>
      <w:pPr>
        <w:spacing w:after="0" w:line="14" w:lineRule="exact"/>
        <w:rPr>
          <w:rFonts w:ascii="Arial" w:cs="Arial" w:eastAsia="Arial" w:hAnsi="Arial"/>
          <w:sz w:val="14"/>
          <w:szCs w:val="14"/>
          <w:color w:val="auto"/>
          <w:vertAlign w:val="superscript"/>
        </w:rPr>
      </w:pPr>
    </w:p>
    <w:p>
      <w:pPr>
        <w:ind w:left="520" w:hanging="133"/>
        <w:spacing w:after="0"/>
        <w:tabs>
          <w:tab w:leader="none" w:pos="520" w:val="left"/>
        </w:tabs>
        <w:numPr>
          <w:ilvl w:val="0"/>
          <w:numId w:val="111"/>
        </w:numPr>
        <w:rPr>
          <w:rFonts w:ascii="Arial" w:cs="Arial" w:eastAsia="Arial" w:hAnsi="Arial"/>
          <w:sz w:val="16"/>
          <w:szCs w:val="16"/>
          <w:color w:val="auto"/>
          <w:vertAlign w:val="superscript"/>
        </w:rPr>
      </w:pPr>
      <w:r>
        <w:rPr>
          <w:rFonts w:ascii="Arial" w:cs="Arial" w:eastAsia="Arial" w:hAnsi="Arial"/>
          <w:sz w:val="12"/>
          <w:szCs w:val="12"/>
          <w:color w:val="auto"/>
        </w:rPr>
        <w:t>Relates to the derecognition of asset retirement obligation related to the sale of the EFK business.</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Company records a provision for site restoration costs as required by legal and contractual obligations if assessed to be probable that it will incur such costs. Because of the long-term nature of the liability, the greatest uncertainty in estimating the provision is the costs that will be incurred. The Company has estimated costs based on currently available information provided by experts about the extent of restoration work required.</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provision has been calculated using a discount rate of 1.72% to 3.35% (2022: 1.58% to 4.04%), which is the risk-free rate in the jurisdiction of the liability. The site restoration costs are expected to be incurred on site abandonment for owned property and on lease expiration for leasehold land. The expected timing of incurring site restoration costs is consistent with the remaining useful lives of the underlying property, plant and equipment.</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See Note 21 for information regarding the Company’s restructuring initiative.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type w:val="continuous"/>
        </w:sectPr>
      </w:pPr>
    </w:p>
    <w:bookmarkStart w:id="118" w:name="page119"/>
    <w:bookmarkEnd w:id="118"/>
    <w:p>
      <w:pPr>
        <w:jc w:val="center"/>
        <w:ind w:right="-19"/>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15. Government Grants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movement in deferred income from government grants for the years ended December 31, 2023 and 2022:</w:t>
      </w:r>
    </w:p>
    <w:p>
      <w:pPr>
        <w:sectPr>
          <w:pgSz w:w="11900" w:h="16838" w:orient="portrait"/>
          <w:cols w:equalWidth="0" w:num="1">
            <w:col w:w="11280"/>
          </w:cols>
          <w:pgMar w:left="300" w:top="214" w:right="319" w:bottom="1440" w:gutter="0" w:footer="0" w:header="0"/>
        </w:sect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161530" cy="1143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83" w:lineRule="exact"/>
        <w:rPr>
          <w:sz w:val="20"/>
          <w:szCs w:val="20"/>
          <w:color w:val="auto"/>
        </w:rPr>
      </w:pPr>
    </w:p>
    <w:p>
      <w:pPr>
        <w:ind w:left="20"/>
        <w:spacing w:after="0"/>
        <w:rPr>
          <w:sz w:val="20"/>
          <w:szCs w:val="20"/>
          <w:color w:val="auto"/>
        </w:rPr>
      </w:pPr>
      <w:r>
        <w:rPr>
          <w:rFonts w:ascii="Arial" w:cs="Arial" w:eastAsia="Arial" w:hAnsi="Arial"/>
          <w:sz w:val="13"/>
          <w:szCs w:val="13"/>
          <w:color w:val="auto"/>
        </w:rPr>
        <w:t>Beginning balance</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Received/receivable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079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Fair value of EDB loan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Capitalized to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079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color w:val="auto"/>
        </w:rPr>
        <w:t>Released to the consolidated statements of operations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Ending balance</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3"/>
                <w:szCs w:val="13"/>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r>
      <w:tr>
        <w:trPr>
          <w:trHeight w:val="171"/>
        </w:trPr>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r>
      <w:tr>
        <w:trPr>
          <w:trHeight w:val="167"/>
        </w:trPr>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404</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176</w:t>
            </w:r>
          </w:p>
        </w:tc>
      </w:tr>
      <w:tr>
        <w:trPr>
          <w:trHeight w:val="170"/>
        </w:trPr>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270</w:t>
            </w:r>
          </w:p>
        </w:tc>
      </w:tr>
      <w:tr>
        <w:trPr>
          <w:trHeight w:val="170"/>
        </w:trPr>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r>
      <w:tr>
        <w:trPr>
          <w:trHeight w:val="162"/>
        </w:trPr>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360</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404</w:t>
            </w:r>
          </w:p>
        </w:tc>
      </w:tr>
    </w:tbl>
    <w:p>
      <w:pPr>
        <w:spacing w:after="0" w:line="20" w:lineRule="exact"/>
        <w:rPr>
          <w:sz w:val="20"/>
          <w:szCs w:val="20"/>
          <w:color w:val="auto"/>
        </w:rPr>
      </w:pPr>
    </w:p>
    <w:p>
      <w:pPr>
        <w:sectPr>
          <w:pgSz w:w="11900" w:h="16838" w:orient="portrait"/>
          <w:cols w:equalWidth="0" w:num="2">
            <w:col w:w="7500" w:space="720"/>
            <w:col w:w="3060"/>
          </w:cols>
          <w:pgMar w:left="300" w:top="214" w:right="319" w:bottom="1440" w:gutter="0" w:footer="0" w:header="0"/>
          <w:type w:val="continuous"/>
        </w:sectPr>
      </w:pPr>
    </w:p>
    <w:tbl>
      <w:tblPr>
        <w:tblLayout w:type="fixed"/>
        <w:tblInd w:w="0" w:type="dxa"/>
        <w:tblCellMar>
          <w:top w:w="0" w:type="dxa"/>
          <w:left w:w="0" w:type="dxa"/>
          <w:bottom w:w="0" w:type="dxa"/>
          <w:right w:w="0" w:type="dxa"/>
        </w:tblCellMar>
      </w:tblPr>
      <w:tr>
        <w:trPr>
          <w:trHeight w:val="139"/>
        </w:trPr>
        <w:tc>
          <w:tcPr>
            <w:tcW w:w="66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Current</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w:t>
            </w:r>
          </w:p>
        </w:tc>
        <w:tc>
          <w:tcPr>
            <w:tcW w:w="1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60"/>
        </w:trPr>
        <w:tc>
          <w:tcPr>
            <w:tcW w:w="666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360</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404</w:t>
            </w:r>
          </w:p>
        </w:tc>
        <w:tc>
          <w:tcPr>
            <w:tcW w:w="0" w:type="dxa"/>
            <w:vAlign w:val="bottom"/>
          </w:tcPr>
          <w:p>
            <w:pPr>
              <w:spacing w:after="0"/>
              <w:rPr>
                <w:sz w:val="1"/>
                <w:szCs w:val="1"/>
                <w:color w:val="auto"/>
              </w:rPr>
            </w:pPr>
          </w:p>
        </w:tc>
      </w:tr>
      <w:tr>
        <w:trPr>
          <w:trHeight w:val="296"/>
        </w:trPr>
        <w:tc>
          <w:tcPr>
            <w:tcW w:w="6660" w:type="dxa"/>
            <w:vAlign w:val="bottom"/>
          </w:tcPr>
          <w:p>
            <w:pPr>
              <w:spacing w:after="0"/>
              <w:rPr>
                <w:sz w:val="20"/>
                <w:szCs w:val="20"/>
                <w:color w:val="auto"/>
              </w:rPr>
            </w:pPr>
            <w:r>
              <w:rPr>
                <w:rFonts w:ascii="Arial" w:cs="Arial" w:eastAsia="Arial" w:hAnsi="Arial"/>
                <w:sz w:val="13"/>
                <w:szCs w:val="13"/>
                <w:color w:val="auto"/>
              </w:rPr>
              <w:t>Government grants were recognized in the consolidated statements of operations as follows:</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6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20"/>
                <w:szCs w:val="20"/>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06"/>
        </w:trPr>
        <w:tc>
          <w:tcPr>
            <w:tcW w:w="6660" w:type="dxa"/>
            <w:vAlign w:val="bottom"/>
            <w:vMerge w:val="continue"/>
          </w:tcPr>
          <w:p>
            <w:pPr>
              <w:spacing w:after="0"/>
              <w:rPr>
                <w:sz w:val="9"/>
                <w:szCs w:val="9"/>
                <w:color w:val="auto"/>
              </w:rPr>
            </w:pPr>
          </w:p>
        </w:tc>
        <w:tc>
          <w:tcPr>
            <w:tcW w:w="1220" w:type="dxa"/>
            <w:vAlign w:val="bottom"/>
            <w:vMerge w:val="restart"/>
          </w:tcPr>
          <w:p>
            <w:pPr>
              <w:jc w:val="right"/>
              <w:ind w:right="276"/>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vMerge w:val="restart"/>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vMerge w:val="restart"/>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65"/>
        </w:trPr>
        <w:tc>
          <w:tcPr>
            <w:tcW w:w="6660" w:type="dxa"/>
            <w:vAlign w:val="bottom"/>
            <w:tcBorders>
              <w:bottom w:val="single" w:sz="8" w:color="CCEEFF"/>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1220" w:type="dxa"/>
            <w:vAlign w:val="bottom"/>
            <w:shd w:val="clear" w:color="auto" w:fill="CCEEFF"/>
          </w:tcPr>
          <w:p>
            <w:pPr>
              <w:jc w:val="right"/>
              <w:ind w:right="1076"/>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Research and development expenses</w:t>
            </w:r>
          </w:p>
        </w:tc>
        <w:tc>
          <w:tcPr>
            <w:tcW w:w="12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w:t>
            </w:r>
          </w:p>
        </w:tc>
        <w:tc>
          <w:tcPr>
            <w:tcW w:w="12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6660" w:type="dxa"/>
            <w:vAlign w:val="bottom"/>
          </w:tcPr>
          <w:p>
            <w:pPr>
              <w:ind w:left="20"/>
              <w:spacing w:after="0"/>
              <w:rPr>
                <w:sz w:val="20"/>
                <w:szCs w:val="20"/>
                <w:color w:val="auto"/>
              </w:rPr>
            </w:pPr>
            <w:r>
              <w:rPr>
                <w:rFonts w:ascii="Arial" w:cs="Arial" w:eastAsia="Arial" w:hAnsi="Arial"/>
                <w:sz w:val="13"/>
                <w:szCs w:val="13"/>
                <w:b w:val="1"/>
                <w:bCs w:val="1"/>
                <w:color w:val="auto"/>
              </w:rPr>
              <w:t>Total balance</w:t>
            </w:r>
          </w:p>
        </w:tc>
        <w:tc>
          <w:tcPr>
            <w:tcW w:w="1220" w:type="dxa"/>
            <w:vAlign w:val="bottom"/>
            <w:tcBorders>
              <w:top w:val="single" w:sz="8" w:color="auto"/>
              <w:bottom w:val="single" w:sz="8" w:color="auto"/>
            </w:tcBorders>
          </w:tcPr>
          <w:p>
            <w:pPr>
              <w:jc w:val="right"/>
              <w:ind w:right="1076"/>
              <w:spacing w:after="0"/>
              <w:rPr>
                <w:sz w:val="20"/>
                <w:szCs w:val="20"/>
                <w:color w:val="auto"/>
              </w:rPr>
            </w:pPr>
            <w:r>
              <w:rPr>
                <w:rFonts w:ascii="Arial" w:cs="Arial" w:eastAsia="Arial" w:hAnsi="Arial"/>
                <w:sz w:val="13"/>
                <w:szCs w:val="13"/>
                <w:b w:val="1"/>
                <w:bCs w:val="1"/>
                <w:color w:val="auto"/>
                <w:w w:val="82"/>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58</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33</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Company has received government support in the form of investment grants, research and development subsidies, refundable credits, subsidized loans and miscellaneous receipts for employee support. Amounts receivable from the government but not yet received have been included in receivables, prepayments and other assets. Certain investment grants are subject to forfeiture in declining amounts over the life of the agreement if the Company does not maintain agreed upon conditions specified in the relevant grant agreements. The Company continues to comply with the government grant conditions mainly relating to qualifying property, plant and equipment and employment levels.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Issued Capital and Reserves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Capital</w:t>
      </w:r>
      <w:r>
        <w:rPr>
          <w:rFonts w:ascii="Arial" w:cs="Arial" w:eastAsia="Arial" w:hAnsi="Arial"/>
          <w:sz w:val="13"/>
          <w:szCs w:val="13"/>
          <w:color w:val="auto"/>
        </w:rPr>
        <w:t>—On September 12, 2021, the Company effected a 1-for-2 reverse share split, which was approved by our board of directors on September 9, 2021.</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On October 27, 2021, the Company completed an initial public offering, issuing 30,250,000 ordinary shares, as well as 1,595,744 ordinary shares in a concurrent private placement agreement.</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2023, there were 1,300 million ordinary shares and 200 million preferred shares with a par value of $0.02 authorized, and 554 million ordinary shares issued and outstanding.</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color w:val="auto"/>
        </w:rPr>
        <w:t>Additional Paid-In Capital</w:t>
      </w:r>
      <w:r>
        <w:rPr>
          <w:rFonts w:ascii="Arial" w:cs="Arial" w:eastAsia="Arial" w:hAnsi="Arial"/>
          <w:sz w:val="13"/>
          <w:szCs w:val="13"/>
          <w:color w:val="auto"/>
        </w:rPr>
        <w:t>—Additional paid-in capital represents the excess of assets less liabilities contributed to GLOBALFOUNDRIES by shareholders over the share capital issued in exchange for</w:t>
      </w:r>
      <w:r>
        <w:rPr>
          <w:rFonts w:ascii="Arial" w:cs="Arial" w:eastAsia="Arial" w:hAnsi="Arial"/>
          <w:sz w:val="13"/>
          <w:szCs w:val="13"/>
          <w:b w:val="1"/>
          <w:bCs w:val="1"/>
          <w:color w:val="auto"/>
        </w:rPr>
        <w:t xml:space="preserve"> </w:t>
      </w:r>
      <w:r>
        <w:rPr>
          <w:rFonts w:ascii="Arial" w:cs="Arial" w:eastAsia="Arial" w:hAnsi="Arial"/>
          <w:sz w:val="13"/>
          <w:szCs w:val="13"/>
          <w:color w:val="auto"/>
        </w:rPr>
        <w:t>those contributions and share-based compensation charges for share-based payments.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Reserves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All other reserves as stated in the consolidated statements of changes in equity:</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Hedging Reserve</w:t>
      </w:r>
      <w:r>
        <w:rPr>
          <w:rFonts w:ascii="Arial" w:cs="Arial" w:eastAsia="Arial" w:hAnsi="Arial"/>
          <w:sz w:val="13"/>
          <w:szCs w:val="13"/>
          <w:color w:val="auto"/>
        </w:rPr>
        <w:t>—The cash flow hedge reserve contains the effective portion of the cash flow hedge relationships incurred as at the reporting date.</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Foreign Currency Translation Reserve</w:t>
      </w:r>
      <w:r>
        <w:rPr>
          <w:rFonts w:ascii="Arial" w:cs="Arial" w:eastAsia="Arial" w:hAnsi="Arial"/>
          <w:sz w:val="12"/>
          <w:szCs w:val="12"/>
          <w:color w:val="auto"/>
        </w:rPr>
        <w:t>—The foreign currency translation reserve is used to record exchange differences arising from the translation of Advanced Mask Technology Centre GmbH &amp; Co.</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KG (“AMTC”) and Maskhouse Building Administration GmbH &amp; Co. KH (“BAC”)’s financial statements for consolidation purpose.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17. Net Revenue</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following table presents the Company’s revenue disaggregated based on revenue source and timing of revenue recognition. The Company believes these categories best depict the nature and timing of revenue.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Borders>
              <w:bottom w:val="single" w:sz="8" w:color="CCEEFF"/>
            </w:tcBorders>
          </w:tcPr>
          <w:p>
            <w:pPr>
              <w:spacing w:after="0"/>
              <w:rPr>
                <w:sz w:val="14"/>
                <w:szCs w:val="14"/>
                <w:color w:val="auto"/>
              </w:rPr>
            </w:pPr>
          </w:p>
        </w:tc>
        <w:tc>
          <w:tcPr>
            <w:tcW w:w="664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30"/>
        </w:trPr>
        <w:tc>
          <w:tcPr>
            <w:tcW w:w="20" w:type="dxa"/>
            <w:vAlign w:val="bottom"/>
            <w:shd w:val="clear" w:color="auto" w:fill="CCEEFF"/>
          </w:tcPr>
          <w:p>
            <w:pPr>
              <w:spacing w:after="0"/>
              <w:rPr>
                <w:sz w:val="11"/>
                <w:szCs w:val="11"/>
                <w:color w:val="auto"/>
              </w:rPr>
            </w:pPr>
          </w:p>
        </w:tc>
        <w:tc>
          <w:tcPr>
            <w:tcW w:w="6640" w:type="dxa"/>
            <w:vAlign w:val="bottom"/>
            <w:gridSpan w:val="3"/>
            <w:shd w:val="clear" w:color="auto" w:fill="CCEEFF"/>
          </w:tcPr>
          <w:p>
            <w:pPr>
              <w:spacing w:after="0" w:line="118" w:lineRule="exact"/>
              <w:rPr>
                <w:sz w:val="20"/>
                <w:szCs w:val="20"/>
                <w:color w:val="auto"/>
              </w:rPr>
            </w:pPr>
            <w:r>
              <w:rPr>
                <w:rFonts w:ascii="Arial" w:cs="Arial" w:eastAsia="Arial" w:hAnsi="Arial"/>
                <w:sz w:val="13"/>
                <w:szCs w:val="13"/>
                <w:color w:val="auto"/>
              </w:rPr>
              <w:t>Type of goods and services:</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Wafer fabrication</w:t>
            </w:r>
          </w:p>
        </w:tc>
        <w:tc>
          <w:tcPr>
            <w:tcW w:w="5060" w:type="dxa"/>
            <w:vAlign w:val="bottom"/>
            <w:tcBorders>
              <w:top w:val="single" w:sz="8" w:color="CCEEFF"/>
            </w:tcBorders>
            <w:gridSpan w:val="2"/>
          </w:tcPr>
          <w:p>
            <w:pPr>
              <w:spacing w:after="0"/>
              <w:rPr>
                <w:sz w:val="14"/>
                <w:szCs w:val="14"/>
                <w:color w:val="auto"/>
              </w:rPr>
            </w:pPr>
          </w:p>
        </w:tc>
        <w:tc>
          <w:tcPr>
            <w:tcW w:w="340" w:type="dxa"/>
            <w:vAlign w:val="bottom"/>
            <w:tcBorders>
              <w:top w:val="single" w:sz="8" w:color="CCEEFF"/>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6,820</w:t>
            </w:r>
          </w:p>
        </w:tc>
        <w:tc>
          <w:tcPr>
            <w:tcW w:w="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7,627</w:t>
            </w:r>
          </w:p>
        </w:tc>
        <w:tc>
          <w:tcPr>
            <w:tcW w:w="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6,204</w:t>
            </w:r>
          </w:p>
        </w:tc>
      </w:tr>
      <w:tr>
        <w:trPr>
          <w:trHeight w:val="171"/>
        </w:trPr>
        <w:tc>
          <w:tcPr>
            <w:tcW w:w="20" w:type="dxa"/>
            <w:vAlign w:val="bottom"/>
            <w:shd w:val="clear" w:color="auto" w:fill="CCEEFF"/>
          </w:tcPr>
          <w:p>
            <w:pPr>
              <w:spacing w:after="0"/>
              <w:rPr>
                <w:sz w:val="14"/>
                <w:szCs w:val="14"/>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Engineering and other services</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381</w:t>
            </w:r>
          </w:p>
        </w:tc>
      </w:tr>
      <w:tr>
        <w:trPr>
          <w:trHeight w:val="160"/>
        </w:trPr>
        <w:tc>
          <w:tcPr>
            <w:tcW w:w="20" w:type="dxa"/>
            <w:vAlign w:val="bottom"/>
            <w:tcBorders>
              <w:bottom w:val="single" w:sz="8" w:color="CCEEFF"/>
            </w:tcBorders>
          </w:tcPr>
          <w:p>
            <w:pPr>
              <w:spacing w:after="0"/>
              <w:rPr>
                <w:sz w:val="13"/>
                <w:szCs w:val="13"/>
                <w:color w:val="auto"/>
              </w:rPr>
            </w:pPr>
          </w:p>
        </w:tc>
        <w:tc>
          <w:tcPr>
            <w:tcW w:w="664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b w:val="1"/>
                <w:bCs w:val="1"/>
                <w:color w:val="auto"/>
              </w:rPr>
              <w:t>Total</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7,392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8,108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6,585</w:t>
            </w:r>
          </w:p>
        </w:tc>
      </w:tr>
      <w:tr>
        <w:trPr>
          <w:trHeight w:val="192"/>
        </w:trPr>
        <w:tc>
          <w:tcPr>
            <w:tcW w:w="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38"/>
        </w:trPr>
        <w:tc>
          <w:tcPr>
            <w:tcW w:w="20" w:type="dxa"/>
            <w:vAlign w:val="bottom"/>
          </w:tcPr>
          <w:p>
            <w:pPr>
              <w:spacing w:after="0"/>
              <w:rPr>
                <w:sz w:val="11"/>
                <w:szCs w:val="11"/>
                <w:color w:val="auto"/>
              </w:rPr>
            </w:pPr>
          </w:p>
        </w:tc>
        <w:tc>
          <w:tcPr>
            <w:tcW w:w="6640" w:type="dxa"/>
            <w:vAlign w:val="bottom"/>
            <w:gridSpan w:val="3"/>
          </w:tcPr>
          <w:p>
            <w:pPr>
              <w:spacing w:after="0" w:line="138" w:lineRule="exact"/>
              <w:rPr>
                <w:sz w:val="20"/>
                <w:szCs w:val="20"/>
                <w:color w:val="auto"/>
              </w:rPr>
            </w:pPr>
            <w:r>
              <w:rPr>
                <w:rFonts w:ascii="Arial" w:cs="Arial" w:eastAsia="Arial" w:hAnsi="Arial"/>
                <w:sz w:val="13"/>
                <w:szCs w:val="13"/>
                <w:color w:val="auto"/>
              </w:rPr>
              <w:t>Timing of revenue recognition:</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6"/>
        </w:trPr>
        <w:tc>
          <w:tcPr>
            <w:tcW w:w="2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Revenue recognized over time</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w:t>
            </w:r>
          </w:p>
        </w:tc>
      </w:tr>
      <w:tr>
        <w:trPr>
          <w:trHeight w:val="169"/>
        </w:trPr>
        <w:tc>
          <w:tcPr>
            <w:tcW w:w="20" w:type="dxa"/>
            <w:vAlign w:val="bottom"/>
            <w:tcBorders>
              <w:bottom w:val="single" w:sz="8" w:color="CCEEFF"/>
            </w:tcBorders>
          </w:tcPr>
          <w:p>
            <w:pPr>
              <w:spacing w:after="0"/>
              <w:rPr>
                <w:sz w:val="14"/>
                <w:szCs w:val="14"/>
                <w:color w:val="auto"/>
              </w:rPr>
            </w:pPr>
          </w:p>
        </w:tc>
        <w:tc>
          <w:tcPr>
            <w:tcW w:w="664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Revenue recognized at a point in time</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6,921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7,663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6,228</w:t>
            </w: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6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7,392</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8,108</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6,585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recognizes revenue when wafers are transferred to the customer, which is determined to be at the point of wafer shipment from the Company’s facilities or delivery to the customer location, as determined by the agreed shipping terms.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Company’s remaining performance obligations that are completely or partially unsatisfied as of December 31, 2023, was approximately $20 billion pertaining to wafer products under certain long-term supply arrangements with customers. The Company recognizes revenue as the wafer products are shipped based on the agreed shipping terms. Generally, the amount and timing of recognition of the remaining performance obligations are subject to change and are affected by several factors, including terminations, subsequent modifications in the scope of contracts, and uncertainty in meeting volume commitments. Based on the current terms of the contracts, these performance obligations are expected to be substantially satisfied within the next five years.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18. Cost of Revenue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60"/>
        </w:trPr>
        <w:tc>
          <w:tcPr>
            <w:tcW w:w="6660" w:type="dxa"/>
            <w:vAlign w:val="bottom"/>
            <w:shd w:val="clear" w:color="auto" w:fill="CCEEFF"/>
          </w:tcPr>
          <w:p>
            <w:pPr>
              <w:ind w:left="20"/>
              <w:spacing w:after="0" w:line="161" w:lineRule="exact"/>
              <w:rPr>
                <w:sz w:val="20"/>
                <w:szCs w:val="20"/>
                <w:color w:val="auto"/>
              </w:rPr>
            </w:pPr>
            <w:r>
              <w:rPr>
                <w:rFonts w:ascii="Arial" w:cs="Arial" w:eastAsia="Arial" w:hAnsi="Arial"/>
                <w:sz w:val="13"/>
                <w:szCs w:val="13"/>
                <w:color w:val="auto"/>
              </w:rPr>
              <w:t xml:space="preserve">Depreciation of property, plant and equipment and amortization of intangible assets </w:t>
            </w:r>
            <w:r>
              <w:rPr>
                <w:rFonts w:ascii="Arial" w:cs="Arial" w:eastAsia="Arial" w:hAnsi="Arial"/>
                <w:sz w:val="16"/>
                <w:szCs w:val="16"/>
                <w:color w:val="auto"/>
                <w:vertAlign w:val="superscript"/>
              </w:rPr>
              <w:t>(1)</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w:t>
            </w:r>
          </w:p>
        </w:tc>
        <w:tc>
          <w:tcPr>
            <w:tcW w:w="420" w:type="dxa"/>
            <w:vAlign w:val="bottom"/>
            <w:gridSpan w:val="2"/>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1,422</w:t>
            </w: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Inventory changes materials costs and other</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1,742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1,834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1,726</w:t>
            </w:r>
          </w:p>
        </w:tc>
      </w:tr>
      <w:tr>
        <w:trPr>
          <w:trHeight w:val="171"/>
        </w:trPr>
        <w:tc>
          <w:tcPr>
            <w:tcW w:w="666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Staff costs, maintenance costs, and utilities</w:t>
            </w:r>
            <w:r>
              <w:rPr>
                <w:rFonts w:ascii="Arial" w:cs="Arial" w:eastAsia="Arial" w:hAnsi="Arial"/>
                <w:sz w:val="16"/>
                <w:szCs w:val="16"/>
                <w:color w:val="auto"/>
                <w:vertAlign w:val="superscript"/>
              </w:rPr>
              <w:t>(2)</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2,567</w:t>
            </w:r>
          </w:p>
        </w:tc>
        <w:tc>
          <w:tcPr>
            <w:tcW w:w="80" w:type="dxa"/>
            <w:vAlign w:val="bottom"/>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2,424</w:t>
            </w:r>
          </w:p>
        </w:tc>
      </w:tr>
      <w:tr>
        <w:trPr>
          <w:trHeight w:val="160"/>
        </w:trPr>
        <w:tc>
          <w:tcPr>
            <w:tcW w:w="666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5,291</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5,869</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5,572</w:t>
            </w:r>
          </w:p>
        </w:tc>
      </w:tr>
    </w:tbl>
    <w:p>
      <w:pPr>
        <w:spacing w:after="0" w:line="110" w:lineRule="exact"/>
        <w:rPr>
          <w:sz w:val="20"/>
          <w:szCs w:val="20"/>
          <w:color w:val="auto"/>
        </w:rPr>
      </w:pPr>
    </w:p>
    <w:p>
      <w:pPr>
        <w:ind w:left="640" w:hanging="253"/>
        <w:spacing w:after="0"/>
        <w:tabs>
          <w:tab w:leader="none" w:pos="640" w:val="left"/>
        </w:tabs>
        <w:numPr>
          <w:ilvl w:val="1"/>
          <w:numId w:val="112"/>
        </w:numPr>
        <w:rPr>
          <w:rFonts w:ascii="Arial" w:cs="Arial" w:eastAsia="Arial" w:hAnsi="Arial"/>
          <w:sz w:val="17"/>
          <w:szCs w:val="17"/>
          <w:color w:val="auto"/>
          <w:vertAlign w:val="superscript"/>
        </w:rPr>
      </w:pPr>
      <w:r>
        <w:rPr>
          <w:rFonts w:ascii="Arial" w:cs="Arial" w:eastAsia="Arial" w:hAnsi="Arial"/>
          <w:sz w:val="13"/>
          <w:szCs w:val="13"/>
          <w:color w:val="auto"/>
        </w:rPr>
        <w:t>Amounts are net of amortization of government grants relating to assets. See Note 8 for the detailed movements of property, plant and equipment.</w:t>
      </w:r>
    </w:p>
    <w:p>
      <w:pPr>
        <w:spacing w:after="0" w:line="76" w:lineRule="exact"/>
        <w:rPr>
          <w:rFonts w:ascii="Arial" w:cs="Arial" w:eastAsia="Arial" w:hAnsi="Arial"/>
          <w:sz w:val="17"/>
          <w:szCs w:val="17"/>
          <w:color w:val="auto"/>
          <w:vertAlign w:val="superscript"/>
        </w:rPr>
      </w:pPr>
    </w:p>
    <w:p>
      <w:pPr>
        <w:ind w:left="640" w:hanging="253"/>
        <w:spacing w:after="0" w:line="219" w:lineRule="auto"/>
        <w:tabs>
          <w:tab w:leader="none" w:pos="635" w:val="left"/>
        </w:tabs>
        <w:numPr>
          <w:ilvl w:val="1"/>
          <w:numId w:val="112"/>
        </w:numPr>
        <w:rPr>
          <w:rFonts w:ascii="Arial" w:cs="Arial" w:eastAsia="Arial" w:hAnsi="Arial"/>
          <w:sz w:val="17"/>
          <w:szCs w:val="17"/>
          <w:color w:val="auto"/>
          <w:vertAlign w:val="superscript"/>
        </w:rPr>
      </w:pPr>
      <w:r>
        <w:rPr>
          <w:rFonts w:ascii="Arial" w:cs="Arial" w:eastAsia="Arial" w:hAnsi="Arial"/>
          <w:sz w:val="13"/>
          <w:szCs w:val="13"/>
          <w:color w:val="auto"/>
        </w:rPr>
        <w:t>Staff costs, maintenance costs, and utilities costs include share-based compensation of $48 million, $64 million and $55 million for share options for the years ended December 31, 2023, 2022 and 2021, respectively.</w:t>
      </w:r>
    </w:p>
    <w:p>
      <w:pPr>
        <w:spacing w:after="0" w:line="152" w:lineRule="exact"/>
        <w:rPr>
          <w:rFonts w:ascii="Arial" w:cs="Arial" w:eastAsia="Arial" w:hAnsi="Arial"/>
          <w:sz w:val="17"/>
          <w:szCs w:val="17"/>
          <w:color w:val="auto"/>
          <w:vertAlign w:val="superscript"/>
        </w:rPr>
      </w:pPr>
    </w:p>
    <w:p>
      <w:pPr>
        <w:ind w:left="260" w:hanging="255"/>
        <w:spacing w:after="0"/>
        <w:tabs>
          <w:tab w:leader="none" w:pos="260" w:val="left"/>
        </w:tabs>
        <w:numPr>
          <w:ilvl w:val="0"/>
          <w:numId w:val="113"/>
        </w:numPr>
        <w:rPr>
          <w:rFonts w:ascii="Arial" w:cs="Arial" w:eastAsia="Arial" w:hAnsi="Arial"/>
          <w:sz w:val="13"/>
          <w:szCs w:val="13"/>
          <w:b w:val="1"/>
          <w:bCs w:val="1"/>
          <w:color w:val="auto"/>
        </w:rPr>
      </w:pPr>
      <w:r>
        <w:rPr>
          <w:rFonts w:ascii="Arial" w:cs="Arial" w:eastAsia="Arial" w:hAnsi="Arial"/>
          <w:sz w:val="13"/>
          <w:szCs w:val="13"/>
          <w:b w:val="1"/>
          <w:bCs w:val="1"/>
          <w:color w:val="auto"/>
        </w:rPr>
        <w:t>Research and Development Expenses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60"/>
        </w:trPr>
        <w:tc>
          <w:tcPr>
            <w:tcW w:w="6660" w:type="dxa"/>
            <w:vAlign w:val="bottom"/>
            <w:shd w:val="clear" w:color="auto" w:fill="CCEEFF"/>
          </w:tcPr>
          <w:p>
            <w:pPr>
              <w:ind w:left="20"/>
              <w:spacing w:after="0" w:line="161" w:lineRule="exact"/>
              <w:rPr>
                <w:sz w:val="20"/>
                <w:szCs w:val="20"/>
                <w:color w:val="auto"/>
              </w:rPr>
            </w:pPr>
            <w:r>
              <w:rPr>
                <w:rFonts w:ascii="Arial" w:cs="Arial" w:eastAsia="Arial" w:hAnsi="Arial"/>
                <w:sz w:val="13"/>
                <w:szCs w:val="13"/>
                <w:color w:val="auto"/>
              </w:rPr>
              <w:t>Staff costs, maintenance costs, and utilities</w:t>
            </w:r>
            <w:r>
              <w:rPr>
                <w:rFonts w:ascii="Arial" w:cs="Arial" w:eastAsia="Arial" w:hAnsi="Arial"/>
                <w:sz w:val="16"/>
                <w:szCs w:val="16"/>
                <w:color w:val="auto"/>
                <w:vertAlign w:val="superscript"/>
              </w:rPr>
              <w:t>(1)</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Depreciation of property, plant and equipment and amortization of intangible assets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147</w:t>
            </w:r>
          </w:p>
        </w:tc>
      </w:tr>
      <w:tr>
        <w:trPr>
          <w:trHeight w:val="171"/>
        </w:trPr>
        <w:tc>
          <w:tcPr>
            <w:tcW w:w="666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Other </w:t>
            </w:r>
            <w:r>
              <w:rPr>
                <w:rFonts w:ascii="Arial" w:cs="Arial" w:eastAsia="Arial" w:hAnsi="Arial"/>
                <w:sz w:val="16"/>
                <w:szCs w:val="16"/>
                <w:color w:val="auto"/>
                <w:vertAlign w:val="superscript"/>
              </w:rPr>
              <w:t>(2)</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w:t>
            </w:r>
          </w:p>
        </w:tc>
      </w:tr>
      <w:tr>
        <w:trPr>
          <w:trHeight w:val="160"/>
        </w:trPr>
        <w:tc>
          <w:tcPr>
            <w:tcW w:w="666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428</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482</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478</w:t>
            </w:r>
          </w:p>
        </w:tc>
      </w:tr>
    </w:tbl>
    <w:p>
      <w:pPr>
        <w:spacing w:after="0" w:line="138" w:lineRule="exact"/>
        <w:rPr>
          <w:sz w:val="20"/>
          <w:szCs w:val="20"/>
          <w:color w:val="auto"/>
        </w:rPr>
      </w:pPr>
    </w:p>
    <w:p>
      <w:pPr>
        <w:ind w:left="640" w:hanging="253"/>
        <w:spacing w:after="0" w:line="227" w:lineRule="auto"/>
        <w:tabs>
          <w:tab w:leader="none" w:pos="635" w:val="left"/>
        </w:tabs>
        <w:numPr>
          <w:ilvl w:val="1"/>
          <w:numId w:val="114"/>
        </w:numPr>
        <w:rPr>
          <w:rFonts w:ascii="Arial" w:cs="Arial" w:eastAsia="Arial" w:hAnsi="Arial"/>
          <w:sz w:val="17"/>
          <w:szCs w:val="17"/>
          <w:color w:val="auto"/>
          <w:vertAlign w:val="superscript"/>
        </w:rPr>
      </w:pPr>
      <w:r>
        <w:rPr>
          <w:rFonts w:ascii="Arial" w:cs="Arial" w:eastAsia="Arial" w:hAnsi="Arial"/>
          <w:sz w:val="13"/>
          <w:szCs w:val="13"/>
          <w:color w:val="auto"/>
        </w:rPr>
        <w:t>Staff costs, maintenance costs, and utilities costs include share-based compensation of $25 million, $27 million and $22 million for share options for the years ended December 31, 2023, 2022 and 2021, respectively.</w:t>
      </w:r>
    </w:p>
    <w:p>
      <w:pPr>
        <w:spacing w:after="0" w:line="49" w:lineRule="exact"/>
        <w:rPr>
          <w:rFonts w:ascii="Arial" w:cs="Arial" w:eastAsia="Arial" w:hAnsi="Arial"/>
          <w:sz w:val="17"/>
          <w:szCs w:val="17"/>
          <w:color w:val="auto"/>
          <w:vertAlign w:val="superscript"/>
        </w:rPr>
      </w:pPr>
    </w:p>
    <w:p>
      <w:pPr>
        <w:ind w:left="640" w:hanging="253"/>
        <w:spacing w:after="0"/>
        <w:tabs>
          <w:tab w:leader="none" w:pos="640" w:val="left"/>
        </w:tabs>
        <w:numPr>
          <w:ilvl w:val="1"/>
          <w:numId w:val="114"/>
        </w:numPr>
        <w:rPr>
          <w:rFonts w:ascii="Arial" w:cs="Arial" w:eastAsia="Arial" w:hAnsi="Arial"/>
          <w:sz w:val="16"/>
          <w:szCs w:val="16"/>
          <w:color w:val="auto"/>
          <w:vertAlign w:val="superscript"/>
        </w:rPr>
      </w:pPr>
      <w:r>
        <w:rPr>
          <w:rFonts w:ascii="Arial" w:cs="Arial" w:eastAsia="Arial" w:hAnsi="Arial"/>
          <w:sz w:val="12"/>
          <w:szCs w:val="12"/>
          <w:color w:val="auto"/>
        </w:rPr>
        <w:t>Other primarily includes material costs and net (income) expenses related to research funding agreements and wafer, labor, software license costs allocated (to) and from cost of revenue.</w:t>
      </w:r>
    </w:p>
    <w:p>
      <w:pPr>
        <w:spacing w:after="0" w:line="161" w:lineRule="exact"/>
        <w:rPr>
          <w:rFonts w:ascii="Arial" w:cs="Arial" w:eastAsia="Arial" w:hAnsi="Arial"/>
          <w:sz w:val="16"/>
          <w:szCs w:val="16"/>
          <w:color w:val="auto"/>
          <w:vertAlign w:val="superscript"/>
        </w:rPr>
      </w:pPr>
    </w:p>
    <w:p>
      <w:pPr>
        <w:ind w:left="260" w:hanging="255"/>
        <w:spacing w:after="0"/>
        <w:tabs>
          <w:tab w:leader="none" w:pos="260" w:val="left"/>
        </w:tabs>
        <w:numPr>
          <w:ilvl w:val="0"/>
          <w:numId w:val="115"/>
        </w:numPr>
        <w:rPr>
          <w:rFonts w:ascii="Arial" w:cs="Arial" w:eastAsia="Arial" w:hAnsi="Arial"/>
          <w:sz w:val="13"/>
          <w:szCs w:val="13"/>
          <w:b w:val="1"/>
          <w:bCs w:val="1"/>
          <w:color w:val="auto"/>
        </w:rPr>
      </w:pPr>
      <w:r>
        <w:rPr>
          <w:rFonts w:ascii="Arial" w:cs="Arial" w:eastAsia="Arial" w:hAnsi="Arial"/>
          <w:sz w:val="13"/>
          <w:szCs w:val="13"/>
          <w:b w:val="1"/>
          <w:bCs w:val="1"/>
          <w:color w:val="auto"/>
        </w:rPr>
        <w:t>Selling, General and Administrative Expenses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60"/>
        </w:trPr>
        <w:tc>
          <w:tcPr>
            <w:tcW w:w="6660" w:type="dxa"/>
            <w:vAlign w:val="bottom"/>
            <w:shd w:val="clear" w:color="auto" w:fill="CCEEFF"/>
          </w:tcPr>
          <w:p>
            <w:pPr>
              <w:ind w:left="20"/>
              <w:spacing w:after="0" w:line="161" w:lineRule="exact"/>
              <w:rPr>
                <w:sz w:val="20"/>
                <w:szCs w:val="20"/>
                <w:color w:val="auto"/>
              </w:rPr>
            </w:pPr>
            <w:r>
              <w:rPr>
                <w:rFonts w:ascii="Arial" w:cs="Arial" w:eastAsia="Arial" w:hAnsi="Arial"/>
                <w:sz w:val="13"/>
                <w:szCs w:val="13"/>
                <w:color w:val="auto"/>
              </w:rPr>
              <w:t xml:space="preserve">Staff costs, maintenance costs, and utilities </w:t>
            </w:r>
            <w:r>
              <w:rPr>
                <w:rFonts w:ascii="Arial" w:cs="Arial" w:eastAsia="Arial" w:hAnsi="Arial"/>
                <w:sz w:val="16"/>
                <w:szCs w:val="16"/>
                <w:color w:val="auto"/>
                <w:vertAlign w:val="superscript"/>
              </w:rPr>
              <w:t>(1)</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w:t>
            </w: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Depreciation of property, plant and equipment and amortization of intangible assets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71"/>
        </w:trPr>
        <w:tc>
          <w:tcPr>
            <w:tcW w:w="666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Other </w:t>
            </w:r>
            <w:r>
              <w:rPr>
                <w:rFonts w:ascii="Arial" w:cs="Arial" w:eastAsia="Arial" w:hAnsi="Arial"/>
                <w:sz w:val="16"/>
                <w:szCs w:val="16"/>
                <w:color w:val="auto"/>
                <w:vertAlign w:val="superscript"/>
              </w:rPr>
              <w:t>(2)</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0"/>
        </w:trPr>
        <w:tc>
          <w:tcPr>
            <w:tcW w:w="666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473</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496</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595</w:t>
            </w:r>
          </w:p>
        </w:tc>
      </w:tr>
    </w:tbl>
    <w:p>
      <w:pPr>
        <w:spacing w:after="0" w:line="149" w:lineRule="exact"/>
        <w:rPr>
          <w:sz w:val="20"/>
          <w:szCs w:val="20"/>
          <w:color w:val="auto"/>
        </w:rPr>
      </w:pPr>
    </w:p>
    <w:p>
      <w:pPr>
        <w:ind w:left="640" w:hanging="253"/>
        <w:spacing w:after="0" w:line="219" w:lineRule="auto"/>
        <w:tabs>
          <w:tab w:leader="none" w:pos="635" w:val="left"/>
        </w:tabs>
        <w:numPr>
          <w:ilvl w:val="1"/>
          <w:numId w:val="116"/>
        </w:numPr>
        <w:rPr>
          <w:rFonts w:ascii="Arial" w:cs="Arial" w:eastAsia="Arial" w:hAnsi="Arial"/>
          <w:sz w:val="17"/>
          <w:szCs w:val="17"/>
          <w:color w:val="auto"/>
          <w:vertAlign w:val="superscript"/>
        </w:rPr>
      </w:pPr>
      <w:r>
        <w:rPr>
          <w:rFonts w:ascii="Arial" w:cs="Arial" w:eastAsia="Arial" w:hAnsi="Arial"/>
          <w:sz w:val="13"/>
          <w:szCs w:val="13"/>
          <w:color w:val="auto"/>
        </w:rPr>
        <w:t>Staff costs, maintenance costs, and utilities costs include share-based payments of $96 million, $92 million and $152 million for share options for the years ended December 31, 2023, 2022 and 2021, respectively. See Note 3 for further discussion on the timing of expense recognition.</w:t>
      </w:r>
    </w:p>
    <w:p>
      <w:pPr>
        <w:spacing w:after="0" w:line="67" w:lineRule="exact"/>
        <w:rPr>
          <w:rFonts w:ascii="Arial" w:cs="Arial" w:eastAsia="Arial" w:hAnsi="Arial"/>
          <w:sz w:val="17"/>
          <w:szCs w:val="17"/>
          <w:color w:val="auto"/>
          <w:vertAlign w:val="superscript"/>
        </w:rPr>
      </w:pPr>
    </w:p>
    <w:p>
      <w:pPr>
        <w:ind w:left="640" w:hanging="253"/>
        <w:spacing w:after="0" w:line="227" w:lineRule="auto"/>
        <w:tabs>
          <w:tab w:leader="none" w:pos="635" w:val="left"/>
        </w:tabs>
        <w:numPr>
          <w:ilvl w:val="1"/>
          <w:numId w:val="116"/>
        </w:numPr>
        <w:rPr>
          <w:rFonts w:ascii="Arial" w:cs="Arial" w:eastAsia="Arial" w:hAnsi="Arial"/>
          <w:sz w:val="17"/>
          <w:szCs w:val="17"/>
          <w:color w:val="auto"/>
          <w:vertAlign w:val="superscript"/>
        </w:rPr>
      </w:pPr>
      <w:r>
        <w:rPr>
          <w:rFonts w:ascii="Arial" w:cs="Arial" w:eastAsia="Arial" w:hAnsi="Arial"/>
          <w:sz w:val="13"/>
          <w:szCs w:val="13"/>
          <w:color w:val="auto"/>
        </w:rPr>
        <w:t>Other primarily includes net professional charges, marketing expenses and facility costs, (gain) loss on tool sales and certain contract cancellation fees. Real estate transfer taxes are also included in Other.</w:t>
      </w:r>
    </w:p>
    <w:p>
      <w:pPr>
        <w:spacing w:after="0" w:line="151" w:lineRule="exact"/>
        <w:rPr>
          <w:rFonts w:ascii="Arial" w:cs="Arial" w:eastAsia="Arial" w:hAnsi="Arial"/>
          <w:sz w:val="17"/>
          <w:szCs w:val="17"/>
          <w:color w:val="auto"/>
          <w:vertAlign w:val="superscript"/>
        </w:rPr>
      </w:pPr>
    </w:p>
    <w:p>
      <w:pPr>
        <w:ind w:left="260" w:hanging="255"/>
        <w:spacing w:after="0"/>
        <w:tabs>
          <w:tab w:leader="none" w:pos="260" w:val="left"/>
        </w:tabs>
        <w:numPr>
          <w:ilvl w:val="0"/>
          <w:numId w:val="117"/>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 December 2022, the Company’s management approved and commenced a restructuring plan aimed to realign the Company’s business and strategic priorities. This worldwide restructuring plan included a reduction in the number of full-time employees, as well as a reduction in leased workspaces and engagement of consultants for strategic support. The Company met the recognition criteria for the provisioning of phase one restructuring costs in the fourth quarter of 2022.</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February 2023, the Company announced phase two to the restructuring plan. Costs arising from this restructuring program comprised of termination benefits and costs associated with direct transition works.</w:t>
      </w:r>
    </w:p>
    <w:p>
      <w:pPr>
        <w:spacing w:after="0" w:line="6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Company incurred $71 million and $94 million of restructuring charges for the years ended December 31, 2023, and 2022, respectively, which included $3 million of accelerated share-based compensation expense in 2022. These expenses are included in restructuring expense in the Company’s consolidated statements of operations, and unpaid amounts are included in provisions within current liabilities on the consolidated statements of financial position.</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The changes to the restructuring provisions recorded on the consolidated statements of financial position as of December 31, 2023 and 2022 are summarized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5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91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916"/>
              <w:spacing w:after="0"/>
              <w:rPr>
                <w:sz w:val="20"/>
                <w:szCs w:val="20"/>
                <w:color w:val="auto"/>
              </w:rPr>
            </w:pPr>
            <w:r>
              <w:rPr>
                <w:rFonts w:ascii="Arial" w:cs="Arial" w:eastAsia="Arial" w:hAnsi="Arial"/>
                <w:sz w:val="13"/>
                <w:szCs w:val="13"/>
                <w:b w:val="1"/>
                <w:bCs w:val="1"/>
                <w:color w:val="auto"/>
              </w:rPr>
              <w:t>2022</w:t>
            </w:r>
          </w:p>
        </w:tc>
      </w:tr>
      <w:tr>
        <w:trPr>
          <w:trHeight w:val="160"/>
        </w:trPr>
        <w:tc>
          <w:tcPr>
            <w:tcW w:w="6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Beginning balance</w:t>
            </w: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w w:val="82"/>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86</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700" w:type="dxa"/>
            <w:vAlign w:val="bottom"/>
          </w:tcPr>
          <w:p>
            <w:pPr>
              <w:ind w:left="20"/>
              <w:spacing w:after="0"/>
              <w:rPr>
                <w:sz w:val="20"/>
                <w:szCs w:val="20"/>
                <w:color w:val="auto"/>
              </w:rPr>
            </w:pPr>
            <w:r>
              <w:rPr>
                <w:rFonts w:ascii="Arial" w:cs="Arial" w:eastAsia="Arial" w:hAnsi="Arial"/>
                <w:sz w:val="13"/>
                <w:szCs w:val="13"/>
                <w:color w:val="auto"/>
              </w:rPr>
              <w:t>Provision</w:t>
            </w:r>
          </w:p>
        </w:tc>
        <w:tc>
          <w:tcPr>
            <w:tcW w:w="5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71"/>
        </w:trPr>
        <w:tc>
          <w:tcPr>
            <w:tcW w:w="6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Amounts paid</w:t>
            </w:r>
          </w:p>
        </w:tc>
        <w:tc>
          <w:tcPr>
            <w:tcW w:w="54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0"/>
        </w:trPr>
        <w:tc>
          <w:tcPr>
            <w:tcW w:w="6700" w:type="dxa"/>
            <w:vAlign w:val="bottom"/>
          </w:tcPr>
          <w:p>
            <w:pPr>
              <w:ind w:left="20"/>
              <w:spacing w:after="0"/>
              <w:rPr>
                <w:sz w:val="20"/>
                <w:szCs w:val="20"/>
                <w:color w:val="auto"/>
              </w:rPr>
            </w:pPr>
            <w:r>
              <w:rPr>
                <w:rFonts w:ascii="Arial" w:cs="Arial" w:eastAsia="Arial" w:hAnsi="Arial"/>
                <w:sz w:val="13"/>
                <w:szCs w:val="13"/>
                <w:b w:val="1"/>
                <w:bCs w:val="1"/>
                <w:color w:val="auto"/>
              </w:rPr>
              <w:t>Ending balance</w:t>
            </w:r>
          </w:p>
        </w:tc>
        <w:tc>
          <w:tcPr>
            <w:tcW w:w="5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w w:val="82"/>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w w:val="82"/>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86</w:t>
            </w:r>
          </w:p>
        </w:tc>
      </w:tr>
    </w:tbl>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actual costs that the Company will incur may differ from these estimates based on the timing required to complete the restructuring plan, the number of people invoiced and the final termination benefits.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22. Share-Based Compensation</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incurred share-based compensation expense of $148 million, $173 million, and $223 million during the years ended December 31, 2023, 2022 and 2021, respectively. As of December 31, 2023 and 2022, the additional paid-in capital related to the share proceeds amounted to $46 million and $163 million, respectively. The Company incurred $21 million, $10 million and $5 million of payroll taxes associated with the share-based compensation expense for the years ended December 31, 2023 ,2022, and 2021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2023 and 2022, the Company has 3,485,505 shares and 2,826,758 shares respectively, available for future grant under the 2018 Share Incentive Plan (as described below).</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2023 and 2022, the Company has 17,011,837 shares and 13,648,116 shares respectively, available for future grant under the 2021 Equity Compensation Plan.</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RSUs</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2023 and 2022, the Company granted RSUs under the 2021 Equity Compensation Plan. The RSUs have a time-based vesting requirement, which provides that the RSUs will generally vest in three annual installments, with 33.33% vesting on each one-year anniversary of the vesting commencement date subject to the employee’s continued employment with the Company.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3"/>
                <w:szCs w:val="13"/>
                <w:color w:val="auto"/>
              </w:rPr>
            </w:pPr>
          </w:p>
        </w:tc>
        <w:tc>
          <w:tcPr>
            <w:tcW w:w="1500" w:type="dxa"/>
            <w:vAlign w:val="bottom"/>
            <w:vMerge w:val="restart"/>
          </w:tcPr>
          <w:p>
            <w:pPr>
              <w:jc w:val="right"/>
              <w:ind w:right="376"/>
              <w:spacing w:after="0"/>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ind w:right="36"/>
              <w:spacing w:after="0"/>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27"/>
        </w:trPr>
        <w:tc>
          <w:tcPr>
            <w:tcW w:w="822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ind w:right="36"/>
              <w:spacing w:after="0" w:line="128"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70"/>
        </w:trPr>
        <w:tc>
          <w:tcPr>
            <w:tcW w:w="82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RSUs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7"/>
              </w:rPr>
              <w:t>grant date fair value</w:t>
            </w:r>
          </w:p>
        </w:tc>
        <w:tc>
          <w:tcPr>
            <w:tcW w:w="0" w:type="dxa"/>
            <w:vAlign w:val="bottom"/>
          </w:tcPr>
          <w:p>
            <w:pPr>
              <w:spacing w:after="0"/>
              <w:rPr>
                <w:sz w:val="1"/>
                <w:szCs w:val="1"/>
                <w:color w:val="auto"/>
              </w:rPr>
            </w:pP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Outstanding as of December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847,430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39.59</w:t>
            </w:r>
          </w:p>
        </w:tc>
        <w:tc>
          <w:tcPr>
            <w:tcW w:w="0" w:type="dxa"/>
            <w:vAlign w:val="bottom"/>
          </w:tcPr>
          <w:p>
            <w:pPr>
              <w:spacing w:after="0"/>
              <w:rPr>
                <w:sz w:val="1"/>
                <w:szCs w:val="1"/>
                <w:color w:val="auto"/>
              </w:rPr>
            </w:pP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Granted</w:t>
            </w:r>
          </w:p>
        </w:tc>
        <w:tc>
          <w:tcPr>
            <w:tcW w:w="1500" w:type="dxa"/>
            <w:vAlign w:val="bottom"/>
          </w:tcPr>
          <w:p>
            <w:pPr>
              <w:jc w:val="right"/>
              <w:spacing w:after="0"/>
              <w:rPr>
                <w:sz w:val="20"/>
                <w:szCs w:val="20"/>
                <w:color w:val="auto"/>
              </w:rPr>
            </w:pPr>
            <w:r>
              <w:rPr>
                <w:rFonts w:ascii="Arial" w:cs="Arial" w:eastAsia="Arial" w:hAnsi="Arial"/>
                <w:sz w:val="13"/>
                <w:szCs w:val="13"/>
                <w:color w:val="auto"/>
              </w:rPr>
              <w:t>3,416,545</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57.09</w:t>
            </w: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Forfeited</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(314,158)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55.36</w:t>
            </w:r>
          </w:p>
        </w:tc>
        <w:tc>
          <w:tcPr>
            <w:tcW w:w="0" w:type="dxa"/>
            <w:vAlign w:val="bottom"/>
          </w:tcPr>
          <w:p>
            <w:pPr>
              <w:spacing w:after="0"/>
              <w:rPr>
                <w:sz w:val="1"/>
                <w:szCs w:val="1"/>
                <w:color w:val="auto"/>
              </w:rPr>
            </w:pP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Exercised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(738,387)</w:t>
            </w:r>
          </w:p>
        </w:tc>
        <w:tc>
          <w:tcPr>
            <w:tcW w:w="1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49.51</w:t>
            </w:r>
          </w:p>
        </w:tc>
        <w:tc>
          <w:tcPr>
            <w:tcW w:w="0" w:type="dxa"/>
            <w:vAlign w:val="bottom"/>
          </w:tcPr>
          <w:p>
            <w:pPr>
              <w:spacing w:after="0"/>
              <w:rPr>
                <w:sz w:val="1"/>
                <w:szCs w:val="1"/>
                <w:color w:val="auto"/>
              </w:rPr>
            </w:pP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Outstanding as of December 31,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3,211,430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54.39</w:t>
            </w:r>
          </w:p>
        </w:tc>
        <w:tc>
          <w:tcPr>
            <w:tcW w:w="0" w:type="dxa"/>
            <w:vAlign w:val="bottom"/>
          </w:tcPr>
          <w:p>
            <w:pPr>
              <w:spacing w:after="0"/>
              <w:rPr>
                <w:sz w:val="1"/>
                <w:szCs w:val="1"/>
                <w:color w:val="auto"/>
              </w:rPr>
            </w:pP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Granted</w:t>
            </w:r>
          </w:p>
        </w:tc>
        <w:tc>
          <w:tcPr>
            <w:tcW w:w="1500" w:type="dxa"/>
            <w:vAlign w:val="bottom"/>
          </w:tcPr>
          <w:p>
            <w:pPr>
              <w:jc w:val="right"/>
              <w:spacing w:after="0"/>
              <w:rPr>
                <w:sz w:val="20"/>
                <w:szCs w:val="20"/>
                <w:color w:val="auto"/>
              </w:rPr>
            </w:pPr>
            <w:r>
              <w:rPr>
                <w:rFonts w:ascii="Arial" w:cs="Arial" w:eastAsia="Arial" w:hAnsi="Arial"/>
                <w:sz w:val="13"/>
                <w:szCs w:val="13"/>
                <w:color w:val="auto"/>
              </w:rPr>
              <w:t>2,426,183</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62.94</w:t>
            </w: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Forfeited</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(390,769)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55.35</w:t>
            </w:r>
          </w:p>
        </w:tc>
        <w:tc>
          <w:tcPr>
            <w:tcW w:w="0" w:type="dxa"/>
            <w:vAlign w:val="bottom"/>
          </w:tcPr>
          <w:p>
            <w:pPr>
              <w:spacing w:after="0"/>
              <w:rPr>
                <w:sz w:val="1"/>
                <w:szCs w:val="1"/>
                <w:color w:val="auto"/>
              </w:rPr>
            </w:pP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Exercised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(1,093,061)</w:t>
            </w:r>
          </w:p>
        </w:tc>
        <w:tc>
          <w:tcPr>
            <w:tcW w:w="1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55.28</w:t>
            </w:r>
          </w:p>
        </w:tc>
        <w:tc>
          <w:tcPr>
            <w:tcW w:w="0" w:type="dxa"/>
            <w:vAlign w:val="bottom"/>
          </w:tcPr>
          <w:p>
            <w:pPr>
              <w:spacing w:after="0"/>
              <w:rPr>
                <w:sz w:val="1"/>
                <w:szCs w:val="1"/>
                <w:color w:val="auto"/>
              </w:rPr>
            </w:pP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Outstanding as of December 31,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4,153,783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58.87</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Prior to the IPO, the value of the RSUs was determined by the Company’s Board of Directors. Because there had been no public market for the ordinary shares, the Board of Directors determined the fair value at the time of grant of the RSU by contemporaneous valuations performed by unrelated third-party valuation firms as well as a number of objective and subjective factors including valuation of comparable companies, operating and financial performance, the lack of liquidity of capital stock and general and industry specific economic outlook, among other factors.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2023, 2022 and 2021, there was $107 million, $88 million, and $26 million, respectively, of total unrecognized compensation cost related to outstanding RSUs.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PSUs</w:t>
      </w:r>
    </w:p>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 2023 and 2022, the Company granted performance stock units (“PSUs”) under the 2021 Equity Compensation Plan to certain senior level employees. Each PSU represents a contingent right to receive shares of the Company’s stock if the Company meets certain performance measures over the requisite performance period. The PSU awards entitle recipients to receive, upon vesting, a number of shares that ranges from 0% to 200% of the number of PSUs awarded, depending on the level of achievement of the specified performance conditions.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PSUs vest subject to achievement of a performance target based on an absolute ROIC and relative total shareholder return (“TSR”) versus the SOX Index over a 3 year performance period subject to the grantee remaining employed by the Company through the end of the applicable performance period.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3"/>
                <w:szCs w:val="13"/>
                <w:color w:val="auto"/>
              </w:rPr>
            </w:pPr>
          </w:p>
        </w:tc>
        <w:tc>
          <w:tcPr>
            <w:tcW w:w="1500" w:type="dxa"/>
            <w:vAlign w:val="bottom"/>
            <w:vMerge w:val="restart"/>
          </w:tcPr>
          <w:p>
            <w:pPr>
              <w:jc w:val="right"/>
              <w:ind w:right="376"/>
              <w:spacing w:after="0"/>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3"/>
                <w:szCs w:val="13"/>
                <w:color w:val="auto"/>
              </w:rPr>
            </w:pPr>
          </w:p>
        </w:tc>
        <w:tc>
          <w:tcPr>
            <w:tcW w:w="1380" w:type="dxa"/>
            <w:vAlign w:val="bottom"/>
          </w:tcPr>
          <w:p>
            <w:pPr>
              <w:jc w:val="center"/>
              <w:ind w:right="36"/>
              <w:spacing w:after="0"/>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27"/>
        </w:trPr>
        <w:tc>
          <w:tcPr>
            <w:tcW w:w="822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center"/>
              <w:ind w:right="36"/>
              <w:spacing w:after="0" w:line="128"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70"/>
        </w:trPr>
        <w:tc>
          <w:tcPr>
            <w:tcW w:w="8220" w:type="dxa"/>
            <w:vAlign w:val="bottom"/>
          </w:tcPr>
          <w:p>
            <w:pPr>
              <w:spacing w:after="0"/>
              <w:rPr>
                <w:sz w:val="14"/>
                <w:szCs w:val="14"/>
                <w:color w:val="auto"/>
              </w:rPr>
            </w:pPr>
          </w:p>
        </w:tc>
        <w:tc>
          <w:tcPr>
            <w:tcW w:w="1500" w:type="dxa"/>
            <w:vAlign w:val="bottom"/>
          </w:tcPr>
          <w:p>
            <w:pPr>
              <w:jc w:val="right"/>
              <w:ind w:right="516"/>
              <w:spacing w:after="0"/>
              <w:rPr>
                <w:sz w:val="20"/>
                <w:szCs w:val="20"/>
                <w:color w:val="auto"/>
              </w:rPr>
            </w:pPr>
            <w:r>
              <w:rPr>
                <w:rFonts w:ascii="Arial" w:cs="Arial" w:eastAsia="Arial" w:hAnsi="Arial"/>
                <w:sz w:val="13"/>
                <w:szCs w:val="13"/>
                <w:b w:val="1"/>
                <w:bCs w:val="1"/>
                <w:color w:val="auto"/>
              </w:rPr>
              <w:t>PSUs</w:t>
            </w:r>
          </w:p>
        </w:tc>
        <w:tc>
          <w:tcPr>
            <w:tcW w:w="180" w:type="dxa"/>
            <w:vAlign w:val="bottom"/>
          </w:tcPr>
          <w:p>
            <w:pPr>
              <w:spacing w:after="0"/>
              <w:rPr>
                <w:sz w:val="14"/>
                <w:szCs w:val="14"/>
                <w:color w:val="auto"/>
              </w:rPr>
            </w:pPr>
          </w:p>
        </w:tc>
        <w:tc>
          <w:tcPr>
            <w:tcW w:w="1380" w:type="dxa"/>
            <w:vAlign w:val="bottom"/>
          </w:tcPr>
          <w:p>
            <w:pPr>
              <w:jc w:val="center"/>
              <w:ind w:right="36"/>
              <w:spacing w:after="0"/>
              <w:rPr>
                <w:sz w:val="20"/>
                <w:szCs w:val="20"/>
                <w:color w:val="auto"/>
              </w:rPr>
            </w:pPr>
            <w:r>
              <w:rPr>
                <w:rFonts w:ascii="Arial" w:cs="Arial" w:eastAsia="Arial" w:hAnsi="Arial"/>
                <w:sz w:val="13"/>
                <w:szCs w:val="13"/>
                <w:b w:val="1"/>
                <w:bCs w:val="1"/>
                <w:color w:val="auto"/>
                <w:w w:val="97"/>
              </w:rPr>
              <w:t>grant date fair value</w:t>
            </w:r>
          </w:p>
        </w:tc>
        <w:tc>
          <w:tcPr>
            <w:tcW w:w="0" w:type="dxa"/>
            <w:vAlign w:val="bottom"/>
          </w:tcPr>
          <w:p>
            <w:pPr>
              <w:spacing w:after="0"/>
              <w:rPr>
                <w:sz w:val="1"/>
                <w:szCs w:val="1"/>
                <w:color w:val="auto"/>
              </w:rPr>
            </w:pPr>
          </w:p>
        </w:tc>
      </w:tr>
      <w:tr>
        <w:trPr>
          <w:trHeight w:val="17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Outstanding as of December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Granted</w:t>
            </w:r>
          </w:p>
        </w:tc>
        <w:tc>
          <w:tcPr>
            <w:tcW w:w="1500" w:type="dxa"/>
            <w:vAlign w:val="bottom"/>
          </w:tcPr>
          <w:p>
            <w:pPr>
              <w:jc w:val="right"/>
              <w:spacing w:after="0"/>
              <w:rPr>
                <w:sz w:val="20"/>
                <w:szCs w:val="20"/>
                <w:color w:val="auto"/>
              </w:rPr>
            </w:pPr>
            <w:r>
              <w:rPr>
                <w:rFonts w:ascii="Arial" w:cs="Arial" w:eastAsia="Arial" w:hAnsi="Arial"/>
                <w:sz w:val="13"/>
                <w:szCs w:val="13"/>
                <w:color w:val="auto"/>
              </w:rPr>
              <w:t>571,277</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70.85</w:t>
            </w: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Forfeited</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(34,082)</w:t>
            </w: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70.91</w:t>
            </w:r>
          </w:p>
        </w:tc>
        <w:tc>
          <w:tcPr>
            <w:tcW w:w="0" w:type="dxa"/>
            <w:vAlign w:val="bottom"/>
          </w:tcPr>
          <w:p>
            <w:pPr>
              <w:spacing w:after="0"/>
              <w:rPr>
                <w:sz w:val="1"/>
                <w:szCs w:val="1"/>
                <w:color w:val="auto"/>
              </w:rPr>
            </w:pPr>
          </w:p>
        </w:tc>
      </w:tr>
      <w:tr>
        <w:trPr>
          <w:trHeight w:val="170"/>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Outstanding as of December 31, 2022</w:t>
            </w: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537,195</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3"/>
                <w:szCs w:val="13"/>
                <w:b w:val="1"/>
                <w:bCs w:val="1"/>
                <w:color w:val="auto"/>
              </w:rPr>
              <w:t>70.91</w:t>
            </w:r>
          </w:p>
        </w:tc>
        <w:tc>
          <w:tcPr>
            <w:tcW w:w="0" w:type="dxa"/>
            <w:vAlign w:val="bottom"/>
          </w:tcPr>
          <w:p>
            <w:pPr>
              <w:spacing w:after="0"/>
              <w:rPr>
                <w:sz w:val="1"/>
                <w:szCs w:val="1"/>
                <w:color w:val="auto"/>
              </w:rPr>
            </w:pPr>
          </w:p>
        </w:tc>
      </w:tr>
      <w:tr>
        <w:trPr>
          <w:trHeight w:val="17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Granted</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875,646</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69.73</w:t>
            </w:r>
          </w:p>
        </w:tc>
        <w:tc>
          <w:tcPr>
            <w:tcW w:w="0" w:type="dxa"/>
            <w:vAlign w:val="bottom"/>
          </w:tcPr>
          <w:p>
            <w:pPr>
              <w:spacing w:after="0"/>
              <w:rPr>
                <w:sz w:val="1"/>
                <w:szCs w:val="1"/>
                <w:color w:val="auto"/>
              </w:rPr>
            </w:pP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(220,422)</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69.90</w:t>
            </w:r>
          </w:p>
        </w:tc>
        <w:tc>
          <w:tcPr>
            <w:tcW w:w="0" w:type="dxa"/>
            <w:vAlign w:val="bottom"/>
          </w:tcPr>
          <w:p>
            <w:pPr>
              <w:spacing w:after="0"/>
              <w:rPr>
                <w:sz w:val="1"/>
                <w:szCs w:val="1"/>
                <w:color w:val="auto"/>
              </w:rPr>
            </w:pP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Outstanding as of December 31,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1,192,419</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69.96</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uses the Monte Carlo simulation model to estimate the fair value of the PSUs at the date of grant. The equity volatility was determined based on the historical volatilities of comparable publicly traded companies over a look back period of 2.84 years and 2.74 years in 2023 and 2022, respectively, commensurate with the remaining term of the PSUs. The risk-free interest rate is based on the United States Treasury with a remaining term equivalent to the remaining performance measurement period. Dividends are not paid on the Company’s stock.</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The assumptions used to value the Company’s PSUs granted during the period presented and their expected lives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20" w:type="dxa"/>
            <w:vAlign w:val="bottom"/>
          </w:tcPr>
          <w:p>
            <w:pPr>
              <w:spacing w:after="0"/>
              <w:rPr>
                <w:sz w:val="15"/>
                <w:szCs w:val="15"/>
                <w:color w:val="auto"/>
              </w:rPr>
            </w:pPr>
          </w:p>
        </w:tc>
        <w:tc>
          <w:tcPr>
            <w:tcW w:w="2820" w:type="dxa"/>
            <w:vAlign w:val="bottom"/>
          </w:tcPr>
          <w:p>
            <w:pPr>
              <w:ind w:left="840"/>
              <w:spacing w:after="0"/>
              <w:rPr>
                <w:sz w:val="20"/>
                <w:szCs w:val="20"/>
                <w:color w:val="auto"/>
              </w:rPr>
            </w:pPr>
            <w:r>
              <w:rPr>
                <w:rFonts w:ascii="Arial" w:cs="Arial" w:eastAsia="Arial" w:hAnsi="Arial"/>
                <w:sz w:val="13"/>
                <w:szCs w:val="13"/>
                <w:b w:val="1"/>
                <w:bCs w:val="1"/>
                <w:color w:val="auto"/>
              </w:rPr>
              <w:t>December 31, 2023</w:t>
            </w:r>
          </w:p>
        </w:tc>
        <w:tc>
          <w:tcPr>
            <w:tcW w:w="3340" w:type="dxa"/>
            <w:vAlign w:val="bottom"/>
            <w:gridSpan w:val="2"/>
          </w:tcPr>
          <w:p>
            <w:pPr>
              <w:ind w:left="840"/>
              <w:spacing w:after="0"/>
              <w:rPr>
                <w:sz w:val="20"/>
                <w:szCs w:val="20"/>
                <w:color w:val="auto"/>
              </w:rPr>
            </w:pPr>
            <w:r>
              <w:rPr>
                <w:rFonts w:ascii="Arial" w:cs="Arial" w:eastAsia="Arial" w:hAnsi="Arial"/>
                <w:sz w:val="13"/>
                <w:szCs w:val="13"/>
                <w:b w:val="1"/>
                <w:bCs w:val="1"/>
                <w:color w:val="auto"/>
              </w:rPr>
              <w:t>December 31, 2022</w:t>
            </w:r>
          </w:p>
        </w:tc>
      </w:tr>
      <w:tr>
        <w:trPr>
          <w:trHeight w:val="164"/>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Expected dividend yield</w:t>
            </w:r>
          </w:p>
        </w:tc>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r>
      <w:tr>
        <w:trPr>
          <w:trHeight w:val="169"/>
        </w:trPr>
        <w:tc>
          <w:tcPr>
            <w:tcW w:w="5120" w:type="dxa"/>
            <w:vAlign w:val="bottom"/>
          </w:tcPr>
          <w:p>
            <w:pPr>
              <w:ind w:left="20"/>
              <w:spacing w:after="0"/>
              <w:rPr>
                <w:sz w:val="20"/>
                <w:szCs w:val="20"/>
                <w:color w:val="auto"/>
              </w:rPr>
            </w:pPr>
            <w:r>
              <w:rPr>
                <w:rFonts w:ascii="Arial" w:cs="Arial" w:eastAsia="Arial" w:hAnsi="Arial"/>
                <w:sz w:val="13"/>
                <w:szCs w:val="13"/>
                <w:color w:val="auto"/>
              </w:rPr>
              <w:t>Expected volatility</w:t>
            </w:r>
          </w:p>
        </w:tc>
        <w:tc>
          <w:tcPr>
            <w:tcW w:w="2820" w:type="dxa"/>
            <w:vAlign w:val="bottom"/>
          </w:tcPr>
          <w:p>
            <w:pPr>
              <w:jc w:val="center"/>
              <w:spacing w:after="0"/>
              <w:rPr>
                <w:sz w:val="20"/>
                <w:szCs w:val="20"/>
                <w:color w:val="auto"/>
              </w:rPr>
            </w:pPr>
            <w:r>
              <w:rPr>
                <w:rFonts w:ascii="Arial" w:cs="Arial" w:eastAsia="Arial" w:hAnsi="Arial"/>
                <w:sz w:val="13"/>
                <w:szCs w:val="13"/>
                <w:color w:val="auto"/>
                <w:w w:val="95"/>
              </w:rPr>
              <w:t>50.93%</w:t>
            </w:r>
          </w:p>
        </w:tc>
        <w:tc>
          <w:tcPr>
            <w:tcW w:w="2820" w:type="dxa"/>
            <w:vAlign w:val="bottom"/>
          </w:tcPr>
          <w:p>
            <w:pPr>
              <w:jc w:val="center"/>
              <w:spacing w:after="0"/>
              <w:rPr>
                <w:sz w:val="20"/>
                <w:szCs w:val="20"/>
                <w:color w:val="auto"/>
              </w:rPr>
            </w:pPr>
            <w:r>
              <w:rPr>
                <w:rFonts w:ascii="Arial" w:cs="Arial" w:eastAsia="Arial" w:hAnsi="Arial"/>
                <w:sz w:val="13"/>
                <w:szCs w:val="13"/>
                <w:color w:val="auto"/>
                <w:w w:val="95"/>
              </w:rPr>
              <w:t>45.50%</w:t>
            </w:r>
          </w:p>
        </w:tc>
        <w:tc>
          <w:tcPr>
            <w:tcW w:w="520" w:type="dxa"/>
            <w:vAlign w:val="bottom"/>
          </w:tcPr>
          <w:p>
            <w:pPr>
              <w:spacing w:after="0"/>
              <w:rPr>
                <w:sz w:val="14"/>
                <w:szCs w:val="14"/>
                <w:color w:val="auto"/>
              </w:rPr>
            </w:pPr>
          </w:p>
        </w:tc>
      </w:tr>
      <w:tr>
        <w:trPr>
          <w:trHeight w:val="171"/>
        </w:trPr>
        <w:tc>
          <w:tcPr>
            <w:tcW w:w="5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Risk-free interest rate</w:t>
            </w:r>
          </w:p>
        </w:tc>
        <w:tc>
          <w:tcPr>
            <w:tcW w:w="2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4.60%</w:t>
            </w:r>
          </w:p>
        </w:tc>
        <w:tc>
          <w:tcPr>
            <w:tcW w:w="2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2.55%</w:t>
            </w:r>
          </w:p>
        </w:tc>
        <w:tc>
          <w:tcPr>
            <w:tcW w:w="520" w:type="dxa"/>
            <w:vAlign w:val="bottom"/>
          </w:tcPr>
          <w:p>
            <w:pPr>
              <w:spacing w:after="0"/>
              <w:rPr>
                <w:sz w:val="14"/>
                <w:szCs w:val="14"/>
                <w:color w:val="auto"/>
              </w:rPr>
            </w:pPr>
          </w:p>
        </w:tc>
      </w:tr>
      <w:tr>
        <w:trPr>
          <w:trHeight w:val="708"/>
        </w:trPr>
        <w:tc>
          <w:tcPr>
            <w:tcW w:w="5120" w:type="dxa"/>
            <w:vAlign w:val="bottom"/>
          </w:tcPr>
          <w:p>
            <w:pPr>
              <w:spacing w:after="0"/>
              <w:rPr>
                <w:sz w:val="24"/>
                <w:szCs w:val="24"/>
                <w:color w:val="auto"/>
              </w:rPr>
            </w:pPr>
          </w:p>
        </w:tc>
        <w:tc>
          <w:tcPr>
            <w:tcW w:w="2820" w:type="dxa"/>
            <w:vAlign w:val="bottom"/>
          </w:tcPr>
          <w:p>
            <w:pPr>
              <w:ind w:left="400"/>
              <w:spacing w:after="0"/>
              <w:rPr>
                <w:sz w:val="20"/>
                <w:szCs w:val="20"/>
                <w:color w:val="auto"/>
              </w:rPr>
            </w:pPr>
            <w:r>
              <w:rPr>
                <w:rFonts w:ascii="Arial" w:cs="Arial" w:eastAsia="Arial" w:hAnsi="Arial"/>
                <w:sz w:val="13"/>
                <w:szCs w:val="13"/>
                <w:color w:val="auto"/>
              </w:rPr>
              <w:t>F-33</w:t>
            </w:r>
          </w:p>
        </w:tc>
        <w:tc>
          <w:tcPr>
            <w:tcW w:w="28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78"/>
        </w:trPr>
        <w:tc>
          <w:tcPr>
            <w:tcW w:w="5120" w:type="dxa"/>
            <w:vAlign w:val="bottom"/>
            <w:tcBorders>
              <w:bottom w:val="single" w:sz="8" w:color="9A9A9A"/>
            </w:tcBorders>
          </w:tcPr>
          <w:p>
            <w:pPr>
              <w:spacing w:after="0"/>
              <w:rPr>
                <w:sz w:val="6"/>
                <w:szCs w:val="6"/>
                <w:color w:val="auto"/>
              </w:rPr>
            </w:pPr>
          </w:p>
        </w:tc>
        <w:tc>
          <w:tcPr>
            <w:tcW w:w="2820" w:type="dxa"/>
            <w:vAlign w:val="bottom"/>
            <w:tcBorders>
              <w:bottom w:val="single" w:sz="8" w:color="9A9A9A"/>
            </w:tcBorders>
          </w:tcPr>
          <w:p>
            <w:pPr>
              <w:spacing w:after="0"/>
              <w:rPr>
                <w:sz w:val="6"/>
                <w:szCs w:val="6"/>
                <w:color w:val="auto"/>
              </w:rPr>
            </w:pPr>
          </w:p>
        </w:tc>
        <w:tc>
          <w:tcPr>
            <w:tcW w:w="28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Compensation expense is recognized for the PSU awards based on a graded attribution basis over the vesting period. As of December 31, 2023, and 2022 there was $22 million and $24 million, respectively, of total unrecognized compensation expense related to the PSUs.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Options</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2017, the Company approved the Share Incentive Plan, which was intended to attract and retain talented employees and align shareholder and employee interests. Share options under the Share Incentive Plan vested over a five-year period.</w:t>
      </w:r>
    </w:p>
    <w:p>
      <w:pPr>
        <w:spacing w:after="0" w:line="4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2019, the Company offered to exchange the share options under the Share Incentive Plan with new share options under the “2018 Share Incentive Plan,” under which the Company may grant up to 25 million options to purchase shares in the Company with an exercise price of $10.00 per share. The options vest based on service over four or five years, depending on the timing of the grant, and contingent upon a liquidity event (change in control or IPO) with the earliest vesting date on the one-year anniversary of a liquidity event. On April 19, 2019, the Company issued the share options subject to the tender offer. The exchange of 2017 plan options into 2018 plan options resulted in a total incremental fair value of $64 million, of which $39 million was recognized in the second quarter of 2021 when an IPO became probable. The remainder was attributed prospectively. In the fourth quarter of 2021, the Company modified the earliest vesting date from one year post-anniversary of a liquidity event to six-months post-anniversary of a liquidity event, and shortened the contractual term for options held by US taxpayers to be the calendar year end after or within the year of vest. The options that remain outstanding at expiration will be auto-exercised through the broker.</w:t>
      </w:r>
    </w:p>
    <w:p>
      <w:pPr>
        <w:spacing w:after="0" w:line="7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share options are effective for a term of 10 years from the grant date. Because the vesting and exercisability of these share options were dependent on a qualified liquidity event, the Company had to assess the probability of such an event in order to determine the expenses related to the share-based payments for the period. On June 30, 2021, the Company deemed an IPO to be probable under IFRS.</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Upon the tender offer, the Company measured the pre-modification value of the old share options and compared that to the fair value of the new share options using the Black-Scholes option pricing model. The equity volatility was determined based on the historical volatilities of comparable publicly traded companies over a period equal to the expected average share-based payments life. The risk-free rate of interest was interpolated from the U.S. Constant Maturity Treasury rate curve to reflect the remaining expected life of share options. The fair value of the ordinary shares underlying the stock options has historically been determined by the Company’s Board of Directors. Because there had been no public market for the ordinary shares, the Board of Directors determined the fair value of the ordinary shares at the time of grant of the option by contemporaneous valuations performed by unrelated third-party valuation firms as well as a number of objective and subjective factors including valuation of comparable companies, operating and financial performance, the lack of liquidity of capital stock and general and industry specific economic outlook, among other factors.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The Company did not grant any stock options in 2023 and 2022.</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a summary of the share option’s activity for the year ended December 31, 2023 and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36"/>
              <w:spacing w:after="0"/>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27"/>
        </w:trPr>
        <w:tc>
          <w:tcPr>
            <w:tcW w:w="8220" w:type="dxa"/>
            <w:vAlign w:val="bottom"/>
          </w:tcPr>
          <w:p>
            <w:pPr>
              <w:spacing w:after="0"/>
              <w:rPr>
                <w:sz w:val="11"/>
                <w:szCs w:val="11"/>
                <w:color w:val="auto"/>
              </w:rPr>
            </w:pPr>
          </w:p>
        </w:tc>
        <w:tc>
          <w:tcPr>
            <w:tcW w:w="1500" w:type="dxa"/>
            <w:vAlign w:val="bottom"/>
            <w:vMerge w:val="restart"/>
          </w:tcPr>
          <w:p>
            <w:pPr>
              <w:jc w:val="right"/>
              <w:ind w:right="376"/>
              <w:spacing w:after="0"/>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136"/>
              <w:spacing w:after="0" w:line="128"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27"/>
        </w:trPr>
        <w:tc>
          <w:tcPr>
            <w:tcW w:w="822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136"/>
              <w:spacing w:after="0" w:line="128" w:lineRule="exact"/>
              <w:rPr>
                <w:sz w:val="20"/>
                <w:szCs w:val="20"/>
                <w:color w:val="auto"/>
              </w:rPr>
            </w:pPr>
            <w:r>
              <w:rPr>
                <w:rFonts w:ascii="Arial" w:cs="Arial" w:eastAsia="Arial" w:hAnsi="Arial"/>
                <w:sz w:val="13"/>
                <w:szCs w:val="13"/>
                <w:b w:val="1"/>
                <w:bCs w:val="1"/>
                <w:color w:val="auto"/>
                <w:w w:val="96"/>
              </w:rPr>
              <w:t>exercise price</w:t>
            </w:r>
          </w:p>
        </w:tc>
        <w:tc>
          <w:tcPr>
            <w:tcW w:w="0" w:type="dxa"/>
            <w:vAlign w:val="bottom"/>
          </w:tcPr>
          <w:p>
            <w:pPr>
              <w:spacing w:after="0"/>
              <w:rPr>
                <w:sz w:val="1"/>
                <w:szCs w:val="1"/>
                <w:color w:val="auto"/>
              </w:rPr>
            </w:pPr>
          </w:p>
        </w:tc>
      </w:tr>
      <w:tr>
        <w:trPr>
          <w:trHeight w:val="170"/>
        </w:trPr>
        <w:tc>
          <w:tcPr>
            <w:tcW w:w="82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Share options</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99"/>
              </w:rPr>
              <w:t>per Share</w:t>
            </w:r>
          </w:p>
        </w:tc>
        <w:tc>
          <w:tcPr>
            <w:tcW w:w="0" w:type="dxa"/>
            <w:vAlign w:val="bottom"/>
          </w:tcPr>
          <w:p>
            <w:pPr>
              <w:spacing w:after="0"/>
              <w:rPr>
                <w:sz w:val="1"/>
                <w:szCs w:val="1"/>
                <w:color w:val="auto"/>
              </w:rPr>
            </w:pP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Outstanding as of December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21,749,558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10.03</w:t>
            </w:r>
          </w:p>
        </w:tc>
        <w:tc>
          <w:tcPr>
            <w:tcW w:w="0" w:type="dxa"/>
            <w:vAlign w:val="bottom"/>
          </w:tcPr>
          <w:p>
            <w:pPr>
              <w:spacing w:after="0"/>
              <w:rPr>
                <w:sz w:val="1"/>
                <w:szCs w:val="1"/>
                <w:color w:val="auto"/>
              </w:rPr>
            </w:pP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Exercised</w:t>
            </w:r>
          </w:p>
        </w:tc>
        <w:tc>
          <w:tcPr>
            <w:tcW w:w="1500" w:type="dxa"/>
            <w:vAlign w:val="bottom"/>
          </w:tcPr>
          <w:p>
            <w:pPr>
              <w:jc w:val="right"/>
              <w:spacing w:after="0"/>
              <w:rPr>
                <w:sz w:val="20"/>
                <w:szCs w:val="20"/>
                <w:color w:val="auto"/>
              </w:rPr>
            </w:pPr>
            <w:r>
              <w:rPr>
                <w:rFonts w:ascii="Arial" w:cs="Arial" w:eastAsia="Arial" w:hAnsi="Arial"/>
                <w:sz w:val="13"/>
                <w:szCs w:val="13"/>
                <w:color w:val="auto"/>
              </w:rPr>
              <w:t>(14,956,321)</w:t>
            </w: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(532,634)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Outstanding as of December 31, 2022</w:t>
            </w:r>
          </w:p>
        </w:tc>
        <w:tc>
          <w:tcPr>
            <w:tcW w:w="1500" w:type="dxa"/>
            <w:vAlign w:val="bottom"/>
          </w:tcPr>
          <w:p>
            <w:pPr>
              <w:jc w:val="right"/>
              <w:spacing w:after="0"/>
              <w:rPr>
                <w:sz w:val="20"/>
                <w:szCs w:val="20"/>
                <w:color w:val="auto"/>
              </w:rPr>
            </w:pPr>
            <w:r>
              <w:rPr>
                <w:rFonts w:ascii="Arial" w:cs="Arial" w:eastAsia="Arial" w:hAnsi="Arial"/>
                <w:sz w:val="13"/>
                <w:szCs w:val="13"/>
                <w:color w:val="auto"/>
              </w:rPr>
              <w:t>6,260,603</w:t>
            </w: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10.02</w:t>
            </w:r>
          </w:p>
        </w:tc>
        <w:tc>
          <w:tcPr>
            <w:tcW w:w="0" w:type="dxa"/>
            <w:vAlign w:val="bottom"/>
          </w:tcPr>
          <w:p>
            <w:pPr>
              <w:spacing w:after="0"/>
              <w:rPr>
                <w:sz w:val="1"/>
                <w:szCs w:val="1"/>
                <w:color w:val="auto"/>
              </w:rPr>
            </w:pPr>
          </w:p>
        </w:tc>
      </w:tr>
      <w:tr>
        <w:trPr>
          <w:trHeight w:val="17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(4,468,985)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w:t>
            </w:r>
          </w:p>
        </w:tc>
        <w:tc>
          <w:tcPr>
            <w:tcW w:w="0" w:type="dxa"/>
            <w:vAlign w:val="bottom"/>
          </w:tcPr>
          <w:p>
            <w:pPr>
              <w:spacing w:after="0"/>
              <w:rPr>
                <w:sz w:val="1"/>
                <w:szCs w:val="1"/>
                <w:color w:val="auto"/>
              </w:rPr>
            </w:pP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(151,579)</w:t>
            </w:r>
          </w:p>
        </w:tc>
        <w:tc>
          <w:tcPr>
            <w:tcW w:w="2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Outstanding as of December 31,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1,640,039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w:t>
            </w:r>
          </w:p>
        </w:tc>
        <w:tc>
          <w:tcPr>
            <w:tcW w:w="0" w:type="dxa"/>
            <w:vAlign w:val="bottom"/>
          </w:tcPr>
          <w:p>
            <w:pPr>
              <w:spacing w:after="0"/>
              <w:rPr>
                <w:sz w:val="1"/>
                <w:szCs w:val="1"/>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Exercisable balance as of December 31, 2023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1,485,670</w:t>
            </w:r>
          </w:p>
        </w:tc>
        <w:tc>
          <w:tcPr>
            <w:tcW w:w="2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10.03</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information about employees’ share options outstanding as of December 31, 2023:</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Outstanding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560" w:type="dxa"/>
            <w:vAlign w:val="bottom"/>
          </w:tcPr>
          <w:p>
            <w:pPr>
              <w:spacing w:after="0"/>
              <w:rPr>
                <w:sz w:val="10"/>
                <w:szCs w:val="10"/>
                <w:color w:val="auto"/>
              </w:rPr>
            </w:pPr>
          </w:p>
        </w:tc>
        <w:tc>
          <w:tcPr>
            <w:tcW w:w="19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jc w:val="center"/>
              <w:ind w:right="136"/>
              <w:spacing w:after="0" w:line="118" w:lineRule="exact"/>
              <w:rPr>
                <w:sz w:val="20"/>
                <w:szCs w:val="20"/>
                <w:color w:val="auto"/>
              </w:rPr>
            </w:pPr>
            <w:r>
              <w:rPr>
                <w:rFonts w:ascii="Arial" w:cs="Arial" w:eastAsia="Arial" w:hAnsi="Arial"/>
                <w:sz w:val="13"/>
                <w:szCs w:val="13"/>
                <w:b w:val="1"/>
                <w:bCs w:val="1"/>
                <w:color w:val="auto"/>
                <w:w w:val="95"/>
              </w:rPr>
              <w:t>Weighted</w:t>
            </w:r>
          </w:p>
        </w:tc>
        <w:tc>
          <w:tcPr>
            <w:tcW w:w="2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5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120" w:type="dxa"/>
            <w:vAlign w:val="bottom"/>
            <w:gridSpan w:val="2"/>
          </w:tcPr>
          <w:p>
            <w:pPr>
              <w:jc w:val="center"/>
              <w:ind w:right="2760"/>
              <w:spacing w:after="0" w:line="128"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27"/>
        </w:trPr>
        <w:tc>
          <w:tcPr>
            <w:tcW w:w="25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60" w:type="dxa"/>
            <w:vAlign w:val="bottom"/>
            <w:vMerge w:val="restart"/>
          </w:tcPr>
          <w:p>
            <w:pPr>
              <w:jc w:val="center"/>
              <w:ind w:right="116"/>
              <w:spacing w:after="0"/>
              <w:rPr>
                <w:sz w:val="20"/>
                <w:szCs w:val="20"/>
                <w:color w:val="auto"/>
              </w:rPr>
            </w:pPr>
            <w:r>
              <w:rPr>
                <w:rFonts w:ascii="Arial" w:cs="Arial" w:eastAsia="Arial" w:hAnsi="Arial"/>
                <w:sz w:val="13"/>
                <w:szCs w:val="13"/>
                <w:b w:val="1"/>
                <w:bCs w:val="1"/>
                <w:color w:val="auto"/>
                <w:w w:val="97"/>
              </w:rPr>
              <w:t>Number</w:t>
            </w:r>
          </w:p>
        </w:tc>
        <w:tc>
          <w:tcPr>
            <w:tcW w:w="4120" w:type="dxa"/>
            <w:vAlign w:val="bottom"/>
            <w:gridSpan w:val="2"/>
          </w:tcPr>
          <w:p>
            <w:pPr>
              <w:jc w:val="center"/>
              <w:ind w:right="2760"/>
              <w:spacing w:after="0" w:line="128" w:lineRule="exact"/>
              <w:rPr>
                <w:sz w:val="20"/>
                <w:szCs w:val="20"/>
                <w:color w:val="auto"/>
              </w:rPr>
            </w:pPr>
            <w:r>
              <w:rPr>
                <w:rFonts w:ascii="Arial" w:cs="Arial" w:eastAsia="Arial" w:hAnsi="Arial"/>
                <w:sz w:val="13"/>
                <w:szCs w:val="13"/>
                <w:b w:val="1"/>
                <w:bCs w:val="1"/>
                <w:color w:val="auto"/>
                <w:w w:val="96"/>
              </w:rPr>
              <w:t>remaining</w:t>
            </w:r>
          </w:p>
        </w:tc>
        <w:tc>
          <w:tcPr>
            <w:tcW w:w="0" w:type="dxa"/>
            <w:vAlign w:val="bottom"/>
          </w:tcPr>
          <w:p>
            <w:pPr>
              <w:spacing w:after="0"/>
              <w:rPr>
                <w:sz w:val="1"/>
                <w:szCs w:val="1"/>
                <w:color w:val="auto"/>
              </w:rPr>
            </w:pPr>
          </w:p>
        </w:tc>
      </w:tr>
      <w:tr>
        <w:trPr>
          <w:trHeight w:val="127"/>
        </w:trPr>
        <w:tc>
          <w:tcPr>
            <w:tcW w:w="2560" w:type="dxa"/>
            <w:vAlign w:val="bottom"/>
          </w:tcPr>
          <w:p>
            <w:pPr>
              <w:spacing w:after="0"/>
              <w:rPr>
                <w:sz w:val="11"/>
                <w:szCs w:val="11"/>
                <w:color w:val="auto"/>
              </w:rPr>
            </w:pPr>
          </w:p>
        </w:tc>
        <w:tc>
          <w:tcPr>
            <w:tcW w:w="1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Range of exercise prices</w:t>
            </w:r>
          </w:p>
        </w:tc>
        <w:tc>
          <w:tcPr>
            <w:tcW w:w="80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4120" w:type="dxa"/>
            <w:vAlign w:val="bottom"/>
            <w:gridSpan w:val="2"/>
          </w:tcPr>
          <w:p>
            <w:pPr>
              <w:jc w:val="center"/>
              <w:ind w:right="2720"/>
              <w:spacing w:after="0" w:line="128" w:lineRule="exact"/>
              <w:rPr>
                <w:sz w:val="20"/>
                <w:szCs w:val="20"/>
                <w:color w:val="auto"/>
              </w:rPr>
            </w:pPr>
            <w:r>
              <w:rPr>
                <w:rFonts w:ascii="Arial" w:cs="Arial" w:eastAsia="Arial" w:hAnsi="Arial"/>
                <w:sz w:val="13"/>
                <w:szCs w:val="13"/>
                <w:b w:val="1"/>
                <w:bCs w:val="1"/>
                <w:color w:val="auto"/>
                <w:w w:val="99"/>
              </w:rPr>
              <w:t>contractual life</w:t>
            </w:r>
          </w:p>
        </w:tc>
        <w:tc>
          <w:tcPr>
            <w:tcW w:w="0" w:type="dxa"/>
            <w:vAlign w:val="bottom"/>
          </w:tcPr>
          <w:p>
            <w:pPr>
              <w:spacing w:after="0"/>
              <w:rPr>
                <w:sz w:val="1"/>
                <w:szCs w:val="1"/>
                <w:color w:val="auto"/>
              </w:rPr>
            </w:pPr>
          </w:p>
        </w:tc>
      </w:tr>
      <w:tr>
        <w:trPr>
          <w:trHeight w:val="170"/>
        </w:trPr>
        <w:tc>
          <w:tcPr>
            <w:tcW w:w="256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860" w:type="dxa"/>
            <w:vAlign w:val="bottom"/>
          </w:tcPr>
          <w:p>
            <w:pPr>
              <w:jc w:val="center"/>
              <w:ind w:right="136"/>
              <w:spacing w:after="0"/>
              <w:rPr>
                <w:sz w:val="20"/>
                <w:szCs w:val="20"/>
                <w:color w:val="auto"/>
              </w:rPr>
            </w:pPr>
            <w:r>
              <w:rPr>
                <w:rFonts w:ascii="Arial" w:cs="Arial" w:eastAsia="Arial" w:hAnsi="Arial"/>
                <w:sz w:val="13"/>
                <w:szCs w:val="13"/>
                <w:b w:val="1"/>
                <w:bCs w:val="1"/>
                <w:color w:val="auto"/>
                <w:w w:val="96"/>
              </w:rPr>
              <w:t>Outstanding</w:t>
            </w:r>
          </w:p>
        </w:tc>
        <w:tc>
          <w:tcPr>
            <w:tcW w:w="4120" w:type="dxa"/>
            <w:vAlign w:val="bottom"/>
            <w:gridSpan w:val="2"/>
          </w:tcPr>
          <w:p>
            <w:pPr>
              <w:jc w:val="center"/>
              <w:ind w:right="2760"/>
              <w:spacing w:after="0"/>
              <w:rPr>
                <w:sz w:val="20"/>
                <w:szCs w:val="20"/>
                <w:color w:val="auto"/>
              </w:rPr>
            </w:pPr>
            <w:r>
              <w:rPr>
                <w:rFonts w:ascii="Arial" w:cs="Arial" w:eastAsia="Arial" w:hAnsi="Arial"/>
                <w:sz w:val="13"/>
                <w:szCs w:val="13"/>
                <w:b w:val="1"/>
                <w:bCs w:val="1"/>
                <w:color w:val="auto"/>
                <w:w w:val="96"/>
              </w:rPr>
              <w:t>(in years)</w:t>
            </w:r>
          </w:p>
        </w:tc>
        <w:tc>
          <w:tcPr>
            <w:tcW w:w="0" w:type="dxa"/>
            <w:vAlign w:val="bottom"/>
          </w:tcPr>
          <w:p>
            <w:pPr>
              <w:spacing w:after="0"/>
              <w:rPr>
                <w:sz w:val="1"/>
                <w:szCs w:val="1"/>
                <w:color w:val="auto"/>
              </w:rPr>
            </w:pPr>
          </w:p>
        </w:tc>
      </w:tr>
      <w:tr>
        <w:trPr>
          <w:trHeight w:val="160"/>
        </w:trPr>
        <w:tc>
          <w:tcPr>
            <w:tcW w:w="2560" w:type="dxa"/>
            <w:vAlign w:val="bottom"/>
          </w:tcPr>
          <w:p>
            <w:pPr>
              <w:spacing w:after="0"/>
              <w:rPr>
                <w:sz w:val="13"/>
                <w:szCs w:val="13"/>
                <w:color w:val="auto"/>
              </w:rPr>
            </w:pPr>
          </w:p>
        </w:tc>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10.02</w:t>
            </w:r>
          </w:p>
        </w:tc>
        <w:tc>
          <w:tcPr>
            <w:tcW w:w="186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1,640,039</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8"/>
        </w:trPr>
        <w:tc>
          <w:tcPr>
            <w:tcW w:w="2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60" w:type="dxa"/>
            <w:vAlign w:val="bottom"/>
          </w:tcPr>
          <w:p>
            <w:pPr>
              <w:jc w:val="right"/>
              <w:ind w:right="1316"/>
              <w:spacing w:after="0"/>
              <w:rPr>
                <w:sz w:val="20"/>
                <w:szCs w:val="20"/>
                <w:color w:val="auto"/>
              </w:rPr>
            </w:pPr>
            <w:r>
              <w:rPr>
                <w:rFonts w:ascii="Arial" w:cs="Arial" w:eastAsia="Arial" w:hAnsi="Arial"/>
                <w:sz w:val="13"/>
                <w:szCs w:val="13"/>
                <w:color w:val="auto"/>
              </w:rPr>
              <w:t>F-34</w:t>
            </w:r>
          </w:p>
        </w:tc>
        <w:tc>
          <w:tcPr>
            <w:tcW w:w="1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56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2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weighted average remaining contractual life is calculated based on the 10-year contract terms of the options and the weighted average exercise price is calculated using the exercise price of the outstanding options, which pertain to the 2018 Share Incentive Plan.</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2023, 2022 and 2021, there was $1 million, $7 million and $63 million, respectively, of total unrecognized compensation cost related to outstanding 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ESPP</w:t>
      </w:r>
    </w:p>
    <w:p>
      <w:pPr>
        <w:spacing w:after="0" w:line="9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connection with, and prior to the consummation of the Company's initial public offering in 2021, the Company's board of directors adopted the GLOBALFOUNDRIES Inc. 2021 Employee Stock Purchase Plan (the “ESPP”). The ESPP is administered by the Company's board of directors or, as applicable, its delegate (the “ESPP Administrator”).</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ESPP provides eligible employees with an opportunity to purchase ordinary shares through payroll deduction of up to 10% of their eligible compensation. A participant may purchase a maximum of 2,500 ordinary shares during a purchase period. Amounts deducted and accumulated by the participant are used to purchase ordinary shares at the end of each six-month purchase period. Participants in the ESPP receive a one-time grant of 50 RSUs upon enrollment in the ESPP. The Company matches 20% of each employee’s contributions on an after-tax basis.</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Subject to certain equitable adjustments in connection with certain events affecting the outstanding ordinary shares reserved for issuance as awards, the maximum aggregate number of ordinary shares that may be issued or transferred under the ESPP with respect to awards is 7,500,000 ordinary shares; provided that the share reserve under the ESPP will, unless otherwise determined by the board of directors, automatically increase on January 1 of each year for 8 years commencing on January 1, 2023 and ending on (and including) January 1, 2031 in an amount equal to 0.25% of the total number of ordinary shares outstanding on December 31 of the preceding year. In no event will the number of ordinary shares that may be issued or transferred pursuant to rights granted under the ESPP exceed 18,750,000, in the aggregate, subject to the adjustments described above.</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2023, of the Company has issued 620,481 shares under this plan reflecting employees’ contribution and the 20% Company match.</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23. Finance Income and Expenses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Finance Income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0"/>
        </w:trPr>
        <w:tc>
          <w:tcPr>
            <w:tcW w:w="66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Interest income - deposits</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Interest income on FVOCI investments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Accretion income</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0"/>
        </w:trPr>
        <w:tc>
          <w:tcPr>
            <w:tcW w:w="6660" w:type="dxa"/>
            <w:vAlign w:val="bottom"/>
          </w:tcPr>
          <w:p>
            <w:pPr>
              <w:ind w:left="20"/>
              <w:spacing w:after="0"/>
              <w:rPr>
                <w:sz w:val="20"/>
                <w:szCs w:val="20"/>
                <w:color w:val="auto"/>
              </w:rPr>
            </w:pPr>
            <w:r>
              <w:rPr>
                <w:rFonts w:ascii="Arial" w:cs="Arial" w:eastAsia="Arial" w:hAnsi="Arial"/>
                <w:sz w:val="13"/>
                <w:szCs w:val="13"/>
                <w:b w:val="1"/>
                <w:bCs w:val="1"/>
                <w:color w:val="auto"/>
              </w:rPr>
              <w:t>Total finance income</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149</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51</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3"/>
                <w:szCs w:val="13"/>
                <w:b w:val="1"/>
                <w:bCs w:val="1"/>
                <w:color w:val="auto"/>
              </w:rPr>
              <w:t>Finance Expenses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0"/>
        </w:trPr>
        <w:tc>
          <w:tcPr>
            <w:tcW w:w="66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Interest on long-term debt</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Interest on lease obligations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 fees and amortization of debt issuance costs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Accretion costs and other</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finance expenses</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114</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24. Gain on Sale of a Business</w:t>
      </w:r>
    </w:p>
    <w:p>
      <w:pPr>
        <w:spacing w:after="0" w:line="95"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In April 2019, the Company entered into an Asset Purchase Agreement with ON Semiconductor pursuant to which the Company agreed to transfer substantially all the assets and employees related to the EFK business. On December 31, 2022, the Company completed the sale of the EFK business for a total purchase price of $406 million, of which $170 million was received in prior years, and the remaining $236 million was received in January 2023. The Company recognized a gain upon the completion of the sale of $403 million after derecognition of net liabilities of $9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67"/>
        </w:trPr>
        <w:tc>
          <w:tcPr>
            <w:tcW w:w="4260" w:type="dxa"/>
            <w:vAlign w:val="bottom"/>
          </w:tcPr>
          <w:p>
            <w:pPr>
              <w:spacing w:after="0"/>
              <w:rPr>
                <w:sz w:val="14"/>
                <w:szCs w:val="14"/>
                <w:color w:val="auto"/>
              </w:rPr>
            </w:pPr>
          </w:p>
        </w:tc>
        <w:tc>
          <w:tcPr>
            <w:tcW w:w="2860" w:type="dxa"/>
            <w:vAlign w:val="bottom"/>
            <w:gridSpan w:val="2"/>
          </w:tcPr>
          <w:p>
            <w:pPr>
              <w:jc w:val="right"/>
              <w:ind w:right="636"/>
              <w:spacing w:after="0"/>
              <w:rPr>
                <w:sz w:val="20"/>
                <w:szCs w:val="20"/>
                <w:color w:val="auto"/>
              </w:rPr>
            </w:pPr>
            <w:r>
              <w:rPr>
                <w:rFonts w:ascii="Arial" w:cs="Arial" w:eastAsia="Arial" w:hAnsi="Arial"/>
                <w:sz w:val="13"/>
                <w:szCs w:val="13"/>
                <w:color w:val="auto"/>
              </w:rPr>
              <w:t>GLOBALFOUNDRIES INC.</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33"/>
        </w:trPr>
        <w:tc>
          <w:tcPr>
            <w:tcW w:w="4260" w:type="dxa"/>
            <w:vAlign w:val="bottom"/>
          </w:tcPr>
          <w:p>
            <w:pPr>
              <w:spacing w:after="0"/>
              <w:rPr>
                <w:sz w:val="20"/>
                <w:szCs w:val="20"/>
                <w:color w:val="auto"/>
              </w:rPr>
            </w:pPr>
          </w:p>
        </w:tc>
        <w:tc>
          <w:tcPr>
            <w:tcW w:w="2860" w:type="dxa"/>
            <w:vAlign w:val="bottom"/>
            <w:gridSpan w:val="2"/>
          </w:tcPr>
          <w:p>
            <w:pPr>
              <w:jc w:val="right"/>
              <w:ind w:right="76"/>
              <w:spacing w:after="0"/>
              <w:rPr>
                <w:sz w:val="20"/>
                <w:szCs w:val="20"/>
                <w:color w:val="auto"/>
              </w:rPr>
            </w:pPr>
            <w:r>
              <w:rPr>
                <w:rFonts w:ascii="Arial" w:cs="Arial" w:eastAsia="Arial" w:hAnsi="Arial"/>
                <w:sz w:val="13"/>
                <w:szCs w:val="13"/>
                <w:color w:val="auto"/>
                <w:w w:val="98"/>
              </w:rPr>
              <w:t>Notes to the Consolidated Financial Statements</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88"/>
        </w:trPr>
        <w:tc>
          <w:tcPr>
            <w:tcW w:w="4260" w:type="dxa"/>
            <w:vAlign w:val="bottom"/>
          </w:tcPr>
          <w:p>
            <w:pPr>
              <w:spacing w:after="0"/>
              <w:rPr>
                <w:sz w:val="20"/>
                <w:szCs w:val="20"/>
                <w:color w:val="auto"/>
              </w:rPr>
            </w:pPr>
            <w:r>
              <w:rPr>
                <w:rFonts w:ascii="Arial" w:cs="Arial" w:eastAsia="Arial" w:hAnsi="Arial"/>
                <w:sz w:val="13"/>
                <w:szCs w:val="13"/>
                <w:color w:val="auto"/>
                <w:w w:val="98"/>
              </w:rPr>
              <w:t>The following is the breakdown of the net liabilities that were derecognized:</w:t>
            </w:r>
          </w:p>
        </w:tc>
        <w:tc>
          <w:tcPr>
            <w:tcW w:w="2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5"/>
        </w:trPr>
        <w:tc>
          <w:tcPr>
            <w:tcW w:w="42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r>
      <w:tr>
        <w:trPr>
          <w:trHeight w:val="17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24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r>
      <w:tr>
        <w:trPr>
          <w:trHeight w:val="160"/>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2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r>
      <w:tr>
        <w:trPr>
          <w:trHeight w:val="169"/>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Inventories</w:t>
            </w:r>
          </w:p>
        </w:tc>
        <w:tc>
          <w:tcPr>
            <w:tcW w:w="24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r>
      <w:tr>
        <w:trPr>
          <w:trHeight w:val="162"/>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24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126</w:t>
            </w:r>
          </w:p>
        </w:tc>
      </w:tr>
      <w:tr>
        <w:trPr>
          <w:trHeight w:val="169"/>
        </w:trPr>
        <w:tc>
          <w:tcPr>
            <w:tcW w:w="4260" w:type="dxa"/>
            <w:vAlign w:val="bottom"/>
          </w:tcPr>
          <w:p>
            <w:pPr>
              <w:ind w:left="20"/>
              <w:spacing w:after="0"/>
              <w:rPr>
                <w:sz w:val="20"/>
                <w:szCs w:val="20"/>
                <w:color w:val="auto"/>
              </w:rPr>
            </w:pPr>
            <w:r>
              <w:rPr>
                <w:rFonts w:ascii="Arial" w:cs="Arial" w:eastAsia="Arial" w:hAnsi="Arial"/>
                <w:sz w:val="13"/>
                <w:szCs w:val="13"/>
                <w:color w:val="auto"/>
              </w:rPr>
              <w:t>Lease liabilities</w:t>
            </w:r>
          </w:p>
        </w:tc>
        <w:tc>
          <w:tcPr>
            <w:tcW w:w="2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71"/>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and non-current liabilities</w:t>
            </w:r>
          </w:p>
        </w:tc>
        <w:tc>
          <w:tcPr>
            <w:tcW w:w="24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r>
      <w:tr>
        <w:trPr>
          <w:trHeight w:val="16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Liabilities</w:t>
            </w:r>
          </w:p>
        </w:tc>
        <w:tc>
          <w:tcPr>
            <w:tcW w:w="240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(135)</w:t>
            </w:r>
          </w:p>
        </w:tc>
      </w:tr>
      <w:tr>
        <w:trPr>
          <w:trHeight w:val="160"/>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Liabilities</w:t>
            </w:r>
          </w:p>
        </w:tc>
        <w:tc>
          <w:tcPr>
            <w:tcW w:w="2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w:t>
            </w:r>
          </w:p>
        </w:tc>
      </w:tr>
      <w:tr>
        <w:trPr>
          <w:trHeight w:val="397"/>
        </w:trPr>
        <w:tc>
          <w:tcPr>
            <w:tcW w:w="4260" w:type="dxa"/>
            <w:vAlign w:val="bottom"/>
          </w:tcPr>
          <w:p>
            <w:pPr>
              <w:spacing w:after="0"/>
              <w:rPr>
                <w:sz w:val="20"/>
                <w:szCs w:val="20"/>
                <w:color w:val="auto"/>
              </w:rPr>
            </w:pPr>
            <w:r>
              <w:rPr>
                <w:rFonts w:ascii="Arial" w:cs="Arial" w:eastAsia="Arial" w:hAnsi="Arial"/>
                <w:sz w:val="13"/>
                <w:szCs w:val="13"/>
                <w:b w:val="1"/>
                <w:bCs w:val="1"/>
                <w:color w:val="auto"/>
              </w:rPr>
              <w:t>25. Other Income (Expense), Net</w:t>
            </w:r>
          </w:p>
        </w:tc>
        <w:tc>
          <w:tcPr>
            <w:tcW w:w="2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2"/>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24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60"/>
        </w:trPr>
        <w:tc>
          <w:tcPr>
            <w:tcW w:w="42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Loss on hedging activities</w:t>
            </w:r>
          </w:p>
        </w:tc>
        <w:tc>
          <w:tcPr>
            <w:tcW w:w="2860" w:type="dxa"/>
            <w:vAlign w:val="bottom"/>
            <w:gridSpan w:val="2"/>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26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(1)</w:t>
            </w:r>
          </w:p>
        </w:tc>
        <w:tc>
          <w:tcPr>
            <w:tcW w:w="24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r>
      <w:tr>
        <w:trPr>
          <w:trHeight w:val="160"/>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other income (expense), net</w:t>
            </w:r>
          </w:p>
        </w:tc>
        <w:tc>
          <w:tcPr>
            <w:tcW w:w="24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(57)</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w:t>
            </w:r>
          </w:p>
        </w:tc>
      </w:tr>
    </w:tbl>
    <w:p>
      <w:pPr>
        <w:spacing w:after="0" w:line="132" w:lineRule="exact"/>
        <w:rPr>
          <w:sz w:val="20"/>
          <w:szCs w:val="20"/>
          <w:color w:val="auto"/>
        </w:rPr>
      </w:pPr>
    </w:p>
    <w:p>
      <w:pPr>
        <w:ind w:left="140" w:hanging="135"/>
        <w:spacing w:after="0"/>
        <w:tabs>
          <w:tab w:leader="none" w:pos="140" w:val="left"/>
        </w:tabs>
        <w:numPr>
          <w:ilvl w:val="0"/>
          <w:numId w:val="118"/>
        </w:numPr>
        <w:rPr>
          <w:rFonts w:ascii="Arial" w:cs="Arial" w:eastAsia="Arial" w:hAnsi="Arial"/>
          <w:sz w:val="16"/>
          <w:szCs w:val="16"/>
          <w:color w:val="auto"/>
          <w:vertAlign w:val="superscript"/>
        </w:rPr>
      </w:pPr>
      <w:r>
        <w:rPr>
          <w:rFonts w:ascii="Arial" w:cs="Arial" w:eastAsia="Arial" w:hAnsi="Arial"/>
          <w:sz w:val="12"/>
          <w:szCs w:val="12"/>
          <w:color w:val="auto"/>
        </w:rPr>
        <w:t>Relates primarily to share of profits of joint ventures, and gains on the sales of property, plant and equipment and intangible assets.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26. Income Taxes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tax reporting purposes, the Company consolidates its entities under GLOBALFOUNDRIES Inc., a Cayman Islands entity as described in Note 1. Accordingly, the Company has presented the domestic portion of the disclosures below based on its country of domicile in the Cayman Islands.</w:t>
      </w:r>
    </w:p>
    <w:p>
      <w:pPr>
        <w:spacing w:after="0" w:line="61"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As a Cayman Islands corporation, the Company’s domestic statutory income tax rate is 0.00%. The difference between the Company’s domestic statutory income tax rate and its (expense) benefit for income taxes is due to the effect of the tax rates in the other jurisdictions in which the Company operates. Principally, for the years ended December 31, 2023 and 2022, the Company is subject to United States’ federal and state taxes with a combined statutory tax rate of 21.6% and 22.1%, respectively; German corporation and trade taxes with a combined statutory tax rate of 31.6%; 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20" w:type="dxa"/>
            <w:vAlign w:val="bottom"/>
          </w:tcPr>
          <w:p>
            <w:pPr>
              <w:spacing w:after="0"/>
              <w:rPr>
                <w:sz w:val="20"/>
                <w:szCs w:val="20"/>
                <w:color w:val="auto"/>
              </w:rPr>
            </w:pPr>
            <w:r>
              <w:rPr>
                <w:rFonts w:ascii="Arial" w:cs="Arial" w:eastAsia="Arial" w:hAnsi="Arial"/>
                <w:sz w:val="13"/>
                <w:szCs w:val="13"/>
                <w:color w:val="auto"/>
              </w:rPr>
              <w:t>Singapore’s statutory tax rate of 17.0%.</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020" w:type="dxa"/>
            <w:vAlign w:val="bottom"/>
          </w:tcPr>
          <w:p>
            <w:pPr>
              <w:spacing w:after="0"/>
              <w:rPr>
                <w:sz w:val="20"/>
                <w:szCs w:val="20"/>
                <w:color w:val="auto"/>
              </w:rPr>
            </w:pPr>
            <w:r>
              <w:rPr>
                <w:rFonts w:ascii="Arial" w:cs="Arial" w:eastAsia="Arial" w:hAnsi="Arial"/>
                <w:sz w:val="13"/>
                <w:szCs w:val="13"/>
                <w:color w:val="auto"/>
              </w:rPr>
              <w:t>Income tax expense consisted of the following:</w:t>
            </w:r>
          </w:p>
        </w:tc>
        <w:tc>
          <w:tcPr>
            <w:tcW w:w="1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0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6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20"/>
                <w:szCs w:val="20"/>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5020" w:type="dxa"/>
            <w:vAlign w:val="bottom"/>
            <w:vMerge w:val="continue"/>
          </w:tcPr>
          <w:p>
            <w:pPr>
              <w:spacing w:after="0"/>
              <w:rPr>
                <w:sz w:val="14"/>
                <w:szCs w:val="14"/>
                <w:color w:val="auto"/>
              </w:rPr>
            </w:pPr>
          </w:p>
        </w:tc>
        <w:tc>
          <w:tcPr>
            <w:tcW w:w="2840" w:type="dxa"/>
            <w:vAlign w:val="bottom"/>
            <w:gridSpan w:val="2"/>
          </w:tcPr>
          <w:p>
            <w:pPr>
              <w:jc w:val="right"/>
              <w:ind w:right="256"/>
              <w:spacing w:after="0"/>
              <w:rPr>
                <w:sz w:val="20"/>
                <w:szCs w:val="20"/>
                <w:color w:val="auto"/>
              </w:rPr>
            </w:pPr>
            <w:r>
              <w:rPr>
                <w:rFonts w:ascii="Arial" w:cs="Arial" w:eastAsia="Arial" w:hAnsi="Arial"/>
                <w:sz w:val="13"/>
                <w:szCs w:val="13"/>
                <w:b w:val="1"/>
                <w:bCs w:val="1"/>
                <w:color w:val="auto"/>
              </w:rPr>
              <w:t>2023</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50"/>
        </w:trPr>
        <w:tc>
          <w:tcPr>
            <w:tcW w:w="50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Current income tax expense:</w:t>
            </w:r>
          </w:p>
        </w:tc>
        <w:tc>
          <w:tcPr>
            <w:tcW w:w="164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20" w:type="dxa"/>
            <w:vAlign w:val="bottom"/>
          </w:tcPr>
          <w:p>
            <w:pPr>
              <w:ind w:left="260"/>
              <w:spacing w:after="0"/>
              <w:rPr>
                <w:sz w:val="20"/>
                <w:szCs w:val="20"/>
                <w:color w:val="auto"/>
              </w:rPr>
            </w:pPr>
            <w:r>
              <w:rPr>
                <w:rFonts w:ascii="Arial" w:cs="Arial" w:eastAsia="Arial" w:hAnsi="Arial"/>
                <w:sz w:val="13"/>
                <w:szCs w:val="13"/>
                <w:color w:val="auto"/>
              </w:rPr>
              <w:t>Current income tax benefit (expense)</w:t>
            </w:r>
          </w:p>
        </w:tc>
        <w:tc>
          <w:tcPr>
            <w:tcW w:w="2840" w:type="dxa"/>
            <w:vAlign w:val="bottom"/>
            <w:gridSpan w:val="2"/>
          </w:tcPr>
          <w:p>
            <w:pPr>
              <w:jc w:val="right"/>
              <w:ind w:right="1056"/>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Adjustments in respect of current income tax of previous year</w:t>
            </w:r>
          </w:p>
        </w:tc>
        <w:tc>
          <w:tcPr>
            <w:tcW w:w="16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9"/>
        </w:trPr>
        <w:tc>
          <w:tcPr>
            <w:tcW w:w="5020" w:type="dxa"/>
            <w:vAlign w:val="bottom"/>
          </w:tcPr>
          <w:p>
            <w:pPr>
              <w:ind w:left="20"/>
              <w:spacing w:after="0"/>
              <w:rPr>
                <w:sz w:val="20"/>
                <w:szCs w:val="20"/>
                <w:color w:val="auto"/>
              </w:rPr>
            </w:pPr>
            <w:r>
              <w:rPr>
                <w:rFonts w:ascii="Arial" w:cs="Arial" w:eastAsia="Arial" w:hAnsi="Arial"/>
                <w:sz w:val="13"/>
                <w:szCs w:val="13"/>
                <w:color w:val="auto"/>
              </w:rPr>
              <w:t>Deferred tax</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operating and investment allowance carryforwards</w:t>
            </w:r>
          </w:p>
        </w:tc>
        <w:tc>
          <w:tcPr>
            <w:tcW w:w="16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69"/>
        </w:trPr>
        <w:tc>
          <w:tcPr>
            <w:tcW w:w="5020" w:type="dxa"/>
            <w:vAlign w:val="bottom"/>
          </w:tcPr>
          <w:p>
            <w:pPr>
              <w:ind w:left="200"/>
              <w:spacing w:after="0"/>
              <w:rPr>
                <w:sz w:val="20"/>
                <w:szCs w:val="20"/>
                <w:color w:val="auto"/>
              </w:rPr>
            </w:pPr>
            <w:r>
              <w:rPr>
                <w:rFonts w:ascii="Arial" w:cs="Arial" w:eastAsia="Arial" w:hAnsi="Arial"/>
                <w:sz w:val="13"/>
                <w:szCs w:val="13"/>
                <w:color w:val="auto"/>
              </w:rPr>
              <w:t>Currency effect on non-monetary assets of subsidiary</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Other change in temporary differences</w:t>
            </w:r>
          </w:p>
        </w:tc>
        <w:tc>
          <w:tcPr>
            <w:tcW w:w="164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60"/>
        </w:trPr>
        <w:tc>
          <w:tcPr>
            <w:tcW w:w="5020" w:type="dxa"/>
            <w:vAlign w:val="bottom"/>
          </w:tcPr>
          <w:p>
            <w:pPr>
              <w:ind w:left="20"/>
              <w:spacing w:after="0"/>
              <w:rPr>
                <w:sz w:val="20"/>
                <w:szCs w:val="20"/>
                <w:color w:val="auto"/>
              </w:rPr>
            </w:pPr>
            <w:r>
              <w:rPr>
                <w:rFonts w:ascii="Arial" w:cs="Arial" w:eastAsia="Arial" w:hAnsi="Arial"/>
                <w:sz w:val="13"/>
                <w:szCs w:val="13"/>
                <w:b w:val="1"/>
                <w:bCs w:val="1"/>
                <w:color w:val="auto"/>
              </w:rPr>
              <w:t>Income tax expense reported in the consolidated statements of operations</w:t>
            </w:r>
          </w:p>
        </w:tc>
        <w:tc>
          <w:tcPr>
            <w:tcW w:w="1640" w:type="dxa"/>
            <w:vAlign w:val="bottom"/>
          </w:tcPr>
          <w:p>
            <w:pPr>
              <w:spacing w:after="0"/>
              <w:rPr>
                <w:sz w:val="13"/>
                <w:szCs w:val="13"/>
                <w:color w:val="auto"/>
              </w:rPr>
            </w:pPr>
          </w:p>
        </w:tc>
        <w:tc>
          <w:tcPr>
            <w:tcW w:w="1200" w:type="dxa"/>
            <w:vAlign w:val="bottom"/>
            <w:tcBorders>
              <w:bottom w:val="single" w:sz="8" w:color="auto"/>
            </w:tcBorders>
          </w:tcPr>
          <w:p>
            <w:pPr>
              <w:jc w:val="right"/>
              <w:ind w:right="1056"/>
              <w:spacing w:after="0"/>
              <w:rPr>
                <w:sz w:val="20"/>
                <w:szCs w:val="20"/>
                <w:color w:val="auto"/>
              </w:rPr>
            </w:pPr>
            <w:r>
              <w:rPr>
                <w:rFonts w:ascii="Arial" w:cs="Arial" w:eastAsia="Arial" w:hAnsi="Arial"/>
                <w:sz w:val="13"/>
                <w:szCs w:val="13"/>
                <w:b w:val="1"/>
                <w:bCs w:val="1"/>
                <w:color w:val="auto"/>
                <w:w w:val="82"/>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(66)</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(86)</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(78)</w:t>
            </w:r>
          </w:p>
        </w:tc>
        <w:tc>
          <w:tcPr>
            <w:tcW w:w="0" w:type="dxa"/>
            <w:vAlign w:val="bottom"/>
          </w:tcPr>
          <w:p>
            <w:pPr>
              <w:spacing w:after="0"/>
              <w:rPr>
                <w:sz w:val="1"/>
                <w:szCs w:val="1"/>
                <w:color w:val="auto"/>
              </w:rPr>
            </w:pPr>
          </w:p>
        </w:tc>
      </w:tr>
      <w:tr>
        <w:trPr>
          <w:trHeight w:val="699"/>
        </w:trPr>
        <w:tc>
          <w:tcPr>
            <w:tcW w:w="5020" w:type="dxa"/>
            <w:vAlign w:val="bottom"/>
          </w:tcPr>
          <w:p>
            <w:pPr>
              <w:spacing w:after="0"/>
              <w:rPr>
                <w:sz w:val="24"/>
                <w:szCs w:val="24"/>
                <w:color w:val="auto"/>
              </w:rPr>
            </w:pPr>
          </w:p>
        </w:tc>
        <w:tc>
          <w:tcPr>
            <w:tcW w:w="2840" w:type="dxa"/>
            <w:vAlign w:val="bottom"/>
            <w:gridSpan w:val="2"/>
          </w:tcPr>
          <w:p>
            <w:pPr>
              <w:jc w:val="right"/>
              <w:ind w:right="2016"/>
              <w:spacing w:after="0"/>
              <w:rPr>
                <w:sz w:val="20"/>
                <w:szCs w:val="20"/>
                <w:color w:val="auto"/>
              </w:rPr>
            </w:pPr>
            <w:r>
              <w:rPr>
                <w:rFonts w:ascii="Arial" w:cs="Arial" w:eastAsia="Arial" w:hAnsi="Arial"/>
                <w:sz w:val="13"/>
                <w:szCs w:val="13"/>
                <w:color w:val="auto"/>
              </w:rPr>
              <w:t>F-36</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502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80" w:type="dxa"/>
            <w:vAlign w:val="bottom"/>
            <w:gridSpan w:val="4"/>
          </w:tcPr>
          <w:p>
            <w:pPr>
              <w:spacing w:after="0"/>
              <w:rPr>
                <w:sz w:val="20"/>
                <w:szCs w:val="20"/>
                <w:color w:val="auto"/>
              </w:rPr>
            </w:pPr>
            <w:r>
              <w:rPr>
                <w:rFonts w:ascii="Arial" w:cs="Arial" w:eastAsia="Arial" w:hAnsi="Arial"/>
                <w:sz w:val="13"/>
                <w:szCs w:val="13"/>
                <w:color w:val="auto"/>
              </w:rPr>
              <w:t>A reconciliation between tax expense and accounting profit multiplied by the Company’s statutory rate of 0.0% is as follows:</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9"/>
                <w:szCs w:val="19"/>
                <w:color w:val="auto"/>
              </w:rPr>
            </w:pPr>
          </w:p>
        </w:tc>
        <w:tc>
          <w:tcPr>
            <w:tcW w:w="1340" w:type="dxa"/>
            <w:vAlign w:val="bottom"/>
          </w:tcPr>
          <w:p>
            <w:pPr>
              <w:jc w:val="right"/>
              <w:ind w:right="296"/>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5"/>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1,084</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1,532</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Tax at Enacted Statutory Rate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440" w:type="dxa"/>
            <w:vAlign w:val="bottom"/>
            <w:vMerge w:val="continue"/>
          </w:tcPr>
          <w:p>
            <w:pPr>
              <w:spacing w:after="0"/>
              <w:rPr>
                <w:sz w:val="11"/>
                <w:szCs w:val="11"/>
                <w:color w:val="auto"/>
              </w:rPr>
            </w:pPr>
          </w:p>
        </w:tc>
        <w:tc>
          <w:tcPr>
            <w:tcW w:w="220" w:type="dxa"/>
            <w:vAlign w:val="bottom"/>
          </w:tcPr>
          <w:p>
            <w:pPr>
              <w:jc w:val="right"/>
              <w:ind w:right="76"/>
              <w:spacing w:after="0" w:line="131" w:lineRule="exact"/>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220" w:type="dxa"/>
            <w:vAlign w:val="bottom"/>
          </w:tcPr>
          <w:p>
            <w:pPr>
              <w:jc w:val="right"/>
              <w:ind w:right="76"/>
              <w:spacing w:after="0" w:line="131" w:lineRule="exact"/>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220" w:type="dxa"/>
            <w:vAlign w:val="bottom"/>
          </w:tcPr>
          <w:p>
            <w:pPr>
              <w:jc w:val="right"/>
              <w:ind w:right="76"/>
              <w:spacing w:after="0" w:line="131" w:lineRule="exact"/>
              <w:rPr>
                <w:sz w:val="20"/>
                <w:szCs w:val="20"/>
                <w:color w:val="auto"/>
              </w:rPr>
            </w:pPr>
            <w:r>
              <w:rPr>
                <w:rFonts w:ascii="Arial" w:cs="Arial" w:eastAsia="Arial" w:hAnsi="Arial"/>
                <w:sz w:val="13"/>
                <w:szCs w:val="13"/>
                <w:color w:val="auto"/>
                <w:w w:val="82"/>
              </w:rPr>
              <w:t>$</w:t>
            </w:r>
          </w:p>
        </w:tc>
        <w:tc>
          <w:tcPr>
            <w:tcW w:w="1340" w:type="dxa"/>
            <w:vAlign w:val="bottom"/>
          </w:tcPr>
          <w:p>
            <w:pPr>
              <w:jc w:val="right"/>
              <w:ind w:right="96"/>
              <w:spacing w:after="0" w:line="13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tax rate differential</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69"/>
        </w:trPr>
        <w:tc>
          <w:tcPr>
            <w:tcW w:w="6440" w:type="dxa"/>
            <w:vAlign w:val="bottom"/>
          </w:tcPr>
          <w:p>
            <w:pPr>
              <w:ind w:left="20"/>
              <w:spacing w:after="0"/>
              <w:rPr>
                <w:sz w:val="20"/>
                <w:szCs w:val="20"/>
                <w:color w:val="auto"/>
              </w:rPr>
            </w:pPr>
            <w:r>
              <w:rPr>
                <w:rFonts w:ascii="Arial" w:cs="Arial" w:eastAsia="Arial" w:hAnsi="Arial"/>
                <w:sz w:val="13"/>
                <w:szCs w:val="13"/>
                <w:color w:val="auto"/>
              </w:rPr>
              <w:t>Adjustments in respect to current income tax of previous years</w:t>
            </w:r>
          </w:p>
        </w:tc>
        <w:tc>
          <w:tcPr>
            <w:tcW w:w="220" w:type="dxa"/>
            <w:vAlign w:val="bottom"/>
          </w:tcPr>
          <w:p>
            <w:pPr>
              <w:spacing w:after="0"/>
              <w:rPr>
                <w:sz w:val="14"/>
                <w:szCs w:val="14"/>
                <w:color w:val="auto"/>
              </w:rPr>
            </w:pPr>
          </w:p>
        </w:tc>
        <w:tc>
          <w:tcPr>
            <w:tcW w:w="1340" w:type="dxa"/>
            <w:vAlign w:val="bottom"/>
          </w:tcPr>
          <w:p>
            <w:pPr>
              <w:jc w:val="right"/>
              <w:ind w:right="76"/>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1"/>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Government grants exempt from tax</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9"/>
        </w:trPr>
        <w:tc>
          <w:tcPr>
            <w:tcW w:w="6440" w:type="dxa"/>
            <w:vAlign w:val="bottom"/>
          </w:tcPr>
          <w:p>
            <w:pPr>
              <w:ind w:left="20"/>
              <w:spacing w:after="0"/>
              <w:rPr>
                <w:sz w:val="20"/>
                <w:szCs w:val="20"/>
                <w:color w:val="auto"/>
              </w:rPr>
            </w:pPr>
            <w:r>
              <w:rPr>
                <w:rFonts w:ascii="Arial" w:cs="Arial" w:eastAsia="Arial" w:hAnsi="Arial"/>
                <w:sz w:val="13"/>
                <w:szCs w:val="13"/>
                <w:color w:val="auto"/>
              </w:rPr>
              <w:t>Deductible expense for tax purpose</w:t>
            </w:r>
          </w:p>
        </w:tc>
        <w:tc>
          <w:tcPr>
            <w:tcW w:w="220" w:type="dxa"/>
            <w:vAlign w:val="bottom"/>
          </w:tcPr>
          <w:p>
            <w:pPr>
              <w:spacing w:after="0"/>
              <w:rPr>
                <w:sz w:val="14"/>
                <w:szCs w:val="14"/>
                <w:color w:val="auto"/>
              </w:rPr>
            </w:pPr>
          </w:p>
        </w:tc>
        <w:tc>
          <w:tcPr>
            <w:tcW w:w="1340" w:type="dxa"/>
            <w:vAlign w:val="bottom"/>
          </w:tcPr>
          <w:p>
            <w:pPr>
              <w:jc w:val="right"/>
              <w:ind w:right="76"/>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1"/>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Impact of unrecognized deferred tax assets</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9"/>
        </w:trPr>
        <w:tc>
          <w:tcPr>
            <w:tcW w:w="6440" w:type="dxa"/>
            <w:vAlign w:val="bottom"/>
          </w:tcPr>
          <w:p>
            <w:pPr>
              <w:ind w:left="20"/>
              <w:spacing w:after="0"/>
              <w:rPr>
                <w:sz w:val="20"/>
                <w:szCs w:val="20"/>
                <w:color w:val="auto"/>
              </w:rPr>
            </w:pPr>
            <w:r>
              <w:rPr>
                <w:rFonts w:ascii="Arial" w:cs="Arial" w:eastAsia="Arial" w:hAnsi="Arial"/>
                <w:sz w:val="13"/>
                <w:szCs w:val="13"/>
                <w:color w:val="auto"/>
              </w:rPr>
              <w:t>Non-deductible expenses for tax purposes</w:t>
            </w:r>
          </w:p>
        </w:tc>
        <w:tc>
          <w:tcPr>
            <w:tcW w:w="22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1"/>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Effects of foreign exchange gains (loss)</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9"/>
        </w:trPr>
        <w:tc>
          <w:tcPr>
            <w:tcW w:w="6440" w:type="dxa"/>
            <w:vAlign w:val="bottom"/>
          </w:tcPr>
          <w:p>
            <w:pPr>
              <w:ind w:left="20"/>
              <w:spacing w:after="0"/>
              <w:rPr>
                <w:sz w:val="20"/>
                <w:szCs w:val="20"/>
                <w:color w:val="auto"/>
              </w:rPr>
            </w:pPr>
            <w:r>
              <w:rPr>
                <w:rFonts w:ascii="Arial" w:cs="Arial" w:eastAsia="Arial" w:hAnsi="Arial"/>
                <w:sz w:val="13"/>
                <w:szCs w:val="13"/>
                <w:color w:val="auto"/>
              </w:rPr>
              <w:t>Impact of change in liability for uncertain tax positions</w:t>
            </w:r>
          </w:p>
        </w:tc>
        <w:tc>
          <w:tcPr>
            <w:tcW w:w="220" w:type="dxa"/>
            <w:vAlign w:val="bottom"/>
          </w:tcPr>
          <w:p>
            <w:pPr>
              <w:spacing w:after="0"/>
              <w:rPr>
                <w:sz w:val="14"/>
                <w:szCs w:val="14"/>
                <w:color w:val="auto"/>
              </w:rPr>
            </w:pPr>
          </w:p>
        </w:tc>
        <w:tc>
          <w:tcPr>
            <w:tcW w:w="1340" w:type="dxa"/>
            <w:vAlign w:val="bottom"/>
          </w:tcPr>
          <w:p>
            <w:pPr>
              <w:jc w:val="right"/>
              <w:ind w:right="96"/>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96"/>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96"/>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71"/>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Withholding Tax</w:t>
            </w:r>
          </w:p>
        </w:tc>
        <w:tc>
          <w:tcPr>
            <w:tcW w:w="2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effects</w:t>
            </w: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2"/>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tax (expense) benefit</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3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(66)</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3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(86)</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3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(78)</w:t>
            </w:r>
          </w:p>
        </w:tc>
        <w:tc>
          <w:tcPr>
            <w:tcW w:w="0" w:type="dxa"/>
            <w:vAlign w:val="bottom"/>
          </w:tcPr>
          <w:p>
            <w:pPr>
              <w:spacing w:after="0"/>
              <w:rPr>
                <w:sz w:val="1"/>
                <w:szCs w:val="1"/>
                <w:color w:val="auto"/>
              </w:rPr>
            </w:pPr>
          </w:p>
        </w:tc>
      </w:tr>
      <w:tr>
        <w:trPr>
          <w:trHeight w:val="160"/>
        </w:trPr>
        <w:tc>
          <w:tcPr>
            <w:tcW w:w="6440" w:type="dxa"/>
            <w:vAlign w:val="bottom"/>
          </w:tcPr>
          <w:p>
            <w:pPr>
              <w:ind w:left="20"/>
              <w:spacing w:after="0"/>
              <w:rPr>
                <w:sz w:val="20"/>
                <w:szCs w:val="20"/>
                <w:color w:val="auto"/>
              </w:rPr>
            </w:pPr>
            <w:r>
              <w:rPr>
                <w:rFonts w:ascii="Arial" w:cs="Arial" w:eastAsia="Arial" w:hAnsi="Arial"/>
                <w:sz w:val="13"/>
                <w:szCs w:val="13"/>
                <w:b w:val="1"/>
                <w:bCs w:val="1"/>
                <w:color w:val="auto"/>
              </w:rPr>
              <w:t>Effective income tax rate</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(6.1)%</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(5.6)%</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44.3 %</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has determined that it is probable that 100% of deferred tax assets can be realized in Singapore. The Company has determined that realization of deferred taxes associated with loss carryforwards is limited to reserves for uncertain tax positions in the United States and Germany that would generate future taxable income, and deferred tax assets resulting from consolidation of AMTC and BAC.</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20" w:type="dxa"/>
            <w:vAlign w:val="bottom"/>
          </w:tcPr>
          <w:p>
            <w:pPr>
              <w:spacing w:after="0"/>
              <w:rPr>
                <w:sz w:val="20"/>
                <w:szCs w:val="20"/>
                <w:color w:val="auto"/>
              </w:rPr>
            </w:pPr>
            <w:r>
              <w:rPr>
                <w:rFonts w:ascii="Arial" w:cs="Arial" w:eastAsia="Arial" w:hAnsi="Arial"/>
                <w:sz w:val="13"/>
                <w:szCs w:val="13"/>
                <w:color w:val="auto"/>
              </w:rPr>
              <w:t>Components of the Company’s deferred tax assets and liabilities are attributable as follows:</w:t>
            </w: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2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200" w:type="dxa"/>
            <w:vAlign w:val="bottom"/>
          </w:tcPr>
          <w:p>
            <w:pPr>
              <w:jc w:val="center"/>
              <w:ind w:left="236"/>
              <w:spacing w:after="0"/>
              <w:rPr>
                <w:sz w:val="20"/>
                <w:szCs w:val="20"/>
                <w:color w:val="auto"/>
              </w:rPr>
            </w:pPr>
            <w:r>
              <w:rPr>
                <w:rFonts w:ascii="Arial" w:cs="Arial" w:eastAsia="Arial" w:hAnsi="Arial"/>
                <w:sz w:val="13"/>
                <w:szCs w:val="13"/>
                <w:b w:val="1"/>
                <w:bCs w:val="1"/>
                <w:color w:val="auto"/>
                <w:w w:val="96"/>
              </w:rPr>
              <w:t>December 31,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36"/>
              <w:spacing w:after="0"/>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70"/>
        </w:trPr>
        <w:tc>
          <w:tcPr>
            <w:tcW w:w="822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auto"/>
            </w:tcBorders>
          </w:tcPr>
          <w:p>
            <w:pPr>
              <w:jc w:val="center"/>
              <w:ind w:left="236"/>
              <w:spacing w:after="0"/>
              <w:rPr>
                <w:sz w:val="20"/>
                <w:szCs w:val="20"/>
                <w:color w:val="auto"/>
              </w:rPr>
            </w:pPr>
            <w:r>
              <w:rPr>
                <w:rFonts w:ascii="Arial" w:cs="Arial" w:eastAsia="Arial" w:hAnsi="Arial"/>
                <w:sz w:val="13"/>
                <w:szCs w:val="13"/>
                <w:b w:val="1"/>
                <w:bCs w:val="1"/>
                <w:color w:val="auto"/>
              </w:rPr>
              <w:t>2023</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96"/>
              </w:rPr>
              <w:t>2022</w:t>
            </w:r>
          </w:p>
        </w:tc>
        <w:tc>
          <w:tcPr>
            <w:tcW w:w="0" w:type="dxa"/>
            <w:vAlign w:val="bottom"/>
          </w:tcPr>
          <w:p>
            <w:pPr>
              <w:spacing w:after="0"/>
              <w:rPr>
                <w:sz w:val="1"/>
                <w:szCs w:val="1"/>
                <w:color w:val="auto"/>
              </w:rPr>
            </w:pP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Accelerated depreciation on property, plant and equipment</w:t>
            </w:r>
          </w:p>
        </w:tc>
        <w:tc>
          <w:tcPr>
            <w:tcW w:w="1200" w:type="dxa"/>
            <w:vAlign w:val="bottom"/>
            <w:shd w:val="clear" w:color="auto" w:fill="CCEEFF"/>
          </w:tcPr>
          <w:p>
            <w:pPr>
              <w:jc w:val="right"/>
              <w:ind w:right="1036"/>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Losses, credits and investment allowances available for offsetting against future taxable income</w:t>
            </w:r>
          </w:p>
        </w:tc>
        <w:tc>
          <w:tcPr>
            <w:tcW w:w="1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231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expenses</w:t>
            </w: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Inventory</w:t>
            </w:r>
          </w:p>
        </w:tc>
        <w:tc>
          <w:tcPr>
            <w:tcW w:w="1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(loss)</w:t>
            </w: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Currency effect</w:t>
            </w:r>
          </w:p>
        </w:tc>
        <w:tc>
          <w:tcPr>
            <w:tcW w:w="1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20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Net deferred tax assets</w:t>
            </w:r>
          </w:p>
        </w:tc>
        <w:tc>
          <w:tcPr>
            <w:tcW w:w="1200" w:type="dxa"/>
            <w:vAlign w:val="bottom"/>
            <w:tcBorders>
              <w:bottom w:val="single" w:sz="8" w:color="auto"/>
            </w:tcBorders>
          </w:tcPr>
          <w:p>
            <w:pPr>
              <w:jc w:val="right"/>
              <w:ind w:right="1036"/>
              <w:spacing w:after="0"/>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235</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266</w:t>
            </w:r>
          </w:p>
        </w:tc>
        <w:tc>
          <w:tcPr>
            <w:tcW w:w="0" w:type="dxa"/>
            <w:vAlign w:val="bottom"/>
          </w:tcPr>
          <w:p>
            <w:pPr>
              <w:spacing w:after="0"/>
              <w:rPr>
                <w:sz w:val="1"/>
                <w:szCs w:val="1"/>
                <w:color w:val="auto"/>
              </w:rPr>
            </w:pPr>
          </w:p>
        </w:tc>
      </w:tr>
      <w:tr>
        <w:trPr>
          <w:trHeight w:val="296"/>
        </w:trPr>
        <w:tc>
          <w:tcPr>
            <w:tcW w:w="8220" w:type="dxa"/>
            <w:vAlign w:val="bottom"/>
          </w:tcPr>
          <w:p>
            <w:pPr>
              <w:spacing w:after="0"/>
              <w:rPr>
                <w:sz w:val="20"/>
                <w:szCs w:val="20"/>
                <w:color w:val="auto"/>
              </w:rPr>
            </w:pPr>
            <w:r>
              <w:rPr>
                <w:rFonts w:ascii="Arial" w:cs="Arial" w:eastAsia="Arial" w:hAnsi="Arial"/>
                <w:sz w:val="13"/>
                <w:szCs w:val="13"/>
                <w:color w:val="auto"/>
              </w:rPr>
              <w:t>The classification of the net deferred tax assets in the statements of financial position is as follows:</w:t>
            </w: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2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200" w:type="dxa"/>
            <w:vAlign w:val="bottom"/>
          </w:tcPr>
          <w:p>
            <w:pPr>
              <w:jc w:val="center"/>
              <w:ind w:left="236"/>
              <w:spacing w:after="0"/>
              <w:rPr>
                <w:sz w:val="20"/>
                <w:szCs w:val="20"/>
                <w:color w:val="auto"/>
              </w:rPr>
            </w:pPr>
            <w:r>
              <w:rPr>
                <w:rFonts w:ascii="Arial" w:cs="Arial" w:eastAsia="Arial" w:hAnsi="Arial"/>
                <w:sz w:val="13"/>
                <w:szCs w:val="13"/>
                <w:b w:val="1"/>
                <w:bCs w:val="1"/>
                <w:color w:val="auto"/>
                <w:w w:val="96"/>
              </w:rPr>
              <w:t>December 31,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36"/>
              <w:spacing w:after="0"/>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70"/>
        </w:trPr>
        <w:tc>
          <w:tcPr>
            <w:tcW w:w="822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auto"/>
            </w:tcBorders>
          </w:tcPr>
          <w:p>
            <w:pPr>
              <w:jc w:val="center"/>
              <w:ind w:left="236"/>
              <w:spacing w:after="0"/>
              <w:rPr>
                <w:sz w:val="20"/>
                <w:szCs w:val="20"/>
                <w:color w:val="auto"/>
              </w:rPr>
            </w:pPr>
            <w:r>
              <w:rPr>
                <w:rFonts w:ascii="Arial" w:cs="Arial" w:eastAsia="Arial" w:hAnsi="Arial"/>
                <w:sz w:val="13"/>
                <w:szCs w:val="13"/>
                <w:b w:val="1"/>
                <w:bCs w:val="1"/>
                <w:color w:val="auto"/>
              </w:rPr>
              <w:t>2023</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96"/>
              </w:rPr>
              <w:t>2022</w:t>
            </w:r>
          </w:p>
        </w:tc>
        <w:tc>
          <w:tcPr>
            <w:tcW w:w="0" w:type="dxa"/>
            <w:vAlign w:val="bottom"/>
          </w:tcPr>
          <w:p>
            <w:pPr>
              <w:spacing w:after="0"/>
              <w:rPr>
                <w:sz w:val="1"/>
                <w:szCs w:val="1"/>
                <w:color w:val="auto"/>
              </w:rPr>
            </w:pP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assets</w:t>
            </w:r>
          </w:p>
        </w:tc>
        <w:tc>
          <w:tcPr>
            <w:tcW w:w="1200" w:type="dxa"/>
            <w:vAlign w:val="bottom"/>
            <w:shd w:val="clear" w:color="auto" w:fill="CCEEFF"/>
          </w:tcPr>
          <w:p>
            <w:pPr>
              <w:jc w:val="right"/>
              <w:ind w:right="1036"/>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0" w:type="dxa"/>
            <w:vAlign w:val="bottom"/>
          </w:tcPr>
          <w:p>
            <w:pPr>
              <w:spacing w:after="0"/>
              <w:rPr>
                <w:sz w:val="1"/>
                <w:szCs w:val="1"/>
                <w:color w:val="auto"/>
              </w:rPr>
            </w:pPr>
          </w:p>
        </w:tc>
      </w:tr>
      <w:tr>
        <w:trPr>
          <w:trHeight w:val="170"/>
        </w:trPr>
        <w:tc>
          <w:tcPr>
            <w:tcW w:w="822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Deferred tax liabilities</w:t>
            </w:r>
            <w:r>
              <w:rPr>
                <w:rFonts w:ascii="Arial" w:cs="Arial" w:eastAsia="Arial" w:hAnsi="Arial"/>
                <w:sz w:val="16"/>
                <w:szCs w:val="16"/>
                <w:color w:val="auto"/>
                <w:vertAlign w:val="superscript"/>
              </w:rPr>
              <w:t>(1)</w:t>
            </w:r>
          </w:p>
        </w:tc>
        <w:tc>
          <w:tcPr>
            <w:tcW w:w="1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 assets</w:t>
            </w:r>
          </w:p>
        </w:tc>
        <w:tc>
          <w:tcPr>
            <w:tcW w:w="120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235</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266</w:t>
            </w: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 xml:space="preserve"> Included in Other non-current liabilities in the statements of financial position.</w:t>
      </w:r>
    </w:p>
    <w:p>
      <w:pPr>
        <w:spacing w:after="0" w:line="6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Total unrecognized deferred tax assets as of December 31, 2023 and 2022 was $3,665 million and $3,708 million, respectively. The Company does not anticipate any significant changes to the total amounts of unrecognized deferred tax assets within the next 12 months of the reporting date. Deferred tax assets have not been recognized in respect to these items because it is not probable that future taxable profit will be available against which the Company can utilize the benefits.</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of December 31, 2023 and 2022, the Company has accumulated corporate losses in Germany of $1,119 million and $1,132 million, respectively, and trade tax losses in Germany of $830 million and $851 million, respectively. Except for a fully deductible base amount, utilization of German net operating loss carryforwards is limited to 60.0% of taxable income in any one year. German net operating losses do not expire with the passage of time, but may forfeit partially or completely as a result of legal entity restructurings.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As of December 31, 2023 and 2022, the Company has unutilized capital allowances on the property, plant and equipment held in Singapore of $440 million and $713 million, respectively, and unutilized tax losses available for carryforward of $58 million and $58 million, respectively. Under Singapore tax law, unutilized capital allowances and unutilized tax losses are deductible to the extent of income available. Unutilized capital allowances and unutilized tax losses can be carried forward indefinitely subject to compliance with the conditions that there is no substantial change in shareholders and no change in the Company’s principal activities, where applicable. As of December 31, 2023 and 2022, the Company has investment allowances of $843 million and $843 million, respectively in Singapore which can be carried forward indefinitely. These carryforward tax attributes have been fully recognized as deferred tax assets.</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As of December 31, 2023 and 2022, the Company has gross operating loss carryforwards in the United States of $5,984 million and $7,307 million, respectively; $4,434 million will expire in years 2029 through 2037. As of December 31, 2023 and 2022, the Company has $821 million and $822 million, respectively of California gross operating loss carryforwards and, in the other states in which it operates, it has gross operating loss carryforwards of $868 million and $885 million, respectively. The state carryforwards expire beginning in 2026. In addition, the Company has U.S. research and development tax credit carryforwards of $186 million and $157 million for the years December 31, 2023 and 2022, respectively, that will expire in years 2030 through 2043. The Company has California research and development tax credits of $22 million and $17 million as of December 31, 2023 and 2022, respectively, that do not expire. In addition, the Company has nonrefundable New York Empire Zone credit carryforwards of $947 million and $1,115 million as of December 31, 2023 and 2022, respectively, that do not expire. Five other states have research and development tax credits, Texas, Minnesota, Vermont, North Carolina, and New Jersey for which the Company has calculated a total credit carryforward of $10 million and $8 million for the years December 31, 2023 and 2022, respectively. These credits have a carryforward that expire between 2030 through 2043. These carryforward attributes have not been recognized as deferred tax assets.</w:t>
      </w:r>
    </w:p>
    <w:p>
      <w:pPr>
        <w:spacing w:after="0" w:line="49"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At December 31, 2023 and 2022, no deferred tax liabilities were recorded for taxes that would be payable on the undistributed earnings of the Company’s subsidiaries. It is the Company’s intention to indefinitely reinvest the undistributed earnings of its foreign subsidiaries except in certain limited cases, which are not expected to have a material tax effect. The cash that is permanently reinvested is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20" w:type="dxa"/>
            <w:vAlign w:val="bottom"/>
          </w:tcPr>
          <w:p>
            <w:pPr>
              <w:spacing w:after="0"/>
              <w:rPr>
                <w:sz w:val="20"/>
                <w:szCs w:val="20"/>
                <w:color w:val="auto"/>
              </w:rPr>
            </w:pPr>
            <w:r>
              <w:rPr>
                <w:rFonts w:ascii="Arial" w:cs="Arial" w:eastAsia="Arial" w:hAnsi="Arial"/>
                <w:sz w:val="13"/>
                <w:szCs w:val="13"/>
                <w:color w:val="auto"/>
              </w:rPr>
              <w:t>typically used to expand operations.</w:t>
            </w: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5"/>
        </w:trPr>
        <w:tc>
          <w:tcPr>
            <w:tcW w:w="8220" w:type="dxa"/>
            <w:vAlign w:val="bottom"/>
          </w:tcPr>
          <w:p>
            <w:pPr>
              <w:spacing w:after="0"/>
              <w:rPr>
                <w:sz w:val="20"/>
                <w:szCs w:val="20"/>
                <w:color w:val="auto"/>
              </w:rPr>
            </w:pPr>
            <w:r>
              <w:rPr>
                <w:rFonts w:ascii="Arial" w:cs="Arial" w:eastAsia="Arial" w:hAnsi="Arial"/>
                <w:sz w:val="13"/>
                <w:szCs w:val="13"/>
                <w:color w:val="auto"/>
              </w:rPr>
              <w:t>A reconciliation of deferred taxes, net is as follows:</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6"/>
        </w:trPr>
        <w:tc>
          <w:tcPr>
            <w:tcW w:w="8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r>
      <w:tr>
        <w:trPr>
          <w:trHeight w:val="17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2023</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r>
      <w:tr>
        <w:trPr>
          <w:trHeight w:val="150"/>
        </w:trPr>
        <w:tc>
          <w:tcPr>
            <w:tcW w:w="8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color w:val="auto"/>
              </w:rPr>
              <w:t>Beginning balance</w:t>
            </w:r>
          </w:p>
        </w:tc>
        <w:tc>
          <w:tcPr>
            <w:tcW w:w="1200" w:type="dxa"/>
            <w:vAlign w:val="bottom"/>
          </w:tcPr>
          <w:p>
            <w:pPr>
              <w:jc w:val="right"/>
              <w:ind w:right="1036"/>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266</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351</w:t>
            </w: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(expense) benefit recognized to consolidated statements of operations</w:t>
            </w: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Tax (expense) benefit recognized to other comprehensive income (loss)</w:t>
            </w:r>
          </w:p>
        </w:tc>
        <w:tc>
          <w:tcPr>
            <w:tcW w:w="1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Ending balance</w:t>
            </w:r>
          </w:p>
        </w:tc>
        <w:tc>
          <w:tcPr>
            <w:tcW w:w="120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235</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266</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2023 and 2022, the Company’s current tax receivables were $0 and $1 million, respectively, related to its subsidiaries in Europe.</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of December 31, 2023 and 2022, the Company’s current income tax payable of $19 million and $14 million is composed of $10 million, $4 million, $5 million and $2 million, $3 million, $9 million, respectively, for entities incorporated in Europe, the United States/Cayman Islands and Singapore, respectively. The current income tax payable amounts include the following uncertain tax provisions: $2 million in the United States for December 31, 2023 and $0 for December 31, 2022; $5 million and $8 million in Singapore for December 31, 2023 and 2022, respectively; $2 million and $3 million in Europe for December 31, 2023 and 2022, respectively, for exposure arising from unutilized capital allowances and domestic related party transactions. Europe had no current income taxable amounts included in uncertain tax provisions for either December 31, 2023 and 2022.</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27. Earnings Per Share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color w:val="auto"/>
        </w:rPr>
        <w:t>Basic and diluted earnings (loss) per share has been calculated for the years ended December 31, 2023, 2022, and 2021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ind w:left="20"/>
              <w:spacing w:after="0"/>
              <w:rPr>
                <w:sz w:val="20"/>
                <w:szCs w:val="20"/>
                <w:color w:val="auto"/>
              </w:rPr>
            </w:pPr>
            <w:r>
              <w:rPr>
                <w:rFonts w:ascii="Arial" w:cs="Arial" w:eastAsia="Arial" w:hAnsi="Arial"/>
                <w:sz w:val="11"/>
                <w:szCs w:val="11"/>
                <w:b w:val="1"/>
                <w:bCs w:val="1"/>
                <w:color w:val="auto"/>
              </w:rPr>
              <w:t>(in millions except per share amounts)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50"/>
        </w:trPr>
        <w:tc>
          <w:tcPr>
            <w:tcW w:w="6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attributable to equity shareholders of the Company</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1,020</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1,448</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w:t>
            </w:r>
          </w:p>
        </w:tc>
      </w:tr>
      <w:tr>
        <w:trPr>
          <w:trHeight w:val="192"/>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ordinary shares outstanding</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9"/>
        </w:trPr>
        <w:tc>
          <w:tcPr>
            <w:tcW w:w="6660" w:type="dxa"/>
            <w:vAlign w:val="bottom"/>
          </w:tcPr>
          <w:p>
            <w:pPr>
              <w:ind w:left="180"/>
              <w:spacing w:after="0"/>
              <w:rPr>
                <w:sz w:val="20"/>
                <w:szCs w:val="20"/>
                <w:color w:val="auto"/>
              </w:rPr>
            </w:pPr>
            <w:r>
              <w:rPr>
                <w:rFonts w:ascii="Arial" w:cs="Arial" w:eastAsia="Arial" w:hAnsi="Arial"/>
                <w:sz w:val="13"/>
                <w:szCs w:val="13"/>
                <w:color w:val="auto"/>
              </w:rPr>
              <w:t>Basic</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552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539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506</w:t>
            </w:r>
          </w:p>
        </w:tc>
      </w:tr>
      <w:tr>
        <w:trPr>
          <w:trHeight w:val="171"/>
        </w:trPr>
        <w:tc>
          <w:tcPr>
            <w:tcW w:w="6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Diluted</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w:t>
            </w:r>
          </w:p>
        </w:tc>
      </w:tr>
      <w:tr>
        <w:trPr>
          <w:trHeight w:val="170"/>
        </w:trPr>
        <w:tc>
          <w:tcPr>
            <w:tcW w:w="6660" w:type="dxa"/>
            <w:vAlign w:val="bottom"/>
          </w:tcPr>
          <w:p>
            <w:pPr>
              <w:ind w:left="20"/>
              <w:spacing w:after="0"/>
              <w:rPr>
                <w:sz w:val="20"/>
                <w:szCs w:val="20"/>
                <w:color w:val="auto"/>
              </w:rPr>
            </w:pPr>
            <w:r>
              <w:rPr>
                <w:rFonts w:ascii="Arial" w:cs="Arial" w:eastAsia="Arial" w:hAnsi="Arial"/>
                <w:sz w:val="13"/>
                <w:szCs w:val="13"/>
                <w:b w:val="1"/>
                <w:bCs w:val="1"/>
                <w:color w:val="auto"/>
              </w:rPr>
              <w:t>Total basic and diluted earnings per share attributable to equity shareholders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Basic</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2.69</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(0.49)</w:t>
            </w:r>
          </w:p>
        </w:tc>
      </w:tr>
      <w:tr>
        <w:trPr>
          <w:trHeight w:val="160"/>
        </w:trPr>
        <w:tc>
          <w:tcPr>
            <w:tcW w:w="6660" w:type="dxa"/>
            <w:vAlign w:val="bottom"/>
          </w:tcPr>
          <w:p>
            <w:pPr>
              <w:ind w:left="180"/>
              <w:spacing w:after="0"/>
              <w:rPr>
                <w:sz w:val="20"/>
                <w:szCs w:val="20"/>
                <w:color w:val="auto"/>
              </w:rPr>
            </w:pPr>
            <w:r>
              <w:rPr>
                <w:rFonts w:ascii="Arial" w:cs="Arial" w:eastAsia="Arial" w:hAnsi="Arial"/>
                <w:sz w:val="13"/>
                <w:szCs w:val="13"/>
                <w:color w:val="auto"/>
              </w:rPr>
              <w:t>Diluted</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1.83</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2.62</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(0.49)</w:t>
            </w:r>
          </w:p>
        </w:tc>
      </w:tr>
    </w:tbl>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the years ended December 31, 2023, 2022 and 2021, there were 1 million, 6 million and 22 million share options outstanding, respectively. Share options for the years ended December 31, 2023, 2022 and 2021 were not included in the calculation of diluted earnings per share as their inclusion would have been anti-dilutive.</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28. Employee Benefits Plans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i w:val="1"/>
          <w:iCs w:val="1"/>
          <w:color w:val="auto"/>
        </w:rPr>
        <w:t>Retirement Savings Plans</w:t>
      </w:r>
      <w:r>
        <w:rPr>
          <w:rFonts w:ascii="Arial" w:cs="Arial" w:eastAsia="Arial" w:hAnsi="Arial"/>
          <w:sz w:val="13"/>
          <w:szCs w:val="13"/>
          <w:color w:val="auto"/>
        </w:rPr>
        <w:t>—The Company has a retirement savings plan, commonly known as a 401(k) plan, which allows participating employees in the United States to contribute a portion of their</w:t>
      </w:r>
      <w:r>
        <w:rPr>
          <w:rFonts w:ascii="Arial" w:cs="Arial" w:eastAsia="Arial" w:hAnsi="Arial"/>
          <w:sz w:val="13"/>
          <w:szCs w:val="13"/>
          <w:i w:val="1"/>
          <w:iCs w:val="1"/>
          <w:color w:val="auto"/>
        </w:rPr>
        <w:t xml:space="preserve"> </w:t>
      </w:r>
      <w:r>
        <w:rPr>
          <w:rFonts w:ascii="Arial" w:cs="Arial" w:eastAsia="Arial" w:hAnsi="Arial"/>
          <w:sz w:val="13"/>
          <w:szCs w:val="13"/>
          <w:color w:val="auto"/>
        </w:rPr>
        <w:t>pre-tax salary up to Internal Revenue Service limits. The Company matches employee contributions dollar for dollar for the first 3% of participants’ contributions and 50 cents on each dollar of additional 3% of participants’ contributions, to a maximum of 4.5% of eligible compensation. The Company’s contributions to the 401(k) plan were $25 million, $32 million and $31 million for the years ended December 31, 2023, 2022 and 2021, respectively.</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also has an employee benefits plan that requires the Company to make monthly contributions based on the statutory funding requirement into a Central Provident Fund for substantially all Singapore citizens and permanent residents. The Company’s contributions under this plan were $29 million, $31 million and $29 million for the years ended December 31, 2023, 2022 and 2021,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See Note 22 for our Employee Stock Purchase Plan.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29. Related Party Disclosures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consolidated financial statements include the following subsidiaries which are all wholly owned, except for Advanced Mask Technology Centre GmbH &amp; Co. KG, Maskhouse Building Administration GmbH &amp; Co. KG, Advanced Mask Technology Center Verwaltungs GmbH, and Maskhouse Building Administration Verwaltungs GmbH:</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Subsidiary</w:t>
            </w:r>
          </w:p>
        </w:tc>
        <w:tc>
          <w:tcPr>
            <w:tcW w:w="1780" w:type="dxa"/>
            <w:vAlign w:val="bottom"/>
          </w:tcPr>
          <w:p>
            <w:pPr>
              <w:jc w:val="center"/>
              <w:spacing w:after="0"/>
              <w:rPr>
                <w:sz w:val="20"/>
                <w:szCs w:val="20"/>
                <w:color w:val="auto"/>
              </w:rPr>
            </w:pPr>
            <w:r>
              <w:rPr>
                <w:rFonts w:ascii="Arial" w:cs="Arial" w:eastAsia="Arial" w:hAnsi="Arial"/>
                <w:sz w:val="11"/>
                <w:szCs w:val="11"/>
                <w:b w:val="1"/>
                <w:bCs w:val="1"/>
                <w:color w:val="auto"/>
              </w:rPr>
              <w:t>Jurisdiction of</w:t>
            </w:r>
          </w:p>
        </w:tc>
        <w:tc>
          <w:tcPr>
            <w:tcW w:w="1360" w:type="dxa"/>
            <w:vAlign w:val="bottom"/>
            <w:vMerge w:val="restart"/>
          </w:tcPr>
          <w:p>
            <w:pPr>
              <w:jc w:val="right"/>
              <w:ind w:right="183"/>
              <w:spacing w:after="0"/>
              <w:rPr>
                <w:sz w:val="20"/>
                <w:szCs w:val="20"/>
                <w:color w:val="auto"/>
              </w:rPr>
            </w:pPr>
            <w:r>
              <w:rPr>
                <w:rFonts w:ascii="Arial" w:cs="Arial" w:eastAsia="Arial" w:hAnsi="Arial"/>
                <w:sz w:val="11"/>
                <w:szCs w:val="11"/>
                <w:b w:val="1"/>
                <w:bCs w:val="1"/>
                <w:color w:val="auto"/>
              </w:rPr>
              <w:t>December 31, 2023</w:t>
            </w:r>
          </w:p>
        </w:tc>
        <w:tc>
          <w:tcPr>
            <w:tcW w:w="1380" w:type="dxa"/>
            <w:vAlign w:val="bottom"/>
            <w:vMerge w:val="restart"/>
          </w:tcPr>
          <w:p>
            <w:pPr>
              <w:jc w:val="right"/>
              <w:ind w:right="203"/>
              <w:spacing w:after="0"/>
              <w:rPr>
                <w:sz w:val="20"/>
                <w:szCs w:val="20"/>
                <w:color w:val="auto"/>
              </w:rPr>
            </w:pPr>
            <w:r>
              <w:rPr>
                <w:rFonts w:ascii="Arial" w:cs="Arial" w:eastAsia="Arial" w:hAnsi="Arial"/>
                <w:sz w:val="11"/>
                <w:szCs w:val="11"/>
                <w:b w:val="1"/>
                <w:bCs w:val="1"/>
                <w:color w:val="auto"/>
              </w:rPr>
              <w:t>December 31, 2022</w:t>
            </w:r>
          </w:p>
        </w:tc>
        <w:tc>
          <w:tcPr>
            <w:tcW w:w="1280" w:type="dxa"/>
            <w:vAlign w:val="bottom"/>
            <w:vMerge w:val="restart"/>
          </w:tcPr>
          <w:p>
            <w:pPr>
              <w:jc w:val="right"/>
              <w:ind w:right="123"/>
              <w:spacing w:after="0"/>
              <w:rPr>
                <w:sz w:val="20"/>
                <w:szCs w:val="20"/>
                <w:color w:val="auto"/>
              </w:rPr>
            </w:pPr>
            <w:r>
              <w:rPr>
                <w:rFonts w:ascii="Arial" w:cs="Arial" w:eastAsia="Arial" w:hAnsi="Arial"/>
                <w:sz w:val="11"/>
                <w:szCs w:val="11"/>
                <w:b w:val="1"/>
                <w:bCs w:val="1"/>
                <w:color w:val="auto"/>
              </w:rPr>
              <w:t>December 31, 2021</w:t>
            </w:r>
          </w:p>
        </w:tc>
        <w:tc>
          <w:tcPr>
            <w:tcW w:w="0" w:type="dxa"/>
            <w:vAlign w:val="bottom"/>
          </w:tcPr>
          <w:p>
            <w:pPr>
              <w:spacing w:after="0"/>
              <w:rPr>
                <w:sz w:val="1"/>
                <w:szCs w:val="1"/>
                <w:color w:val="auto"/>
              </w:rPr>
            </w:pPr>
          </w:p>
        </w:tc>
      </w:tr>
      <w:tr>
        <w:trPr>
          <w:trHeight w:val="112"/>
        </w:trPr>
        <w:tc>
          <w:tcPr>
            <w:tcW w:w="5480" w:type="dxa"/>
            <w:vAlign w:val="bottom"/>
            <w:vMerge w:val="continue"/>
          </w:tcPr>
          <w:p>
            <w:pPr>
              <w:spacing w:after="0"/>
              <w:rPr>
                <w:sz w:val="9"/>
                <w:szCs w:val="9"/>
                <w:color w:val="auto"/>
              </w:rPr>
            </w:pPr>
          </w:p>
        </w:tc>
        <w:tc>
          <w:tcPr>
            <w:tcW w:w="178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rPr>
              <w:t>Incorporation or</w:t>
            </w:r>
          </w:p>
        </w:tc>
        <w:tc>
          <w:tcPr>
            <w:tcW w:w="136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4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Organization</w:t>
            </w:r>
          </w:p>
        </w:tc>
        <w:tc>
          <w:tcPr>
            <w:tcW w:w="1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Dresden Module One LLC</w:t>
            </w:r>
          </w:p>
        </w:tc>
        <w:tc>
          <w:tcPr>
            <w:tcW w:w="1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United States</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Arial" w:cs="Arial" w:eastAsia="Arial" w:hAnsi="Arial"/>
                <w:sz w:val="11"/>
                <w:szCs w:val="11"/>
                <w:color w:val="auto"/>
              </w:rPr>
              <w:t>GLOBALFOUNDRIES Dresden Module Two LLC</w:t>
            </w:r>
          </w:p>
        </w:tc>
        <w:tc>
          <w:tcPr>
            <w:tcW w:w="1780" w:type="dxa"/>
            <w:vAlign w:val="bottom"/>
          </w:tcPr>
          <w:p>
            <w:pPr>
              <w:jc w:val="right"/>
              <w:ind w:right="43"/>
              <w:spacing w:after="0"/>
              <w:rPr>
                <w:sz w:val="20"/>
                <w:szCs w:val="20"/>
                <w:color w:val="auto"/>
              </w:rPr>
            </w:pPr>
            <w:r>
              <w:rPr>
                <w:rFonts w:ascii="Arial" w:cs="Arial" w:eastAsia="Arial" w:hAnsi="Arial"/>
                <w:sz w:val="11"/>
                <w:szCs w:val="11"/>
                <w:color w:val="auto"/>
              </w:rPr>
              <w:t>United States</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Innovation LLC (formerly GLOBALFOUNDRIES Innovation Investments LLC)</w:t>
            </w:r>
          </w:p>
        </w:tc>
        <w:tc>
          <w:tcPr>
            <w:tcW w:w="1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United States</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Arial" w:cs="Arial" w:eastAsia="Arial" w:hAnsi="Arial"/>
                <w:sz w:val="11"/>
                <w:szCs w:val="11"/>
                <w:color w:val="auto"/>
              </w:rPr>
              <w:t>GLOBALFOUNDRIES Investments LLC</w:t>
            </w:r>
          </w:p>
        </w:tc>
        <w:tc>
          <w:tcPr>
            <w:tcW w:w="1780" w:type="dxa"/>
            <w:vAlign w:val="bottom"/>
          </w:tcPr>
          <w:p>
            <w:pPr>
              <w:jc w:val="right"/>
              <w:ind w:right="43"/>
              <w:spacing w:after="0"/>
              <w:rPr>
                <w:sz w:val="20"/>
                <w:szCs w:val="20"/>
                <w:color w:val="auto"/>
              </w:rPr>
            </w:pPr>
            <w:r>
              <w:rPr>
                <w:rFonts w:ascii="Arial" w:cs="Arial" w:eastAsia="Arial" w:hAnsi="Arial"/>
                <w:sz w:val="11"/>
                <w:szCs w:val="11"/>
                <w:color w:val="auto"/>
              </w:rPr>
              <w:t>United States</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U.S. Inc.</w:t>
            </w:r>
          </w:p>
        </w:tc>
        <w:tc>
          <w:tcPr>
            <w:tcW w:w="1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United States</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Arial" w:cs="Arial" w:eastAsia="Arial" w:hAnsi="Arial"/>
                <w:sz w:val="11"/>
                <w:szCs w:val="11"/>
                <w:color w:val="auto"/>
              </w:rPr>
              <w:t>GLOBALFOUNDRIES U.S. 2 LLC</w:t>
            </w:r>
          </w:p>
        </w:tc>
        <w:tc>
          <w:tcPr>
            <w:tcW w:w="1780" w:type="dxa"/>
            <w:vAlign w:val="bottom"/>
          </w:tcPr>
          <w:p>
            <w:pPr>
              <w:jc w:val="right"/>
              <w:ind w:right="43"/>
              <w:spacing w:after="0"/>
              <w:rPr>
                <w:sz w:val="20"/>
                <w:szCs w:val="20"/>
                <w:color w:val="auto"/>
              </w:rPr>
            </w:pPr>
            <w:r>
              <w:rPr>
                <w:rFonts w:ascii="Arial" w:cs="Arial" w:eastAsia="Arial" w:hAnsi="Arial"/>
                <w:sz w:val="11"/>
                <w:szCs w:val="11"/>
                <w:color w:val="auto"/>
              </w:rPr>
              <w:t>United States</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Borrower LLC</w:t>
            </w:r>
          </w:p>
        </w:tc>
        <w:tc>
          <w:tcPr>
            <w:tcW w:w="1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United States</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Arial" w:cs="Arial" w:eastAsia="Arial" w:hAnsi="Arial"/>
                <w:sz w:val="11"/>
                <w:szCs w:val="11"/>
                <w:color w:val="auto"/>
              </w:rPr>
              <w:t>Hudson Valley Research Park Sewage Works Corporation</w:t>
            </w:r>
          </w:p>
        </w:tc>
        <w:tc>
          <w:tcPr>
            <w:tcW w:w="1780" w:type="dxa"/>
            <w:vAlign w:val="bottom"/>
          </w:tcPr>
          <w:p>
            <w:pPr>
              <w:jc w:val="right"/>
              <w:ind w:right="43"/>
              <w:spacing w:after="0"/>
              <w:rPr>
                <w:sz w:val="20"/>
                <w:szCs w:val="20"/>
                <w:color w:val="auto"/>
              </w:rPr>
            </w:pPr>
            <w:r>
              <w:rPr>
                <w:rFonts w:ascii="Arial" w:cs="Arial" w:eastAsia="Arial" w:hAnsi="Arial"/>
                <w:sz w:val="11"/>
                <w:szCs w:val="11"/>
                <w:color w:val="auto"/>
              </w:rPr>
              <w:t>United States</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N/A</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Hudson Valley Research Park Water-Works Corporation</w:t>
            </w:r>
          </w:p>
        </w:tc>
        <w:tc>
          <w:tcPr>
            <w:tcW w:w="1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United States</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N/A</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Arial" w:cs="Arial" w:eastAsia="Arial" w:hAnsi="Arial"/>
                <w:sz w:val="11"/>
                <w:szCs w:val="11"/>
                <w:color w:val="auto"/>
              </w:rPr>
              <w:t>GF Power LLC</w:t>
            </w:r>
          </w:p>
        </w:tc>
        <w:tc>
          <w:tcPr>
            <w:tcW w:w="1780" w:type="dxa"/>
            <w:vAlign w:val="bottom"/>
          </w:tcPr>
          <w:p>
            <w:pPr>
              <w:jc w:val="right"/>
              <w:ind w:right="43"/>
              <w:spacing w:after="0"/>
              <w:rPr>
                <w:sz w:val="20"/>
                <w:szCs w:val="20"/>
                <w:color w:val="auto"/>
              </w:rPr>
            </w:pPr>
            <w:r>
              <w:rPr>
                <w:rFonts w:ascii="Arial" w:cs="Arial" w:eastAsia="Arial" w:hAnsi="Arial"/>
                <w:sz w:val="11"/>
                <w:szCs w:val="11"/>
                <w:color w:val="auto"/>
              </w:rPr>
              <w:t>United States</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Finance Inc.</w:t>
            </w:r>
          </w:p>
        </w:tc>
        <w:tc>
          <w:tcPr>
            <w:tcW w:w="1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Cayman Islands</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Arial" w:cs="Arial" w:eastAsia="Arial" w:hAnsi="Arial"/>
                <w:sz w:val="11"/>
                <w:szCs w:val="11"/>
                <w:color w:val="auto"/>
              </w:rPr>
              <w:t>GLOBALFOUNDRIES France SAS</w:t>
            </w:r>
          </w:p>
        </w:tc>
        <w:tc>
          <w:tcPr>
            <w:tcW w:w="1780" w:type="dxa"/>
            <w:vAlign w:val="bottom"/>
          </w:tcPr>
          <w:p>
            <w:pPr>
              <w:jc w:val="right"/>
              <w:ind w:right="43"/>
              <w:spacing w:after="0"/>
              <w:rPr>
                <w:sz w:val="20"/>
                <w:szCs w:val="20"/>
                <w:color w:val="auto"/>
              </w:rPr>
            </w:pPr>
            <w:r>
              <w:rPr>
                <w:rFonts w:ascii="Arial" w:cs="Arial" w:eastAsia="Arial" w:hAnsi="Arial"/>
                <w:sz w:val="11"/>
                <w:szCs w:val="11"/>
                <w:color w:val="auto"/>
              </w:rPr>
              <w:t>France</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Dresden Module One Holding GmbH</w:t>
            </w:r>
          </w:p>
        </w:tc>
        <w:tc>
          <w:tcPr>
            <w:tcW w:w="1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Germany</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Arial" w:cs="Arial" w:eastAsia="Arial" w:hAnsi="Arial"/>
                <w:sz w:val="11"/>
                <w:szCs w:val="11"/>
                <w:color w:val="auto"/>
              </w:rPr>
              <w:t>GLOBALFOUNDRIES Dresden Module One LLC &amp; Co. KG</w:t>
            </w:r>
          </w:p>
        </w:tc>
        <w:tc>
          <w:tcPr>
            <w:tcW w:w="1780" w:type="dxa"/>
            <w:vAlign w:val="bottom"/>
          </w:tcPr>
          <w:p>
            <w:pPr>
              <w:jc w:val="right"/>
              <w:ind w:right="43"/>
              <w:spacing w:after="0"/>
              <w:rPr>
                <w:sz w:val="20"/>
                <w:szCs w:val="20"/>
                <w:color w:val="auto"/>
              </w:rPr>
            </w:pPr>
            <w:r>
              <w:rPr>
                <w:rFonts w:ascii="Arial" w:cs="Arial" w:eastAsia="Arial" w:hAnsi="Arial"/>
                <w:sz w:val="11"/>
                <w:szCs w:val="11"/>
                <w:color w:val="auto"/>
              </w:rPr>
              <w:t>Germany</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Dresden Module Two LLC &amp; Co. KG</w:t>
            </w:r>
          </w:p>
        </w:tc>
        <w:tc>
          <w:tcPr>
            <w:tcW w:w="1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Germany</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Arial" w:cs="Arial" w:eastAsia="Arial" w:hAnsi="Arial"/>
                <w:sz w:val="11"/>
                <w:szCs w:val="11"/>
                <w:color w:val="auto"/>
              </w:rPr>
              <w:t>GLOBALFOUNDRIES Dresden Module Two Holding GmbH</w:t>
            </w:r>
          </w:p>
        </w:tc>
        <w:tc>
          <w:tcPr>
            <w:tcW w:w="1780" w:type="dxa"/>
            <w:vAlign w:val="bottom"/>
          </w:tcPr>
          <w:p>
            <w:pPr>
              <w:jc w:val="right"/>
              <w:ind w:right="43"/>
              <w:spacing w:after="0"/>
              <w:rPr>
                <w:sz w:val="20"/>
                <w:szCs w:val="20"/>
                <w:color w:val="auto"/>
              </w:rPr>
            </w:pPr>
            <w:r>
              <w:rPr>
                <w:rFonts w:ascii="Arial" w:cs="Arial" w:eastAsia="Arial" w:hAnsi="Arial"/>
                <w:sz w:val="11"/>
                <w:szCs w:val="11"/>
                <w:color w:val="auto"/>
              </w:rPr>
              <w:t>Germany</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Management Services LLC &amp; Co. KG</w:t>
            </w:r>
          </w:p>
        </w:tc>
        <w:tc>
          <w:tcPr>
            <w:tcW w:w="1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Germany</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Arial" w:cs="Arial" w:eastAsia="Arial" w:hAnsi="Arial"/>
                <w:sz w:val="11"/>
                <w:szCs w:val="11"/>
                <w:color w:val="auto"/>
              </w:rPr>
              <w:t>Advanced Mask Technology Center GmbH &amp; Co. KG (50%)</w:t>
            </w:r>
          </w:p>
        </w:tc>
        <w:tc>
          <w:tcPr>
            <w:tcW w:w="1780" w:type="dxa"/>
            <w:vAlign w:val="bottom"/>
          </w:tcPr>
          <w:p>
            <w:pPr>
              <w:jc w:val="right"/>
              <w:ind w:right="43"/>
              <w:spacing w:after="0"/>
              <w:rPr>
                <w:sz w:val="20"/>
                <w:szCs w:val="20"/>
                <w:color w:val="auto"/>
              </w:rPr>
            </w:pPr>
            <w:r>
              <w:rPr>
                <w:rFonts w:ascii="Arial" w:cs="Arial" w:eastAsia="Arial" w:hAnsi="Arial"/>
                <w:sz w:val="11"/>
                <w:szCs w:val="11"/>
                <w:color w:val="auto"/>
              </w:rPr>
              <w:t>Germany</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Maskhouse Building Administration GmbH &amp; Co. KG (50%)</w:t>
            </w:r>
          </w:p>
        </w:tc>
        <w:tc>
          <w:tcPr>
            <w:tcW w:w="1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Germany</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Arial" w:cs="Arial" w:eastAsia="Arial" w:hAnsi="Arial"/>
                <w:sz w:val="11"/>
                <w:szCs w:val="11"/>
                <w:color w:val="auto"/>
              </w:rPr>
              <w:t>Advanced Mask Technology Center Verwaltungs GmbH (50%)</w:t>
            </w:r>
          </w:p>
        </w:tc>
        <w:tc>
          <w:tcPr>
            <w:tcW w:w="1780" w:type="dxa"/>
            <w:vAlign w:val="bottom"/>
          </w:tcPr>
          <w:p>
            <w:pPr>
              <w:jc w:val="right"/>
              <w:ind w:right="43"/>
              <w:spacing w:after="0"/>
              <w:rPr>
                <w:sz w:val="20"/>
                <w:szCs w:val="20"/>
                <w:color w:val="auto"/>
              </w:rPr>
            </w:pPr>
            <w:r>
              <w:rPr>
                <w:rFonts w:ascii="Arial" w:cs="Arial" w:eastAsia="Arial" w:hAnsi="Arial"/>
                <w:sz w:val="11"/>
                <w:szCs w:val="11"/>
                <w:color w:val="auto"/>
              </w:rPr>
              <w:t>Germany</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Maskhouse Building Administration Verwaltungs GmbH (50%)</w:t>
            </w:r>
          </w:p>
        </w:tc>
        <w:tc>
          <w:tcPr>
            <w:tcW w:w="1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Germany</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Arial" w:cs="Arial" w:eastAsia="Arial" w:hAnsi="Arial"/>
                <w:sz w:val="11"/>
                <w:szCs w:val="11"/>
                <w:color w:val="auto"/>
              </w:rPr>
              <w:t>GLOBALFOUNDRIES Europe Sales &amp; Support GmbH</w:t>
            </w:r>
          </w:p>
        </w:tc>
        <w:tc>
          <w:tcPr>
            <w:tcW w:w="1780" w:type="dxa"/>
            <w:vAlign w:val="bottom"/>
          </w:tcPr>
          <w:p>
            <w:pPr>
              <w:jc w:val="right"/>
              <w:ind w:right="43"/>
              <w:spacing w:after="0"/>
              <w:rPr>
                <w:sz w:val="20"/>
                <w:szCs w:val="20"/>
                <w:color w:val="auto"/>
              </w:rPr>
            </w:pPr>
            <w:r>
              <w:rPr>
                <w:rFonts w:ascii="Arial" w:cs="Arial" w:eastAsia="Arial" w:hAnsi="Arial"/>
                <w:sz w:val="11"/>
                <w:szCs w:val="11"/>
                <w:color w:val="auto"/>
              </w:rPr>
              <w:t>Germany</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Engineering Private Limited</w:t>
            </w:r>
          </w:p>
        </w:tc>
        <w:tc>
          <w:tcPr>
            <w:tcW w:w="1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India</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Arial" w:cs="Arial" w:eastAsia="Arial" w:hAnsi="Arial"/>
                <w:sz w:val="11"/>
                <w:szCs w:val="11"/>
                <w:color w:val="auto"/>
              </w:rPr>
              <w:t>GLOBALFOUNDRIES Japan Ltd.</w:t>
            </w:r>
          </w:p>
        </w:tc>
        <w:tc>
          <w:tcPr>
            <w:tcW w:w="1780" w:type="dxa"/>
            <w:vAlign w:val="bottom"/>
          </w:tcPr>
          <w:p>
            <w:pPr>
              <w:jc w:val="right"/>
              <w:ind w:right="43"/>
              <w:spacing w:after="0"/>
              <w:rPr>
                <w:sz w:val="20"/>
                <w:szCs w:val="20"/>
                <w:color w:val="auto"/>
              </w:rPr>
            </w:pPr>
            <w:r>
              <w:rPr>
                <w:rFonts w:ascii="Arial" w:cs="Arial" w:eastAsia="Arial" w:hAnsi="Arial"/>
                <w:sz w:val="11"/>
                <w:szCs w:val="11"/>
                <w:color w:val="auto"/>
              </w:rPr>
              <w:t>Japan</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Malaysia Sdn. Bhd.</w:t>
            </w:r>
          </w:p>
        </w:tc>
        <w:tc>
          <w:tcPr>
            <w:tcW w:w="1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Malaysia</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Arial" w:cs="Arial" w:eastAsia="Arial" w:hAnsi="Arial"/>
                <w:sz w:val="11"/>
                <w:szCs w:val="11"/>
                <w:color w:val="auto"/>
              </w:rPr>
              <w:t>GLOBALFOUNDRIES Netherlands Cooperatief U.A.</w:t>
            </w:r>
          </w:p>
        </w:tc>
        <w:tc>
          <w:tcPr>
            <w:tcW w:w="1780" w:type="dxa"/>
            <w:vAlign w:val="bottom"/>
          </w:tcPr>
          <w:p>
            <w:pPr>
              <w:jc w:val="right"/>
              <w:ind w:right="43"/>
              <w:spacing w:after="0"/>
              <w:rPr>
                <w:sz w:val="20"/>
                <w:szCs w:val="20"/>
                <w:color w:val="auto"/>
              </w:rPr>
            </w:pPr>
            <w:r>
              <w:rPr>
                <w:rFonts w:ascii="Arial" w:cs="Arial" w:eastAsia="Arial" w:hAnsi="Arial"/>
                <w:sz w:val="11"/>
                <w:szCs w:val="11"/>
                <w:color w:val="auto"/>
              </w:rPr>
              <w:t>The Netherlands</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Netherlands Holding B.V.</w:t>
            </w:r>
          </w:p>
        </w:tc>
        <w:tc>
          <w:tcPr>
            <w:tcW w:w="1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The Netherlands</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Arial" w:cs="Arial" w:eastAsia="Arial" w:hAnsi="Arial"/>
                <w:sz w:val="11"/>
                <w:szCs w:val="11"/>
                <w:color w:val="auto"/>
              </w:rPr>
              <w:t>GLOBALFOUNDRIES Bulgaria EAD</w:t>
            </w:r>
          </w:p>
        </w:tc>
        <w:tc>
          <w:tcPr>
            <w:tcW w:w="1780" w:type="dxa"/>
            <w:vAlign w:val="bottom"/>
          </w:tcPr>
          <w:p>
            <w:pPr>
              <w:jc w:val="right"/>
              <w:ind w:right="43"/>
              <w:spacing w:after="0"/>
              <w:rPr>
                <w:sz w:val="20"/>
                <w:szCs w:val="20"/>
                <w:color w:val="auto"/>
              </w:rPr>
            </w:pPr>
            <w:r>
              <w:rPr>
                <w:rFonts w:ascii="Arial" w:cs="Arial" w:eastAsia="Arial" w:hAnsi="Arial"/>
                <w:sz w:val="11"/>
                <w:szCs w:val="11"/>
                <w:color w:val="auto"/>
              </w:rPr>
              <w:t>Bulgaria</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GF Asia Investments Pte. Ltd.</w:t>
            </w:r>
          </w:p>
        </w:tc>
        <w:tc>
          <w:tcPr>
            <w:tcW w:w="1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Singapore</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Arial" w:cs="Arial" w:eastAsia="Arial" w:hAnsi="Arial"/>
                <w:sz w:val="11"/>
                <w:szCs w:val="11"/>
                <w:color w:val="auto"/>
              </w:rPr>
              <w:t>GF Asia Sales Pte. Ltd.</w:t>
            </w:r>
          </w:p>
        </w:tc>
        <w:tc>
          <w:tcPr>
            <w:tcW w:w="1780" w:type="dxa"/>
            <w:vAlign w:val="bottom"/>
          </w:tcPr>
          <w:p>
            <w:pPr>
              <w:jc w:val="right"/>
              <w:ind w:right="43"/>
              <w:spacing w:after="0"/>
              <w:rPr>
                <w:sz w:val="20"/>
                <w:szCs w:val="20"/>
                <w:color w:val="auto"/>
              </w:rPr>
            </w:pPr>
            <w:r>
              <w:rPr>
                <w:rFonts w:ascii="Arial" w:cs="Arial" w:eastAsia="Arial" w:hAnsi="Arial"/>
                <w:sz w:val="11"/>
                <w:szCs w:val="11"/>
                <w:color w:val="auto"/>
              </w:rPr>
              <w:t>Singapore</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Singapore Pte. Ltd.</w:t>
            </w:r>
          </w:p>
        </w:tc>
        <w:tc>
          <w:tcPr>
            <w:tcW w:w="1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Singapore</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Arial" w:cs="Arial" w:eastAsia="Arial" w:hAnsi="Arial"/>
                <w:sz w:val="11"/>
                <w:szCs w:val="11"/>
                <w:color w:val="auto"/>
              </w:rPr>
              <w:t>GLOBALFOUNDRIES Taiwan Ltd.</w:t>
            </w:r>
          </w:p>
        </w:tc>
        <w:tc>
          <w:tcPr>
            <w:tcW w:w="1780" w:type="dxa"/>
            <w:vAlign w:val="bottom"/>
          </w:tcPr>
          <w:p>
            <w:pPr>
              <w:jc w:val="right"/>
              <w:ind w:right="43"/>
              <w:spacing w:after="0"/>
              <w:rPr>
                <w:sz w:val="20"/>
                <w:szCs w:val="20"/>
                <w:color w:val="auto"/>
              </w:rPr>
            </w:pPr>
            <w:r>
              <w:rPr>
                <w:rFonts w:ascii="Arial" w:cs="Arial" w:eastAsia="Arial" w:hAnsi="Arial"/>
                <w:sz w:val="11"/>
                <w:szCs w:val="11"/>
                <w:color w:val="auto"/>
              </w:rPr>
              <w:t>Taiwan</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Europe Ltd.</w:t>
            </w:r>
          </w:p>
        </w:tc>
        <w:tc>
          <w:tcPr>
            <w:tcW w:w="1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United Kingdom</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Arial" w:cs="Arial" w:eastAsia="Arial" w:hAnsi="Arial"/>
                <w:sz w:val="11"/>
                <w:szCs w:val="11"/>
                <w:color w:val="auto"/>
              </w:rPr>
              <w:t>GA (Chengdu) Technology Co., Limited</w:t>
            </w:r>
          </w:p>
        </w:tc>
        <w:tc>
          <w:tcPr>
            <w:tcW w:w="1780" w:type="dxa"/>
            <w:vAlign w:val="bottom"/>
          </w:tcPr>
          <w:p>
            <w:pPr>
              <w:jc w:val="right"/>
              <w:ind w:right="43"/>
              <w:spacing w:after="0"/>
              <w:rPr>
                <w:sz w:val="20"/>
                <w:szCs w:val="20"/>
                <w:color w:val="auto"/>
              </w:rPr>
            </w:pPr>
            <w:r>
              <w:rPr>
                <w:rFonts w:ascii="Arial" w:cs="Arial" w:eastAsia="Arial" w:hAnsi="Arial"/>
                <w:sz w:val="11"/>
                <w:szCs w:val="11"/>
                <w:color w:val="auto"/>
              </w:rPr>
              <w:t>China</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China (Beijing) Co., Limited</w:t>
            </w:r>
          </w:p>
        </w:tc>
        <w:tc>
          <w:tcPr>
            <w:tcW w:w="1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China</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Arial" w:cs="Arial" w:eastAsia="Arial" w:hAnsi="Arial"/>
                <w:sz w:val="11"/>
                <w:szCs w:val="11"/>
                <w:color w:val="auto"/>
              </w:rPr>
              <w:t>GLOBALFOUNDRIES China (Shanghai) Co., Limited</w:t>
            </w:r>
          </w:p>
        </w:tc>
        <w:tc>
          <w:tcPr>
            <w:tcW w:w="1780" w:type="dxa"/>
            <w:vAlign w:val="bottom"/>
          </w:tcPr>
          <w:p>
            <w:pPr>
              <w:jc w:val="right"/>
              <w:ind w:right="43"/>
              <w:spacing w:after="0"/>
              <w:rPr>
                <w:sz w:val="20"/>
                <w:szCs w:val="20"/>
                <w:color w:val="auto"/>
              </w:rPr>
            </w:pPr>
            <w:r>
              <w:rPr>
                <w:rFonts w:ascii="Arial" w:cs="Arial" w:eastAsia="Arial" w:hAnsi="Arial"/>
                <w:sz w:val="11"/>
                <w:szCs w:val="11"/>
                <w:color w:val="auto"/>
              </w:rPr>
              <w:t>China</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Nanjing APD Technologies Co. Ltd.</w:t>
            </w:r>
          </w:p>
        </w:tc>
        <w:tc>
          <w:tcPr>
            <w:tcW w:w="1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China</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N/A</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N/A</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Related parties represent associated companies, the shareholder, directors and key management personnel of the Company and entities controlled, or significantly influenced by such parties. Pricing policies and terms of these transactions are approved by the Audit Committee or the Company’s management, as applicable.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40" w:type="dxa"/>
            <w:vAlign w:val="bottom"/>
          </w:tcPr>
          <w:p>
            <w:pPr>
              <w:spacing w:after="0"/>
              <w:rPr>
                <w:sz w:val="20"/>
                <w:szCs w:val="20"/>
                <w:color w:val="auto"/>
              </w:rPr>
            </w:pPr>
            <w:r>
              <w:rPr>
                <w:rFonts w:ascii="Arial" w:cs="Arial" w:eastAsia="Arial" w:hAnsi="Arial"/>
                <w:sz w:val="13"/>
                <w:szCs w:val="13"/>
                <w:color w:val="auto"/>
              </w:rPr>
              <w:t>Below are the related parties which the Company has entered into transactions with:</w:t>
            </w: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25"/>
        </w:trPr>
        <w:tc>
          <w:tcPr>
            <w:tcW w:w="7540" w:type="dxa"/>
            <w:vAlign w:val="bottom"/>
          </w:tcPr>
          <w:p>
            <w:pPr>
              <w:spacing w:after="0"/>
              <w:rPr>
                <w:sz w:val="19"/>
                <w:szCs w:val="19"/>
                <w:color w:val="auto"/>
              </w:rPr>
            </w:pPr>
          </w:p>
        </w:tc>
        <w:tc>
          <w:tcPr>
            <w:tcW w:w="1880" w:type="dxa"/>
            <w:vAlign w:val="bottom"/>
            <w:gridSpan w:val="2"/>
          </w:tcPr>
          <w:p>
            <w:pPr>
              <w:ind w:left="500"/>
              <w:spacing w:after="0"/>
              <w:rPr>
                <w:sz w:val="20"/>
                <w:szCs w:val="20"/>
                <w:color w:val="auto"/>
              </w:rPr>
            </w:pPr>
            <w:r>
              <w:rPr>
                <w:rFonts w:ascii="Arial" w:cs="Arial" w:eastAsia="Arial" w:hAnsi="Arial"/>
                <w:sz w:val="13"/>
                <w:szCs w:val="13"/>
                <w:b w:val="1"/>
                <w:bCs w:val="1"/>
                <w:color w:val="auto"/>
              </w:rPr>
              <w:t>December 31,</w:t>
            </w:r>
          </w:p>
        </w:tc>
        <w:tc>
          <w:tcPr>
            <w:tcW w:w="1860" w:type="dxa"/>
            <w:vAlign w:val="bottom"/>
          </w:tcPr>
          <w:p>
            <w:pPr>
              <w:jc w:val="right"/>
              <w:ind w:right="456"/>
              <w:spacing w:after="0"/>
              <w:rPr>
                <w:sz w:val="20"/>
                <w:szCs w:val="20"/>
                <w:color w:val="auto"/>
              </w:rPr>
            </w:pPr>
            <w:r>
              <w:rPr>
                <w:rFonts w:ascii="Arial" w:cs="Arial" w:eastAsia="Arial" w:hAnsi="Arial"/>
                <w:sz w:val="13"/>
                <w:szCs w:val="13"/>
                <w:b w:val="1"/>
                <w:bCs w:val="1"/>
                <w:color w:val="auto"/>
              </w:rPr>
              <w:t>December 31,</w:t>
            </w:r>
          </w:p>
        </w:tc>
      </w:tr>
      <w:tr>
        <w:trPr>
          <w:trHeight w:val="171"/>
        </w:trPr>
        <w:tc>
          <w:tcPr>
            <w:tcW w:w="754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2022</w:t>
            </w:r>
          </w:p>
        </w:tc>
      </w:tr>
      <w:tr>
        <w:trPr>
          <w:trHeight w:val="159"/>
        </w:trPr>
        <w:tc>
          <w:tcPr>
            <w:tcW w:w="75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Related Party Name</w:t>
            </w: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r>
      <w:tr>
        <w:trPr>
          <w:trHeight w:val="169"/>
        </w:trPr>
        <w:tc>
          <w:tcPr>
            <w:tcW w:w="7540" w:type="dxa"/>
            <w:vAlign w:val="bottom"/>
          </w:tcPr>
          <w:p>
            <w:pPr>
              <w:ind w:left="20"/>
              <w:spacing w:after="0"/>
              <w:rPr>
                <w:sz w:val="20"/>
                <w:szCs w:val="20"/>
                <w:color w:val="auto"/>
              </w:rPr>
            </w:pPr>
            <w:r>
              <w:rPr>
                <w:rFonts w:ascii="Arial" w:cs="Arial" w:eastAsia="Arial" w:hAnsi="Arial"/>
                <w:sz w:val="13"/>
                <w:szCs w:val="13"/>
                <w:color w:val="auto"/>
              </w:rPr>
              <w:t>SMP</w:t>
            </w:r>
          </w:p>
        </w:tc>
        <w:tc>
          <w:tcPr>
            <w:tcW w:w="1880" w:type="dxa"/>
            <w:vAlign w:val="bottom"/>
            <w:gridSpan w:val="2"/>
          </w:tcPr>
          <w:p>
            <w:pPr>
              <w:jc w:val="right"/>
              <w:ind w:right="100"/>
              <w:spacing w:after="0"/>
              <w:rPr>
                <w:sz w:val="20"/>
                <w:szCs w:val="20"/>
                <w:color w:val="auto"/>
              </w:rPr>
            </w:pPr>
            <w:r>
              <w:rPr>
                <w:rFonts w:ascii="Arial" w:cs="Arial" w:eastAsia="Arial" w:hAnsi="Arial"/>
                <w:sz w:val="13"/>
                <w:szCs w:val="13"/>
                <w:color w:val="auto"/>
              </w:rPr>
              <w:t>Joint venture</w:t>
            </w:r>
          </w:p>
        </w:tc>
        <w:tc>
          <w:tcPr>
            <w:tcW w:w="1860" w:type="dxa"/>
            <w:vAlign w:val="bottom"/>
          </w:tcPr>
          <w:p>
            <w:pPr>
              <w:jc w:val="right"/>
              <w:spacing w:after="0"/>
              <w:rPr>
                <w:sz w:val="20"/>
                <w:szCs w:val="20"/>
                <w:color w:val="auto"/>
              </w:rPr>
            </w:pPr>
            <w:r>
              <w:rPr>
                <w:rFonts w:ascii="Arial" w:cs="Arial" w:eastAsia="Arial" w:hAnsi="Arial"/>
                <w:sz w:val="13"/>
                <w:szCs w:val="13"/>
                <w:color w:val="auto"/>
              </w:rPr>
              <w:t>Joint venture</w:t>
            </w:r>
          </w:p>
        </w:tc>
      </w:tr>
      <w:tr>
        <w:trPr>
          <w:trHeight w:val="171"/>
        </w:trPr>
        <w:tc>
          <w:tcPr>
            <w:tcW w:w="7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Mubadala Investment Company PJSC</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Shareholder entity</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Shareholder entity</w:t>
            </w:r>
          </w:p>
        </w:tc>
      </w:tr>
      <w:tr>
        <w:trPr>
          <w:trHeight w:val="275"/>
        </w:trPr>
        <w:tc>
          <w:tcPr>
            <w:tcW w:w="7540" w:type="dxa"/>
            <w:vAlign w:val="bottom"/>
          </w:tcPr>
          <w:p>
            <w:pPr>
              <w:ind w:left="20"/>
              <w:spacing w:after="0"/>
              <w:rPr>
                <w:sz w:val="20"/>
                <w:szCs w:val="20"/>
                <w:color w:val="auto"/>
              </w:rPr>
            </w:pPr>
            <w:r>
              <w:rPr>
                <w:rFonts w:ascii="Arial" w:cs="Arial" w:eastAsia="Arial" w:hAnsi="Arial"/>
                <w:sz w:val="13"/>
                <w:szCs w:val="13"/>
                <w:color w:val="auto"/>
              </w:rPr>
              <w:t>Mubadala Technology Investment Company</w:t>
            </w:r>
          </w:p>
        </w:tc>
        <w:tc>
          <w:tcPr>
            <w:tcW w:w="1880" w:type="dxa"/>
            <w:vAlign w:val="bottom"/>
            <w:gridSpan w:val="2"/>
          </w:tcPr>
          <w:p>
            <w:pPr>
              <w:jc w:val="right"/>
              <w:ind w:right="100"/>
              <w:spacing w:after="0"/>
              <w:rPr>
                <w:sz w:val="20"/>
                <w:szCs w:val="20"/>
                <w:color w:val="auto"/>
              </w:rPr>
            </w:pPr>
            <w:r>
              <w:rPr>
                <w:rFonts w:ascii="Arial" w:cs="Arial" w:eastAsia="Arial" w:hAnsi="Arial"/>
                <w:sz w:val="13"/>
                <w:szCs w:val="13"/>
                <w:color w:val="auto"/>
              </w:rPr>
              <w:t>Shareholder entity</w:t>
            </w:r>
          </w:p>
        </w:tc>
        <w:tc>
          <w:tcPr>
            <w:tcW w:w="1860" w:type="dxa"/>
            <w:vAlign w:val="bottom"/>
          </w:tcPr>
          <w:p>
            <w:pPr>
              <w:jc w:val="right"/>
              <w:spacing w:after="0"/>
              <w:rPr>
                <w:sz w:val="20"/>
                <w:szCs w:val="20"/>
                <w:color w:val="auto"/>
              </w:rPr>
            </w:pPr>
            <w:r>
              <w:rPr>
                <w:rFonts w:ascii="Arial" w:cs="Arial" w:eastAsia="Arial" w:hAnsi="Arial"/>
                <w:sz w:val="13"/>
                <w:szCs w:val="13"/>
                <w:color w:val="auto"/>
              </w:rPr>
              <w:t>Shareholder entity</w:t>
            </w:r>
          </w:p>
        </w:tc>
      </w:tr>
      <w:tr>
        <w:trPr>
          <w:trHeight w:val="277"/>
        </w:trPr>
        <w:tc>
          <w:tcPr>
            <w:tcW w:w="7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MDC General Services Holding Company L.L.C</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Shareholder entity</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Shareholder entity</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Balances with related parties included in the consolidated statements of financial positions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896"/>
              <w:spacing w:after="0"/>
              <w:rPr>
                <w:sz w:val="20"/>
                <w:szCs w:val="20"/>
                <w:color w:val="auto"/>
              </w:rPr>
            </w:pPr>
            <w:r>
              <w:rPr>
                <w:rFonts w:ascii="Arial" w:cs="Arial" w:eastAsia="Arial" w:hAnsi="Arial"/>
                <w:sz w:val="13"/>
                <w:szCs w:val="13"/>
                <w:b w:val="1"/>
                <w:bCs w:val="1"/>
                <w:color w:val="auto"/>
              </w:rPr>
              <w:t>December 31, 2023</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896"/>
              <w:spacing w:after="0"/>
              <w:rPr>
                <w:sz w:val="20"/>
                <w:szCs w:val="20"/>
                <w:color w:val="auto"/>
              </w:rPr>
            </w:pPr>
            <w:r>
              <w:rPr>
                <w:rFonts w:ascii="Arial" w:cs="Arial" w:eastAsia="Arial" w:hAnsi="Arial"/>
                <w:sz w:val="13"/>
                <w:szCs w:val="13"/>
                <w:b w:val="1"/>
                <w:bCs w:val="1"/>
                <w:color w:val="auto"/>
              </w:rPr>
              <w:t>December 31, 2022</w:t>
            </w:r>
          </w:p>
        </w:tc>
      </w:tr>
      <w:tr>
        <w:trPr>
          <w:trHeight w:val="118"/>
        </w:trPr>
        <w:tc>
          <w:tcPr>
            <w:tcW w:w="5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gridSpan w:val="2"/>
          </w:tcPr>
          <w:p>
            <w:pPr>
              <w:jc w:val="center"/>
              <w:ind w:right="360"/>
              <w:spacing w:after="0" w:line="118" w:lineRule="exact"/>
              <w:rPr>
                <w:sz w:val="20"/>
                <w:szCs w:val="20"/>
                <w:color w:val="auto"/>
              </w:rPr>
            </w:pPr>
            <w:r>
              <w:rPr>
                <w:rFonts w:ascii="Arial" w:cs="Arial" w:eastAsia="Arial" w:hAnsi="Arial"/>
                <w:sz w:val="13"/>
                <w:szCs w:val="13"/>
                <w:b w:val="1"/>
                <w:bCs w:val="1"/>
                <w:color w:val="auto"/>
                <w:w w:val="94"/>
              </w:rPr>
              <w:t>Due from</w:t>
            </w:r>
          </w:p>
        </w:tc>
        <w:tc>
          <w:tcPr>
            <w:tcW w:w="300" w:type="dxa"/>
            <w:vAlign w:val="bottom"/>
          </w:tcPr>
          <w:p>
            <w:pPr>
              <w:spacing w:after="0"/>
              <w:rPr>
                <w:sz w:val="10"/>
                <w:szCs w:val="10"/>
                <w:color w:val="auto"/>
              </w:rPr>
            </w:pPr>
          </w:p>
        </w:tc>
        <w:tc>
          <w:tcPr>
            <w:tcW w:w="1260" w:type="dxa"/>
            <w:vAlign w:val="bottom"/>
            <w:gridSpan w:val="2"/>
          </w:tcPr>
          <w:p>
            <w:pPr>
              <w:jc w:val="center"/>
              <w:ind w:right="380"/>
              <w:spacing w:after="0" w:line="118" w:lineRule="exact"/>
              <w:rPr>
                <w:sz w:val="20"/>
                <w:szCs w:val="20"/>
                <w:color w:val="auto"/>
              </w:rPr>
            </w:pPr>
            <w:r>
              <w:rPr>
                <w:rFonts w:ascii="Arial" w:cs="Arial" w:eastAsia="Arial" w:hAnsi="Arial"/>
                <w:sz w:val="13"/>
                <w:szCs w:val="13"/>
                <w:b w:val="1"/>
                <w:bCs w:val="1"/>
                <w:color w:val="auto"/>
                <w:w w:val="98"/>
              </w:rPr>
              <w:t>Due to</w:t>
            </w:r>
          </w:p>
        </w:tc>
        <w:tc>
          <w:tcPr>
            <w:tcW w:w="280" w:type="dxa"/>
            <w:vAlign w:val="bottom"/>
          </w:tcPr>
          <w:p>
            <w:pPr>
              <w:spacing w:after="0"/>
              <w:rPr>
                <w:sz w:val="10"/>
                <w:szCs w:val="10"/>
                <w:color w:val="auto"/>
              </w:rPr>
            </w:pPr>
          </w:p>
        </w:tc>
        <w:tc>
          <w:tcPr>
            <w:tcW w:w="1300" w:type="dxa"/>
            <w:vAlign w:val="bottom"/>
            <w:gridSpan w:val="2"/>
          </w:tcPr>
          <w:p>
            <w:pPr>
              <w:jc w:val="center"/>
              <w:ind w:right="360"/>
              <w:spacing w:after="0" w:line="118" w:lineRule="exact"/>
              <w:rPr>
                <w:sz w:val="20"/>
                <w:szCs w:val="20"/>
                <w:color w:val="auto"/>
              </w:rPr>
            </w:pPr>
            <w:r>
              <w:rPr>
                <w:rFonts w:ascii="Arial" w:cs="Arial" w:eastAsia="Arial" w:hAnsi="Arial"/>
                <w:sz w:val="13"/>
                <w:szCs w:val="13"/>
                <w:b w:val="1"/>
                <w:bCs w:val="1"/>
                <w:color w:val="auto"/>
                <w:w w:val="94"/>
              </w:rPr>
              <w:t>Due from</w:t>
            </w:r>
          </w:p>
        </w:tc>
        <w:tc>
          <w:tcPr>
            <w:tcW w:w="300" w:type="dxa"/>
            <w:vAlign w:val="bottom"/>
          </w:tcPr>
          <w:p>
            <w:pPr>
              <w:spacing w:after="0"/>
              <w:rPr>
                <w:sz w:val="10"/>
                <w:szCs w:val="10"/>
                <w:color w:val="auto"/>
              </w:rPr>
            </w:pPr>
          </w:p>
        </w:tc>
        <w:tc>
          <w:tcPr>
            <w:tcW w:w="1180" w:type="dxa"/>
            <w:vAlign w:val="bottom"/>
          </w:tcPr>
          <w:p>
            <w:pPr>
              <w:jc w:val="center"/>
              <w:ind w:right="236"/>
              <w:spacing w:after="0" w:line="118" w:lineRule="exact"/>
              <w:rPr>
                <w:sz w:val="20"/>
                <w:szCs w:val="20"/>
                <w:color w:val="auto"/>
              </w:rPr>
            </w:pPr>
            <w:r>
              <w:rPr>
                <w:rFonts w:ascii="Arial" w:cs="Arial" w:eastAsia="Arial" w:hAnsi="Arial"/>
                <w:sz w:val="13"/>
                <w:szCs w:val="13"/>
                <w:b w:val="1"/>
                <w:bCs w:val="1"/>
                <w:color w:val="auto"/>
                <w:w w:val="98"/>
              </w:rPr>
              <w:t>Due to</w:t>
            </w:r>
          </w:p>
        </w:tc>
      </w:tr>
      <w:tr>
        <w:trPr>
          <w:trHeight w:val="127"/>
        </w:trPr>
        <w:tc>
          <w:tcPr>
            <w:tcW w:w="5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tcPr>
          <w:p>
            <w:pPr>
              <w:jc w:val="center"/>
              <w:ind w:right="360"/>
              <w:spacing w:after="0" w:line="128" w:lineRule="exact"/>
              <w:rPr>
                <w:sz w:val="20"/>
                <w:szCs w:val="20"/>
                <w:color w:val="auto"/>
              </w:rPr>
            </w:pPr>
            <w:r>
              <w:rPr>
                <w:rFonts w:ascii="Arial" w:cs="Arial" w:eastAsia="Arial" w:hAnsi="Arial"/>
                <w:sz w:val="13"/>
                <w:szCs w:val="13"/>
                <w:b w:val="1"/>
                <w:bCs w:val="1"/>
                <w:color w:val="auto"/>
                <w:w w:val="97"/>
              </w:rPr>
              <w:t>Related</w:t>
            </w:r>
          </w:p>
        </w:tc>
        <w:tc>
          <w:tcPr>
            <w:tcW w:w="300" w:type="dxa"/>
            <w:vAlign w:val="bottom"/>
          </w:tcPr>
          <w:p>
            <w:pPr>
              <w:spacing w:after="0"/>
              <w:rPr>
                <w:sz w:val="11"/>
                <w:szCs w:val="11"/>
                <w:color w:val="auto"/>
              </w:rPr>
            </w:pPr>
          </w:p>
        </w:tc>
        <w:tc>
          <w:tcPr>
            <w:tcW w:w="1260" w:type="dxa"/>
            <w:vAlign w:val="bottom"/>
            <w:gridSpan w:val="2"/>
          </w:tcPr>
          <w:p>
            <w:pPr>
              <w:jc w:val="center"/>
              <w:ind w:right="380"/>
              <w:spacing w:after="0" w:line="128" w:lineRule="exact"/>
              <w:rPr>
                <w:sz w:val="20"/>
                <w:szCs w:val="20"/>
                <w:color w:val="auto"/>
              </w:rPr>
            </w:pPr>
            <w:r>
              <w:rPr>
                <w:rFonts w:ascii="Arial" w:cs="Arial" w:eastAsia="Arial" w:hAnsi="Arial"/>
                <w:sz w:val="13"/>
                <w:szCs w:val="13"/>
                <w:b w:val="1"/>
                <w:bCs w:val="1"/>
                <w:color w:val="auto"/>
                <w:w w:val="93"/>
              </w:rPr>
              <w:t>Related</w:t>
            </w:r>
          </w:p>
        </w:tc>
        <w:tc>
          <w:tcPr>
            <w:tcW w:w="280" w:type="dxa"/>
            <w:vAlign w:val="bottom"/>
          </w:tcPr>
          <w:p>
            <w:pPr>
              <w:spacing w:after="0"/>
              <w:rPr>
                <w:sz w:val="11"/>
                <w:szCs w:val="11"/>
                <w:color w:val="auto"/>
              </w:rPr>
            </w:pPr>
          </w:p>
        </w:tc>
        <w:tc>
          <w:tcPr>
            <w:tcW w:w="1300" w:type="dxa"/>
            <w:vAlign w:val="bottom"/>
            <w:gridSpan w:val="2"/>
          </w:tcPr>
          <w:p>
            <w:pPr>
              <w:jc w:val="center"/>
              <w:ind w:right="360"/>
              <w:spacing w:after="0" w:line="128" w:lineRule="exact"/>
              <w:rPr>
                <w:sz w:val="20"/>
                <w:szCs w:val="20"/>
                <w:color w:val="auto"/>
              </w:rPr>
            </w:pPr>
            <w:r>
              <w:rPr>
                <w:rFonts w:ascii="Arial" w:cs="Arial" w:eastAsia="Arial" w:hAnsi="Arial"/>
                <w:sz w:val="13"/>
                <w:szCs w:val="13"/>
                <w:b w:val="1"/>
                <w:bCs w:val="1"/>
                <w:color w:val="auto"/>
                <w:w w:val="97"/>
              </w:rPr>
              <w:t>Related</w:t>
            </w:r>
          </w:p>
        </w:tc>
        <w:tc>
          <w:tcPr>
            <w:tcW w:w="300" w:type="dxa"/>
            <w:vAlign w:val="bottom"/>
          </w:tcPr>
          <w:p>
            <w:pPr>
              <w:spacing w:after="0"/>
              <w:rPr>
                <w:sz w:val="11"/>
                <w:szCs w:val="11"/>
                <w:color w:val="auto"/>
              </w:rPr>
            </w:pPr>
          </w:p>
        </w:tc>
        <w:tc>
          <w:tcPr>
            <w:tcW w:w="1180" w:type="dxa"/>
            <w:vAlign w:val="bottom"/>
          </w:tcPr>
          <w:p>
            <w:pPr>
              <w:jc w:val="center"/>
              <w:ind w:right="216"/>
              <w:spacing w:after="0" w:line="128" w:lineRule="exact"/>
              <w:rPr>
                <w:sz w:val="20"/>
                <w:szCs w:val="20"/>
                <w:color w:val="auto"/>
              </w:rPr>
            </w:pPr>
            <w:r>
              <w:rPr>
                <w:rFonts w:ascii="Arial" w:cs="Arial" w:eastAsia="Arial" w:hAnsi="Arial"/>
                <w:sz w:val="13"/>
                <w:szCs w:val="13"/>
                <w:b w:val="1"/>
                <w:bCs w:val="1"/>
                <w:color w:val="auto"/>
                <w:w w:val="97"/>
              </w:rPr>
              <w:t>Related</w:t>
            </w:r>
          </w:p>
        </w:tc>
      </w:tr>
      <w:tr>
        <w:trPr>
          <w:trHeight w:val="170"/>
        </w:trPr>
        <w:tc>
          <w:tcPr>
            <w:tcW w:w="508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28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6"/>
              </w:rPr>
              <w:t>Parties</w:t>
            </w:r>
          </w:p>
        </w:tc>
        <w:tc>
          <w:tcPr>
            <w:tcW w:w="30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Parties</w:t>
            </w:r>
          </w:p>
        </w:tc>
        <w:tc>
          <w:tcPr>
            <w:tcW w:w="28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6"/>
              </w:rPr>
              <w:t>Parties</w:t>
            </w:r>
          </w:p>
        </w:tc>
        <w:tc>
          <w:tcPr>
            <w:tcW w:w="300" w:type="dxa"/>
            <w:vAlign w:val="bottom"/>
          </w:tcPr>
          <w:p>
            <w:pPr>
              <w:spacing w:after="0"/>
              <w:rPr>
                <w:sz w:val="14"/>
                <w:szCs w:val="14"/>
                <w:color w:val="auto"/>
              </w:rPr>
            </w:pPr>
          </w:p>
        </w:tc>
        <w:tc>
          <w:tcPr>
            <w:tcW w:w="1180" w:type="dxa"/>
            <w:vAlign w:val="bottom"/>
          </w:tcPr>
          <w:p>
            <w:pPr>
              <w:jc w:val="center"/>
              <w:ind w:right="236"/>
              <w:spacing w:after="0"/>
              <w:rPr>
                <w:sz w:val="20"/>
                <w:szCs w:val="20"/>
                <w:color w:val="auto"/>
              </w:rPr>
            </w:pPr>
            <w:r>
              <w:rPr>
                <w:rFonts w:ascii="Arial" w:cs="Arial" w:eastAsia="Arial" w:hAnsi="Arial"/>
                <w:sz w:val="13"/>
                <w:szCs w:val="13"/>
                <w:b w:val="1"/>
                <w:bCs w:val="1"/>
                <w:color w:val="auto"/>
              </w:rPr>
              <w:t>Parties</w:t>
            </w:r>
          </w:p>
        </w:tc>
      </w:tr>
      <w:tr>
        <w:trPr>
          <w:trHeight w:val="160"/>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SMP</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256"/>
        </w:trPr>
        <w:tc>
          <w:tcPr>
            <w:tcW w:w="5080" w:type="dxa"/>
            <w:vAlign w:val="bottom"/>
          </w:tcPr>
          <w:p>
            <w:pPr>
              <w:ind w:left="20"/>
              <w:spacing w:after="0"/>
              <w:rPr>
                <w:sz w:val="20"/>
                <w:szCs w:val="20"/>
                <w:color w:val="auto"/>
              </w:rPr>
            </w:pPr>
            <w:r>
              <w:rPr>
                <w:rFonts w:ascii="Arial" w:cs="Arial" w:eastAsia="Arial" w:hAnsi="Arial"/>
                <w:sz w:val="13"/>
                <w:szCs w:val="13"/>
                <w:b w:val="1"/>
                <w:bCs w:val="1"/>
                <w:color w:val="auto"/>
              </w:rPr>
              <w:t>Total</w:t>
            </w:r>
            <w:r>
              <w:rPr>
                <w:rFonts w:ascii="Arial" w:cs="Arial" w:eastAsia="Arial" w:hAnsi="Arial"/>
                <w:sz w:val="16"/>
                <w:szCs w:val="16"/>
                <w:b w:val="1"/>
                <w:bCs w:val="1"/>
                <w:color w:val="auto"/>
                <w:vertAlign w:val="superscript"/>
              </w:rPr>
              <w:t>(1)</w:t>
            </w: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w:t>
            </w: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w:t>
            </w:r>
          </w:p>
        </w:tc>
      </w:tr>
    </w:tbl>
    <w:p>
      <w:pPr>
        <w:spacing w:after="0" w:line="149" w:lineRule="exact"/>
        <w:rPr>
          <w:sz w:val="20"/>
          <w:szCs w:val="20"/>
          <w:color w:val="auto"/>
        </w:rPr>
      </w:pPr>
    </w:p>
    <w:p>
      <w:pPr>
        <w:jc w:val="both"/>
        <w:ind w:left="260" w:hanging="255"/>
        <w:spacing w:after="0" w:line="230" w:lineRule="auto"/>
        <w:tabs>
          <w:tab w:leader="none" w:pos="255" w:val="left"/>
        </w:tabs>
        <w:numPr>
          <w:ilvl w:val="0"/>
          <w:numId w:val="119"/>
        </w:numPr>
        <w:rPr>
          <w:rFonts w:ascii="Arial" w:cs="Arial" w:eastAsia="Arial" w:hAnsi="Arial"/>
          <w:sz w:val="17"/>
          <w:szCs w:val="17"/>
          <w:color w:val="auto"/>
          <w:vertAlign w:val="superscript"/>
        </w:rPr>
      </w:pPr>
      <w:r>
        <w:rPr>
          <w:rFonts w:ascii="Arial" w:cs="Arial" w:eastAsia="Arial" w:hAnsi="Arial"/>
          <w:sz w:val="13"/>
          <w:szCs w:val="13"/>
          <w:color w:val="auto"/>
        </w:rPr>
        <w:t>The total amounts of $12 million and $11 million due from related parties as of the years ended December 31, 2023 and 2022, respectively, have been included in receivables, prepayments and other assets (see Note 6). The total amounts of $10 million and $10 million due to related parties’ balance for the years ended December 31, 2023 and 2022, respectively, have been included in trade and other payables (see Note 11).</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related party transactions included in the consolidated statements of operations: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3"/>
                <w:szCs w:val="13"/>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b w:val="1"/>
                <w:bCs w:val="1"/>
                <w:color w:val="auto"/>
              </w:rPr>
              <w:t>(in millions)</w:t>
            </w:r>
          </w:p>
        </w:tc>
        <w:tc>
          <w:tcPr>
            <w:tcW w:w="12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2023</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5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Purchases and recharges from:</w:t>
            </w:r>
          </w:p>
        </w:tc>
        <w:tc>
          <w:tcPr>
            <w:tcW w:w="1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SMP</w:t>
            </w:r>
            <w:r>
              <w:rPr>
                <w:rFonts w:ascii="Arial" w:cs="Arial" w:eastAsia="Arial" w:hAnsi="Arial"/>
                <w:sz w:val="16"/>
                <w:szCs w:val="16"/>
                <w:color w:val="auto"/>
                <w:vertAlign w:val="superscript"/>
              </w:rPr>
              <w:t>(1)</w:t>
            </w:r>
          </w:p>
        </w:tc>
        <w:tc>
          <w:tcPr>
            <w:tcW w:w="1220" w:type="dxa"/>
            <w:vAlign w:val="bottom"/>
            <w:tcBorders>
              <w:bottom w:val="single" w:sz="8" w:color="auto"/>
            </w:tcBorders>
          </w:tcPr>
          <w:p>
            <w:pPr>
              <w:jc w:val="right"/>
              <w:ind w:right="1076"/>
              <w:spacing w:after="0"/>
              <w:rPr>
                <w:sz w:val="20"/>
                <w:szCs w:val="20"/>
                <w:color w:val="auto"/>
              </w:rPr>
            </w:pPr>
            <w:r>
              <w:rPr>
                <w:rFonts w:ascii="Arial" w:cs="Arial" w:eastAsia="Arial" w:hAnsi="Arial"/>
                <w:sz w:val="13"/>
                <w:szCs w:val="13"/>
                <w:color w:val="auto"/>
                <w:w w:val="82"/>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6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1220" w:type="dxa"/>
            <w:vAlign w:val="bottom"/>
            <w:tcBorders>
              <w:bottom w:val="single" w:sz="8" w:color="auto"/>
            </w:tcBorders>
            <w:shd w:val="clear" w:color="auto" w:fill="CCEEFF"/>
          </w:tcPr>
          <w:p>
            <w:pPr>
              <w:jc w:val="right"/>
              <w:ind w:right="1076"/>
              <w:spacing w:after="0"/>
              <w:rPr>
                <w:sz w:val="20"/>
                <w:szCs w:val="20"/>
                <w:color w:val="auto"/>
              </w:rPr>
            </w:pPr>
            <w:r>
              <w:rPr>
                <w:rFonts w:ascii="Arial" w:cs="Arial" w:eastAsia="Arial" w:hAnsi="Arial"/>
                <w:sz w:val="13"/>
                <w:szCs w:val="13"/>
                <w:b w:val="1"/>
                <w:bCs w:val="1"/>
                <w:color w:val="auto"/>
                <w:w w:val="82"/>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60</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60</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Other transactions with:</w:t>
            </w:r>
          </w:p>
        </w:tc>
        <w:tc>
          <w:tcPr>
            <w:tcW w:w="1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60" w:type="dxa"/>
            <w:vAlign w:val="bottom"/>
            <w:gridSpan w:val="2"/>
          </w:tcPr>
          <w:p>
            <w:pPr>
              <w:ind w:left="20"/>
              <w:spacing w:after="0"/>
              <w:rPr>
                <w:sz w:val="20"/>
                <w:szCs w:val="20"/>
                <w:color w:val="auto"/>
              </w:rPr>
            </w:pPr>
            <w:r>
              <w:rPr>
                <w:rFonts w:ascii="Arial" w:cs="Arial" w:eastAsia="Arial" w:hAnsi="Arial"/>
                <w:sz w:val="13"/>
                <w:szCs w:val="13"/>
                <w:color w:val="auto"/>
              </w:rPr>
              <w:t>SMP (reimbursement of expenses and contribution of tools)</w:t>
            </w:r>
          </w:p>
        </w:tc>
        <w:tc>
          <w:tcPr>
            <w:tcW w:w="1220" w:type="dxa"/>
            <w:vAlign w:val="bottom"/>
          </w:tcPr>
          <w:p>
            <w:pPr>
              <w:jc w:val="right"/>
              <w:ind w:right="1076"/>
              <w:spacing w:after="0"/>
              <w:rPr>
                <w:sz w:val="20"/>
                <w:szCs w:val="20"/>
                <w:color w:val="auto"/>
              </w:rPr>
            </w:pPr>
            <w:r>
              <w:rPr>
                <w:rFonts w:ascii="Arial" w:cs="Arial" w:eastAsia="Arial" w:hAnsi="Arial"/>
                <w:sz w:val="13"/>
                <w:szCs w:val="13"/>
                <w:color w:val="auto"/>
                <w:w w:val="82"/>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61</w:t>
            </w:r>
          </w:p>
        </w:tc>
        <w:tc>
          <w:tcPr>
            <w:tcW w:w="80" w:type="dxa"/>
            <w:vAlign w:val="bottom"/>
          </w:tcPr>
          <w:p>
            <w:pPr>
              <w:spacing w:after="0"/>
              <w:rPr>
                <w:sz w:val="14"/>
                <w:szCs w:val="14"/>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71"/>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MDC General Services Holding Company L.L.C (recharge of expenses)</w:t>
            </w:r>
          </w:p>
        </w:tc>
        <w:tc>
          <w:tcPr>
            <w:tcW w:w="12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0"/>
        </w:trPr>
        <w:tc>
          <w:tcPr>
            <w:tcW w:w="666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w:t>
            </w:r>
          </w:p>
        </w:tc>
        <w:tc>
          <w:tcPr>
            <w:tcW w:w="1220" w:type="dxa"/>
            <w:vAlign w:val="bottom"/>
            <w:tcBorders>
              <w:top w:val="single" w:sz="8" w:color="auto"/>
              <w:bottom w:val="single" w:sz="8" w:color="auto"/>
            </w:tcBorders>
          </w:tcPr>
          <w:p>
            <w:pPr>
              <w:jc w:val="right"/>
              <w:ind w:right="1076"/>
              <w:spacing w:after="0"/>
              <w:rPr>
                <w:sz w:val="20"/>
                <w:szCs w:val="20"/>
                <w:color w:val="auto"/>
              </w:rPr>
            </w:pPr>
            <w:r>
              <w:rPr>
                <w:rFonts w:ascii="Arial" w:cs="Arial" w:eastAsia="Arial" w:hAnsi="Arial"/>
                <w:sz w:val="13"/>
                <w:szCs w:val="13"/>
                <w:b w:val="1"/>
                <w:bCs w:val="1"/>
                <w:color w:val="auto"/>
                <w:w w:val="82"/>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66</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w:t>
            </w:r>
          </w:p>
        </w:tc>
        <w:tc>
          <w:tcPr>
            <w:tcW w:w="0" w:type="dxa"/>
            <w:vAlign w:val="bottom"/>
          </w:tcPr>
          <w:p>
            <w:pPr>
              <w:spacing w:after="0"/>
              <w:rPr>
                <w:sz w:val="1"/>
                <w:szCs w:val="1"/>
                <w:color w:val="auto"/>
              </w:rPr>
            </w:pPr>
          </w:p>
        </w:tc>
      </w:tr>
      <w:tr>
        <w:trPr>
          <w:trHeight w:val="239"/>
        </w:trPr>
        <w:tc>
          <w:tcPr>
            <w:tcW w:w="180" w:type="dxa"/>
            <w:vAlign w:val="bottom"/>
          </w:tcPr>
          <w:p>
            <w:pPr>
              <w:spacing w:after="0"/>
              <w:rPr>
                <w:sz w:val="20"/>
                <w:szCs w:val="20"/>
                <w:color w:val="auto"/>
              </w:rPr>
            </w:pPr>
            <w:r>
              <w:rPr>
                <w:rFonts w:ascii="Arial" w:cs="Arial" w:eastAsia="Arial" w:hAnsi="Arial"/>
                <w:sz w:val="8"/>
                <w:szCs w:val="8"/>
                <w:color w:val="auto"/>
              </w:rPr>
              <w:t>(1)</w:t>
            </w:r>
          </w:p>
        </w:tc>
        <w:tc>
          <w:tcPr>
            <w:tcW w:w="6480" w:type="dxa"/>
            <w:vAlign w:val="bottom"/>
            <w:vMerge w:val="restart"/>
          </w:tcPr>
          <w:p>
            <w:pPr>
              <w:ind w:left="80"/>
              <w:spacing w:after="0"/>
              <w:rPr>
                <w:sz w:val="20"/>
                <w:szCs w:val="20"/>
                <w:color w:val="auto"/>
              </w:rPr>
            </w:pPr>
            <w:r>
              <w:rPr>
                <w:rFonts w:ascii="Arial" w:cs="Arial" w:eastAsia="Arial" w:hAnsi="Arial"/>
                <w:sz w:val="13"/>
                <w:szCs w:val="13"/>
                <w:color w:val="auto"/>
              </w:rPr>
              <w:t>Purchases from SMP were primarily comprised of wafers.</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180" w:type="dxa"/>
            <w:vAlign w:val="bottom"/>
          </w:tcPr>
          <w:p>
            <w:pPr>
              <w:spacing w:after="0"/>
              <w:rPr>
                <w:sz w:val="4"/>
                <w:szCs w:val="4"/>
                <w:color w:val="auto"/>
              </w:rPr>
            </w:pPr>
          </w:p>
        </w:tc>
        <w:tc>
          <w:tcPr>
            <w:tcW w:w="648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Terms and Conditions of Transactions with Related Parties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Outstanding balances at the year-end are unsecured, interest free, repayable on demand and settlement occurs in cash. The Company has not recorded any allowance relating to amounts owed by related parties for the years ended December 31, 2023 and 2022. This assessment is undertaken each financial year through examining the financial position of the related party and the market in which the related party operates.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Transactions with Shareholder:</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Shareholder Loan Agreement—The Company, as a borrower, entered into loan facilities with its shareholder in 2012 to 2016 (collectively the “Shareholder Loans”). The Shareholder Loans were non-interest bearing and principal repayment, in whole or in part, was entirely at the Company’s discretion as explicitly stated in the loan agreement. The Shareholder Loans were subordinated to any claims of other unsubordinated and subordinated creditors, including beneficiaries under guarantees issued, of the Company. The loans had no maturity date and remained outstanding until the loans were paid in full. Further, there were no contingent settlements in the agreements. Since the Shareholder Loans did not contain any contractual obligations to deliver cash, but rather allowed the Company to make repayment at its absolute discretion and further prohibited the shareholder from demanding repayment, the Company treated the Shareholder Loans as equity.</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The Company repaid $568 million during the year ended December 31, 2021.</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October 1, 2021, the Company’s board approved the conversion of the Shareholder Loans to additional paid-in-capital, and on October 3, 2021, the Company executed an agreement with Mubadala Investment Company PJSC (“Mubadala”) to convert the remaining $10.1 billion of the Shareholder Loan balance into additional paid-in-capital (the ”Conversion”). The Conversion did not have an impact on shares outstanding or have any dilutive effects, as no additional shares were issued.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Compensation of Key Management Personnel</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compensation of key management personnel during the following years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59"/>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Chief Executive Officer, Chief Financial Officer, Chief Business Officer, Chief Operating Officer</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70"/>
        </w:trPr>
        <w:tc>
          <w:tcPr>
            <w:tcW w:w="6660" w:type="dxa"/>
            <w:vAlign w:val="bottom"/>
          </w:tcPr>
          <w:p>
            <w:pPr>
              <w:ind w:left="200"/>
              <w:spacing w:after="0" w:line="170" w:lineRule="exact"/>
              <w:rPr>
                <w:sz w:val="20"/>
                <w:szCs w:val="20"/>
                <w:color w:val="auto"/>
              </w:rPr>
            </w:pPr>
            <w:r>
              <w:rPr>
                <w:rFonts w:ascii="Arial" w:cs="Arial" w:eastAsia="Arial" w:hAnsi="Arial"/>
                <w:sz w:val="13"/>
                <w:szCs w:val="13"/>
                <w:color w:val="auto"/>
              </w:rPr>
              <w:t>Short-term benefits</w:t>
            </w:r>
            <w:r>
              <w:rPr>
                <w:rFonts w:ascii="Arial" w:cs="Arial" w:eastAsia="Arial" w:hAnsi="Arial"/>
                <w:sz w:val="16"/>
                <w:szCs w:val="16"/>
                <w:color w:val="auto"/>
                <w:vertAlign w:val="superscript"/>
              </w:rPr>
              <w:t>(1)</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0"/>
        </w:trPr>
        <w:tc>
          <w:tcPr>
            <w:tcW w:w="6660" w:type="dxa"/>
            <w:vAlign w:val="bottom"/>
            <w:shd w:val="clear" w:color="auto" w:fill="CCEEFF"/>
          </w:tcPr>
          <w:p>
            <w:pPr>
              <w:ind w:left="200"/>
              <w:spacing w:after="0" w:line="170" w:lineRule="exact"/>
              <w:rPr>
                <w:sz w:val="20"/>
                <w:szCs w:val="20"/>
                <w:color w:val="auto"/>
              </w:rPr>
            </w:pPr>
            <w:r>
              <w:rPr>
                <w:rFonts w:ascii="Arial" w:cs="Arial" w:eastAsia="Arial" w:hAnsi="Arial"/>
                <w:sz w:val="13"/>
                <w:szCs w:val="13"/>
                <w:color w:val="auto"/>
              </w:rPr>
              <w:t>Share-based payments</w:t>
            </w:r>
            <w:r>
              <w:rPr>
                <w:rFonts w:ascii="Arial" w:cs="Arial" w:eastAsia="Arial" w:hAnsi="Arial"/>
                <w:sz w:val="16"/>
                <w:szCs w:val="16"/>
                <w:color w:val="auto"/>
                <w:vertAlign w:val="superscript"/>
              </w:rPr>
              <w:t>(1)</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6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Board of Directors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6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29</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w:t>
            </w:r>
          </w:p>
        </w:tc>
      </w:tr>
    </w:tbl>
    <w:p>
      <w:pPr>
        <w:spacing w:after="0" w:line="121" w:lineRule="exact"/>
        <w:rPr>
          <w:sz w:val="20"/>
          <w:szCs w:val="20"/>
          <w:color w:val="auto"/>
        </w:rPr>
      </w:pPr>
    </w:p>
    <w:p>
      <w:pPr>
        <w:ind w:left="140" w:hanging="135"/>
        <w:spacing w:after="0"/>
        <w:tabs>
          <w:tab w:leader="none" w:pos="140" w:val="left"/>
        </w:tabs>
        <w:numPr>
          <w:ilvl w:val="0"/>
          <w:numId w:val="120"/>
        </w:numPr>
        <w:rPr>
          <w:rFonts w:ascii="Arial" w:cs="Arial" w:eastAsia="Arial" w:hAnsi="Arial"/>
          <w:sz w:val="16"/>
          <w:szCs w:val="16"/>
          <w:color w:val="auto"/>
          <w:vertAlign w:val="superscript"/>
        </w:rPr>
      </w:pPr>
      <w:r>
        <w:rPr>
          <w:rFonts w:ascii="Arial" w:cs="Arial" w:eastAsia="Arial" w:hAnsi="Arial"/>
          <w:sz w:val="12"/>
          <w:szCs w:val="12"/>
          <w:color w:val="auto"/>
        </w:rPr>
        <w:t>For the year ended December 31, 2023, the amounts include short-term benefits and share-based payments for the Chief Business Officer and Chief Operating Officer.</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Financial Risk Management Objectives and Policies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GLOBALFOUNDRIES has implemented a cash investment policy which determines the overall objectives of the Company’s investment strategy. This policy is aimed to ensure the preservation of capital and the maintenance of sufficient liquidity necessary to fund operations while balancing the needs for appropriate returns. The cash investment policy limits permissible investments and credit quality.</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The primary objective of the Company’s capital management is to ensure that it maintains a healthy capital ratio in order to support its business and maximize shareholder value.</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manages its capital structure and makes adjustments to it in light of changes in economic conditions. There are no regulatorily-imposed requirements on the level of share capital which the Company is required to maintain.</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monitors capital using a gearing ratio, which is net debt divided by total capital plus net debt. The Company’s policy is to keep the gearing ratio within a range to meet the business needs of the Company.</w:t>
      </w:r>
    </w:p>
    <w:p>
      <w:pPr>
        <w:spacing w:after="0" w:line="5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includes within net debt, interest bearing loans and borrowings and obligations under lease less bank balances, cash and marketable securities. Capital includes total equity including non-controlling interests less cumulative changes in fair value.</w:t>
      </w:r>
    </w:p>
    <w:p>
      <w:pPr>
        <w:spacing w:after="0" w:line="4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Company’s interest-bearing loans and borrowings have certain financial covenants. Restrictive covenants in the Company’s credit facilities may prevent the Company from pursuing certain transactions or business strategies, including by limiting the Company’s ability to, in certain circumstances:</w:t>
      </w:r>
    </w:p>
    <w:p>
      <w:pPr>
        <w:spacing w:after="0" w:line="40" w:lineRule="exact"/>
        <w:rPr>
          <w:sz w:val="20"/>
          <w:szCs w:val="20"/>
          <w:color w:val="auto"/>
        </w:rPr>
      </w:pPr>
    </w:p>
    <w:p>
      <w:pPr>
        <w:ind w:left="1020" w:hanging="506"/>
        <w:spacing w:after="0"/>
        <w:tabs>
          <w:tab w:leader="none" w:pos="10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incur additional indebtedness;</w:t>
      </w:r>
    </w:p>
    <w:p>
      <w:pPr>
        <w:spacing w:after="0" w:line="83" w:lineRule="exact"/>
        <w:rPr>
          <w:rFonts w:ascii="Arial" w:cs="Arial" w:eastAsia="Arial" w:hAnsi="Arial"/>
          <w:sz w:val="13"/>
          <w:szCs w:val="13"/>
          <w:color w:val="auto"/>
        </w:rPr>
      </w:pPr>
    </w:p>
    <w:p>
      <w:pPr>
        <w:ind w:left="1020" w:hanging="506"/>
        <w:spacing w:after="0"/>
        <w:tabs>
          <w:tab w:leader="none" w:pos="10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pay dividends or make distributions;</w:t>
      </w:r>
    </w:p>
    <w:p>
      <w:pPr>
        <w:spacing w:after="0" w:line="94" w:lineRule="exact"/>
        <w:rPr>
          <w:rFonts w:ascii="Arial" w:cs="Arial" w:eastAsia="Arial" w:hAnsi="Arial"/>
          <w:sz w:val="13"/>
          <w:szCs w:val="13"/>
          <w:color w:val="auto"/>
        </w:rPr>
      </w:pPr>
    </w:p>
    <w:p>
      <w:pPr>
        <w:ind w:left="1020" w:hanging="506"/>
        <w:spacing w:after="0"/>
        <w:tabs>
          <w:tab w:leader="none" w:pos="10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acquire assets or make investments outside of the ordinary course of business;</w:t>
      </w:r>
    </w:p>
    <w:p>
      <w:pPr>
        <w:spacing w:after="0" w:line="83" w:lineRule="exact"/>
        <w:rPr>
          <w:rFonts w:ascii="Arial" w:cs="Arial" w:eastAsia="Arial" w:hAnsi="Arial"/>
          <w:sz w:val="13"/>
          <w:szCs w:val="13"/>
          <w:color w:val="auto"/>
        </w:rPr>
      </w:pPr>
    </w:p>
    <w:p>
      <w:pPr>
        <w:ind w:left="1020" w:hanging="506"/>
        <w:spacing w:after="0"/>
        <w:tabs>
          <w:tab w:leader="none" w:pos="10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sell, lease, license, transfer or otherwise dispose of assets;</w:t>
      </w:r>
    </w:p>
    <w:p>
      <w:pPr>
        <w:spacing w:after="0" w:line="83" w:lineRule="exact"/>
        <w:rPr>
          <w:rFonts w:ascii="Arial" w:cs="Arial" w:eastAsia="Arial" w:hAnsi="Arial"/>
          <w:sz w:val="13"/>
          <w:szCs w:val="13"/>
          <w:color w:val="auto"/>
        </w:rPr>
      </w:pPr>
    </w:p>
    <w:p>
      <w:pPr>
        <w:ind w:left="1020" w:hanging="506"/>
        <w:spacing w:after="0"/>
        <w:tabs>
          <w:tab w:leader="none" w:pos="10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enter into transactions with the affiliates;</w:t>
      </w:r>
    </w:p>
    <w:p>
      <w:pPr>
        <w:spacing w:after="0" w:line="94" w:lineRule="exact"/>
        <w:rPr>
          <w:rFonts w:ascii="Arial" w:cs="Arial" w:eastAsia="Arial" w:hAnsi="Arial"/>
          <w:sz w:val="13"/>
          <w:szCs w:val="13"/>
          <w:color w:val="auto"/>
        </w:rPr>
      </w:pPr>
    </w:p>
    <w:p>
      <w:pPr>
        <w:ind w:left="1020" w:hanging="506"/>
        <w:spacing w:after="0"/>
        <w:tabs>
          <w:tab w:leader="none" w:pos="10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create or permit liens;</w:t>
      </w:r>
    </w:p>
    <w:p>
      <w:pPr>
        <w:spacing w:after="0" w:line="83" w:lineRule="exact"/>
        <w:rPr>
          <w:rFonts w:ascii="Arial" w:cs="Arial" w:eastAsia="Arial" w:hAnsi="Arial"/>
          <w:sz w:val="13"/>
          <w:szCs w:val="13"/>
          <w:color w:val="auto"/>
        </w:rPr>
      </w:pPr>
    </w:p>
    <w:p>
      <w:pPr>
        <w:ind w:left="1020" w:hanging="506"/>
        <w:spacing w:after="0"/>
        <w:tabs>
          <w:tab w:leader="none" w:pos="10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guarantee indebtedness; and</w:t>
      </w:r>
    </w:p>
    <w:p>
      <w:pPr>
        <w:spacing w:after="0" w:line="94" w:lineRule="exact"/>
        <w:rPr>
          <w:rFonts w:ascii="Arial" w:cs="Arial" w:eastAsia="Arial" w:hAnsi="Arial"/>
          <w:sz w:val="13"/>
          <w:szCs w:val="13"/>
          <w:color w:val="auto"/>
        </w:rPr>
      </w:pPr>
    </w:p>
    <w:p>
      <w:pPr>
        <w:ind w:left="1020" w:hanging="506"/>
        <w:spacing w:after="0"/>
        <w:tabs>
          <w:tab w:leader="none" w:pos="10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engage in certain extraordinary transactions.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2023, the Company is in compliance with the financial covenants.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color w:val="auto"/>
        </w:rPr>
        <w:t>Risks Arising from Financial Instruments</w:t>
      </w:r>
      <w:r>
        <w:rPr>
          <w:rFonts w:ascii="Arial" w:cs="Arial" w:eastAsia="Arial" w:hAnsi="Arial"/>
          <w:sz w:val="13"/>
          <w:szCs w:val="13"/>
          <w:color w:val="auto"/>
        </w:rPr>
        <w:t>—The main risks arising from the Company’s financial instruments are market risk (including foreign currency risk, interest rate risk and commodity price</w:t>
      </w:r>
      <w:r>
        <w:rPr>
          <w:rFonts w:ascii="Arial" w:cs="Arial" w:eastAsia="Arial" w:hAnsi="Arial"/>
          <w:sz w:val="13"/>
          <w:szCs w:val="13"/>
          <w:b w:val="1"/>
          <w:bCs w:val="1"/>
          <w:color w:val="auto"/>
        </w:rPr>
        <w:t xml:space="preserve"> </w:t>
      </w:r>
      <w:r>
        <w:rPr>
          <w:rFonts w:ascii="Arial" w:cs="Arial" w:eastAsia="Arial" w:hAnsi="Arial"/>
          <w:sz w:val="13"/>
          <w:szCs w:val="13"/>
          <w:color w:val="auto"/>
        </w:rPr>
        <w:t>risk), credit risk and liquidity risk. The Board of Directors reviews and approves policies for managing each of these risks which are summarized below.</w:t>
      </w:r>
    </w:p>
    <w:p>
      <w:pPr>
        <w:spacing w:after="0" w:line="4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color w:val="auto"/>
        </w:rPr>
        <w:t>Market Risk</w:t>
      </w:r>
      <w:r>
        <w:rPr>
          <w:rFonts w:ascii="Arial" w:cs="Arial" w:eastAsia="Arial" w:hAnsi="Arial"/>
          <w:sz w:val="13"/>
          <w:szCs w:val="13"/>
          <w:color w:val="auto"/>
        </w:rPr>
        <w:t>—Market price risk is the risk that the fair value of future cash flows of a financial instrument will fluctuate because of changes in market prices. Market prices comprise the following types</w:t>
      </w:r>
      <w:r>
        <w:rPr>
          <w:rFonts w:ascii="Arial" w:cs="Arial" w:eastAsia="Arial" w:hAnsi="Arial"/>
          <w:sz w:val="13"/>
          <w:szCs w:val="13"/>
          <w:b w:val="1"/>
          <w:bCs w:val="1"/>
          <w:color w:val="auto"/>
        </w:rPr>
        <w:t xml:space="preserve"> </w:t>
      </w:r>
      <w:r>
        <w:rPr>
          <w:rFonts w:ascii="Arial" w:cs="Arial" w:eastAsia="Arial" w:hAnsi="Arial"/>
          <w:sz w:val="13"/>
          <w:szCs w:val="13"/>
          <w:color w:val="auto"/>
        </w:rPr>
        <w:t>of risk: interest rate risk, foreign currency risk and commodity price risk.</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Commodity Risk</w:t>
      </w:r>
      <w:r>
        <w:rPr>
          <w:rFonts w:ascii="Arial" w:cs="Arial" w:eastAsia="Arial" w:hAnsi="Arial"/>
          <w:sz w:val="13"/>
          <w:szCs w:val="13"/>
          <w:color w:val="auto"/>
        </w:rPr>
        <w:t>— Although the Company operates facilities that consume commodities, the Company’s exposure to commodity price risk is not material. The Company has established forecasted</w:t>
      </w:r>
      <w:r>
        <w:rPr>
          <w:rFonts w:ascii="Arial" w:cs="Arial" w:eastAsia="Arial" w:hAnsi="Arial"/>
          <w:sz w:val="13"/>
          <w:szCs w:val="13"/>
          <w:b w:val="1"/>
          <w:bCs w:val="1"/>
          <w:color w:val="auto"/>
        </w:rPr>
        <w:t xml:space="preserve"> </w:t>
      </w:r>
      <w:r>
        <w:rPr>
          <w:rFonts w:ascii="Arial" w:cs="Arial" w:eastAsia="Arial" w:hAnsi="Arial"/>
          <w:sz w:val="13"/>
          <w:szCs w:val="13"/>
          <w:color w:val="auto"/>
        </w:rPr>
        <w:t>transaction risk management programs to protect against fluctuations in commodity prices and may use commodity derivatives contracts, such as commodity swaps, in these hedging programs. In addition, the Company has sourcing plans in place that are designed to mitigate the risk of a potential supplier concentration for its key commodities.</w:t>
      </w:r>
    </w:p>
    <w:p>
      <w:pPr>
        <w:spacing w:after="0" w:line="5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color w:val="auto"/>
        </w:rPr>
        <w:t>Interest Rate Risk</w:t>
      </w:r>
      <w:r>
        <w:rPr>
          <w:rFonts w:ascii="Arial" w:cs="Arial" w:eastAsia="Arial" w:hAnsi="Arial"/>
          <w:sz w:val="13"/>
          <w:szCs w:val="13"/>
          <w:color w:val="auto"/>
        </w:rPr>
        <w:t>—The Company’s exposure to market risk for changes in interest rates relates primarily to interest-earning financial assets and interest-bearing financial liabilities. The Company’s</w:t>
      </w:r>
      <w:r>
        <w:rPr>
          <w:rFonts w:ascii="Arial" w:cs="Arial" w:eastAsia="Arial" w:hAnsi="Arial"/>
          <w:sz w:val="13"/>
          <w:szCs w:val="13"/>
          <w:b w:val="1"/>
          <w:bCs w:val="1"/>
          <w:color w:val="auto"/>
        </w:rPr>
        <w:t xml:space="preserve"> </w:t>
      </w:r>
      <w:r>
        <w:rPr>
          <w:rFonts w:ascii="Arial" w:cs="Arial" w:eastAsia="Arial" w:hAnsi="Arial"/>
          <w:sz w:val="13"/>
          <w:szCs w:val="13"/>
          <w:color w:val="auto"/>
        </w:rPr>
        <w:t>interest-earning financial assets are mostly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highly liquid investments and include money market funds, marketable securities and time deposits. As these financial assets have weighted-average maturity of less than one year, the Company’s exposure to interest risk is not material. The Company’s interest-bearing financial liabilities include fixed and floating rate loans and lease obligations. Floating rate loans bear interest at Base Rate or SOFR or EURIBOR plus a fixed premium. The Company uses pay-fixed / receive-float interest rate swaps to protect itself against adverse fluctuations in interest rates and to reduce its exposure to variability in cash flows from forecasted interest payments on its floating-rate debt facility to the extent that it is practicable and cost effective to do so.</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Cash Flow Sensitivity Analysis for Variable Rate Instruments</w:t>
      </w:r>
      <w:r>
        <w:rPr>
          <w:rFonts w:ascii="Arial" w:cs="Arial" w:eastAsia="Arial" w:hAnsi="Arial"/>
          <w:sz w:val="13"/>
          <w:szCs w:val="13"/>
          <w:i w:val="1"/>
          <w:iCs w:val="1"/>
          <w:color w:val="auto"/>
        </w:rPr>
        <w:t>—</w:t>
      </w:r>
      <w:r>
        <w:rPr>
          <w:rFonts w:ascii="Arial" w:cs="Arial" w:eastAsia="Arial" w:hAnsi="Arial"/>
          <w:sz w:val="13"/>
          <w:szCs w:val="13"/>
          <w:color w:val="auto"/>
        </w:rPr>
        <w:t>The sensitivity of net income in the consolidated statements of operations is the effect of the assumed changes in interest rates 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Company’s net income for one year, based on the floating rate financial liabilities held on December 31, 2023, after taking into account interest rate hedges.</w:t>
      </w:r>
    </w:p>
    <w:p>
      <w:pPr>
        <w:spacing w:after="0" w:line="5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 hypothetical change in benchmark interest rates of 10% from current rates would not have a material impact on the consolidated statements of operations for the years ended December 31, 2023, 2022 and 2021, after taking into account interest rate hedges.</w:t>
      </w:r>
    </w:p>
    <w:p>
      <w:pPr>
        <w:spacing w:after="0" w:line="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Foreign Currency Risk</w:t>
      </w:r>
      <w:r>
        <w:rPr>
          <w:rFonts w:ascii="Arial" w:cs="Arial" w:eastAsia="Arial" w:hAnsi="Arial"/>
          <w:sz w:val="13"/>
          <w:szCs w:val="13"/>
          <w:i w:val="1"/>
          <w:iCs w:val="1"/>
          <w:color w:val="auto"/>
        </w:rPr>
        <w:t>—</w:t>
      </w:r>
      <w:r>
        <w:rPr>
          <w:rFonts w:ascii="Arial" w:cs="Arial" w:eastAsia="Arial" w:hAnsi="Arial"/>
          <w:sz w:val="13"/>
          <w:szCs w:val="13"/>
          <w:color w:val="auto"/>
        </w:rPr>
        <w:t>As a result of foreign operations, the Company has non-US-dollar denominated costs, assets and liabilities, primarily denominated in the EUR, JPY and SGD. Movements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foreign exchange rates could cause foreign currency denominated expenses to increase as a percentage of net revenue, affecting the Company’s profitability and cash flows. The Company uses foreign currency forward contracts to reduce exposure to foreign currency fluctuations from its foreign currency denominated expenditures. The Company may also economically hedge foreign currency risk related to its non-US-dollar denominated assets and liabilities with currency forward contracts.</w:t>
      </w:r>
    </w:p>
    <w:p>
      <w:pPr>
        <w:spacing w:after="0" w:line="7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Company also incurs a certain portion of its interest expense in EUR and SGD, exposing the Company to exchange rate fluctuations between US dollar and the EUR or SGD. The Company uses cross-currency swaps and cross-currency interest rate swaps to reduce its exposure to variability from foreign exchange rates impacting cash flows arising from Company’s foreign currency denominated debt to the extent that it is practicable and cost effective to do so.</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Exposure to Currency Risk</w:t>
      </w:r>
      <w:r>
        <w:rPr>
          <w:rFonts w:ascii="Arial" w:cs="Arial" w:eastAsia="Arial" w:hAnsi="Arial"/>
          <w:sz w:val="13"/>
          <w:szCs w:val="13"/>
          <w:i w:val="1"/>
          <w:iCs w:val="1"/>
          <w:color w:val="auto"/>
        </w:rPr>
        <w:t>—</w:t>
      </w:r>
      <w:r>
        <w:rPr>
          <w:rFonts w:ascii="Arial" w:cs="Arial" w:eastAsia="Arial" w:hAnsi="Arial"/>
          <w:sz w:val="13"/>
          <w:szCs w:val="13"/>
          <w:color w:val="auto"/>
        </w:rPr>
        <w:t>The Company’s exposure to foreign currency risk against financial assets and financial liabilities was as follows, based on notional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4"/>
                <w:szCs w:val="14"/>
                <w:color w:val="auto"/>
              </w:rPr>
            </w:pPr>
          </w:p>
        </w:tc>
        <w:tc>
          <w:tcPr>
            <w:tcW w:w="1220" w:type="dxa"/>
            <w:vAlign w:val="bottom"/>
            <w:gridSpan w:val="2"/>
          </w:tcPr>
          <w:p>
            <w:pPr>
              <w:ind w:left="260"/>
              <w:spacing w:after="0"/>
              <w:rPr>
                <w:sz w:val="20"/>
                <w:szCs w:val="20"/>
                <w:color w:val="auto"/>
              </w:rPr>
            </w:pPr>
            <w:r>
              <w:rPr>
                <w:rFonts w:ascii="Arial" w:cs="Arial" w:eastAsia="Arial" w:hAnsi="Arial"/>
                <w:sz w:val="13"/>
                <w:szCs w:val="13"/>
                <w:b w:val="1"/>
                <w:bCs w:val="1"/>
                <w:color w:val="auto"/>
              </w:rPr>
              <w:t>EUR</w:t>
            </w:r>
          </w:p>
        </w:tc>
        <w:tc>
          <w:tcPr>
            <w:tcW w:w="360" w:type="dxa"/>
            <w:vAlign w:val="bottom"/>
          </w:tcPr>
          <w:p>
            <w:pPr>
              <w:spacing w:after="0"/>
              <w:rPr>
                <w:sz w:val="14"/>
                <w:szCs w:val="14"/>
                <w:color w:val="auto"/>
              </w:rPr>
            </w:pPr>
          </w:p>
        </w:tc>
        <w:tc>
          <w:tcPr>
            <w:tcW w:w="1220" w:type="dxa"/>
            <w:vAlign w:val="bottom"/>
            <w:gridSpan w:val="2"/>
          </w:tcPr>
          <w:p>
            <w:pPr>
              <w:ind w:left="260"/>
              <w:spacing w:after="0"/>
              <w:rPr>
                <w:sz w:val="20"/>
                <w:szCs w:val="20"/>
                <w:color w:val="auto"/>
              </w:rPr>
            </w:pPr>
            <w:r>
              <w:rPr>
                <w:rFonts w:ascii="Arial" w:cs="Arial" w:eastAsia="Arial" w:hAnsi="Arial"/>
                <w:sz w:val="13"/>
                <w:szCs w:val="13"/>
                <w:b w:val="1"/>
                <w:bCs w:val="1"/>
                <w:color w:val="auto"/>
              </w:rPr>
              <w:t>JPY</w:t>
            </w:r>
          </w:p>
        </w:tc>
        <w:tc>
          <w:tcPr>
            <w:tcW w:w="340" w:type="dxa"/>
            <w:vAlign w:val="bottom"/>
          </w:tcPr>
          <w:p>
            <w:pPr>
              <w:spacing w:after="0"/>
              <w:rPr>
                <w:sz w:val="14"/>
                <w:szCs w:val="14"/>
                <w:color w:val="auto"/>
              </w:rPr>
            </w:pPr>
          </w:p>
        </w:tc>
        <w:tc>
          <w:tcPr>
            <w:tcW w:w="1140" w:type="dxa"/>
            <w:vAlign w:val="bottom"/>
          </w:tcPr>
          <w:p>
            <w:pPr>
              <w:jc w:val="right"/>
              <w:ind w:right="542"/>
              <w:spacing w:after="0"/>
              <w:rPr>
                <w:sz w:val="20"/>
                <w:szCs w:val="20"/>
                <w:color w:val="auto"/>
              </w:rPr>
            </w:pPr>
            <w:r>
              <w:rPr>
                <w:rFonts w:ascii="Arial" w:cs="Arial" w:eastAsia="Arial" w:hAnsi="Arial"/>
                <w:sz w:val="13"/>
                <w:szCs w:val="13"/>
                <w:b w:val="1"/>
                <w:bCs w:val="1"/>
                <w:color w:val="auto"/>
              </w:rPr>
              <w:t>SGD</w:t>
            </w:r>
          </w:p>
        </w:tc>
      </w:tr>
      <w:tr>
        <w:trPr>
          <w:trHeight w:val="159"/>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2022</w:t>
            </w:r>
          </w:p>
        </w:tc>
        <w:tc>
          <w:tcPr>
            <w:tcW w:w="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Receivables and prepayments</w:t>
            </w: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
              <w:spacing w:after="0"/>
              <w:rPr>
                <w:sz w:val="20"/>
                <w:szCs w:val="20"/>
                <w:color w:val="auto"/>
              </w:rPr>
            </w:pPr>
            <w:r>
              <w:rPr>
                <w:rFonts w:ascii="Arial" w:cs="Arial" w:eastAsia="Arial" w:hAnsi="Arial"/>
                <w:sz w:val="13"/>
                <w:szCs w:val="13"/>
                <w:color w:val="auto"/>
              </w:rPr>
              <w:t>120</w:t>
            </w:r>
          </w:p>
        </w:tc>
        <w:tc>
          <w:tcPr>
            <w:tcW w:w="8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
              <w:spacing w:after="0"/>
              <w:rPr>
                <w:sz w:val="20"/>
                <w:szCs w:val="20"/>
                <w:color w:val="auto"/>
              </w:rPr>
            </w:pPr>
            <w:r>
              <w:rPr>
                <w:rFonts w:ascii="Arial" w:cs="Arial" w:eastAsia="Arial" w:hAnsi="Arial"/>
                <w:sz w:val="13"/>
                <w:szCs w:val="13"/>
                <w:color w:val="auto"/>
              </w:rPr>
              <w:t>16</w:t>
            </w: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w:t>
            </w: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Loans and borrowings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and other payables</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(149)</w:t>
            </w:r>
          </w:p>
        </w:tc>
      </w:tr>
      <w:tr>
        <w:trPr>
          <w:trHeight w:val="151"/>
        </w:trPr>
        <w:tc>
          <w:tcPr>
            <w:tcW w:w="66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(175)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(69)</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287</w:t>
            </w:r>
          </w:p>
        </w:tc>
      </w:tr>
      <w:tr>
        <w:trPr>
          <w:trHeight w:val="15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2023</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Receivables and prepayments</w:t>
            </w: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
              <w:spacing w:after="0"/>
              <w:rPr>
                <w:sz w:val="20"/>
                <w:szCs w:val="20"/>
                <w:color w:val="auto"/>
              </w:rPr>
            </w:pPr>
            <w:r>
              <w:rPr>
                <w:rFonts w:ascii="Arial" w:cs="Arial" w:eastAsia="Arial" w:hAnsi="Arial"/>
                <w:sz w:val="13"/>
                <w:szCs w:val="13"/>
                <w:color w:val="auto"/>
              </w:rPr>
              <w:t>86</w:t>
            </w:r>
          </w:p>
        </w:tc>
        <w:tc>
          <w:tcPr>
            <w:tcW w:w="8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
              <w:spacing w:after="0"/>
              <w:rPr>
                <w:sz w:val="20"/>
                <w:szCs w:val="20"/>
                <w:color w:val="auto"/>
              </w:rPr>
            </w:pPr>
            <w:r>
              <w:rPr>
                <w:rFonts w:ascii="Arial" w:cs="Arial" w:eastAsia="Arial" w:hAnsi="Arial"/>
                <w:sz w:val="13"/>
                <w:szCs w:val="13"/>
                <w:color w:val="auto"/>
              </w:rPr>
              <w:t>28</w:t>
            </w: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r>
      <w:tr>
        <w:trPr>
          <w:trHeight w:val="169"/>
        </w:trPr>
        <w:tc>
          <w:tcPr>
            <w:tcW w:w="6660" w:type="dxa"/>
            <w:vAlign w:val="bottom"/>
          </w:tcPr>
          <w:p>
            <w:pPr>
              <w:ind w:left="20"/>
              <w:spacing w:after="0"/>
              <w:rPr>
                <w:sz w:val="20"/>
                <w:szCs w:val="20"/>
                <w:color w:val="auto"/>
              </w:rPr>
            </w:pPr>
            <w:r>
              <w:rPr>
                <w:rFonts w:ascii="Arial" w:cs="Arial" w:eastAsia="Arial" w:hAnsi="Arial"/>
                <w:sz w:val="13"/>
                <w:szCs w:val="13"/>
                <w:color w:val="auto"/>
              </w:rPr>
              <w:t>Loans and borrowings</w:t>
            </w:r>
          </w:p>
        </w:tc>
        <w:tc>
          <w:tcPr>
            <w:tcW w:w="340" w:type="dxa"/>
            <w:vAlign w:val="bottom"/>
          </w:tcPr>
          <w:p>
            <w:pPr>
              <w:ind w:left="20"/>
              <w:spacing w:after="0"/>
              <w:rPr>
                <w:sz w:val="20"/>
                <w:szCs w:val="20"/>
                <w:color w:val="auto"/>
              </w:rPr>
            </w:pPr>
            <w:r>
              <w:rPr>
                <w:rFonts w:ascii="Arial" w:cs="Arial" w:eastAsia="Arial" w:hAnsi="Arial"/>
                <w:sz w:val="11"/>
                <w:szCs w:val="11"/>
                <w:color w:val="auto"/>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ind w:left="20"/>
              <w:spacing w:after="0"/>
              <w:rPr>
                <w:sz w:val="20"/>
                <w:szCs w:val="20"/>
                <w:color w:val="auto"/>
              </w:rPr>
            </w:pPr>
            <w:r>
              <w:rPr>
                <w:rFonts w:ascii="Arial" w:cs="Arial" w:eastAsia="Arial" w:hAnsi="Arial"/>
                <w:sz w:val="11"/>
                <w:szCs w:val="11"/>
                <w:color w:val="auto"/>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and other payables</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(121)</w:t>
            </w:r>
          </w:p>
        </w:tc>
      </w:tr>
      <w:tr>
        <w:trPr>
          <w:trHeight w:val="151"/>
        </w:trPr>
        <w:tc>
          <w:tcPr>
            <w:tcW w:w="6660" w:type="dxa"/>
            <w:vAlign w:val="bottom"/>
          </w:tcPr>
          <w:p>
            <w:pPr>
              <w:spacing w:after="0"/>
              <w:rPr>
                <w:sz w:val="13"/>
                <w:szCs w:val="13"/>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(52)</w:t>
            </w:r>
          </w:p>
        </w:tc>
        <w:tc>
          <w:tcPr>
            <w:tcW w:w="80" w:type="dxa"/>
            <w:vAlign w:val="bottom"/>
          </w:tcPr>
          <w:p>
            <w:pPr>
              <w:spacing w:after="0"/>
              <w:rPr>
                <w:sz w:val="13"/>
                <w:szCs w:val="13"/>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(92)</w:t>
            </w:r>
          </w:p>
        </w:tc>
        <w:tc>
          <w:tcPr>
            <w:tcW w:w="80" w:type="dxa"/>
            <w:vAlign w:val="bottom"/>
          </w:tcPr>
          <w:p>
            <w:pPr>
              <w:spacing w:after="0"/>
              <w:rPr>
                <w:sz w:val="13"/>
                <w:szCs w:val="13"/>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(74)</w:t>
            </w:r>
          </w:p>
        </w:tc>
      </w:tr>
    </w:tbl>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 hypothetical 10% change in the relative value of the U.S. dollar to other currencies would not have a material impact on the consolidated statements of operations for the years ended December 31, 2023, 2022 and 2021, after taking into account foreign currency hedges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Credit Risk</w:t>
      </w:r>
      <w:r>
        <w:rPr>
          <w:rFonts w:ascii="Arial" w:cs="Arial" w:eastAsia="Arial" w:hAnsi="Arial"/>
          <w:sz w:val="13"/>
          <w:szCs w:val="13"/>
          <w:color w:val="auto"/>
        </w:rPr>
        <w:t>—Credit risk can be defined as the risk of suffering financial loss from financial instruments due to the failure by a counterparty to fulfill an obligation. Financial instruments that subject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Company to concentrations of credit risk include investments and cash equivalents, accounts receivable and derivatives. The Company generally places investments with high-credit-quality counterparties and, by policy, limits the amount of credit exposure to any one counterparty based on an analysis of that counterparty's relative credit standing. As required per the investment policy, substantially all of the Company’s investments in debt instruments are in investment-grade instruments. Counterparty credit-rating criteria for derivatives are similar to those for other investments.</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generally does not require collateral to secure accounts receivable. Credit risk with respect to trade receivables is mitigated by credit evaluations the Company performs on its customers, the short duration of payment terms for the significant majority of its customer contracts and by the diverse nature of the Company’s customer base. The expected credit losses of trade and other receivables are not significant.</w:t>
      </w:r>
    </w:p>
    <w:p>
      <w:pPr>
        <w:spacing w:after="0" w:line="5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Company’s ten largest customers account for approximately 79% and 74% of the outstanding trade receivables balance as of December 31, 2023 and 2022, respectively. The Company considers the concentration of credit risk for the remaining accounts receivable not material.</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Exposure to Credit Risk—</w:t>
      </w:r>
      <w:r>
        <w:rPr>
          <w:rFonts w:ascii="Arial" w:cs="Arial" w:eastAsia="Arial" w:hAnsi="Arial"/>
          <w:sz w:val="13"/>
          <w:szCs w:val="13"/>
          <w:color w:val="auto"/>
        </w:rPr>
        <w:t>The carrying amount of financial assets represents the assets’ maximum credit exposure.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aging of financial assets including trade receivables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Past Due but Not Impaired</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60"/>
              <w:spacing w:after="0" w:line="118" w:lineRule="exact"/>
              <w:rPr>
                <w:sz w:val="20"/>
                <w:szCs w:val="20"/>
                <w:color w:val="auto"/>
              </w:rPr>
            </w:pPr>
            <w:r>
              <w:rPr>
                <w:rFonts w:ascii="Arial" w:cs="Arial" w:eastAsia="Arial" w:hAnsi="Arial"/>
                <w:sz w:val="13"/>
                <w:szCs w:val="13"/>
                <w:b w:val="1"/>
                <w:bCs w:val="1"/>
                <w:color w:val="auto"/>
                <w:w w:val="98"/>
              </w:rPr>
              <w:t>Neither past</w:t>
            </w: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center"/>
              <w:ind w:right="176"/>
              <w:spacing w:after="0" w:line="118" w:lineRule="exact"/>
              <w:rPr>
                <w:sz w:val="20"/>
                <w:szCs w:val="20"/>
                <w:color w:val="auto"/>
              </w:rPr>
            </w:pPr>
            <w:r>
              <w:rPr>
                <w:rFonts w:ascii="Arial" w:cs="Arial" w:eastAsia="Arial" w:hAnsi="Arial"/>
                <w:sz w:val="13"/>
                <w:szCs w:val="13"/>
                <w:b w:val="1"/>
                <w:bCs w:val="1"/>
                <w:color w:val="auto"/>
                <w:w w:val="99"/>
              </w:rPr>
              <w:t>Great</w:t>
            </w:r>
          </w:p>
        </w:tc>
        <w:tc>
          <w:tcPr>
            <w:tcW w:w="0" w:type="dxa"/>
            <w:vAlign w:val="bottom"/>
          </w:tcPr>
          <w:p>
            <w:pPr>
              <w:spacing w:after="0"/>
              <w:rPr>
                <w:sz w:val="1"/>
                <w:szCs w:val="1"/>
                <w:color w:val="auto"/>
              </w:rPr>
            </w:pPr>
          </w:p>
        </w:tc>
      </w:tr>
      <w:tr>
        <w:trPr>
          <w:trHeight w:val="127"/>
        </w:trPr>
        <w:tc>
          <w:tcPr>
            <w:tcW w:w="37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11"/>
                <w:szCs w:val="11"/>
                <w:color w:val="auto"/>
              </w:rPr>
            </w:pPr>
          </w:p>
        </w:tc>
        <w:tc>
          <w:tcPr>
            <w:tcW w:w="920" w:type="dxa"/>
            <w:vAlign w:val="bottom"/>
            <w:vMerge w:val="restart"/>
          </w:tcPr>
          <w:p>
            <w:pPr>
              <w:jc w:val="right"/>
              <w:ind w:right="396"/>
              <w:spacing w:after="0"/>
              <w:rPr>
                <w:sz w:val="20"/>
                <w:szCs w:val="20"/>
                <w:color w:val="auto"/>
              </w:rPr>
            </w:pPr>
            <w:r>
              <w:rPr>
                <w:rFonts w:ascii="Arial" w:cs="Arial" w:eastAsia="Arial" w:hAnsi="Arial"/>
                <w:sz w:val="13"/>
                <w:szCs w:val="13"/>
                <w:b w:val="1"/>
                <w:bCs w:val="1"/>
                <w:color w:val="auto"/>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40"/>
              <w:spacing w:after="0" w:line="128" w:lineRule="exact"/>
              <w:rPr>
                <w:sz w:val="20"/>
                <w:szCs w:val="20"/>
                <w:color w:val="auto"/>
              </w:rPr>
            </w:pPr>
            <w:r>
              <w:rPr>
                <w:rFonts w:ascii="Arial" w:cs="Arial" w:eastAsia="Arial" w:hAnsi="Arial"/>
                <w:sz w:val="13"/>
                <w:szCs w:val="13"/>
                <w:b w:val="1"/>
                <w:bCs w:val="1"/>
                <w:color w:val="auto"/>
                <w:w w:val="94"/>
              </w:rPr>
              <w:t>Due Nor</w:t>
            </w:r>
          </w:p>
        </w:tc>
        <w:tc>
          <w:tcPr>
            <w:tcW w:w="200" w:type="dxa"/>
            <w:vAlign w:val="bottom"/>
          </w:tcPr>
          <w:p>
            <w:pPr>
              <w:spacing w:after="0"/>
              <w:rPr>
                <w:sz w:val="11"/>
                <w:szCs w:val="11"/>
                <w:color w:val="auto"/>
              </w:rPr>
            </w:pPr>
          </w:p>
        </w:tc>
        <w:tc>
          <w:tcPr>
            <w:tcW w:w="1000" w:type="dxa"/>
            <w:vAlign w:val="bottom"/>
            <w:vMerge w:val="restart"/>
          </w:tcPr>
          <w:p>
            <w:pPr>
              <w:jc w:val="right"/>
              <w:ind w:right="236"/>
              <w:spacing w:after="0"/>
              <w:rPr>
                <w:sz w:val="20"/>
                <w:szCs w:val="20"/>
                <w:color w:val="auto"/>
              </w:rPr>
            </w:pPr>
            <w:r>
              <w:rPr>
                <w:rFonts w:ascii="Arial" w:cs="Arial" w:eastAsia="Arial" w:hAnsi="Arial"/>
                <w:sz w:val="13"/>
                <w:szCs w:val="13"/>
                <w:b w:val="1"/>
                <w:bCs w:val="1"/>
                <w:color w:val="auto"/>
              </w:rPr>
              <w:t>&lt; 30 Days</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96"/>
              <w:spacing w:after="0"/>
              <w:rPr>
                <w:sz w:val="20"/>
                <w:szCs w:val="20"/>
                <w:color w:val="auto"/>
              </w:rPr>
            </w:pPr>
            <w:r>
              <w:rPr>
                <w:rFonts w:ascii="Arial" w:cs="Arial" w:eastAsia="Arial" w:hAnsi="Arial"/>
                <w:sz w:val="13"/>
                <w:szCs w:val="13"/>
                <w:b w:val="1"/>
                <w:bCs w:val="1"/>
                <w:color w:val="auto"/>
              </w:rPr>
              <w:t>31-90 Days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91-120 Days</w:t>
            </w:r>
          </w:p>
        </w:tc>
        <w:tc>
          <w:tcPr>
            <w:tcW w:w="8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176"/>
              <w:spacing w:after="0" w:line="128" w:lineRule="exact"/>
              <w:rPr>
                <w:sz w:val="20"/>
                <w:szCs w:val="20"/>
                <w:color w:val="auto"/>
              </w:rPr>
            </w:pPr>
            <w:r>
              <w:rPr>
                <w:rFonts w:ascii="Arial" w:cs="Arial" w:eastAsia="Arial" w:hAnsi="Arial"/>
                <w:sz w:val="13"/>
                <w:szCs w:val="13"/>
                <w:b w:val="1"/>
                <w:bCs w:val="1"/>
                <w:color w:val="auto"/>
                <w:w w:val="94"/>
              </w:rPr>
              <w:t>than</w:t>
            </w:r>
          </w:p>
        </w:tc>
        <w:tc>
          <w:tcPr>
            <w:tcW w:w="0" w:type="dxa"/>
            <w:vAlign w:val="bottom"/>
          </w:tcPr>
          <w:p>
            <w:pPr>
              <w:spacing w:after="0"/>
              <w:rPr>
                <w:sz w:val="1"/>
                <w:szCs w:val="1"/>
                <w:color w:val="auto"/>
              </w:rPr>
            </w:pPr>
          </w:p>
        </w:tc>
      </w:tr>
      <w:tr>
        <w:trPr>
          <w:trHeight w:val="170"/>
        </w:trPr>
        <w:tc>
          <w:tcPr>
            <w:tcW w:w="370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5"/>
              </w:rPr>
              <w:t>Impaired</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98"/>
              </w:rPr>
              <w:t>120 days</w:t>
            </w:r>
          </w:p>
        </w:tc>
        <w:tc>
          <w:tcPr>
            <w:tcW w:w="0" w:type="dxa"/>
            <w:vAlign w:val="bottom"/>
          </w:tcPr>
          <w:p>
            <w:pPr>
              <w:spacing w:after="0"/>
              <w:rPr>
                <w:sz w:val="1"/>
                <w:szCs w:val="1"/>
                <w:color w:val="auto"/>
              </w:rPr>
            </w:pPr>
          </w:p>
        </w:tc>
      </w:tr>
      <w:tr>
        <w:trPr>
          <w:trHeight w:val="160"/>
        </w:trPr>
        <w:tc>
          <w:tcPr>
            <w:tcW w:w="3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December 31, 2022</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2,254</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2,137</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3700" w:type="dxa"/>
            <w:vAlign w:val="bottom"/>
          </w:tcPr>
          <w:p>
            <w:pPr>
              <w:ind w:left="20"/>
              <w:spacing w:after="0"/>
              <w:rPr>
                <w:sz w:val="20"/>
                <w:szCs w:val="20"/>
                <w:color w:val="auto"/>
              </w:rPr>
            </w:pPr>
            <w:r>
              <w:rPr>
                <w:rFonts w:ascii="Arial" w:cs="Arial" w:eastAsia="Arial" w:hAnsi="Arial"/>
                <w:sz w:val="13"/>
                <w:szCs w:val="13"/>
                <w:color w:val="auto"/>
              </w:rPr>
              <w:t>December 31, 2023</w:t>
            </w: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2,785</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2,651</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ind w:left="8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Liquidity Risk</w:t>
      </w:r>
      <w:r>
        <w:rPr>
          <w:rFonts w:ascii="Arial" w:cs="Arial" w:eastAsia="Arial" w:hAnsi="Arial"/>
          <w:sz w:val="13"/>
          <w:szCs w:val="13"/>
          <w:i w:val="1"/>
          <w:iCs w:val="1"/>
          <w:color w:val="auto"/>
        </w:rPr>
        <w:t>—</w:t>
      </w:r>
      <w:r>
        <w:rPr>
          <w:rFonts w:ascii="Arial" w:cs="Arial" w:eastAsia="Arial" w:hAnsi="Arial"/>
          <w:sz w:val="13"/>
          <w:szCs w:val="13"/>
          <w:color w:val="auto"/>
        </w:rPr>
        <w:t>The Company monitors its risk of a shortage of funds by monitoring its cash flow situation. Ongoing cash forecasting and review processes have been set up to determine the amount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internal and external funding needed in order to meet the Company’s financial obligations as they become due. The Company has set up a process of mid- and long-term financial planning. The Company’s financing structure, including maturities of debt, is determined in response to the financing requirements identified with the long-term business planning process.</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summarizes the maturity profile of the Company’s financial liabilities: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rPr>
              <w:t>Carrying</w:t>
            </w:r>
          </w:p>
        </w:tc>
        <w:tc>
          <w:tcPr>
            <w:tcW w:w="240" w:type="dxa"/>
            <w:vAlign w:val="bottom"/>
          </w:tcPr>
          <w:p>
            <w:pPr>
              <w:spacing w:after="0"/>
              <w:rPr>
                <w:sz w:val="13"/>
                <w:szCs w:val="13"/>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Contractual</w:t>
            </w:r>
          </w:p>
        </w:tc>
        <w:tc>
          <w:tcPr>
            <w:tcW w:w="22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6"/>
              </w:rPr>
              <w:t>1 Year or</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ind w:right="156"/>
              <w:spacing w:after="0"/>
              <w:rPr>
                <w:sz w:val="20"/>
                <w:szCs w:val="20"/>
                <w:color w:val="auto"/>
              </w:rPr>
            </w:pPr>
            <w:r>
              <w:rPr>
                <w:rFonts w:ascii="Arial" w:cs="Arial" w:eastAsia="Arial" w:hAnsi="Arial"/>
                <w:sz w:val="13"/>
                <w:szCs w:val="13"/>
                <w:b w:val="1"/>
                <w:bCs w:val="1"/>
                <w:color w:val="auto"/>
                <w:w w:val="99"/>
              </w:rPr>
              <w:t>Greater</w:t>
            </w:r>
          </w:p>
        </w:tc>
        <w:tc>
          <w:tcPr>
            <w:tcW w:w="0" w:type="dxa"/>
            <w:vAlign w:val="bottom"/>
          </w:tcPr>
          <w:p>
            <w:pPr>
              <w:spacing w:after="0"/>
              <w:rPr>
                <w:sz w:val="1"/>
                <w:szCs w:val="1"/>
                <w:color w:val="auto"/>
              </w:rPr>
            </w:pPr>
          </w:p>
        </w:tc>
      </w:tr>
      <w:tr>
        <w:trPr>
          <w:trHeight w:val="127"/>
        </w:trPr>
        <w:tc>
          <w:tcPr>
            <w:tcW w:w="4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1 to 5 Years</w:t>
            </w:r>
          </w:p>
        </w:tc>
        <w:tc>
          <w:tcPr>
            <w:tcW w:w="220" w:type="dxa"/>
            <w:vAlign w:val="bottom"/>
          </w:tcPr>
          <w:p>
            <w:pPr>
              <w:spacing w:after="0"/>
              <w:rPr>
                <w:sz w:val="11"/>
                <w:szCs w:val="11"/>
                <w:color w:val="auto"/>
              </w:rPr>
            </w:pPr>
          </w:p>
        </w:tc>
        <w:tc>
          <w:tcPr>
            <w:tcW w:w="920" w:type="dxa"/>
            <w:vAlign w:val="bottom"/>
          </w:tcPr>
          <w:p>
            <w:pPr>
              <w:jc w:val="center"/>
              <w:ind w:right="156"/>
              <w:spacing w:after="0" w:line="128" w:lineRule="exact"/>
              <w:rPr>
                <w:sz w:val="20"/>
                <w:szCs w:val="20"/>
                <w:color w:val="auto"/>
              </w:rPr>
            </w:pPr>
            <w:r>
              <w:rPr>
                <w:rFonts w:ascii="Arial" w:cs="Arial" w:eastAsia="Arial" w:hAnsi="Arial"/>
                <w:sz w:val="13"/>
                <w:szCs w:val="13"/>
                <w:b w:val="1"/>
                <w:bCs w:val="1"/>
                <w:color w:val="auto"/>
                <w:w w:val="94"/>
              </w:rPr>
              <w:t>than</w:t>
            </w:r>
          </w:p>
        </w:tc>
        <w:tc>
          <w:tcPr>
            <w:tcW w:w="0" w:type="dxa"/>
            <w:vAlign w:val="bottom"/>
          </w:tcPr>
          <w:p>
            <w:pPr>
              <w:spacing w:after="0"/>
              <w:rPr>
                <w:sz w:val="1"/>
                <w:szCs w:val="1"/>
                <w:color w:val="auto"/>
              </w:rPr>
            </w:pPr>
          </w:p>
        </w:tc>
      </w:tr>
      <w:tr>
        <w:trPr>
          <w:trHeight w:val="170"/>
        </w:trPr>
        <w:tc>
          <w:tcPr>
            <w:tcW w:w="468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Value</w:t>
            </w:r>
          </w:p>
        </w:tc>
        <w:tc>
          <w:tcPr>
            <w:tcW w:w="24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3"/>
                <w:szCs w:val="13"/>
                <w:b w:val="1"/>
                <w:bCs w:val="1"/>
                <w:color w:val="auto"/>
              </w:rPr>
              <w:t>Cash Flows</w:t>
            </w:r>
          </w:p>
        </w:tc>
        <w:tc>
          <w:tcPr>
            <w:tcW w:w="22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Less</w:t>
            </w: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56"/>
              <w:spacing w:after="0"/>
              <w:rPr>
                <w:sz w:val="20"/>
                <w:szCs w:val="20"/>
                <w:color w:val="auto"/>
              </w:rPr>
            </w:pPr>
            <w:r>
              <w:rPr>
                <w:rFonts w:ascii="Arial" w:cs="Arial" w:eastAsia="Arial" w:hAnsi="Arial"/>
                <w:sz w:val="13"/>
                <w:szCs w:val="13"/>
                <w:b w:val="1"/>
                <w:bCs w:val="1"/>
                <w:color w:val="auto"/>
                <w:w w:val="99"/>
              </w:rPr>
              <w:t>5 Years</w:t>
            </w:r>
          </w:p>
        </w:tc>
        <w:tc>
          <w:tcPr>
            <w:tcW w:w="0" w:type="dxa"/>
            <w:vAlign w:val="bottom"/>
          </w:tcPr>
          <w:p>
            <w:pPr>
              <w:spacing w:after="0"/>
              <w:rPr>
                <w:sz w:val="1"/>
                <w:szCs w:val="1"/>
                <w:color w:val="auto"/>
              </w:rPr>
            </w:pPr>
          </w:p>
        </w:tc>
      </w:tr>
      <w:tr>
        <w:trPr>
          <w:trHeight w:val="150"/>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2022</w:t>
            </w: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680" w:type="dxa"/>
            <w:vAlign w:val="bottom"/>
          </w:tcPr>
          <w:p>
            <w:pPr>
              <w:ind w:left="20"/>
              <w:spacing w:after="0"/>
              <w:rPr>
                <w:sz w:val="20"/>
                <w:szCs w:val="20"/>
                <w:color w:val="auto"/>
              </w:rPr>
            </w:pPr>
            <w:r>
              <w:rPr>
                <w:rFonts w:ascii="Arial" w:cs="Arial" w:eastAsia="Arial" w:hAnsi="Arial"/>
                <w:sz w:val="13"/>
                <w:szCs w:val="13"/>
                <w:color w:val="auto"/>
              </w:rPr>
              <w:t>Loans and borrowings</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2,511</w:t>
            </w:r>
          </w:p>
        </w:tc>
        <w:tc>
          <w:tcPr>
            <w:tcW w:w="80" w:type="dxa"/>
            <w:vAlign w:val="bottom"/>
          </w:tcPr>
          <w:p>
            <w:pPr>
              <w:spacing w:after="0"/>
              <w:rPr>
                <w:sz w:val="14"/>
                <w:szCs w:val="14"/>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2,706</w:t>
            </w:r>
          </w:p>
        </w:tc>
        <w:tc>
          <w:tcPr>
            <w:tcW w:w="80" w:type="dxa"/>
            <w:vAlign w:val="bottom"/>
          </w:tcPr>
          <w:p>
            <w:pPr>
              <w:spacing w:after="0"/>
              <w:rPr>
                <w:sz w:val="14"/>
                <w:szCs w:val="14"/>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229</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1,443</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1,034</w:t>
            </w:r>
          </w:p>
        </w:tc>
        <w:tc>
          <w:tcPr>
            <w:tcW w:w="0" w:type="dxa"/>
            <w:vAlign w:val="bottom"/>
          </w:tcPr>
          <w:p>
            <w:pPr>
              <w:spacing w:after="0"/>
              <w:rPr>
                <w:sz w:val="1"/>
                <w:szCs w:val="1"/>
                <w:color w:val="auto"/>
              </w:rPr>
            </w:pPr>
          </w:p>
        </w:tc>
      </w:tr>
      <w:tr>
        <w:trPr>
          <w:trHeight w:val="171"/>
        </w:trPr>
        <w:tc>
          <w:tcPr>
            <w:tcW w:w="4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obligations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69"/>
        </w:trPr>
        <w:tc>
          <w:tcPr>
            <w:tcW w:w="4680" w:type="dxa"/>
            <w:vAlign w:val="bottom"/>
          </w:tcPr>
          <w:p>
            <w:pPr>
              <w:ind w:left="20"/>
              <w:spacing w:after="0"/>
              <w:rPr>
                <w:sz w:val="20"/>
                <w:szCs w:val="20"/>
                <w:color w:val="auto"/>
              </w:rPr>
            </w:pPr>
            <w:r>
              <w:rPr>
                <w:rFonts w:ascii="Arial" w:cs="Arial" w:eastAsia="Arial" w:hAnsi="Arial"/>
                <w:sz w:val="13"/>
                <w:szCs w:val="13"/>
                <w:color w:val="auto"/>
              </w:rPr>
              <w:t>Derivative liabilities</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4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payables and other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2,265</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2,265</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2,171</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w:t>
            </w: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5,187</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5,464</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2,553</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1,695</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1,216</w:t>
            </w:r>
          </w:p>
        </w:tc>
      </w:tr>
      <w:tr>
        <w:trPr>
          <w:trHeight w:val="150"/>
        </w:trPr>
        <w:tc>
          <w:tcPr>
            <w:tcW w:w="4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2023</w:t>
            </w: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69"/>
        </w:trPr>
        <w:tc>
          <w:tcPr>
            <w:tcW w:w="4680" w:type="dxa"/>
            <w:vAlign w:val="bottom"/>
          </w:tcPr>
          <w:p>
            <w:pPr>
              <w:ind w:left="20"/>
              <w:spacing w:after="0"/>
              <w:rPr>
                <w:sz w:val="20"/>
                <w:szCs w:val="20"/>
                <w:color w:val="auto"/>
              </w:rPr>
            </w:pPr>
            <w:r>
              <w:rPr>
                <w:rFonts w:ascii="Arial" w:cs="Arial" w:eastAsia="Arial" w:hAnsi="Arial"/>
                <w:sz w:val="13"/>
                <w:szCs w:val="13"/>
                <w:color w:val="auto"/>
              </w:rPr>
              <w:t>Loans and borrowings</w:t>
            </w: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2,372</w:t>
            </w:r>
          </w:p>
        </w:tc>
        <w:tc>
          <w:tcPr>
            <w:tcW w:w="80" w:type="dxa"/>
            <w:vAlign w:val="bottom"/>
          </w:tcPr>
          <w:p>
            <w:pPr>
              <w:spacing w:after="0"/>
              <w:rPr>
                <w:sz w:val="14"/>
                <w:szCs w:val="14"/>
                <w:color w:val="auto"/>
              </w:rPr>
            </w:pPr>
          </w:p>
        </w:tc>
        <w:tc>
          <w:tcPr>
            <w:tcW w:w="580" w:type="dxa"/>
            <w:vAlign w:val="bottom"/>
          </w:tcPr>
          <w:p>
            <w:pPr>
              <w:jc w:val="right"/>
              <w:ind w:right="4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2,558</w:t>
            </w:r>
          </w:p>
        </w:tc>
        <w:tc>
          <w:tcPr>
            <w:tcW w:w="80" w:type="dxa"/>
            <w:vAlign w:val="bottom"/>
          </w:tcPr>
          <w:p>
            <w:pPr>
              <w:spacing w:after="0"/>
              <w:rPr>
                <w:sz w:val="14"/>
                <w:szCs w:val="14"/>
                <w:color w:val="auto"/>
              </w:rPr>
            </w:pPr>
          </w:p>
        </w:tc>
        <w:tc>
          <w:tcPr>
            <w:tcW w:w="48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575</w:t>
            </w:r>
          </w:p>
        </w:tc>
        <w:tc>
          <w:tcPr>
            <w:tcW w:w="8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971</w:t>
            </w:r>
          </w:p>
        </w:tc>
        <w:tc>
          <w:tcPr>
            <w:tcW w:w="8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1,012</w:t>
            </w:r>
          </w:p>
        </w:tc>
      </w:tr>
      <w:tr>
        <w:trPr>
          <w:trHeight w:val="171"/>
        </w:trPr>
        <w:tc>
          <w:tcPr>
            <w:tcW w:w="4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obligations</w:t>
            </w: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w:t>
            </w:r>
          </w:p>
        </w:tc>
      </w:tr>
      <w:tr>
        <w:trPr>
          <w:trHeight w:val="169"/>
        </w:trPr>
        <w:tc>
          <w:tcPr>
            <w:tcW w:w="4680" w:type="dxa"/>
            <w:vAlign w:val="bottom"/>
          </w:tcPr>
          <w:p>
            <w:pPr>
              <w:ind w:left="20"/>
              <w:spacing w:after="0"/>
              <w:rPr>
                <w:sz w:val="20"/>
                <w:szCs w:val="20"/>
                <w:color w:val="auto"/>
              </w:rPr>
            </w:pPr>
            <w:r>
              <w:rPr>
                <w:rFonts w:ascii="Arial" w:cs="Arial" w:eastAsia="Arial" w:hAnsi="Arial"/>
                <w:sz w:val="13"/>
                <w:szCs w:val="13"/>
                <w:color w:val="auto"/>
              </w:rPr>
              <w:t>Derivative liabilities</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payables and other liabilities</w:t>
            </w:r>
          </w:p>
        </w:tc>
        <w:tc>
          <w:tcPr>
            <w:tcW w:w="4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1,438</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1,438</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1,354</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60"/>
        </w:trPr>
        <w:tc>
          <w:tcPr>
            <w:tcW w:w="468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4,248</w:t>
            </w:r>
          </w:p>
        </w:tc>
        <w:tc>
          <w:tcPr>
            <w:tcW w:w="80" w:type="dxa"/>
            <w:vAlign w:val="bottom"/>
          </w:tcPr>
          <w:p>
            <w:pPr>
              <w:spacing w:after="0"/>
              <w:rPr>
                <w:sz w:val="13"/>
                <w:szCs w:val="13"/>
                <w:color w:val="auto"/>
              </w:rPr>
            </w:pPr>
          </w:p>
        </w:tc>
        <w:tc>
          <w:tcPr>
            <w:tcW w:w="5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4,573</w:t>
            </w:r>
          </w:p>
        </w:tc>
        <w:tc>
          <w:tcPr>
            <w:tcW w:w="80" w:type="dxa"/>
            <w:vAlign w:val="bottom"/>
          </w:tcPr>
          <w:p>
            <w:pPr>
              <w:spacing w:after="0"/>
              <w:rPr>
                <w:sz w:val="13"/>
                <w:szCs w:val="13"/>
                <w:color w:val="auto"/>
              </w:rPr>
            </w:pPr>
          </w:p>
        </w:tc>
        <w:tc>
          <w:tcPr>
            <w:tcW w:w="4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80" w:type="dxa"/>
            <w:vAlign w:val="bottom"/>
          </w:tcPr>
          <w:p>
            <w:pPr>
              <w:spacing w:after="0"/>
              <w:rPr>
                <w:sz w:val="13"/>
                <w:szCs w:val="13"/>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1,234</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1,324</w:t>
            </w:r>
          </w:p>
        </w:tc>
      </w:tr>
    </w:tbl>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preparing the maturity profile, undiscounted interest payments are calculated based on contractual interest rates where these are fixed, or, in the case of discounted liabilities for leases, based on the interest rate implicit in the financing arrangement. For variable interest arrangements undiscounted payments are determined based on the interest rate prevailing at the reporting 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Assets and Liabilities Measured at Fair Value</w:t>
      </w:r>
      <w:r>
        <w:rPr>
          <w:rFonts w:ascii="Arial" w:cs="Arial" w:eastAsia="Arial" w:hAnsi="Arial"/>
          <w:sz w:val="13"/>
          <w:szCs w:val="13"/>
          <w:color w:val="auto"/>
        </w:rPr>
        <w:t>—The Company uses the following hierarchy for determining and disclosing the fair value of financial instruments by valuation technique:</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Level 1—</w:t>
      </w:r>
      <w:r>
        <w:rPr>
          <w:rFonts w:ascii="Arial" w:cs="Arial" w:eastAsia="Arial" w:hAnsi="Arial"/>
          <w:sz w:val="13"/>
          <w:szCs w:val="13"/>
          <w:color w:val="auto"/>
        </w:rPr>
        <w:t>observable inputs such as quoted prices in active markets for identical assets or liabilities</w:t>
      </w:r>
    </w:p>
    <w:p>
      <w:pPr>
        <w:spacing w:after="0" w:line="84" w:lineRule="exact"/>
        <w:rPr>
          <w:sz w:val="20"/>
          <w:szCs w:val="20"/>
          <w:color w:val="auto"/>
        </w:rPr>
      </w:pPr>
    </w:p>
    <w:p>
      <w:pPr>
        <w:ind w:left="260"/>
        <w:spacing w:after="0" w:line="283" w:lineRule="auto"/>
        <w:rPr>
          <w:sz w:val="20"/>
          <w:szCs w:val="20"/>
          <w:color w:val="auto"/>
        </w:rPr>
      </w:pPr>
      <w:r>
        <w:rPr>
          <w:rFonts w:ascii="Arial" w:cs="Arial" w:eastAsia="Arial" w:hAnsi="Arial"/>
          <w:sz w:val="13"/>
          <w:szCs w:val="13"/>
          <w:i w:val="1"/>
          <w:iCs w:val="1"/>
          <w:color w:val="auto"/>
        </w:rPr>
        <w:t>Level 2—</w:t>
      </w:r>
      <w:r>
        <w:rPr>
          <w:rFonts w:ascii="Arial" w:cs="Arial" w:eastAsia="Arial" w:hAnsi="Arial"/>
          <w:sz w:val="13"/>
          <w:szCs w:val="13"/>
          <w:color w:val="auto"/>
        </w:rPr>
        <w:t>inputs other than quoted prices in active markets in Level 1, such as quoted prices for similar assets or liabilities in active markets, quoted prices for similar assets or liabilities that are not</w:t>
      </w:r>
      <w:r>
        <w:rPr>
          <w:rFonts w:ascii="Arial" w:cs="Arial" w:eastAsia="Arial" w:hAnsi="Arial"/>
          <w:sz w:val="13"/>
          <w:szCs w:val="13"/>
          <w:i w:val="1"/>
          <w:iCs w:val="1"/>
          <w:color w:val="auto"/>
        </w:rPr>
        <w:t xml:space="preserve"> </w:t>
      </w:r>
      <w:r>
        <w:rPr>
          <w:rFonts w:ascii="Arial" w:cs="Arial" w:eastAsia="Arial" w:hAnsi="Arial"/>
          <w:sz w:val="13"/>
          <w:szCs w:val="13"/>
          <w:color w:val="auto"/>
        </w:rPr>
        <w:t>active; or other inputs that are observable or can be corroborated by observable market data for substantially the full term of the asset or liability; and</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Level 3—</w:t>
      </w:r>
      <w:r>
        <w:rPr>
          <w:rFonts w:ascii="Arial" w:cs="Arial" w:eastAsia="Arial" w:hAnsi="Arial"/>
          <w:sz w:val="13"/>
          <w:szCs w:val="13"/>
          <w:color w:val="auto"/>
        </w:rPr>
        <w:t>unobservable inputs for which little or no market data exists, therefore requiring management judgment to develop the Company’s own models with estimates and assumptions.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Cash Equivalents </w:t>
      </w:r>
      <w:r>
        <w:rPr>
          <w:rFonts w:ascii="Arial" w:cs="Arial" w:eastAsia="Arial" w:hAnsi="Arial"/>
          <w:sz w:val="13"/>
          <w:szCs w:val="13"/>
          <w:color w:val="auto"/>
        </w:rPr>
        <w:t>- Cash equivalents include investments in government obligation-based money market funds, other money market instruments and interest-bearing deposits with initial or remaining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terms of three months or less. The fair value of cash equivalents approximates its carrying value due to the short-term nature of these instruments.</w:t>
      </w:r>
    </w:p>
    <w:p>
      <w:pPr>
        <w:spacing w:after="0" w:line="4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Marketable Securities </w:t>
      </w:r>
      <w:r>
        <w:rPr>
          <w:rFonts w:ascii="Arial" w:cs="Arial" w:eastAsia="Arial" w:hAnsi="Arial"/>
          <w:sz w:val="13"/>
          <w:szCs w:val="13"/>
          <w:color w:val="auto"/>
        </w:rPr>
        <w:t>- Marketable securities utilizing Level 1 and Level 2 inputs include U.S. Treasury Securities, U.S. Government Sponsored Enterprises, floating rate securities, money market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mutual funds, corporate debt instruments and other Notes, bonds or debt securities issued by non-U.S. sovereign or multilateral entities, as these securities all have quoted prices in active markets.</w:t>
      </w:r>
    </w:p>
    <w:p>
      <w:pPr>
        <w:spacing w:after="0" w:line="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For assets and liabilities that are recognized at fair value on a recurring basis, the Company determines whether transfers have occurred between levels in the hierarchy by re-assessing categorization (based on the lowest level input that is significant to the fair value measurement as a whole) at the end of each reporting period. Foreign currency forward contracts are classified within Level 2. The fair values of foreign currency forward contracts are determined using quantitative models that require the use of multiple market inputs, including interest rates, prices and maturity dates to generate pricing curves,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which are used to value the positions. The market inputs are generally actively quoted and can be validated through external sources. For foreign currency forward contract asset and liability positions with maturity dates which fall between the dates of quoted prices, interpolation of rate or maturity scenarios are used in determining fair values. During the years ended December 31, 2023 and 2022, there were no transfers between Level 1, 2 and Level 3 fair value measurements.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Instruments Measured at Fair Value on a Recurring Basis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Company’s assets and liabilities measured at fair value on a recurring basis: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7"/>
              </w:rPr>
              <w:t>Fair Value Measurement at Reporting Date Using</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Quoted</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20"/>
              <w:spacing w:after="0" w:line="128" w:lineRule="exact"/>
              <w:rPr>
                <w:sz w:val="20"/>
                <w:szCs w:val="20"/>
                <w:color w:val="auto"/>
              </w:rPr>
            </w:pPr>
            <w:r>
              <w:rPr>
                <w:rFonts w:ascii="Arial" w:cs="Arial" w:eastAsia="Arial" w:hAnsi="Arial"/>
                <w:sz w:val="13"/>
                <w:szCs w:val="13"/>
                <w:b w:val="1"/>
                <w:bCs w:val="1"/>
                <w:color w:val="auto"/>
                <w:w w:val="97"/>
              </w:rPr>
              <w:t>Prices</w:t>
            </w: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vMerge w:val="restart"/>
          </w:tcPr>
          <w:p>
            <w:pPr>
              <w:jc w:val="center"/>
              <w:ind w:right="176"/>
              <w:spacing w:after="0"/>
              <w:rPr>
                <w:sz w:val="20"/>
                <w:szCs w:val="20"/>
                <w:color w:val="auto"/>
              </w:rPr>
            </w:pPr>
            <w:r>
              <w:rPr>
                <w:rFonts w:ascii="Arial" w:cs="Arial" w:eastAsia="Arial" w:hAnsi="Arial"/>
                <w:sz w:val="13"/>
                <w:szCs w:val="13"/>
                <w:b w:val="1"/>
                <w:bCs w:val="1"/>
                <w:color w:val="auto"/>
                <w:w w:val="96"/>
              </w:rPr>
              <w:t>Significant</w:t>
            </w:r>
          </w:p>
        </w:tc>
        <w:tc>
          <w:tcPr>
            <w:tcW w:w="0" w:type="dxa"/>
            <w:vAlign w:val="bottom"/>
          </w:tcPr>
          <w:p>
            <w:pPr>
              <w:spacing w:after="0"/>
              <w:rPr>
                <w:sz w:val="1"/>
                <w:szCs w:val="1"/>
                <w:color w:val="auto"/>
              </w:rPr>
            </w:pPr>
          </w:p>
        </w:tc>
      </w:tr>
      <w:tr>
        <w:trPr>
          <w:trHeight w:val="127"/>
        </w:trPr>
        <w:tc>
          <w:tcPr>
            <w:tcW w:w="4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98"/>
              </w:rPr>
              <w:t>Identical</w:t>
            </w:r>
          </w:p>
        </w:tc>
        <w:tc>
          <w:tcPr>
            <w:tcW w:w="240" w:type="dxa"/>
            <w:vAlign w:val="bottom"/>
          </w:tcPr>
          <w:p>
            <w:pPr>
              <w:spacing w:after="0"/>
              <w:rPr>
                <w:sz w:val="11"/>
                <w:szCs w:val="11"/>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9"/>
              </w:rPr>
              <w:t>Significant</w:t>
            </w:r>
          </w:p>
        </w:tc>
        <w:tc>
          <w:tcPr>
            <w:tcW w:w="2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95"/>
              </w:rPr>
              <w:t>Assets/</w:t>
            </w:r>
          </w:p>
        </w:tc>
        <w:tc>
          <w:tcPr>
            <w:tcW w:w="2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right="176"/>
              <w:spacing w:after="0" w:line="128" w:lineRule="exact"/>
              <w:rPr>
                <w:sz w:val="20"/>
                <w:szCs w:val="20"/>
                <w:color w:val="auto"/>
              </w:rPr>
            </w:pPr>
            <w:r>
              <w:rPr>
                <w:rFonts w:ascii="Arial" w:cs="Arial" w:eastAsia="Arial" w:hAnsi="Arial"/>
                <w:sz w:val="13"/>
                <w:szCs w:val="13"/>
                <w:b w:val="1"/>
                <w:bCs w:val="1"/>
                <w:color w:val="auto"/>
                <w:w w:val="97"/>
              </w:rPr>
              <w:t>Unobservable</w:t>
            </w:r>
          </w:p>
        </w:tc>
        <w:tc>
          <w:tcPr>
            <w:tcW w:w="0" w:type="dxa"/>
            <w:vAlign w:val="bottom"/>
          </w:tcPr>
          <w:p>
            <w:pPr>
              <w:spacing w:after="0"/>
              <w:rPr>
                <w:sz w:val="1"/>
                <w:szCs w:val="1"/>
                <w:color w:val="auto"/>
              </w:rPr>
            </w:pPr>
          </w:p>
        </w:tc>
      </w:tr>
      <w:tr>
        <w:trPr>
          <w:trHeight w:val="127"/>
        </w:trPr>
        <w:tc>
          <w:tcPr>
            <w:tcW w:w="4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99"/>
              </w:rPr>
              <w:t>Liabilities</w:t>
            </w:r>
          </w:p>
        </w:tc>
        <w:tc>
          <w:tcPr>
            <w:tcW w:w="240" w:type="dxa"/>
            <w:vAlign w:val="bottom"/>
          </w:tcPr>
          <w:p>
            <w:pPr>
              <w:spacing w:after="0"/>
              <w:rPr>
                <w:sz w:val="11"/>
                <w:szCs w:val="11"/>
                <w:color w:val="auto"/>
              </w:rPr>
            </w:pPr>
          </w:p>
        </w:tc>
        <w:tc>
          <w:tcPr>
            <w:tcW w:w="1340" w:type="dxa"/>
            <w:vAlign w:val="bottom"/>
            <w:gridSpan w:val="2"/>
          </w:tcPr>
          <w:p>
            <w:pPr>
              <w:jc w:val="center"/>
              <w:ind w:right="320"/>
              <w:spacing w:after="0" w:line="128" w:lineRule="exact"/>
              <w:rPr>
                <w:sz w:val="20"/>
                <w:szCs w:val="20"/>
                <w:color w:val="auto"/>
              </w:rPr>
            </w:pPr>
            <w:r>
              <w:rPr>
                <w:rFonts w:ascii="Arial" w:cs="Arial" w:eastAsia="Arial" w:hAnsi="Arial"/>
                <w:sz w:val="13"/>
                <w:szCs w:val="13"/>
                <w:b w:val="1"/>
                <w:bCs w:val="1"/>
                <w:color w:val="auto"/>
                <w:w w:val="95"/>
              </w:rPr>
              <w:t>Other Inputs</w:t>
            </w:r>
          </w:p>
        </w:tc>
        <w:tc>
          <w:tcPr>
            <w:tcW w:w="240" w:type="dxa"/>
            <w:vAlign w:val="bottom"/>
          </w:tcPr>
          <w:p>
            <w:pPr>
              <w:spacing w:after="0"/>
              <w:rPr>
                <w:sz w:val="11"/>
                <w:szCs w:val="11"/>
                <w:color w:val="auto"/>
              </w:rPr>
            </w:pPr>
          </w:p>
        </w:tc>
        <w:tc>
          <w:tcPr>
            <w:tcW w:w="1440" w:type="dxa"/>
            <w:vAlign w:val="bottom"/>
          </w:tcPr>
          <w:p>
            <w:pPr>
              <w:jc w:val="center"/>
              <w:ind w:right="176"/>
              <w:spacing w:after="0" w:line="128" w:lineRule="exact"/>
              <w:rPr>
                <w:sz w:val="20"/>
                <w:szCs w:val="20"/>
                <w:color w:val="auto"/>
              </w:rPr>
            </w:pPr>
            <w:r>
              <w:rPr>
                <w:rFonts w:ascii="Arial" w:cs="Arial" w:eastAsia="Arial" w:hAnsi="Arial"/>
                <w:sz w:val="13"/>
                <w:szCs w:val="13"/>
                <w:b w:val="1"/>
                <w:bCs w:val="1"/>
                <w:color w:val="auto"/>
              </w:rPr>
              <w:t>Inputs</w:t>
            </w: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(Level 1)</w:t>
            </w: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(Level 2)</w:t>
            </w:r>
          </w:p>
        </w:tc>
        <w:tc>
          <w:tcPr>
            <w:tcW w:w="240" w:type="dxa"/>
            <w:vAlign w:val="bottom"/>
          </w:tcPr>
          <w:p>
            <w:pPr>
              <w:spacing w:after="0"/>
              <w:rPr>
                <w:sz w:val="14"/>
                <w:szCs w:val="14"/>
                <w:color w:val="auto"/>
              </w:rPr>
            </w:pPr>
          </w:p>
        </w:tc>
        <w:tc>
          <w:tcPr>
            <w:tcW w:w="1440" w:type="dxa"/>
            <w:vAlign w:val="bottom"/>
          </w:tcPr>
          <w:p>
            <w:pPr>
              <w:jc w:val="center"/>
              <w:ind w:right="176"/>
              <w:spacing w:after="0"/>
              <w:rPr>
                <w:sz w:val="20"/>
                <w:szCs w:val="20"/>
                <w:color w:val="auto"/>
              </w:rPr>
            </w:pPr>
            <w:r>
              <w:rPr>
                <w:rFonts w:ascii="Arial" w:cs="Arial" w:eastAsia="Arial" w:hAnsi="Arial"/>
                <w:sz w:val="13"/>
                <w:szCs w:val="13"/>
                <w:b w:val="1"/>
                <w:bCs w:val="1"/>
                <w:color w:val="auto"/>
                <w:w w:val="98"/>
              </w:rPr>
              <w:t>(Level 3)</w:t>
            </w:r>
          </w:p>
        </w:tc>
        <w:tc>
          <w:tcPr>
            <w:tcW w:w="0" w:type="dxa"/>
            <w:vAlign w:val="bottom"/>
          </w:tcPr>
          <w:p>
            <w:pPr>
              <w:spacing w:after="0"/>
              <w:rPr>
                <w:sz w:val="1"/>
                <w:szCs w:val="1"/>
                <w:color w:val="auto"/>
              </w:rPr>
            </w:pPr>
          </w:p>
        </w:tc>
      </w:tr>
      <w:tr>
        <w:trPr>
          <w:trHeight w:val="150"/>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2022</w:t>
            </w:r>
          </w:p>
        </w:tc>
        <w:tc>
          <w:tcPr>
            <w:tcW w:w="3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line="170" w:lineRule="exact"/>
              <w:rPr>
                <w:sz w:val="20"/>
                <w:szCs w:val="20"/>
                <w:color w:val="auto"/>
              </w:rPr>
            </w:pPr>
            <w:r>
              <w:rPr>
                <w:rFonts w:ascii="Arial" w:cs="Arial" w:eastAsia="Arial" w:hAnsi="Arial"/>
                <w:sz w:val="13"/>
                <w:szCs w:val="13"/>
                <w:color w:val="auto"/>
              </w:rPr>
              <w:t>Cash equivalents</w:t>
            </w:r>
            <w:r>
              <w:rPr>
                <w:rFonts w:ascii="Arial" w:cs="Arial" w:eastAsia="Arial" w:hAnsi="Arial"/>
                <w:sz w:val="16"/>
                <w:szCs w:val="16"/>
                <w:color w:val="auto"/>
                <w:vertAlign w:val="superscript"/>
              </w:rPr>
              <w:t>(1)</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961</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961</w:t>
            </w:r>
          </w:p>
        </w:tc>
        <w:tc>
          <w:tcPr>
            <w:tcW w:w="80" w:type="dxa"/>
            <w:vAlign w:val="bottom"/>
          </w:tcPr>
          <w:p>
            <w:pPr>
              <w:spacing w:after="0"/>
              <w:rPr>
                <w:sz w:val="14"/>
                <w:szCs w:val="14"/>
                <w:color w:val="auto"/>
              </w:rPr>
            </w:pPr>
          </w:p>
        </w:tc>
        <w:tc>
          <w:tcPr>
            <w:tcW w:w="240" w:type="dxa"/>
            <w:vAlign w:val="bottom"/>
          </w:tcPr>
          <w:p>
            <w:pPr>
              <w:jc w:val="center"/>
              <w:ind w:right="56"/>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48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line="170" w:lineRule="exact"/>
              <w:rPr>
                <w:sz w:val="20"/>
                <w:szCs w:val="20"/>
                <w:color w:val="auto"/>
              </w:rPr>
            </w:pPr>
            <w:r>
              <w:rPr>
                <w:rFonts w:ascii="Arial" w:cs="Arial" w:eastAsia="Arial" w:hAnsi="Arial"/>
                <w:sz w:val="13"/>
                <w:szCs w:val="13"/>
                <w:color w:val="auto"/>
              </w:rPr>
              <w:t>Investments in equity instruments</w:t>
            </w:r>
            <w:r>
              <w:rPr>
                <w:rFonts w:ascii="Arial" w:cs="Arial" w:eastAsia="Arial" w:hAnsi="Arial"/>
                <w:sz w:val="16"/>
                <w:szCs w:val="16"/>
                <w:color w:val="auto"/>
                <w:vertAlign w:val="superscript"/>
              </w:rPr>
              <w:t>(2)</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center"/>
              <w:ind w:right="56"/>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92"/>
        </w:trPr>
        <w:tc>
          <w:tcPr>
            <w:tcW w:w="48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line="170" w:lineRule="exact"/>
              <w:rPr>
                <w:sz w:val="20"/>
                <w:szCs w:val="20"/>
                <w:color w:val="auto"/>
              </w:rPr>
            </w:pPr>
            <w:r>
              <w:rPr>
                <w:rFonts w:ascii="Arial" w:cs="Arial" w:eastAsia="Arial" w:hAnsi="Arial"/>
                <w:sz w:val="13"/>
                <w:szCs w:val="13"/>
                <w:color w:val="auto"/>
              </w:rPr>
              <w:t>Investment in marketable securities</w:t>
            </w:r>
            <w:r>
              <w:rPr>
                <w:rFonts w:ascii="Arial" w:cs="Arial" w:eastAsia="Arial" w:hAnsi="Arial"/>
                <w:sz w:val="16"/>
                <w:szCs w:val="16"/>
                <w:color w:val="auto"/>
                <w:vertAlign w:val="superscript"/>
              </w:rPr>
              <w:t>(3)</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994</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994</w:t>
            </w:r>
          </w:p>
        </w:tc>
        <w:tc>
          <w:tcPr>
            <w:tcW w:w="80" w:type="dxa"/>
            <w:vAlign w:val="bottom"/>
          </w:tcPr>
          <w:p>
            <w:pPr>
              <w:spacing w:after="0"/>
              <w:rPr>
                <w:sz w:val="14"/>
                <w:szCs w:val="14"/>
                <w:color w:val="auto"/>
              </w:rPr>
            </w:pPr>
          </w:p>
        </w:tc>
        <w:tc>
          <w:tcPr>
            <w:tcW w:w="240" w:type="dxa"/>
            <w:vAlign w:val="bottom"/>
          </w:tcPr>
          <w:p>
            <w:pPr>
              <w:jc w:val="center"/>
              <w:ind w:right="56"/>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48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line="170" w:lineRule="exact"/>
              <w:rPr>
                <w:sz w:val="20"/>
                <w:szCs w:val="20"/>
                <w:color w:val="auto"/>
              </w:rPr>
            </w:pPr>
            <w:r>
              <w:rPr>
                <w:rFonts w:ascii="Arial" w:cs="Arial" w:eastAsia="Arial" w:hAnsi="Arial"/>
                <w:sz w:val="13"/>
                <w:szCs w:val="13"/>
                <w:color w:val="auto"/>
              </w:rPr>
              <w:t>Derivatives</w:t>
            </w:r>
            <w:r>
              <w:rPr>
                <w:rFonts w:ascii="Arial" w:cs="Arial" w:eastAsia="Arial" w:hAnsi="Arial"/>
                <w:sz w:val="16"/>
                <w:szCs w:val="16"/>
                <w:color w:val="auto"/>
                <w:vertAlign w:val="superscript"/>
              </w:rPr>
              <w:t>(3)</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177</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center"/>
              <w:ind w:right="5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177</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48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line="170" w:lineRule="exact"/>
              <w:rPr>
                <w:sz w:val="20"/>
                <w:szCs w:val="20"/>
                <w:color w:val="auto"/>
              </w:rPr>
            </w:pPr>
            <w:r>
              <w:rPr>
                <w:rFonts w:ascii="Arial" w:cs="Arial" w:eastAsia="Arial" w:hAnsi="Arial"/>
                <w:sz w:val="13"/>
                <w:szCs w:val="13"/>
                <w:color w:val="auto"/>
              </w:rPr>
              <w:t>Derivatives</w:t>
            </w:r>
            <w:r>
              <w:rPr>
                <w:rFonts w:ascii="Arial" w:cs="Arial" w:eastAsia="Arial" w:hAnsi="Arial"/>
                <w:sz w:val="16"/>
                <w:szCs w:val="16"/>
                <w:color w:val="auto"/>
                <w:vertAlign w:val="superscript"/>
              </w:rPr>
              <w:t>(3)</w:t>
            </w: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41"/>
        </w:trPr>
        <w:tc>
          <w:tcPr>
            <w:tcW w:w="48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7"/>
              </w:rPr>
              <w:t>Fair Value Measurement at Reporting Date Using</w:t>
            </w: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Quoted</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20"/>
              <w:spacing w:after="0" w:line="128" w:lineRule="exact"/>
              <w:rPr>
                <w:sz w:val="20"/>
                <w:szCs w:val="20"/>
                <w:color w:val="auto"/>
              </w:rPr>
            </w:pPr>
            <w:r>
              <w:rPr>
                <w:rFonts w:ascii="Arial" w:cs="Arial" w:eastAsia="Arial" w:hAnsi="Arial"/>
                <w:sz w:val="13"/>
                <w:szCs w:val="13"/>
                <w:b w:val="1"/>
                <w:bCs w:val="1"/>
                <w:color w:val="auto"/>
                <w:w w:val="97"/>
              </w:rPr>
              <w:t>Prices</w:t>
            </w: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vMerge w:val="restart"/>
          </w:tcPr>
          <w:p>
            <w:pPr>
              <w:jc w:val="center"/>
              <w:ind w:right="176"/>
              <w:spacing w:after="0"/>
              <w:rPr>
                <w:sz w:val="20"/>
                <w:szCs w:val="20"/>
                <w:color w:val="auto"/>
              </w:rPr>
            </w:pPr>
            <w:r>
              <w:rPr>
                <w:rFonts w:ascii="Arial" w:cs="Arial" w:eastAsia="Arial" w:hAnsi="Arial"/>
                <w:sz w:val="13"/>
                <w:szCs w:val="13"/>
                <w:b w:val="1"/>
                <w:bCs w:val="1"/>
                <w:color w:val="auto"/>
                <w:w w:val="96"/>
              </w:rPr>
              <w:t>Significant</w:t>
            </w:r>
          </w:p>
        </w:tc>
        <w:tc>
          <w:tcPr>
            <w:tcW w:w="0" w:type="dxa"/>
            <w:vAlign w:val="bottom"/>
          </w:tcPr>
          <w:p>
            <w:pPr>
              <w:spacing w:after="0"/>
              <w:rPr>
                <w:sz w:val="1"/>
                <w:szCs w:val="1"/>
                <w:color w:val="auto"/>
              </w:rPr>
            </w:pPr>
          </w:p>
        </w:tc>
      </w:tr>
      <w:tr>
        <w:trPr>
          <w:trHeight w:val="127"/>
        </w:trPr>
        <w:tc>
          <w:tcPr>
            <w:tcW w:w="4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98"/>
              </w:rPr>
              <w:t>Identical</w:t>
            </w:r>
          </w:p>
        </w:tc>
        <w:tc>
          <w:tcPr>
            <w:tcW w:w="240" w:type="dxa"/>
            <w:vAlign w:val="bottom"/>
          </w:tcPr>
          <w:p>
            <w:pPr>
              <w:spacing w:after="0"/>
              <w:rPr>
                <w:sz w:val="11"/>
                <w:szCs w:val="11"/>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9"/>
              </w:rPr>
              <w:t>Significant</w:t>
            </w:r>
          </w:p>
        </w:tc>
        <w:tc>
          <w:tcPr>
            <w:tcW w:w="2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95"/>
              </w:rPr>
              <w:t>Assets/</w:t>
            </w:r>
          </w:p>
        </w:tc>
        <w:tc>
          <w:tcPr>
            <w:tcW w:w="2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right="176"/>
              <w:spacing w:after="0" w:line="128" w:lineRule="exact"/>
              <w:rPr>
                <w:sz w:val="20"/>
                <w:szCs w:val="20"/>
                <w:color w:val="auto"/>
              </w:rPr>
            </w:pPr>
            <w:r>
              <w:rPr>
                <w:rFonts w:ascii="Arial" w:cs="Arial" w:eastAsia="Arial" w:hAnsi="Arial"/>
                <w:sz w:val="13"/>
                <w:szCs w:val="13"/>
                <w:b w:val="1"/>
                <w:bCs w:val="1"/>
                <w:color w:val="auto"/>
                <w:w w:val="97"/>
              </w:rPr>
              <w:t>Unobservable</w:t>
            </w:r>
          </w:p>
        </w:tc>
        <w:tc>
          <w:tcPr>
            <w:tcW w:w="0" w:type="dxa"/>
            <w:vAlign w:val="bottom"/>
          </w:tcPr>
          <w:p>
            <w:pPr>
              <w:spacing w:after="0"/>
              <w:rPr>
                <w:sz w:val="1"/>
                <w:szCs w:val="1"/>
                <w:color w:val="auto"/>
              </w:rPr>
            </w:pPr>
          </w:p>
        </w:tc>
      </w:tr>
      <w:tr>
        <w:trPr>
          <w:trHeight w:val="127"/>
        </w:trPr>
        <w:tc>
          <w:tcPr>
            <w:tcW w:w="4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99"/>
              </w:rPr>
              <w:t>Liabilities</w:t>
            </w:r>
          </w:p>
        </w:tc>
        <w:tc>
          <w:tcPr>
            <w:tcW w:w="240" w:type="dxa"/>
            <w:vAlign w:val="bottom"/>
          </w:tcPr>
          <w:p>
            <w:pPr>
              <w:spacing w:after="0"/>
              <w:rPr>
                <w:sz w:val="11"/>
                <w:szCs w:val="11"/>
                <w:color w:val="auto"/>
              </w:rPr>
            </w:pPr>
          </w:p>
        </w:tc>
        <w:tc>
          <w:tcPr>
            <w:tcW w:w="1340" w:type="dxa"/>
            <w:vAlign w:val="bottom"/>
            <w:gridSpan w:val="2"/>
          </w:tcPr>
          <w:p>
            <w:pPr>
              <w:jc w:val="center"/>
              <w:ind w:right="320"/>
              <w:spacing w:after="0" w:line="128" w:lineRule="exact"/>
              <w:rPr>
                <w:sz w:val="20"/>
                <w:szCs w:val="20"/>
                <w:color w:val="auto"/>
              </w:rPr>
            </w:pPr>
            <w:r>
              <w:rPr>
                <w:rFonts w:ascii="Arial" w:cs="Arial" w:eastAsia="Arial" w:hAnsi="Arial"/>
                <w:sz w:val="13"/>
                <w:szCs w:val="13"/>
                <w:b w:val="1"/>
                <w:bCs w:val="1"/>
                <w:color w:val="auto"/>
                <w:w w:val="95"/>
              </w:rPr>
              <w:t>Other Inputs</w:t>
            </w:r>
          </w:p>
        </w:tc>
        <w:tc>
          <w:tcPr>
            <w:tcW w:w="240" w:type="dxa"/>
            <w:vAlign w:val="bottom"/>
          </w:tcPr>
          <w:p>
            <w:pPr>
              <w:spacing w:after="0"/>
              <w:rPr>
                <w:sz w:val="11"/>
                <w:szCs w:val="11"/>
                <w:color w:val="auto"/>
              </w:rPr>
            </w:pPr>
          </w:p>
        </w:tc>
        <w:tc>
          <w:tcPr>
            <w:tcW w:w="1440" w:type="dxa"/>
            <w:vAlign w:val="bottom"/>
          </w:tcPr>
          <w:p>
            <w:pPr>
              <w:jc w:val="center"/>
              <w:ind w:right="176"/>
              <w:spacing w:after="0" w:line="128" w:lineRule="exact"/>
              <w:rPr>
                <w:sz w:val="20"/>
                <w:szCs w:val="20"/>
                <w:color w:val="auto"/>
              </w:rPr>
            </w:pPr>
            <w:r>
              <w:rPr>
                <w:rFonts w:ascii="Arial" w:cs="Arial" w:eastAsia="Arial" w:hAnsi="Arial"/>
                <w:sz w:val="13"/>
                <w:szCs w:val="13"/>
                <w:b w:val="1"/>
                <w:bCs w:val="1"/>
                <w:color w:val="auto"/>
              </w:rPr>
              <w:t>Inputs</w:t>
            </w: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(Level 1)</w:t>
            </w: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(Level 2)</w:t>
            </w:r>
          </w:p>
        </w:tc>
        <w:tc>
          <w:tcPr>
            <w:tcW w:w="240" w:type="dxa"/>
            <w:vAlign w:val="bottom"/>
          </w:tcPr>
          <w:p>
            <w:pPr>
              <w:spacing w:after="0"/>
              <w:rPr>
                <w:sz w:val="14"/>
                <w:szCs w:val="14"/>
                <w:color w:val="auto"/>
              </w:rPr>
            </w:pPr>
          </w:p>
        </w:tc>
        <w:tc>
          <w:tcPr>
            <w:tcW w:w="1440" w:type="dxa"/>
            <w:vAlign w:val="bottom"/>
          </w:tcPr>
          <w:p>
            <w:pPr>
              <w:jc w:val="center"/>
              <w:ind w:right="176"/>
              <w:spacing w:after="0"/>
              <w:rPr>
                <w:sz w:val="20"/>
                <w:szCs w:val="20"/>
                <w:color w:val="auto"/>
              </w:rPr>
            </w:pPr>
            <w:r>
              <w:rPr>
                <w:rFonts w:ascii="Arial" w:cs="Arial" w:eastAsia="Arial" w:hAnsi="Arial"/>
                <w:sz w:val="13"/>
                <w:szCs w:val="13"/>
                <w:b w:val="1"/>
                <w:bCs w:val="1"/>
                <w:color w:val="auto"/>
                <w:w w:val="98"/>
              </w:rPr>
              <w:t>(Level 3)</w:t>
            </w:r>
          </w:p>
        </w:tc>
        <w:tc>
          <w:tcPr>
            <w:tcW w:w="0" w:type="dxa"/>
            <w:vAlign w:val="bottom"/>
          </w:tcPr>
          <w:p>
            <w:pPr>
              <w:spacing w:after="0"/>
              <w:rPr>
                <w:sz w:val="1"/>
                <w:szCs w:val="1"/>
                <w:color w:val="auto"/>
              </w:rPr>
            </w:pPr>
          </w:p>
        </w:tc>
      </w:tr>
      <w:tr>
        <w:trPr>
          <w:trHeight w:val="150"/>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2023</w:t>
            </w:r>
          </w:p>
        </w:tc>
        <w:tc>
          <w:tcPr>
            <w:tcW w:w="3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 xml:space="preserve">Cash equivalents </w:t>
            </w:r>
            <w:r>
              <w:rPr>
                <w:rFonts w:ascii="Arial" w:cs="Arial" w:eastAsia="Arial" w:hAnsi="Arial"/>
                <w:sz w:val="16"/>
                <w:szCs w:val="16"/>
                <w:color w:val="auto"/>
                <w:vertAlign w:val="superscript"/>
              </w:rPr>
              <w:t>(1)</w:t>
            </w: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1,897</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1,626</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4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Investments in equity instruments </w:t>
            </w:r>
            <w:r>
              <w:rPr>
                <w:rFonts w:ascii="Arial" w:cs="Arial" w:eastAsia="Arial" w:hAnsi="Arial"/>
                <w:sz w:val="16"/>
                <w:szCs w:val="16"/>
                <w:color w:val="auto"/>
                <w:vertAlign w:val="superscript"/>
              </w:rPr>
              <w:t>(2)</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center"/>
              <w:ind w:right="56"/>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92"/>
        </w:trPr>
        <w:tc>
          <w:tcPr>
            <w:tcW w:w="48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88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Investments in marketable securities</w:t>
            </w:r>
            <w:r>
              <w:rPr>
                <w:rFonts w:ascii="Arial" w:cs="Arial" w:eastAsia="Arial" w:hAnsi="Arial"/>
                <w:sz w:val="16"/>
                <w:szCs w:val="16"/>
                <w:color w:val="auto"/>
                <w:vertAlign w:val="superscript"/>
              </w:rPr>
              <w:t>(3)</w:t>
            </w: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1,501</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1,189</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48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line="170" w:lineRule="exact"/>
              <w:rPr>
                <w:sz w:val="20"/>
                <w:szCs w:val="20"/>
                <w:color w:val="auto"/>
              </w:rPr>
            </w:pPr>
            <w:r>
              <w:rPr>
                <w:rFonts w:ascii="Arial" w:cs="Arial" w:eastAsia="Arial" w:hAnsi="Arial"/>
                <w:sz w:val="13"/>
                <w:szCs w:val="13"/>
                <w:color w:val="auto"/>
              </w:rPr>
              <w:t>Derivatives</w:t>
            </w:r>
            <w:r>
              <w:rPr>
                <w:rFonts w:ascii="Arial" w:cs="Arial" w:eastAsia="Arial" w:hAnsi="Arial"/>
                <w:sz w:val="16"/>
                <w:szCs w:val="16"/>
                <w:color w:val="auto"/>
                <w:vertAlign w:val="superscript"/>
              </w:rPr>
              <w:t>(4)</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132</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center"/>
              <w:ind w:right="5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132</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48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line="170" w:lineRule="exact"/>
              <w:rPr>
                <w:sz w:val="20"/>
                <w:szCs w:val="20"/>
                <w:color w:val="auto"/>
              </w:rPr>
            </w:pPr>
            <w:r>
              <w:rPr>
                <w:rFonts w:ascii="Arial" w:cs="Arial" w:eastAsia="Arial" w:hAnsi="Arial"/>
                <w:sz w:val="13"/>
                <w:szCs w:val="13"/>
                <w:color w:val="auto"/>
              </w:rPr>
              <w:t>Derivatives</w:t>
            </w:r>
            <w:r>
              <w:rPr>
                <w:rFonts w:ascii="Arial" w:cs="Arial" w:eastAsia="Arial" w:hAnsi="Arial"/>
                <w:sz w:val="16"/>
                <w:szCs w:val="16"/>
                <w:color w:val="auto"/>
                <w:vertAlign w:val="superscript"/>
              </w:rPr>
              <w:t>(4)</w:t>
            </w: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260" w:hanging="255"/>
        <w:spacing w:after="0"/>
        <w:tabs>
          <w:tab w:leader="none" w:pos="260" w:val="left"/>
        </w:tabs>
        <w:numPr>
          <w:ilvl w:val="0"/>
          <w:numId w:val="122"/>
        </w:numPr>
        <w:rPr>
          <w:rFonts w:ascii="Arial" w:cs="Arial" w:eastAsia="Arial" w:hAnsi="Arial"/>
          <w:sz w:val="17"/>
          <w:szCs w:val="17"/>
          <w:color w:val="auto"/>
          <w:vertAlign w:val="superscript"/>
        </w:rPr>
      </w:pPr>
      <w:r>
        <w:rPr>
          <w:rFonts w:ascii="Arial" w:cs="Arial" w:eastAsia="Arial" w:hAnsi="Arial"/>
          <w:sz w:val="13"/>
          <w:szCs w:val="13"/>
          <w:color w:val="auto"/>
        </w:rPr>
        <w:t>Included in cash and cash equivalents on the Company’s consolidated statements of financial position.</w:t>
      </w:r>
    </w:p>
    <w:p>
      <w:pPr>
        <w:spacing w:after="0" w:line="55" w:lineRule="exact"/>
        <w:rPr>
          <w:rFonts w:ascii="Arial" w:cs="Arial" w:eastAsia="Arial" w:hAnsi="Arial"/>
          <w:sz w:val="17"/>
          <w:szCs w:val="17"/>
          <w:color w:val="auto"/>
          <w:vertAlign w:val="superscript"/>
        </w:rPr>
      </w:pPr>
    </w:p>
    <w:p>
      <w:pPr>
        <w:ind w:left="260" w:hanging="255"/>
        <w:spacing w:after="0" w:line="230" w:lineRule="auto"/>
        <w:tabs>
          <w:tab w:leader="none" w:pos="260" w:val="left"/>
        </w:tabs>
        <w:numPr>
          <w:ilvl w:val="0"/>
          <w:numId w:val="122"/>
        </w:numPr>
        <w:rPr>
          <w:rFonts w:ascii="Arial" w:cs="Arial" w:eastAsia="Arial" w:hAnsi="Arial"/>
          <w:sz w:val="17"/>
          <w:szCs w:val="17"/>
          <w:color w:val="auto"/>
          <w:vertAlign w:val="superscript"/>
        </w:rPr>
      </w:pPr>
      <w:r>
        <w:rPr>
          <w:rFonts w:ascii="Arial" w:cs="Arial" w:eastAsia="Arial" w:hAnsi="Arial"/>
          <w:sz w:val="13"/>
          <w:szCs w:val="13"/>
          <w:color w:val="auto"/>
        </w:rPr>
        <w:t>Included in current and non-current receivables, prepayments and other assets on the Company’s consolidated statements of financial position.</w:t>
      </w:r>
    </w:p>
    <w:p>
      <w:pPr>
        <w:spacing w:after="0" w:line="46" w:lineRule="exact"/>
        <w:rPr>
          <w:rFonts w:ascii="Arial" w:cs="Arial" w:eastAsia="Arial" w:hAnsi="Arial"/>
          <w:sz w:val="17"/>
          <w:szCs w:val="17"/>
          <w:color w:val="auto"/>
          <w:vertAlign w:val="superscript"/>
        </w:rPr>
      </w:pPr>
    </w:p>
    <w:p>
      <w:pPr>
        <w:ind w:left="260" w:hanging="255"/>
        <w:spacing w:after="0" w:line="230" w:lineRule="auto"/>
        <w:tabs>
          <w:tab w:leader="none" w:pos="260" w:val="left"/>
        </w:tabs>
        <w:numPr>
          <w:ilvl w:val="0"/>
          <w:numId w:val="122"/>
        </w:numPr>
        <w:rPr>
          <w:rFonts w:ascii="Arial" w:cs="Arial" w:eastAsia="Arial" w:hAnsi="Arial"/>
          <w:sz w:val="17"/>
          <w:szCs w:val="17"/>
          <w:color w:val="auto"/>
          <w:vertAlign w:val="superscript"/>
        </w:rPr>
      </w:pPr>
      <w:r>
        <w:rPr>
          <w:rFonts w:ascii="Arial" w:cs="Arial" w:eastAsia="Arial" w:hAnsi="Arial"/>
          <w:sz w:val="13"/>
          <w:szCs w:val="13"/>
          <w:color w:val="auto"/>
        </w:rPr>
        <w:t>Included in current and non-current marketable securities on the Company’s consolidated statements of financial position.</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p>
      <w:pPr>
        <w:ind w:left="260" w:right="460" w:hanging="255"/>
        <w:spacing w:after="0" w:line="219" w:lineRule="auto"/>
        <w:tabs>
          <w:tab w:leader="none" w:pos="255" w:val="left"/>
        </w:tabs>
        <w:numPr>
          <w:ilvl w:val="0"/>
          <w:numId w:val="123"/>
        </w:numPr>
        <w:rPr>
          <w:rFonts w:ascii="Arial" w:cs="Arial" w:eastAsia="Arial" w:hAnsi="Arial"/>
          <w:sz w:val="17"/>
          <w:szCs w:val="17"/>
          <w:color w:val="auto"/>
          <w:vertAlign w:val="superscript"/>
        </w:rPr>
      </w:pPr>
      <w:r>
        <w:rPr>
          <w:rFonts w:ascii="Arial" w:cs="Arial" w:eastAsia="Arial" w:hAnsi="Arial"/>
          <w:sz w:val="13"/>
          <w:szCs w:val="13"/>
          <w:color w:val="auto"/>
        </w:rPr>
        <w:t>Consists of foreign currency forward contracts, interest rate swaps, cross currency swaps and commodity swaps. Included in other current and non-current financial assets and liabilities, as applicable, on the Company’s consolidated statements of financial position.</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Assets Measured and Recorded at Fair Value on a Non-Recurring Basis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Certain assets such as equity method investments, intangible assets and property, plant and equipment, and other non-financial assets, are recorded at fair value only if an impairment or observable price adjustment is recognized in the current period.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Instruments Not Recorded at Fair Value on a Recurring Basis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Financial instruments not recorded at fair value on a recurring basis include non-marketable equity securities (that have not been re-measured or impaired in the current period), grants receivable, loans receivable, lease obligations and the current and non-current portions of the Company’s long-term debt.</w:t>
      </w:r>
    </w:p>
    <w:p>
      <w:pPr>
        <w:spacing w:after="0" w:line="4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following table shows the carrying and fair values of the Company’s financial liabilities at amortized cost (“FLAC”) not recorded at fair value on a recurring basis. It does not include fair value information for financial assets and financial liabilities not measured at fair value if the carrying amount is a reasonable approximation of fair value.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gridSpan w:val="2"/>
          </w:tcPr>
          <w:p>
            <w:pPr>
              <w:ind w:left="20"/>
              <w:spacing w:after="0"/>
              <w:rPr>
                <w:sz w:val="20"/>
                <w:szCs w:val="20"/>
                <w:color w:val="auto"/>
              </w:rPr>
            </w:pPr>
            <w:r>
              <w:rPr>
                <w:rFonts w:ascii="Arial" w:cs="Arial" w:eastAsia="Arial" w:hAnsi="Arial"/>
                <w:sz w:val="11"/>
                <w:szCs w:val="11"/>
                <w:b w:val="1"/>
                <w:bCs w:val="1"/>
                <w:color w:val="auto"/>
              </w:rPr>
              <w:t>(in millions)</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876"/>
              <w:spacing w:after="0"/>
              <w:rPr>
                <w:sz w:val="20"/>
                <w:szCs w:val="20"/>
                <w:color w:val="auto"/>
              </w:rPr>
            </w:pPr>
            <w:r>
              <w:rPr>
                <w:rFonts w:ascii="Arial" w:cs="Arial" w:eastAsia="Arial" w:hAnsi="Arial"/>
                <w:sz w:val="13"/>
                <w:szCs w:val="13"/>
                <w:b w:val="1"/>
                <w:bCs w:val="1"/>
                <w:color w:val="auto"/>
              </w:rPr>
              <w:t>December 31, 2023</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9"/>
          </w:tcPr>
          <w:p>
            <w:pPr>
              <w:ind w:left="660"/>
              <w:spacing w:after="0"/>
              <w:rPr>
                <w:sz w:val="20"/>
                <w:szCs w:val="20"/>
                <w:color w:val="auto"/>
              </w:rPr>
            </w:pPr>
            <w:r>
              <w:rPr>
                <w:rFonts w:ascii="Arial" w:cs="Arial" w:eastAsia="Arial" w:hAnsi="Arial"/>
                <w:sz w:val="13"/>
                <w:szCs w:val="13"/>
                <w:b w:val="1"/>
                <w:bCs w:val="1"/>
                <w:color w:val="auto"/>
              </w:rPr>
              <w:t>December 31, 2022</w:t>
            </w:r>
          </w:p>
        </w:tc>
        <w:tc>
          <w:tcPr>
            <w:tcW w:w="0" w:type="dxa"/>
            <w:vAlign w:val="bottom"/>
          </w:tcPr>
          <w:p>
            <w:pPr>
              <w:spacing w:after="0"/>
              <w:rPr>
                <w:sz w:val="1"/>
                <w:szCs w:val="1"/>
                <w:color w:val="auto"/>
              </w:rPr>
            </w:pPr>
          </w:p>
        </w:tc>
      </w:tr>
      <w:tr>
        <w:trPr>
          <w:trHeight w:val="118"/>
        </w:trPr>
        <w:tc>
          <w:tcPr>
            <w:tcW w:w="34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Financial Liability</w:t>
            </w:r>
          </w:p>
        </w:tc>
        <w:tc>
          <w:tcPr>
            <w:tcW w:w="80" w:type="dxa"/>
            <w:vAlign w:val="bottom"/>
            <w:vMerge w:val="restart"/>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Category</w:t>
            </w:r>
          </w:p>
        </w:tc>
        <w:tc>
          <w:tcPr>
            <w:tcW w:w="8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gridSpan w:val="2"/>
          </w:tcPr>
          <w:p>
            <w:pPr>
              <w:ind w:left="200"/>
              <w:spacing w:after="0" w:line="118" w:lineRule="exact"/>
              <w:rPr>
                <w:sz w:val="20"/>
                <w:szCs w:val="20"/>
                <w:color w:val="auto"/>
              </w:rPr>
            </w:pPr>
            <w:r>
              <w:rPr>
                <w:rFonts w:ascii="Arial" w:cs="Arial" w:eastAsia="Arial" w:hAnsi="Arial"/>
                <w:sz w:val="13"/>
                <w:szCs w:val="13"/>
                <w:b w:val="1"/>
                <w:bCs w:val="1"/>
                <w:color w:val="auto"/>
              </w:rPr>
              <w:t>Carrying</w:t>
            </w:r>
          </w:p>
        </w:tc>
        <w:tc>
          <w:tcPr>
            <w:tcW w:w="260" w:type="dxa"/>
            <w:vAlign w:val="bottom"/>
          </w:tcPr>
          <w:p>
            <w:pPr>
              <w:spacing w:after="0"/>
              <w:rPr>
                <w:sz w:val="10"/>
                <w:szCs w:val="10"/>
                <w:color w:val="auto"/>
              </w:rPr>
            </w:pPr>
          </w:p>
        </w:tc>
        <w:tc>
          <w:tcPr>
            <w:tcW w:w="1220" w:type="dxa"/>
            <w:vAlign w:val="bottom"/>
            <w:vMerge w:val="restart"/>
          </w:tcPr>
          <w:p>
            <w:pPr>
              <w:jc w:val="right"/>
              <w:ind w:right="376"/>
              <w:spacing w:after="0"/>
              <w:rPr>
                <w:sz w:val="20"/>
                <w:szCs w:val="20"/>
                <w:color w:val="auto"/>
              </w:rPr>
            </w:pPr>
            <w:r>
              <w:rPr>
                <w:rFonts w:ascii="Arial" w:cs="Arial" w:eastAsia="Arial" w:hAnsi="Arial"/>
                <w:sz w:val="13"/>
                <w:szCs w:val="13"/>
                <w:b w:val="1"/>
                <w:bCs w:val="1"/>
                <w:color w:val="auto"/>
              </w:rPr>
              <w:t>Fair Value</w:t>
            </w:r>
          </w:p>
        </w:tc>
        <w:tc>
          <w:tcPr>
            <w:tcW w:w="8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4"/>
          </w:tcPr>
          <w:p>
            <w:pPr>
              <w:jc w:val="center"/>
              <w:ind w:right="380"/>
              <w:spacing w:after="0" w:line="118" w:lineRule="exact"/>
              <w:rPr>
                <w:sz w:val="20"/>
                <w:szCs w:val="20"/>
                <w:color w:val="auto"/>
              </w:rPr>
            </w:pPr>
            <w:r>
              <w:rPr>
                <w:rFonts w:ascii="Arial" w:cs="Arial" w:eastAsia="Arial" w:hAnsi="Arial"/>
                <w:sz w:val="13"/>
                <w:szCs w:val="13"/>
                <w:b w:val="1"/>
                <w:bCs w:val="1"/>
                <w:color w:val="auto"/>
              </w:rPr>
              <w:t>Carrying</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gridSpan w:val="3"/>
            <w:vMerge w:val="restart"/>
          </w:tcPr>
          <w:p>
            <w:pPr>
              <w:ind w:left="3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70"/>
        </w:trPr>
        <w:tc>
          <w:tcPr>
            <w:tcW w:w="34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40" w:type="dxa"/>
            <w:vAlign w:val="bottom"/>
            <w:tcBorders>
              <w:bottom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Other long-term debt</w:t>
            </w:r>
          </w:p>
        </w:tc>
        <w:tc>
          <w:tcPr>
            <w:tcW w:w="1560" w:type="dxa"/>
            <w:vAlign w:val="bottom"/>
            <w:tcBorders>
              <w:bottom w:val="single" w:sz="8" w:color="CCEEFF"/>
            </w:tcBorders>
            <w:gridSpan w:val="2"/>
            <w:shd w:val="clear" w:color="auto" w:fill="CCEEFF"/>
          </w:tcPr>
          <w:p>
            <w:pPr>
              <w:jc w:val="center"/>
              <w:ind w:right="80"/>
              <w:spacing w:after="0" w:line="129" w:lineRule="exact"/>
              <w:rPr>
                <w:sz w:val="20"/>
                <w:szCs w:val="20"/>
                <w:color w:val="auto"/>
              </w:rPr>
            </w:pPr>
            <w:r>
              <w:rPr>
                <w:rFonts w:ascii="Arial" w:cs="Arial" w:eastAsia="Arial" w:hAnsi="Arial"/>
                <w:sz w:val="13"/>
                <w:szCs w:val="13"/>
                <w:color w:val="auto"/>
                <w:w w:val="96"/>
              </w:rPr>
              <w:t>FLAC</w:t>
            </w:r>
          </w:p>
        </w:tc>
        <w:tc>
          <w:tcPr>
            <w:tcW w:w="280" w:type="dxa"/>
            <w:vAlign w:val="bottom"/>
            <w:tcBorders>
              <w:bottom w:val="single" w:sz="8" w:color="auto"/>
            </w:tcBorders>
            <w:shd w:val="clear" w:color="auto" w:fill="CCEEFF"/>
          </w:tcPr>
          <w:p>
            <w:pPr>
              <w:jc w:val="right"/>
              <w:ind w:right="116"/>
              <w:spacing w:after="0" w:line="129" w:lineRule="exact"/>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2,372</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96"/>
              <w:spacing w:after="0" w:line="129" w:lineRule="exact"/>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2,319</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gridSpan w:val="3"/>
            <w:shd w:val="clear" w:color="auto" w:fill="CCEEFF"/>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2,511</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2,414</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54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w:t>
            </w: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2,372</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2,319</w:t>
            </w:r>
          </w:p>
        </w:tc>
        <w:tc>
          <w:tcPr>
            <w:tcW w:w="80" w:type="dxa"/>
            <w:vAlign w:val="bottom"/>
          </w:tcPr>
          <w:p>
            <w:pPr>
              <w:spacing w:after="0"/>
              <w:rPr>
                <w:sz w:val="13"/>
                <w:szCs w:val="13"/>
                <w:color w:val="auto"/>
              </w:rPr>
            </w:pPr>
          </w:p>
        </w:tc>
        <w:tc>
          <w:tcPr>
            <w:tcW w:w="3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2,511</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2"/>
              </w:rPr>
              <w:t>$</w:t>
            </w:r>
          </w:p>
        </w:tc>
        <w:tc>
          <w:tcPr>
            <w:tcW w:w="1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2,414</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Estimated fair values of loans and borrowings is based on quoted prices for similar liabilities for which significant inputs are observable and represents a Level 2 valuation. The fair values are estimated based on the type of loan and maturity. The Company estimates the fair value using market interest rates for the Company’s debts with similar maturities.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spacing w:after="0"/>
              <w:rPr>
                <w:sz w:val="20"/>
                <w:szCs w:val="20"/>
                <w:color w:val="auto"/>
              </w:rPr>
            </w:pPr>
            <w:r>
              <w:rPr>
                <w:rFonts w:ascii="Arial" w:cs="Arial" w:eastAsia="Arial" w:hAnsi="Arial"/>
                <w:sz w:val="13"/>
                <w:szCs w:val="13"/>
                <w:b w:val="1"/>
                <w:bCs w:val="1"/>
                <w:color w:val="auto"/>
              </w:rPr>
              <w:t>31. Commitments and Contingencies</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8220" w:type="dxa"/>
            <w:vAlign w:val="bottom"/>
          </w:tcPr>
          <w:p>
            <w:pPr>
              <w:spacing w:after="0"/>
              <w:rPr>
                <w:sz w:val="20"/>
                <w:szCs w:val="20"/>
                <w:color w:val="auto"/>
              </w:rPr>
            </w:pPr>
            <w:r>
              <w:rPr>
                <w:rFonts w:ascii="Arial" w:cs="Arial" w:eastAsia="Arial" w:hAnsi="Arial"/>
                <w:sz w:val="13"/>
                <w:szCs w:val="13"/>
                <w:b w:val="1"/>
                <w:bCs w:val="1"/>
                <w:color w:val="auto"/>
              </w:rPr>
              <w:t>Commitments</w:t>
            </w:r>
            <w:r>
              <w:rPr>
                <w:rFonts w:ascii="Arial" w:cs="Arial" w:eastAsia="Arial" w:hAnsi="Arial"/>
                <w:sz w:val="13"/>
                <w:szCs w:val="13"/>
                <w:color w:val="auto"/>
              </w:rPr>
              <w:t>—The Company’s unconditional purchase commitments are as follows: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82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9"/>
                <w:szCs w:val="19"/>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95"/>
        </w:trPr>
        <w:tc>
          <w:tcPr>
            <w:tcW w:w="82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vMerge w:val="restart"/>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vMerge w:val="restart"/>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65"/>
        </w:trPr>
        <w:tc>
          <w:tcPr>
            <w:tcW w:w="8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Contracts for capital expenditures</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2,774</w:t>
            </w:r>
          </w:p>
        </w:tc>
        <w:tc>
          <w:tcPr>
            <w:tcW w:w="0" w:type="dxa"/>
            <w:vAlign w:val="bottom"/>
          </w:tcPr>
          <w:p>
            <w:pPr>
              <w:spacing w:after="0"/>
              <w:rPr>
                <w:sz w:val="1"/>
                <w:szCs w:val="1"/>
                <w:color w:val="auto"/>
              </w:rPr>
            </w:pP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Contracts for operating expenditures</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2,786</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3,587</w:t>
            </w:r>
          </w:p>
        </w:tc>
        <w:tc>
          <w:tcPr>
            <w:tcW w:w="0" w:type="dxa"/>
            <w:vAlign w:val="bottom"/>
          </w:tcPr>
          <w:p>
            <w:pPr>
              <w:spacing w:after="0"/>
              <w:rPr>
                <w:sz w:val="1"/>
                <w:szCs w:val="1"/>
                <w:color w:val="auto"/>
              </w:rPr>
            </w:pP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3,922</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6,361</w:t>
            </w:r>
          </w:p>
        </w:tc>
        <w:tc>
          <w:tcPr>
            <w:tcW w:w="0" w:type="dxa"/>
            <w:vAlign w:val="bottom"/>
          </w:tcPr>
          <w:p>
            <w:pPr>
              <w:spacing w:after="0"/>
              <w:rPr>
                <w:sz w:val="1"/>
                <w:szCs w:val="1"/>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Due within the next 12 months</w:t>
            </w: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970</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2,732</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to the above, the Company obtained letters of credit to primarily guarantee payments for utility supplies and foreign statutory payroll related charges. The Company has obtained letters of credit of $23 million and $20 million at December 31, 2023 and 2022, respectively, and bank guarantees of $54 million and $4 million at December 31, 2023 and 2022, respectively.</w:t>
      </w:r>
    </w:p>
    <w:p>
      <w:pPr>
        <w:spacing w:after="0" w:line="6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has a patent license agreement with LSI Technology Corporation (“LSI”) under which the parties grant to one another a license to use certain of each other’s patents. Under the terms of the patent license agreement, the Company may provide wafer capacity in lieu of payment for royalties. Such royalties under the patent license agreement are waived until such time the interest of LSI in SMP falls below 49%. In exchange, the Company has waived capacity shortfall obligations from LSI. Should the interest of LSI in SMP fall below 49%, the Company may be required to make royalty payments to LSI under this patent license agreement. The Company has not made any royalty payments to LSI. The patent license agreement continues for as long as the joint venture agreement between the parties remains.</w:t>
      </w:r>
    </w:p>
    <w:p>
      <w:pPr>
        <w:spacing w:after="0" w:line="73"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On April 28, 2021, IBM sent the Company a letter alleging for the first time that it did not fulfill its obligations under the contracts entered into with IBM in 2014 and 2015 associated with the acquisition of IBM’s Microelectronics division. IBM asserted that the Company engaged in fraudulent misrepresentations during the underlying negotiations, and claimed the Company owed them $2.5 billion in damages and restitution. On June 7, 2021, the Company filed a complaint with the New York State Supreme Court (the “Court”) seeking a declaratory judgment that the Company did not breach the relevant contracts. IBM subsequently filed its complaint with the Court on June 8, 2021. On September 14, 2021, the Court granted the Company’s motion to dismiss IBM’s claims of fraud, unjust enrichment and breach of the implied covenant of good faith and fair dealing. IBM appealed the dismissal of its fraud claim, and on April 7, 2022, the New York Appellate Division reversed the Court’s decision. Discovery and dispositive motion practice have been completed and the parties are awaiting a trial date. The Company believes, based on discussions with legal counsel, that it has meritorious defenses against IBM’s claims and intends to vigorously defend against them.</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Operating Segments Information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3"/>
          <w:szCs w:val="13"/>
          <w:color w:val="auto"/>
        </w:rPr>
        <w:t>GLOBALFOUNDRIES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3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  Operating segments, segment revenue, operating results</w:t>
      </w:r>
    </w:p>
    <w:p>
      <w:pPr>
        <w:spacing w:after="0" w:line="84" w:lineRule="exact"/>
        <w:rPr>
          <w:sz w:val="20"/>
          <w:szCs w:val="20"/>
          <w:color w:val="auto"/>
        </w:rPr>
      </w:pPr>
    </w:p>
    <w:p>
      <w:pPr>
        <w:jc w:val="both"/>
        <w:ind w:left="260"/>
        <w:spacing w:after="0" w:line="259" w:lineRule="auto"/>
        <w:rPr>
          <w:sz w:val="20"/>
          <w:szCs w:val="20"/>
          <w:color w:val="auto"/>
        </w:rPr>
      </w:pPr>
      <w:r>
        <w:rPr>
          <w:rFonts w:ascii="Arial" w:cs="Arial" w:eastAsia="Arial" w:hAnsi="Arial"/>
          <w:sz w:val="13"/>
          <w:szCs w:val="13"/>
          <w:color w:val="auto"/>
        </w:rPr>
        <w:t>The Company’s chief operating decision-maker is the Company’s Chief Executive Officer who makes resource allocation decisions and assesses performance based on financial information presented on a consolidated basis. There are no segment managers who are held accountable by the chief operating decision-maker, or anyone else, for operations, operating results, and planning for levels or components below the consolidated unit level. Accordingly, the Company has determined that the Company has a single reportable segment and operating segment structure.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60" w:type="dxa"/>
            <w:vAlign w:val="bottom"/>
            <w:gridSpan w:val="2"/>
          </w:tcPr>
          <w:p>
            <w:pPr>
              <w:ind w:left="260"/>
              <w:spacing w:after="0"/>
              <w:rPr>
                <w:sz w:val="20"/>
                <w:szCs w:val="20"/>
                <w:color w:val="auto"/>
              </w:rPr>
            </w:pPr>
            <w:r>
              <w:rPr>
                <w:rFonts w:ascii="Arial" w:cs="Arial" w:eastAsia="Arial" w:hAnsi="Arial"/>
                <w:sz w:val="13"/>
                <w:szCs w:val="13"/>
                <w:color w:val="auto"/>
              </w:rPr>
              <w:t>(b)  Revenue based on customers’ headquarters and non-current assets by geography were as follows: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68"/>
        </w:trPr>
        <w:tc>
          <w:tcPr>
            <w:tcW w:w="6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180" w:type="dxa"/>
            <w:vAlign w:val="bottom"/>
            <w:tcBorders>
              <w:bottom w:val="single" w:sz="8" w:color="auto"/>
            </w:tcBorders>
            <w:gridSpan w:val="6"/>
          </w:tcPr>
          <w:p>
            <w:pPr>
              <w:jc w:val="right"/>
              <w:ind w:right="136"/>
              <w:spacing w:after="0"/>
              <w:rPr>
                <w:sz w:val="20"/>
                <w:szCs w:val="20"/>
                <w:color w:val="auto"/>
              </w:rPr>
            </w:pPr>
            <w:r>
              <w:rPr>
                <w:rFonts w:ascii="Arial" w:cs="Arial" w:eastAsia="Arial" w:hAnsi="Arial"/>
                <w:sz w:val="13"/>
                <w:szCs w:val="13"/>
                <w:b w:val="1"/>
                <w:bCs w:val="1"/>
                <w:color w:val="auto"/>
              </w:rPr>
              <w:t>For the year ended December 31,</w:t>
            </w:r>
          </w:p>
        </w:tc>
        <w:tc>
          <w:tcPr>
            <w:tcW w:w="1100" w:type="dxa"/>
            <w:vAlign w:val="bottom"/>
            <w:tcBorders>
              <w:bottom w:val="single" w:sz="8" w:color="auto"/>
            </w:tcBorders>
          </w:tcPr>
          <w:p>
            <w:pPr>
              <w:spacing w:after="0"/>
              <w:rPr>
                <w:sz w:val="23"/>
                <w:szCs w:val="23"/>
                <w:color w:val="auto"/>
              </w:rPr>
            </w:pPr>
          </w:p>
        </w:tc>
      </w:tr>
      <w:tr>
        <w:trPr>
          <w:trHeight w:val="160"/>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Revenue by Geography</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5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9"/>
        </w:trPr>
        <w:tc>
          <w:tcPr>
            <w:tcW w:w="6660" w:type="dxa"/>
            <w:vAlign w:val="bottom"/>
            <w:gridSpan w:val="2"/>
          </w:tcPr>
          <w:p>
            <w:pPr>
              <w:ind w:left="20"/>
              <w:spacing w:after="0"/>
              <w:rPr>
                <w:sz w:val="20"/>
                <w:szCs w:val="20"/>
                <w:color w:val="auto"/>
              </w:rPr>
            </w:pPr>
            <w:r>
              <w:rPr>
                <w:rFonts w:ascii="Arial" w:cs="Arial" w:eastAsia="Arial" w:hAnsi="Arial"/>
                <w:sz w:val="13"/>
                <w:szCs w:val="13"/>
                <w:color w:val="auto"/>
              </w:rPr>
              <w:t>United States</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4,262</w:t>
            </w:r>
          </w:p>
        </w:tc>
        <w:tc>
          <w:tcPr>
            <w:tcW w:w="80" w:type="dxa"/>
            <w:vAlign w:val="bottom"/>
          </w:tcPr>
          <w:p>
            <w:pPr>
              <w:spacing w:after="0"/>
              <w:rPr>
                <w:sz w:val="14"/>
                <w:szCs w:val="14"/>
                <w:color w:val="auto"/>
              </w:rPr>
            </w:pP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4,898</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3,975</w:t>
            </w:r>
          </w:p>
        </w:tc>
      </w:tr>
      <w:tr>
        <w:trPr>
          <w:trHeight w:val="171"/>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Europe, the Middle East, and Africa</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w:t>
            </w:r>
          </w:p>
        </w:tc>
      </w:tr>
      <w:tr>
        <w:trPr>
          <w:trHeight w:val="169"/>
        </w:trPr>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1,805</w:t>
            </w:r>
          </w:p>
        </w:tc>
      </w:tr>
      <w:tr>
        <w:trPr>
          <w:trHeight w:val="16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7,392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8,108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6,585</w:t>
            </w:r>
          </w:p>
        </w:tc>
      </w:tr>
      <w:tr>
        <w:trPr>
          <w:trHeight w:val="341"/>
        </w:trPr>
        <w:tc>
          <w:tcPr>
            <w:tcW w:w="66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Non-current Assets by Geography</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r>
      <w:tr>
        <w:trPr>
          <w:trHeight w:val="15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9"/>
        </w:trPr>
        <w:tc>
          <w:tcPr>
            <w:tcW w:w="6660" w:type="dxa"/>
            <w:vAlign w:val="bottom"/>
            <w:gridSpan w:val="2"/>
          </w:tcPr>
          <w:p>
            <w:pPr>
              <w:ind w:left="20"/>
              <w:spacing w:after="0"/>
              <w:rPr>
                <w:sz w:val="20"/>
                <w:szCs w:val="20"/>
                <w:color w:val="auto"/>
              </w:rPr>
            </w:pPr>
            <w:r>
              <w:rPr>
                <w:rFonts w:ascii="Arial" w:cs="Arial" w:eastAsia="Arial" w:hAnsi="Arial"/>
                <w:sz w:val="13"/>
                <w:szCs w:val="13"/>
                <w:color w:val="auto"/>
              </w:rPr>
              <w:t>United States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4,738</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5,149</w:t>
            </w:r>
          </w:p>
        </w:tc>
      </w:tr>
      <w:tr>
        <w:trPr>
          <w:trHeight w:val="171"/>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Germany</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2,462</w:t>
            </w:r>
          </w:p>
        </w:tc>
      </w:tr>
      <w:tr>
        <w:trPr>
          <w:trHeight w:val="169"/>
        </w:trPr>
        <w:tc>
          <w:tcPr>
            <w:tcW w:w="6660" w:type="dxa"/>
            <w:vAlign w:val="bottom"/>
            <w:gridSpan w:val="2"/>
          </w:tcPr>
          <w:p>
            <w:pPr>
              <w:ind w:left="20"/>
              <w:spacing w:after="0"/>
              <w:rPr>
                <w:sz w:val="20"/>
                <w:szCs w:val="20"/>
                <w:color w:val="auto"/>
              </w:rPr>
            </w:pPr>
            <w:r>
              <w:rPr>
                <w:rFonts w:ascii="Arial" w:cs="Arial" w:eastAsia="Arial" w:hAnsi="Arial"/>
                <w:sz w:val="13"/>
                <w:szCs w:val="13"/>
                <w:color w:val="auto"/>
              </w:rPr>
              <w:t>Singapore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3,801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3,508</w:t>
            </w:r>
          </w:p>
        </w:tc>
      </w:tr>
      <w:tr>
        <w:trPr>
          <w:trHeight w:val="171"/>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532</w:t>
            </w:r>
          </w:p>
        </w:tc>
      </w:tr>
      <w:tr>
        <w:trPr>
          <w:trHeight w:val="160"/>
        </w:trPr>
        <w:tc>
          <w:tcPr>
            <w:tcW w:w="666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11,396</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11,651</w:t>
            </w:r>
          </w:p>
        </w:tc>
      </w:tr>
    </w:tbl>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Non-current assets include property, plant, equipment, right-of-use assets, intangible assets, investments in joint venture and associates, restricted cash (non-current) and receivables, prepayments and other assets (non-current).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33. Customer And Supplier Concentration</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Significant customers and suppliers are those that account for greater than 10% of the Company’s revenue and purchases in any of the years presented.</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earned a substantial portion of revenue from two customers in 2023 , 2022 and 2021: Customer A amounted to 8%, 9% and 12% of total revenue, respectively, and Customer B amounted to 17%, 16%, and 15% of total revenue, respectively. As of December 31, 2023 and 2022, the amounts due from Customer A included in accounts receivable were $122 million and $71 million, respectively, and the amounts due from Customer B included in accounts receivable were $237 million and $163 million, respectively. The loss of the significant customers or the failure to attract new customers could have a material adverse effect on the Company’s business, results of operations and financial condition.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For the year ended December 31,</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60"/>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Revenue by major customer</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2023</w:t>
            </w:r>
          </w:p>
        </w:tc>
        <w:tc>
          <w:tcPr>
            <w:tcW w:w="1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1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2021</w:t>
            </w:r>
          </w:p>
        </w:tc>
        <w:tc>
          <w:tcPr>
            <w:tcW w:w="1260" w:type="dxa"/>
            <w:vAlign w:val="bottom"/>
            <w:tcBorders>
              <w:bottom w:val="single" w:sz="8" w:color="CCEEFF"/>
            </w:tcBorders>
          </w:tcPr>
          <w:p>
            <w:pPr>
              <w:spacing w:after="0"/>
              <w:rPr>
                <w:sz w:val="13"/>
                <w:szCs w:val="13"/>
                <w:color w:val="auto"/>
              </w:rPr>
            </w:pPr>
          </w:p>
        </w:tc>
      </w:tr>
      <w:tr>
        <w:trPr>
          <w:trHeight w:val="16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Amount</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Amount</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Amount</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6"/>
              </w:rPr>
              <w:t>%</w:t>
            </w:r>
          </w:p>
        </w:tc>
      </w:tr>
      <w:tr>
        <w:trPr>
          <w:trHeight w:val="159"/>
        </w:trPr>
        <w:tc>
          <w:tcPr>
            <w:tcW w:w="3820" w:type="dxa"/>
            <w:vAlign w:val="bottom"/>
            <w:gridSpan w:val="2"/>
          </w:tcPr>
          <w:p>
            <w:pPr>
              <w:ind w:left="20"/>
              <w:spacing w:after="0"/>
              <w:rPr>
                <w:sz w:val="20"/>
                <w:szCs w:val="20"/>
                <w:color w:val="auto"/>
              </w:rPr>
            </w:pPr>
            <w:r>
              <w:rPr>
                <w:rFonts w:ascii="Arial" w:cs="Arial" w:eastAsia="Arial" w:hAnsi="Arial"/>
                <w:sz w:val="13"/>
                <w:szCs w:val="13"/>
                <w:color w:val="auto"/>
              </w:rPr>
              <w:t>Customer A</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620</w:t>
            </w:r>
          </w:p>
        </w:tc>
        <w:tc>
          <w:tcPr>
            <w:tcW w:w="1240" w:type="dxa"/>
            <w:vAlign w:val="bottom"/>
          </w:tcPr>
          <w:p>
            <w:pPr>
              <w:jc w:val="center"/>
              <w:spacing w:after="0"/>
              <w:rPr>
                <w:sz w:val="20"/>
                <w:szCs w:val="20"/>
                <w:color w:val="auto"/>
              </w:rPr>
            </w:pPr>
            <w:r>
              <w:rPr>
                <w:rFonts w:ascii="Arial" w:cs="Arial" w:eastAsia="Arial" w:hAnsi="Arial"/>
                <w:sz w:val="13"/>
                <w:szCs w:val="13"/>
                <w:color w:val="auto"/>
              </w:rPr>
              <w:t>8</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746</w:t>
            </w:r>
          </w:p>
        </w:tc>
        <w:tc>
          <w:tcPr>
            <w:tcW w:w="1240" w:type="dxa"/>
            <w:vAlign w:val="bottom"/>
          </w:tcPr>
          <w:p>
            <w:pPr>
              <w:jc w:val="center"/>
              <w:spacing w:after="0"/>
              <w:rPr>
                <w:sz w:val="20"/>
                <w:szCs w:val="20"/>
                <w:color w:val="auto"/>
              </w:rPr>
            </w:pPr>
            <w:r>
              <w:rPr>
                <w:rFonts w:ascii="Arial" w:cs="Arial" w:eastAsia="Arial" w:hAnsi="Arial"/>
                <w:sz w:val="13"/>
                <w:szCs w:val="13"/>
                <w:color w:val="auto"/>
              </w:rPr>
              <w:t>9</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811</w:t>
            </w: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12</w:t>
            </w:r>
          </w:p>
        </w:tc>
      </w:tr>
      <w:tr>
        <w:trPr>
          <w:trHeight w:val="171"/>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Customer B</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w:t>
            </w:r>
          </w:p>
        </w:tc>
        <w:tc>
          <w:tcPr>
            <w:tcW w:w="1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17</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1,329</w:t>
            </w:r>
          </w:p>
        </w:tc>
        <w:tc>
          <w:tcPr>
            <w:tcW w:w="1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16</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15</w:t>
            </w:r>
          </w:p>
        </w:tc>
      </w:tr>
    </w:tbl>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purchased 63%, 54% and 46%, of its SOI wafers, a key input into its products, from a single supplier in 2023, 2022 and 2021, respectively. As of December 31, 2023 and 2022, the net amount due to the supplier was $61 million and $56 million, respectively. Any failure in the supplier’s ability to provide SOI wafers could materially and adversely affect the Company’s results of operations, financial condition, business and prospects.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73"/>
        </w:trPr>
        <w:tc>
          <w:tcPr>
            <w:tcW w:w="600" w:type="dxa"/>
            <w:vAlign w:val="bottom"/>
          </w:tcPr>
          <w:p>
            <w:pPr>
              <w:spacing w:after="0"/>
              <w:rPr>
                <w:sz w:val="20"/>
                <w:szCs w:val="20"/>
                <w:color w:val="auto"/>
              </w:rPr>
            </w:pPr>
            <w:r>
              <w:rPr>
                <w:rFonts w:ascii="Arial" w:cs="Arial" w:eastAsia="Arial" w:hAnsi="Arial"/>
                <w:sz w:val="13"/>
                <w:szCs w:val="13"/>
                <w:b w:val="1"/>
                <w:bCs w:val="1"/>
                <w:color w:val="auto"/>
              </w:rPr>
              <w:t>ITEM 19.</w:t>
            </w:r>
          </w:p>
        </w:tc>
        <w:tc>
          <w:tcPr>
            <w:tcW w:w="10680" w:type="dxa"/>
            <w:vAlign w:val="bottom"/>
            <w:gridSpan w:val="32"/>
          </w:tcPr>
          <w:p>
            <w:pPr>
              <w:ind w:left="60"/>
              <w:spacing w:after="0"/>
              <w:rPr>
                <w:sz w:val="20"/>
                <w:szCs w:val="20"/>
                <w:color w:val="auto"/>
              </w:rPr>
            </w:pPr>
            <w:r>
              <w:rPr>
                <w:rFonts w:ascii="Arial" w:cs="Arial" w:eastAsia="Arial" w:hAnsi="Arial"/>
                <w:sz w:val="13"/>
                <w:szCs w:val="13"/>
                <w:b w:val="1"/>
                <w:bCs w:val="1"/>
                <w:color w:val="auto"/>
              </w:rPr>
              <w:t>EXHIBITS</w:t>
            </w:r>
          </w:p>
        </w:tc>
      </w:tr>
      <w:tr>
        <w:trPr>
          <w:trHeight w:val="270"/>
        </w:trPr>
        <w:tc>
          <w:tcPr>
            <w:tcW w:w="11280" w:type="dxa"/>
            <w:vAlign w:val="bottom"/>
            <w:gridSpan w:val="33"/>
          </w:tcPr>
          <w:p>
            <w:pPr>
              <w:ind w:left="260"/>
              <w:spacing w:after="0"/>
              <w:rPr>
                <w:sz w:val="20"/>
                <w:szCs w:val="20"/>
                <w:color w:val="auto"/>
              </w:rPr>
            </w:pPr>
            <w:r>
              <w:rPr>
                <w:rFonts w:ascii="Arial" w:cs="Arial" w:eastAsia="Arial" w:hAnsi="Arial"/>
                <w:sz w:val="13"/>
                <w:szCs w:val="13"/>
                <w:color w:val="auto"/>
              </w:rPr>
              <w:t>Documents filed as exhibits to this Form 20-F:</w:t>
            </w:r>
          </w:p>
        </w:tc>
      </w:tr>
      <w:tr>
        <w:trPr>
          <w:trHeight w:val="246"/>
        </w:trPr>
        <w:tc>
          <w:tcPr>
            <w:tcW w:w="600" w:type="dxa"/>
            <w:vAlign w:val="bottom"/>
          </w:tcPr>
          <w:p>
            <w:pPr>
              <w:ind w:left="20"/>
              <w:spacing w:after="0"/>
              <w:rPr>
                <w:sz w:val="20"/>
                <w:szCs w:val="20"/>
                <w:color w:val="auto"/>
              </w:rPr>
            </w:pPr>
            <w:r>
              <w:rPr>
                <w:rFonts w:ascii="Arial" w:cs="Arial" w:eastAsia="Arial" w:hAnsi="Arial"/>
                <w:sz w:val="13"/>
                <w:szCs w:val="13"/>
                <w:color w:val="auto"/>
              </w:rPr>
              <w:t>1.1</w:t>
            </w:r>
          </w:p>
        </w:tc>
        <w:tc>
          <w:tcPr>
            <w:tcW w:w="720" w:type="dxa"/>
            <w:vAlign w:val="bottom"/>
          </w:tcPr>
          <w:p>
            <w:pPr>
              <w:spacing w:after="0"/>
              <w:rPr>
                <w:sz w:val="21"/>
                <w:szCs w:val="21"/>
                <w:color w:val="auto"/>
              </w:rPr>
            </w:pPr>
          </w:p>
        </w:tc>
        <w:tc>
          <w:tcPr>
            <w:tcW w:w="9960" w:type="dxa"/>
            <w:vAlign w:val="bottom"/>
            <w:gridSpan w:val="31"/>
          </w:tcPr>
          <w:p>
            <w:pPr>
              <w:spacing w:after="0"/>
              <w:rPr>
                <w:rFonts w:ascii="Arial" w:cs="Arial" w:eastAsia="Arial" w:hAnsi="Arial"/>
                <w:sz w:val="13"/>
                <w:szCs w:val="13"/>
                <w:color w:val="0000FF"/>
              </w:rPr>
            </w:pPr>
            <w:hyperlink r:id="rId175">
              <w:r>
                <w:rPr>
                  <w:rFonts w:ascii="Arial" w:cs="Arial" w:eastAsia="Arial" w:hAnsi="Arial"/>
                  <w:sz w:val="13"/>
                  <w:szCs w:val="13"/>
                  <w:color w:val="0000FF"/>
                </w:rPr>
                <w:t>Second Amended and Restated Memorandum and Articles of Association of the Registrant (incorporated by reference to Exhibit 4.1 of the Registrant’s Registration</w:t>
              </w:r>
            </w:hyperlink>
          </w:p>
        </w:tc>
      </w:tr>
      <w:tr>
        <w:trPr>
          <w:trHeight w:val="107"/>
        </w:trPr>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940" w:type="dxa"/>
            <w:vAlign w:val="bottom"/>
            <w:tcBorders>
              <w:top w:val="single" w:sz="8" w:color="0000FF"/>
              <w:bottom w:val="single" w:sz="8" w:color="0000FF"/>
            </w:tcBorders>
            <w:gridSpan w:val="8"/>
          </w:tcPr>
          <w:p>
            <w:pPr>
              <w:spacing w:after="0" w:line="107" w:lineRule="exact"/>
              <w:rPr>
                <w:rFonts w:ascii="Arial" w:cs="Arial" w:eastAsia="Arial" w:hAnsi="Arial"/>
                <w:sz w:val="12"/>
                <w:szCs w:val="12"/>
                <w:color w:val="0000FF"/>
              </w:rPr>
            </w:pPr>
            <w:hyperlink r:id="rId175">
              <w:r>
                <w:rPr>
                  <w:rFonts w:ascii="Arial" w:cs="Arial" w:eastAsia="Arial" w:hAnsi="Arial"/>
                  <w:sz w:val="12"/>
                  <w:szCs w:val="12"/>
                  <w:color w:val="0000FF"/>
                </w:rPr>
                <w:t>Statement on Form S-8 (File No. 333-260674) filed with the SEC on November 2, 2021)</w:t>
              </w:r>
            </w:hyperlink>
          </w:p>
        </w:tc>
        <w:tc>
          <w:tcPr>
            <w:tcW w:w="4260" w:type="dxa"/>
            <w:vAlign w:val="bottom"/>
            <w:tcBorders>
              <w:top w:val="single" w:sz="8" w:color="0000FF"/>
            </w:tcBorders>
            <w:gridSpan w:val="8"/>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41"/>
        </w:trPr>
        <w:tc>
          <w:tcPr>
            <w:tcW w:w="600" w:type="dxa"/>
            <w:vAlign w:val="bottom"/>
          </w:tcPr>
          <w:p>
            <w:pPr>
              <w:ind w:left="20"/>
              <w:spacing w:after="0"/>
              <w:rPr>
                <w:sz w:val="20"/>
                <w:szCs w:val="20"/>
                <w:color w:val="auto"/>
              </w:rPr>
            </w:pPr>
            <w:r>
              <w:rPr>
                <w:rFonts w:ascii="Arial" w:cs="Arial" w:eastAsia="Arial" w:hAnsi="Arial"/>
                <w:sz w:val="13"/>
                <w:szCs w:val="13"/>
                <w:color w:val="auto"/>
              </w:rPr>
              <w:t>2.1</w:t>
            </w:r>
          </w:p>
        </w:tc>
        <w:tc>
          <w:tcPr>
            <w:tcW w:w="72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3"/>
                <w:szCs w:val="13"/>
                <w:color w:val="0000FF"/>
              </w:rPr>
            </w:pPr>
            <w:hyperlink r:id="rId176">
              <w:r>
                <w:rPr>
                  <w:rFonts w:ascii="Arial" w:cs="Arial" w:eastAsia="Arial" w:hAnsi="Arial"/>
                  <w:sz w:val="13"/>
                  <w:szCs w:val="13"/>
                  <w:color w:val="0000FF"/>
                </w:rPr>
                <w:t>Shareholder’s Agreement among the Registrant and other parties thereto (incorporated by reference to Exhibit 2.1 of the Annual Report on Form 20-F (File No.001-40974)</w:t>
              </w:r>
            </w:hyperlink>
          </w:p>
        </w:tc>
      </w:tr>
      <w:tr>
        <w:trPr>
          <w:trHeight w:val="107"/>
        </w:trPr>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140" w:type="dxa"/>
            <w:vAlign w:val="bottom"/>
            <w:tcBorders>
              <w:top w:val="single" w:sz="8" w:color="0000FF"/>
              <w:bottom w:val="single" w:sz="8" w:color="0000FF"/>
            </w:tcBorders>
            <w:gridSpan w:val="3"/>
          </w:tcPr>
          <w:p>
            <w:pPr>
              <w:spacing w:after="0" w:line="107" w:lineRule="exact"/>
              <w:rPr>
                <w:rFonts w:ascii="Arial" w:cs="Arial" w:eastAsia="Arial" w:hAnsi="Arial"/>
                <w:sz w:val="12"/>
                <w:szCs w:val="12"/>
                <w:color w:val="0000FF"/>
              </w:rPr>
            </w:pPr>
            <w:hyperlink r:id="rId176">
              <w:r>
                <w:rPr>
                  <w:rFonts w:ascii="Arial" w:cs="Arial" w:eastAsia="Arial" w:hAnsi="Arial"/>
                  <w:sz w:val="12"/>
                  <w:szCs w:val="12"/>
                  <w:color w:val="0000FF"/>
                </w:rPr>
                <w:t>filed with the SEC on March 31, 2022)</w:t>
              </w:r>
            </w:hyperlink>
          </w:p>
        </w:tc>
        <w:tc>
          <w:tcPr>
            <w:tcW w:w="7660" w:type="dxa"/>
            <w:vAlign w:val="bottom"/>
            <w:tcBorders>
              <w:top w:val="single" w:sz="8" w:color="0000FF"/>
            </w:tcBorders>
            <w:gridSpan w:val="20"/>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600" w:type="dxa"/>
            <w:vAlign w:val="bottom"/>
          </w:tcPr>
          <w:p>
            <w:pPr>
              <w:ind w:left="20"/>
              <w:spacing w:after="0"/>
              <w:rPr>
                <w:sz w:val="20"/>
                <w:szCs w:val="20"/>
                <w:color w:val="auto"/>
              </w:rPr>
            </w:pPr>
            <w:r>
              <w:rPr>
                <w:rFonts w:ascii="Arial" w:cs="Arial" w:eastAsia="Arial" w:hAnsi="Arial"/>
                <w:sz w:val="13"/>
                <w:szCs w:val="13"/>
                <w:color w:val="auto"/>
              </w:rPr>
              <w:t>2.2</w:t>
            </w:r>
          </w:p>
        </w:tc>
        <w:tc>
          <w:tcPr>
            <w:tcW w:w="72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77">
              <w:r>
                <w:rPr>
                  <w:rFonts w:ascii="Arial" w:cs="Arial" w:eastAsia="Arial" w:hAnsi="Arial"/>
                  <w:sz w:val="13"/>
                  <w:szCs w:val="13"/>
                  <w:color w:val="0000FF"/>
                </w:rPr>
                <w:t>Registration Rights Agreement among the Registrant and other parties thereto (incorporated by reference to Exhibit 2.2 of the Annual Report on Form 20-F (File No.001-</w:t>
              </w:r>
            </w:hyperlink>
          </w:p>
        </w:tc>
      </w:tr>
      <w:tr>
        <w:trPr>
          <w:trHeight w:val="118"/>
        </w:trPr>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580" w:type="dxa"/>
            <w:vAlign w:val="bottom"/>
            <w:tcBorders>
              <w:top w:val="single" w:sz="8" w:color="0000FF"/>
              <w:bottom w:val="single" w:sz="8" w:color="0000FF"/>
            </w:tcBorders>
            <w:gridSpan w:val="4"/>
          </w:tcPr>
          <w:p>
            <w:pPr>
              <w:spacing w:after="0" w:line="118" w:lineRule="exact"/>
              <w:rPr>
                <w:rFonts w:ascii="Arial" w:cs="Arial" w:eastAsia="Arial" w:hAnsi="Arial"/>
                <w:sz w:val="12"/>
                <w:szCs w:val="12"/>
                <w:color w:val="0000FF"/>
              </w:rPr>
            </w:pPr>
            <w:hyperlink r:id="rId177">
              <w:r>
                <w:rPr>
                  <w:rFonts w:ascii="Arial" w:cs="Arial" w:eastAsia="Arial" w:hAnsi="Arial"/>
                  <w:sz w:val="12"/>
                  <w:szCs w:val="12"/>
                  <w:color w:val="0000FF"/>
                </w:rPr>
                <w:t>40974) filed with the SEC on March 31, 2022</w:t>
              </w:r>
              <w:r>
                <w:rPr>
                  <w:rFonts w:ascii="Arial" w:cs="Arial" w:eastAsia="Arial" w:hAnsi="Arial"/>
                  <w:sz w:val="13"/>
                  <w:szCs w:val="13"/>
                  <w:color w:val="0000FF"/>
                </w:rPr>
                <w:t>)</w:t>
              </w:r>
            </w:hyperlink>
          </w:p>
        </w:tc>
        <w:tc>
          <w:tcPr>
            <w:tcW w:w="716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0"/>
        </w:trPr>
        <w:tc>
          <w:tcPr>
            <w:tcW w:w="600" w:type="dxa"/>
            <w:vAlign w:val="bottom"/>
          </w:tcPr>
          <w:p>
            <w:pPr>
              <w:ind w:left="20"/>
              <w:spacing w:after="0"/>
              <w:rPr>
                <w:sz w:val="20"/>
                <w:szCs w:val="20"/>
                <w:color w:val="auto"/>
              </w:rPr>
            </w:pPr>
            <w:r>
              <w:rPr>
                <w:rFonts w:ascii="Arial" w:cs="Arial" w:eastAsia="Arial" w:hAnsi="Arial"/>
                <w:sz w:val="13"/>
                <w:szCs w:val="13"/>
                <w:color w:val="auto"/>
              </w:rPr>
              <w:t>2.3</w:t>
            </w:r>
          </w:p>
        </w:tc>
        <w:tc>
          <w:tcPr>
            <w:tcW w:w="72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78">
              <w:r>
                <w:rPr>
                  <w:rFonts w:ascii="Arial" w:cs="Arial" w:eastAsia="Arial" w:hAnsi="Arial"/>
                  <w:sz w:val="13"/>
                  <w:szCs w:val="13"/>
                  <w:color w:val="0000FF"/>
                </w:rPr>
                <w:t>Description of the Registrant’s Securities Registered Pursuant to Section 12 of the Securities Exchange Act of 1934 (incorporated by reference to Exhibit 2.3 of the Annual</w:t>
              </w:r>
            </w:hyperlink>
          </w:p>
        </w:tc>
      </w:tr>
      <w:tr>
        <w:trPr>
          <w:trHeight w:val="107"/>
        </w:trPr>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60" w:type="dxa"/>
            <w:vAlign w:val="bottom"/>
            <w:tcBorders>
              <w:top w:val="single" w:sz="8" w:color="0000FF"/>
            </w:tcBorders>
            <w:gridSpan w:val="26"/>
          </w:tcPr>
          <w:p>
            <w:pPr>
              <w:spacing w:after="0" w:line="107" w:lineRule="exact"/>
              <w:rPr>
                <w:rFonts w:ascii="Arial" w:cs="Arial" w:eastAsia="Arial" w:hAnsi="Arial"/>
                <w:sz w:val="12"/>
                <w:szCs w:val="12"/>
                <w:color w:val="0000FF"/>
              </w:rPr>
            </w:pPr>
            <w:hyperlink r:id="rId178">
              <w:r>
                <w:rPr>
                  <w:rFonts w:ascii="Arial" w:cs="Arial" w:eastAsia="Arial" w:hAnsi="Arial"/>
                  <w:sz w:val="12"/>
                  <w:szCs w:val="12"/>
                  <w:color w:val="0000FF"/>
                </w:rPr>
                <w:t>Report on Form 20-F (File No.001-40974) filed with the SEC on March 31, 2022)</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1"/>
        </w:trPr>
        <w:tc>
          <w:tcPr>
            <w:tcW w:w="600" w:type="dxa"/>
            <w:vAlign w:val="bottom"/>
          </w:tcPr>
          <w:p>
            <w:pPr>
              <w:ind w:left="20"/>
              <w:spacing w:after="0"/>
              <w:rPr>
                <w:sz w:val="20"/>
                <w:szCs w:val="20"/>
                <w:color w:val="auto"/>
              </w:rPr>
            </w:pPr>
            <w:r>
              <w:rPr>
                <w:rFonts w:ascii="Arial" w:cs="Arial" w:eastAsia="Arial" w:hAnsi="Arial"/>
                <w:sz w:val="13"/>
                <w:szCs w:val="13"/>
                <w:color w:val="auto"/>
              </w:rPr>
              <w:t>4.1</w:t>
            </w:r>
          </w:p>
        </w:tc>
        <w:tc>
          <w:tcPr>
            <w:tcW w:w="72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3"/>
                <w:szCs w:val="13"/>
                <w:color w:val="0000FF"/>
              </w:rPr>
            </w:pPr>
            <w:hyperlink r:id="rId179">
              <w:r>
                <w:rPr>
                  <w:rFonts w:ascii="Arial" w:cs="Arial" w:eastAsia="Arial" w:hAnsi="Arial"/>
                  <w:sz w:val="13"/>
                  <w:szCs w:val="13"/>
                  <w:color w:val="0000FF"/>
                </w:rPr>
                <w:t>2017 Share Incentive Plan (incorporated by reference to Exhibit 10.7 of the Registrant’s Registration Statement on Form F-1 (File No. 333-260003) filed with the SEC on</w:t>
              </w:r>
            </w:hyperlink>
          </w:p>
        </w:tc>
      </w:tr>
      <w:tr>
        <w:trPr>
          <w:trHeight w:val="107"/>
        </w:trPr>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780" w:type="dxa"/>
            <w:vAlign w:val="bottom"/>
            <w:tcBorders>
              <w:top w:val="single" w:sz="8" w:color="0000FF"/>
            </w:tcBorders>
            <w:gridSpan w:val="22"/>
          </w:tcPr>
          <w:p>
            <w:pPr>
              <w:spacing w:after="0" w:line="107" w:lineRule="exact"/>
              <w:rPr>
                <w:rFonts w:ascii="Arial" w:cs="Arial" w:eastAsia="Arial" w:hAnsi="Arial"/>
                <w:sz w:val="12"/>
                <w:szCs w:val="12"/>
                <w:color w:val="0000FF"/>
              </w:rPr>
            </w:pPr>
            <w:hyperlink r:id="rId179">
              <w:r>
                <w:rPr>
                  <w:rFonts w:ascii="Arial" w:cs="Arial" w:eastAsia="Arial" w:hAnsi="Arial"/>
                  <w:sz w:val="12"/>
                  <w:szCs w:val="12"/>
                  <w:color w:val="0000FF"/>
                </w:rPr>
                <w:t>October 4, 2021)</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600" w:type="dxa"/>
            <w:vAlign w:val="bottom"/>
          </w:tcPr>
          <w:p>
            <w:pPr>
              <w:ind w:left="20"/>
              <w:spacing w:after="0"/>
              <w:rPr>
                <w:sz w:val="20"/>
                <w:szCs w:val="20"/>
                <w:color w:val="auto"/>
              </w:rPr>
            </w:pPr>
            <w:r>
              <w:rPr>
                <w:rFonts w:ascii="Arial" w:cs="Arial" w:eastAsia="Arial" w:hAnsi="Arial"/>
                <w:sz w:val="13"/>
                <w:szCs w:val="13"/>
                <w:color w:val="auto"/>
              </w:rPr>
              <w:t>4.2</w:t>
            </w:r>
          </w:p>
        </w:tc>
        <w:tc>
          <w:tcPr>
            <w:tcW w:w="72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80">
              <w:r>
                <w:rPr>
                  <w:rFonts w:ascii="Arial" w:cs="Arial" w:eastAsia="Arial" w:hAnsi="Arial"/>
                  <w:sz w:val="13"/>
                  <w:szCs w:val="13"/>
                  <w:color w:val="0000FF"/>
                </w:rPr>
                <w:t>2018 Share Incentive Plan (incorporated by reference to Exhibit 10.8 of the Registrant’s Registration Statement on Form F-1 (File No. 333-260003) filed with the SEC on</w:t>
              </w:r>
            </w:hyperlink>
          </w:p>
        </w:tc>
      </w:tr>
      <w:tr>
        <w:trPr>
          <w:trHeight w:val="107"/>
        </w:trPr>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780" w:type="dxa"/>
            <w:vAlign w:val="bottom"/>
            <w:tcBorders>
              <w:top w:val="single" w:sz="8" w:color="0000FF"/>
            </w:tcBorders>
            <w:gridSpan w:val="22"/>
          </w:tcPr>
          <w:p>
            <w:pPr>
              <w:spacing w:after="0" w:line="107" w:lineRule="exact"/>
              <w:rPr>
                <w:rFonts w:ascii="Arial" w:cs="Arial" w:eastAsia="Arial" w:hAnsi="Arial"/>
                <w:sz w:val="12"/>
                <w:szCs w:val="12"/>
                <w:color w:val="0000FF"/>
              </w:rPr>
            </w:pPr>
            <w:hyperlink r:id="rId180">
              <w:r>
                <w:rPr>
                  <w:rFonts w:ascii="Arial" w:cs="Arial" w:eastAsia="Arial" w:hAnsi="Arial"/>
                  <w:sz w:val="12"/>
                  <w:szCs w:val="12"/>
                  <w:color w:val="0000FF"/>
                </w:rPr>
                <w:t>October 4, 2021)</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600" w:type="dxa"/>
            <w:vAlign w:val="bottom"/>
          </w:tcPr>
          <w:p>
            <w:pPr>
              <w:ind w:left="20"/>
              <w:spacing w:after="0"/>
              <w:rPr>
                <w:sz w:val="20"/>
                <w:szCs w:val="20"/>
                <w:color w:val="auto"/>
              </w:rPr>
            </w:pPr>
            <w:r>
              <w:rPr>
                <w:rFonts w:ascii="Arial" w:cs="Arial" w:eastAsia="Arial" w:hAnsi="Arial"/>
                <w:sz w:val="13"/>
                <w:szCs w:val="13"/>
                <w:color w:val="auto"/>
              </w:rPr>
              <w:t>4.3</w:t>
            </w:r>
          </w:p>
        </w:tc>
        <w:tc>
          <w:tcPr>
            <w:tcW w:w="72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81">
              <w:r>
                <w:rPr>
                  <w:rFonts w:ascii="Arial" w:cs="Arial" w:eastAsia="Arial" w:hAnsi="Arial"/>
                  <w:sz w:val="13"/>
                  <w:szCs w:val="13"/>
                  <w:color w:val="0000FF"/>
                </w:rPr>
                <w:t>2021 Share Incentive Plan (incorporated by reference to Exhibit 10.1 of the Registrant’s Registration Statement on Form F-1 (File No. 333-260003) filed with the SEC on</w:t>
              </w:r>
            </w:hyperlink>
          </w:p>
        </w:tc>
      </w:tr>
      <w:tr>
        <w:trPr>
          <w:trHeight w:val="107"/>
        </w:trPr>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780" w:type="dxa"/>
            <w:vAlign w:val="bottom"/>
            <w:tcBorders>
              <w:top w:val="single" w:sz="8" w:color="0000FF"/>
            </w:tcBorders>
            <w:gridSpan w:val="22"/>
          </w:tcPr>
          <w:p>
            <w:pPr>
              <w:spacing w:after="0" w:line="107" w:lineRule="exact"/>
              <w:rPr>
                <w:rFonts w:ascii="Arial" w:cs="Arial" w:eastAsia="Arial" w:hAnsi="Arial"/>
                <w:sz w:val="12"/>
                <w:szCs w:val="12"/>
                <w:color w:val="0000FF"/>
              </w:rPr>
            </w:pPr>
            <w:hyperlink r:id="rId181">
              <w:r>
                <w:rPr>
                  <w:rFonts w:ascii="Arial" w:cs="Arial" w:eastAsia="Arial" w:hAnsi="Arial"/>
                  <w:sz w:val="12"/>
                  <w:szCs w:val="12"/>
                  <w:color w:val="0000FF"/>
                </w:rPr>
                <w:t>October 4, 2021)</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600" w:type="dxa"/>
            <w:vAlign w:val="bottom"/>
          </w:tcPr>
          <w:p>
            <w:pPr>
              <w:ind w:left="20"/>
              <w:spacing w:after="0"/>
              <w:rPr>
                <w:sz w:val="20"/>
                <w:szCs w:val="20"/>
                <w:color w:val="auto"/>
              </w:rPr>
            </w:pPr>
            <w:r>
              <w:rPr>
                <w:rFonts w:ascii="Arial" w:cs="Arial" w:eastAsia="Arial" w:hAnsi="Arial"/>
                <w:sz w:val="13"/>
                <w:szCs w:val="13"/>
                <w:color w:val="auto"/>
              </w:rPr>
              <w:t>4.4</w:t>
            </w:r>
          </w:p>
        </w:tc>
        <w:tc>
          <w:tcPr>
            <w:tcW w:w="72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82">
              <w:r>
                <w:rPr>
                  <w:rFonts w:ascii="Arial" w:cs="Arial" w:eastAsia="Arial" w:hAnsi="Arial"/>
                  <w:sz w:val="13"/>
                  <w:szCs w:val="13"/>
                  <w:color w:val="0000FF"/>
                </w:rPr>
                <w:t>2021 Amendment of the GLOBALFOUNDRIES Inc. 2018 Share Incentive Plan Share Option Agreement (incorporated by reference to Exhibit 10.9 of the Registrant’s</w:t>
              </w:r>
            </w:hyperlink>
          </w:p>
        </w:tc>
      </w:tr>
      <w:tr>
        <w:trPr>
          <w:trHeight w:val="107"/>
        </w:trPr>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300" w:type="dxa"/>
            <w:vAlign w:val="bottom"/>
            <w:tcBorders>
              <w:top w:val="single" w:sz="8" w:color="0000FF"/>
            </w:tcBorders>
            <w:gridSpan w:val="17"/>
          </w:tcPr>
          <w:p>
            <w:pPr>
              <w:spacing w:after="0" w:line="107" w:lineRule="exact"/>
              <w:rPr>
                <w:rFonts w:ascii="Arial" w:cs="Arial" w:eastAsia="Arial" w:hAnsi="Arial"/>
                <w:sz w:val="12"/>
                <w:szCs w:val="12"/>
                <w:color w:val="0000FF"/>
              </w:rPr>
            </w:pPr>
            <w:hyperlink r:id="rId182">
              <w:r>
                <w:rPr>
                  <w:rFonts w:ascii="Arial" w:cs="Arial" w:eastAsia="Arial" w:hAnsi="Arial"/>
                  <w:sz w:val="12"/>
                  <w:szCs w:val="12"/>
                  <w:color w:val="0000FF"/>
                </w:rPr>
                <w:t>Registration Statement on Form F-1 (File No. 333-260003) filed with the SEC on October 4, 2021)</w:t>
              </w:r>
            </w:hyperlink>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600" w:type="dxa"/>
            <w:vAlign w:val="bottom"/>
          </w:tcPr>
          <w:p>
            <w:pPr>
              <w:ind w:left="20"/>
              <w:spacing w:after="0"/>
              <w:rPr>
                <w:sz w:val="20"/>
                <w:szCs w:val="20"/>
                <w:color w:val="auto"/>
              </w:rPr>
            </w:pPr>
            <w:r>
              <w:rPr>
                <w:rFonts w:ascii="Arial" w:cs="Arial" w:eastAsia="Arial" w:hAnsi="Arial"/>
                <w:sz w:val="13"/>
                <w:szCs w:val="13"/>
                <w:color w:val="auto"/>
              </w:rPr>
              <w:t>4.5</w:t>
            </w:r>
          </w:p>
        </w:tc>
        <w:tc>
          <w:tcPr>
            <w:tcW w:w="72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83">
              <w:r>
                <w:rPr>
                  <w:rFonts w:ascii="Arial" w:cs="Arial" w:eastAsia="Arial" w:hAnsi="Arial"/>
                  <w:sz w:val="13"/>
                  <w:szCs w:val="13"/>
                  <w:color w:val="0000FF"/>
                </w:rPr>
                <w:t>2021 Amendment of the GLOBALFOUNDRIES Inc. 2018 Share Incentive Plan (incorporated by reference to Exhibit 10.10 of the Registrant’s Registration Statement on</w:t>
              </w:r>
            </w:hyperlink>
          </w:p>
        </w:tc>
      </w:tr>
      <w:tr>
        <w:trPr>
          <w:trHeight w:val="107"/>
        </w:trPr>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0" w:type="dxa"/>
            <w:vAlign w:val="bottom"/>
            <w:tcBorders>
              <w:top w:val="single" w:sz="8" w:color="0000FF"/>
              <w:bottom w:val="single" w:sz="8" w:color="0000FF"/>
            </w:tcBorders>
            <w:gridSpan w:val="5"/>
          </w:tcPr>
          <w:p>
            <w:pPr>
              <w:spacing w:after="0" w:line="107" w:lineRule="exact"/>
              <w:rPr>
                <w:rFonts w:ascii="Arial" w:cs="Arial" w:eastAsia="Arial" w:hAnsi="Arial"/>
                <w:sz w:val="12"/>
                <w:szCs w:val="12"/>
                <w:color w:val="0000FF"/>
              </w:rPr>
            </w:pPr>
            <w:hyperlink r:id="rId183">
              <w:r>
                <w:rPr>
                  <w:rFonts w:ascii="Arial" w:cs="Arial" w:eastAsia="Arial" w:hAnsi="Arial"/>
                  <w:sz w:val="12"/>
                  <w:szCs w:val="12"/>
                  <w:color w:val="0000FF"/>
                </w:rPr>
                <w:t>Form F-1 (File No. 333-260003) filed with the SEC on October 4, 2021)</w:t>
              </w:r>
            </w:hyperlink>
          </w:p>
        </w:tc>
        <w:tc>
          <w:tcPr>
            <w:tcW w:w="5840" w:type="dxa"/>
            <w:vAlign w:val="bottom"/>
            <w:tcBorders>
              <w:top w:val="single" w:sz="8" w:color="0000FF"/>
            </w:tcBorders>
            <w:gridSpan w:val="20"/>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600" w:type="dxa"/>
            <w:vAlign w:val="bottom"/>
          </w:tcPr>
          <w:p>
            <w:pPr>
              <w:ind w:left="20"/>
              <w:spacing w:after="0"/>
              <w:rPr>
                <w:sz w:val="20"/>
                <w:szCs w:val="20"/>
                <w:color w:val="auto"/>
              </w:rPr>
            </w:pPr>
            <w:r>
              <w:rPr>
                <w:rFonts w:ascii="Arial" w:cs="Arial" w:eastAsia="Arial" w:hAnsi="Arial"/>
                <w:sz w:val="13"/>
                <w:szCs w:val="13"/>
                <w:color w:val="auto"/>
              </w:rPr>
              <w:t>4.6</w:t>
            </w:r>
          </w:p>
        </w:tc>
        <w:tc>
          <w:tcPr>
            <w:tcW w:w="72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84">
              <w:r>
                <w:rPr>
                  <w:rFonts w:ascii="Arial" w:cs="Arial" w:eastAsia="Arial" w:hAnsi="Arial"/>
                  <w:sz w:val="13"/>
                  <w:szCs w:val="13"/>
                  <w:color w:val="0000FF"/>
                </w:rPr>
                <w:t>2021 Employee Stock Purchase Plan (incorporated by reference to Exhibit 10.11 of the Registrant’s Registration Statement on Form F-1 (File No. 333-260003) filed with the</w:t>
              </w:r>
            </w:hyperlink>
          </w:p>
        </w:tc>
      </w:tr>
      <w:tr>
        <w:trPr>
          <w:trHeight w:val="107"/>
        </w:trPr>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80" w:type="dxa"/>
            <w:vAlign w:val="bottom"/>
            <w:tcBorders>
              <w:top w:val="single" w:sz="8" w:color="0000FF"/>
            </w:tcBorders>
            <w:gridSpan w:val="27"/>
          </w:tcPr>
          <w:p>
            <w:pPr>
              <w:spacing w:after="0" w:line="107" w:lineRule="exact"/>
              <w:rPr>
                <w:rFonts w:ascii="Arial" w:cs="Arial" w:eastAsia="Arial" w:hAnsi="Arial"/>
                <w:sz w:val="12"/>
                <w:szCs w:val="12"/>
                <w:color w:val="0000FF"/>
              </w:rPr>
            </w:pPr>
            <w:hyperlink r:id="rId184">
              <w:r>
                <w:rPr>
                  <w:rFonts w:ascii="Arial" w:cs="Arial" w:eastAsia="Arial" w:hAnsi="Arial"/>
                  <w:sz w:val="12"/>
                  <w:szCs w:val="12"/>
                  <w:color w:val="0000FF"/>
                </w:rPr>
                <w:t>SEC on October 4, 2021)</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600" w:type="dxa"/>
            <w:vAlign w:val="bottom"/>
          </w:tcPr>
          <w:p>
            <w:pPr>
              <w:ind w:left="20"/>
              <w:spacing w:after="0"/>
              <w:rPr>
                <w:sz w:val="20"/>
                <w:szCs w:val="20"/>
                <w:color w:val="auto"/>
              </w:rPr>
            </w:pPr>
            <w:r>
              <w:rPr>
                <w:rFonts w:ascii="Arial" w:cs="Arial" w:eastAsia="Arial" w:hAnsi="Arial"/>
                <w:sz w:val="13"/>
                <w:szCs w:val="13"/>
                <w:color w:val="auto"/>
              </w:rPr>
              <w:t>4.7†</w:t>
            </w:r>
          </w:p>
        </w:tc>
        <w:tc>
          <w:tcPr>
            <w:tcW w:w="72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85">
              <w:r>
                <w:rPr>
                  <w:rFonts w:ascii="Arial" w:cs="Arial" w:eastAsia="Arial" w:hAnsi="Arial"/>
                  <w:sz w:val="13"/>
                  <w:szCs w:val="13"/>
                  <w:color w:val="0000FF"/>
                </w:rPr>
                <w:t>Materials Supply Agreement, dated April 25, 2017, between GLOBALFOUNDRIES U.S. Inc. and Soitec S.A. (incorporated by reference to Exhibit 10.3 of the Registrant’s</w:t>
              </w:r>
            </w:hyperlink>
          </w:p>
        </w:tc>
      </w:tr>
      <w:tr>
        <w:trPr>
          <w:trHeight w:val="107"/>
        </w:trPr>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760" w:type="dxa"/>
            <w:vAlign w:val="bottom"/>
            <w:tcBorders>
              <w:top w:val="single" w:sz="8" w:color="0000FF"/>
            </w:tcBorders>
            <w:gridSpan w:val="21"/>
          </w:tcPr>
          <w:p>
            <w:pPr>
              <w:spacing w:after="0" w:line="107" w:lineRule="exact"/>
              <w:rPr>
                <w:rFonts w:ascii="Arial" w:cs="Arial" w:eastAsia="Arial" w:hAnsi="Arial"/>
                <w:sz w:val="12"/>
                <w:szCs w:val="12"/>
                <w:color w:val="0000FF"/>
              </w:rPr>
            </w:pPr>
            <w:hyperlink r:id="rId185">
              <w:r>
                <w:rPr>
                  <w:rFonts w:ascii="Arial" w:cs="Arial" w:eastAsia="Arial" w:hAnsi="Arial"/>
                  <w:sz w:val="12"/>
                  <w:szCs w:val="12"/>
                  <w:color w:val="0000FF"/>
                </w:rPr>
                <w:t>Registration Statement on Form F-1 (File No. 333-260003) filed with the SEC on October 4, 2021)</w:t>
              </w:r>
            </w:hyperlink>
          </w:p>
        </w:tc>
        <w:tc>
          <w:tcPr>
            <w:tcW w:w="60" w:type="dxa"/>
            <w:vAlign w:val="bottom"/>
            <w:gridSpan w:val="3"/>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60" w:type="dxa"/>
            <w:vAlign w:val="bottom"/>
            <w:gridSpan w:val="7"/>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600" w:type="dxa"/>
            <w:vAlign w:val="bottom"/>
          </w:tcPr>
          <w:p>
            <w:pPr>
              <w:ind w:left="20"/>
              <w:spacing w:after="0"/>
              <w:rPr>
                <w:sz w:val="20"/>
                <w:szCs w:val="20"/>
                <w:color w:val="auto"/>
              </w:rPr>
            </w:pPr>
            <w:r>
              <w:rPr>
                <w:rFonts w:ascii="Arial" w:cs="Arial" w:eastAsia="Arial" w:hAnsi="Arial"/>
                <w:sz w:val="13"/>
                <w:szCs w:val="13"/>
                <w:color w:val="auto"/>
              </w:rPr>
              <w:t>4.8†</w:t>
            </w:r>
          </w:p>
        </w:tc>
        <w:tc>
          <w:tcPr>
            <w:tcW w:w="72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86">
              <w:r>
                <w:rPr>
                  <w:rFonts w:ascii="Arial" w:cs="Arial" w:eastAsia="Arial" w:hAnsi="Arial"/>
                  <w:sz w:val="13"/>
                  <w:szCs w:val="13"/>
                  <w:color w:val="0000FF"/>
                </w:rPr>
                <w:t>Addendum to Materials Supply Agreement, dated November 2, 2020, between GLOBALFOUNDRIES U.S. Inc. and Soitec S.A. (incorporated by reference to Exhibit 10.4 of</w:t>
              </w:r>
            </w:hyperlink>
          </w:p>
        </w:tc>
      </w:tr>
      <w:tr>
        <w:trPr>
          <w:trHeight w:val="107"/>
        </w:trPr>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720" w:type="dxa"/>
            <w:vAlign w:val="bottom"/>
            <w:tcBorders>
              <w:top w:val="single" w:sz="8" w:color="0000FF"/>
            </w:tcBorders>
            <w:gridSpan w:val="19"/>
          </w:tcPr>
          <w:p>
            <w:pPr>
              <w:spacing w:after="0" w:line="107" w:lineRule="exact"/>
              <w:rPr>
                <w:rFonts w:ascii="Arial" w:cs="Arial" w:eastAsia="Arial" w:hAnsi="Arial"/>
                <w:sz w:val="12"/>
                <w:szCs w:val="12"/>
                <w:color w:val="0000FF"/>
              </w:rPr>
            </w:pPr>
            <w:hyperlink r:id="rId186">
              <w:r>
                <w:rPr>
                  <w:rFonts w:ascii="Arial" w:cs="Arial" w:eastAsia="Arial" w:hAnsi="Arial"/>
                  <w:sz w:val="12"/>
                  <w:szCs w:val="12"/>
                  <w:color w:val="0000FF"/>
                </w:rPr>
                <w:t>the Registrant’s Registration Statement on Form F-1 (File No. 333-260003) filed with the SEC on October 4, 2021)</w:t>
              </w:r>
            </w:hyperlink>
          </w:p>
        </w:tc>
        <w:tc>
          <w:tcPr>
            <w:tcW w:w="100" w:type="dxa"/>
            <w:vAlign w:val="bottom"/>
            <w:gridSpan w:val="5"/>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60" w:type="dxa"/>
            <w:vAlign w:val="bottom"/>
            <w:gridSpan w:val="7"/>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600" w:type="dxa"/>
            <w:vAlign w:val="bottom"/>
          </w:tcPr>
          <w:p>
            <w:pPr>
              <w:ind w:left="20"/>
              <w:spacing w:after="0"/>
              <w:rPr>
                <w:sz w:val="20"/>
                <w:szCs w:val="20"/>
                <w:color w:val="auto"/>
              </w:rPr>
            </w:pPr>
            <w:r>
              <w:rPr>
                <w:rFonts w:ascii="Arial" w:cs="Arial" w:eastAsia="Arial" w:hAnsi="Arial"/>
                <w:sz w:val="13"/>
                <w:szCs w:val="13"/>
                <w:color w:val="auto"/>
              </w:rPr>
              <w:t>4.9†</w:t>
            </w:r>
          </w:p>
        </w:tc>
        <w:tc>
          <w:tcPr>
            <w:tcW w:w="72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87">
              <w:r>
                <w:rPr>
                  <w:rFonts w:ascii="Arial" w:cs="Arial" w:eastAsia="Arial" w:hAnsi="Arial"/>
                  <w:sz w:val="13"/>
                  <w:szCs w:val="13"/>
                  <w:color w:val="0000FF"/>
                </w:rPr>
                <w:t>Amended and Restated Exhibit 3 to the Long Term Addendum, dated July 1, 2021, between GLOBALFOUNDRIES U.S. Inc. and Soitec S.A. (incorporated by reference to</w:t>
              </w:r>
            </w:hyperlink>
          </w:p>
        </w:tc>
      </w:tr>
      <w:tr>
        <w:trPr>
          <w:trHeight w:val="107"/>
        </w:trPr>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20" w:type="dxa"/>
            <w:vAlign w:val="bottom"/>
            <w:tcBorders>
              <w:top w:val="single" w:sz="8" w:color="0000FF"/>
            </w:tcBorders>
            <w:gridSpan w:val="24"/>
          </w:tcPr>
          <w:p>
            <w:pPr>
              <w:spacing w:after="0" w:line="107" w:lineRule="exact"/>
              <w:rPr>
                <w:rFonts w:ascii="Arial" w:cs="Arial" w:eastAsia="Arial" w:hAnsi="Arial"/>
                <w:sz w:val="12"/>
                <w:szCs w:val="12"/>
                <w:color w:val="0000FF"/>
              </w:rPr>
            </w:pPr>
            <w:hyperlink r:id="rId187">
              <w:r>
                <w:rPr>
                  <w:rFonts w:ascii="Arial" w:cs="Arial" w:eastAsia="Arial" w:hAnsi="Arial"/>
                  <w:sz w:val="12"/>
                  <w:szCs w:val="12"/>
                  <w:color w:val="0000FF"/>
                </w:rPr>
                <w:t>Exhibit 10.5 of the Registrant’s Registration Statement on Form F-1 (File No. 333-260003) filed with the SEC on October 4, 2021)</w:t>
              </w:r>
            </w:hyperlink>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60" w:type="dxa"/>
            <w:vAlign w:val="bottom"/>
            <w:gridSpan w:val="7"/>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600" w:type="dxa"/>
            <w:vAlign w:val="bottom"/>
          </w:tcPr>
          <w:p>
            <w:pPr>
              <w:ind w:left="20"/>
              <w:spacing w:after="0"/>
              <w:rPr>
                <w:sz w:val="20"/>
                <w:szCs w:val="20"/>
                <w:color w:val="auto"/>
              </w:rPr>
            </w:pPr>
            <w:r>
              <w:rPr>
                <w:rFonts w:ascii="Arial" w:cs="Arial" w:eastAsia="Arial" w:hAnsi="Arial"/>
                <w:sz w:val="13"/>
                <w:szCs w:val="13"/>
                <w:color w:val="auto"/>
              </w:rPr>
              <w:t>4.10†</w:t>
            </w:r>
          </w:p>
        </w:tc>
        <w:tc>
          <w:tcPr>
            <w:tcW w:w="72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88">
              <w:r>
                <w:rPr>
                  <w:rFonts w:ascii="Arial" w:cs="Arial" w:eastAsia="Arial" w:hAnsi="Arial"/>
                  <w:sz w:val="13"/>
                  <w:szCs w:val="13"/>
                  <w:color w:val="0000FF"/>
                </w:rPr>
                <w:t>Amendment #1 to the Amended and Restated Exhibit 3 to the Long Term Addendum, dated September 11, 2017 between GLOBALFOUNDRIES U.S. Inc. and Soitec S.A.</w:t>
              </w:r>
            </w:hyperlink>
          </w:p>
        </w:tc>
      </w:tr>
      <w:tr>
        <w:trPr>
          <w:trHeight w:val="107"/>
        </w:trPr>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940" w:type="dxa"/>
            <w:vAlign w:val="bottom"/>
            <w:tcBorders>
              <w:top w:val="single" w:sz="8" w:color="0000FF"/>
            </w:tcBorders>
            <w:gridSpan w:val="30"/>
          </w:tcPr>
          <w:p>
            <w:pPr>
              <w:spacing w:after="0" w:line="107" w:lineRule="exact"/>
              <w:rPr>
                <w:rFonts w:ascii="Arial" w:cs="Arial" w:eastAsia="Arial" w:hAnsi="Arial"/>
                <w:sz w:val="12"/>
                <w:szCs w:val="12"/>
                <w:color w:val="0000FF"/>
              </w:rPr>
            </w:pPr>
            <w:hyperlink r:id="rId188">
              <w:r>
                <w:rPr>
                  <w:rFonts w:ascii="Arial" w:cs="Arial" w:eastAsia="Arial" w:hAnsi="Arial"/>
                  <w:sz w:val="12"/>
                  <w:szCs w:val="12"/>
                  <w:color w:val="0000FF"/>
                </w:rPr>
                <w:t>(incorporated by reference to Exhibit 4.10 of the Registrant’s Annual Report on Form 20-F (File No. 001-40974) filed with the SEC on April 14, 2023)</w:t>
              </w:r>
            </w:hyperlink>
          </w:p>
        </w:tc>
        <w:tc>
          <w:tcPr>
            <w:tcW w:w="20" w:type="dxa"/>
            <w:vAlign w:val="bottom"/>
          </w:tcPr>
          <w:p>
            <w:pPr>
              <w:spacing w:after="0"/>
              <w:rPr>
                <w:sz w:val="9"/>
                <w:szCs w:val="9"/>
                <w:color w:val="auto"/>
              </w:rPr>
            </w:pPr>
          </w:p>
        </w:tc>
      </w:tr>
      <w:tr>
        <w:trPr>
          <w:trHeight w:val="20"/>
        </w:trPr>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60" w:type="dxa"/>
            <w:vAlign w:val="bottom"/>
            <w:gridSpan w:val="7"/>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61"/>
        </w:trPr>
        <w:tc>
          <w:tcPr>
            <w:tcW w:w="600" w:type="dxa"/>
            <w:vAlign w:val="bottom"/>
          </w:tcPr>
          <w:p>
            <w:pPr>
              <w:ind w:left="20"/>
              <w:spacing w:after="0"/>
              <w:rPr>
                <w:sz w:val="20"/>
                <w:szCs w:val="20"/>
                <w:color w:val="auto"/>
              </w:rPr>
            </w:pPr>
            <w:r>
              <w:rPr>
                <w:rFonts w:ascii="Arial" w:cs="Arial" w:eastAsia="Arial" w:hAnsi="Arial"/>
                <w:sz w:val="13"/>
                <w:szCs w:val="13"/>
                <w:color w:val="auto"/>
              </w:rPr>
              <w:t>4.11†</w:t>
            </w:r>
          </w:p>
        </w:tc>
        <w:tc>
          <w:tcPr>
            <w:tcW w:w="72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3"/>
                <w:szCs w:val="13"/>
                <w:color w:val="0000FF"/>
              </w:rPr>
            </w:pPr>
            <w:hyperlink r:id="rId188">
              <w:r>
                <w:rPr>
                  <w:rFonts w:ascii="Arial" w:cs="Arial" w:eastAsia="Arial" w:hAnsi="Arial"/>
                  <w:sz w:val="13"/>
                  <w:szCs w:val="13"/>
                  <w:color w:val="0000FF"/>
                </w:rPr>
                <w:t>2023 Addendum to Materials Supply Agreement, dated November 10, 2022, between GLOBALFOUNDRIES U.S. Inc. and Soitec S.A. (incorporated by reference to Exhibit</w:t>
              </w:r>
            </w:hyperlink>
          </w:p>
        </w:tc>
      </w:tr>
      <w:tr>
        <w:trPr>
          <w:trHeight w:val="87"/>
        </w:trPr>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60" w:type="dxa"/>
            <w:vAlign w:val="bottom"/>
            <w:tcBorders>
              <w:top w:val="single" w:sz="8" w:color="0000FF"/>
              <w:bottom w:val="single" w:sz="8" w:color="0000FF"/>
            </w:tcBorders>
            <w:gridSpan w:val="7"/>
          </w:tcPr>
          <w:p>
            <w:pPr>
              <w:spacing w:after="0" w:line="88" w:lineRule="exact"/>
              <w:rPr>
                <w:rFonts w:ascii="Arial" w:cs="Arial" w:eastAsia="Arial" w:hAnsi="Arial"/>
                <w:sz w:val="10"/>
                <w:szCs w:val="10"/>
                <w:color w:val="0000FF"/>
              </w:rPr>
            </w:pPr>
            <w:hyperlink r:id="rId188">
              <w:r>
                <w:rPr>
                  <w:rFonts w:ascii="Arial" w:cs="Arial" w:eastAsia="Arial" w:hAnsi="Arial"/>
                  <w:sz w:val="10"/>
                  <w:szCs w:val="10"/>
                  <w:color w:val="0000FF"/>
                </w:rPr>
                <w:t>4.</w:t>
              </w:r>
              <w:r>
                <w:rPr>
                  <w:rFonts w:ascii="Arial" w:cs="Arial" w:eastAsia="Arial" w:hAnsi="Arial"/>
                  <w:sz w:val="10"/>
                  <w:szCs w:val="10"/>
                  <w:u w:val="single" w:color="auto"/>
                  <w:color w:val="0000FF"/>
                </w:rPr>
                <w:t>10</w:t>
              </w:r>
              <w:r>
                <w:rPr>
                  <w:rFonts w:ascii="Arial" w:cs="Arial" w:eastAsia="Arial" w:hAnsi="Arial"/>
                  <w:sz w:val="10"/>
                  <w:szCs w:val="10"/>
                  <w:color w:val="0000FF"/>
                </w:rPr>
                <w:t xml:space="preserve"> of the Registrant’s Annual Report on Form 20-F (File No. 001-40974) filed with the</w:t>
              </w:r>
            </w:hyperlink>
          </w:p>
        </w:tc>
        <w:tc>
          <w:tcPr>
            <w:tcW w:w="1380" w:type="dxa"/>
            <w:vAlign w:val="bottom"/>
            <w:tcBorders>
              <w:top w:val="single" w:sz="8" w:color="0000FF"/>
              <w:bottom w:val="single" w:sz="8" w:color="0000FF"/>
            </w:tcBorders>
            <w:gridSpan w:val="3"/>
          </w:tcPr>
          <w:p>
            <w:pPr>
              <w:ind w:left="80"/>
              <w:spacing w:after="0" w:line="88" w:lineRule="exact"/>
              <w:rPr>
                <w:rFonts w:ascii="Arial" w:cs="Arial" w:eastAsia="Arial" w:hAnsi="Arial"/>
                <w:sz w:val="10"/>
                <w:szCs w:val="10"/>
                <w:color w:val="0000FF"/>
              </w:rPr>
            </w:pPr>
            <w:hyperlink r:id="rId188">
              <w:r>
                <w:rPr>
                  <w:rFonts w:ascii="Arial" w:cs="Arial" w:eastAsia="Arial" w:hAnsi="Arial"/>
                  <w:sz w:val="10"/>
                  <w:szCs w:val="10"/>
                  <w:color w:val="0000FF"/>
                </w:rPr>
                <w:t>SEC on April 14, 2023)</w:t>
              </w:r>
            </w:hyperlink>
          </w:p>
        </w:tc>
        <w:tc>
          <w:tcPr>
            <w:tcW w:w="3660" w:type="dxa"/>
            <w:vAlign w:val="bottom"/>
            <w:tcBorders>
              <w:top w:val="single" w:sz="8" w:color="0000FF"/>
            </w:tcBorders>
            <w:gridSpan w:val="18"/>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r>
      <w:tr>
        <w:trPr>
          <w:trHeight w:val="341"/>
        </w:trPr>
        <w:tc>
          <w:tcPr>
            <w:tcW w:w="600" w:type="dxa"/>
            <w:vAlign w:val="bottom"/>
          </w:tcPr>
          <w:p>
            <w:pPr>
              <w:ind w:left="20"/>
              <w:spacing w:after="0"/>
              <w:rPr>
                <w:sz w:val="20"/>
                <w:szCs w:val="20"/>
                <w:color w:val="auto"/>
              </w:rPr>
            </w:pPr>
            <w:r>
              <w:rPr>
                <w:rFonts w:ascii="Arial" w:cs="Arial" w:eastAsia="Arial" w:hAnsi="Arial"/>
                <w:sz w:val="13"/>
                <w:szCs w:val="13"/>
                <w:color w:val="auto"/>
              </w:rPr>
              <w:t>4.12*†</w:t>
            </w:r>
          </w:p>
        </w:tc>
        <w:tc>
          <w:tcPr>
            <w:tcW w:w="720" w:type="dxa"/>
            <w:vAlign w:val="bottom"/>
          </w:tcPr>
          <w:p>
            <w:pPr>
              <w:spacing w:after="0"/>
              <w:rPr>
                <w:sz w:val="24"/>
                <w:szCs w:val="24"/>
                <w:color w:val="auto"/>
              </w:rPr>
            </w:pPr>
          </w:p>
        </w:tc>
        <w:tc>
          <w:tcPr>
            <w:tcW w:w="7260" w:type="dxa"/>
            <w:vAlign w:val="bottom"/>
            <w:tcBorders>
              <w:bottom w:val="single" w:sz="8" w:color="0000FF"/>
            </w:tcBorders>
            <w:gridSpan w:val="12"/>
          </w:tcPr>
          <w:p>
            <w:pPr>
              <w:spacing w:after="0"/>
              <w:rPr>
                <w:sz w:val="20"/>
                <w:szCs w:val="20"/>
                <w:color w:val="auto"/>
              </w:rPr>
            </w:pPr>
            <w:r>
              <w:rPr>
                <w:rFonts w:ascii="Arial" w:cs="Arial" w:eastAsia="Arial" w:hAnsi="Arial"/>
                <w:sz w:val="13"/>
                <w:szCs w:val="13"/>
                <w:color w:val="0000FF"/>
                <w:w w:val="97"/>
              </w:rPr>
              <w:t>Addendum to Materials Supply Agreement, dated December 14, 2023, between GLOBALFOUNDRIES U.S. Inc. and Soitec S.A.</w:t>
            </w:r>
          </w:p>
        </w:tc>
        <w:tc>
          <w:tcPr>
            <w:tcW w:w="2700" w:type="dxa"/>
            <w:vAlign w:val="bottom"/>
            <w:gridSpan w:val="19"/>
          </w:tcPr>
          <w:p>
            <w:pPr>
              <w:spacing w:after="0"/>
              <w:rPr>
                <w:sz w:val="24"/>
                <w:szCs w:val="24"/>
                <w:color w:val="auto"/>
              </w:rPr>
            </w:pPr>
          </w:p>
        </w:tc>
      </w:tr>
      <w:tr>
        <w:trPr>
          <w:trHeight w:val="150"/>
        </w:trPr>
        <w:tc>
          <w:tcPr>
            <w:tcW w:w="600" w:type="dxa"/>
            <w:vAlign w:val="bottom"/>
          </w:tcPr>
          <w:p>
            <w:pPr>
              <w:ind w:left="20"/>
              <w:spacing w:after="0"/>
              <w:rPr>
                <w:sz w:val="20"/>
                <w:szCs w:val="20"/>
                <w:color w:val="auto"/>
              </w:rPr>
            </w:pPr>
            <w:r>
              <w:rPr>
                <w:rFonts w:ascii="Arial" w:cs="Arial" w:eastAsia="Arial" w:hAnsi="Arial"/>
                <w:sz w:val="13"/>
                <w:szCs w:val="13"/>
                <w:color w:val="auto"/>
              </w:rPr>
              <w:t>4.13</w:t>
            </w:r>
          </w:p>
        </w:tc>
        <w:tc>
          <w:tcPr>
            <w:tcW w:w="72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89">
              <w:r>
                <w:rPr>
                  <w:rFonts w:ascii="Arial" w:cs="Arial" w:eastAsia="Arial" w:hAnsi="Arial"/>
                  <w:sz w:val="13"/>
                  <w:szCs w:val="13"/>
                  <w:color w:val="0000FF"/>
                </w:rPr>
                <w:t>Term Loan Facility Agreement, dated September 3, 2021, between GLOBALFOUNDRIES Singapore Pte. Ltd., the Company and Economic Development Board</w:t>
              </w:r>
            </w:hyperlink>
          </w:p>
        </w:tc>
      </w:tr>
      <w:tr>
        <w:trPr>
          <w:trHeight w:val="107"/>
        </w:trPr>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940" w:type="dxa"/>
            <w:vAlign w:val="bottom"/>
            <w:tcBorders>
              <w:top w:val="single" w:sz="8" w:color="0000FF"/>
              <w:bottom w:val="single" w:sz="8" w:color="0000FF"/>
            </w:tcBorders>
            <w:gridSpan w:val="15"/>
          </w:tcPr>
          <w:p>
            <w:pPr>
              <w:spacing w:after="0" w:line="107" w:lineRule="exact"/>
              <w:rPr>
                <w:rFonts w:ascii="Arial" w:cs="Arial" w:eastAsia="Arial" w:hAnsi="Arial"/>
                <w:sz w:val="12"/>
                <w:szCs w:val="12"/>
                <w:color w:val="0000FF"/>
              </w:rPr>
            </w:pPr>
            <w:hyperlink r:id="rId189">
              <w:r>
                <w:rPr>
                  <w:rFonts w:ascii="Arial" w:cs="Arial" w:eastAsia="Arial" w:hAnsi="Arial"/>
                  <w:sz w:val="12"/>
                  <w:szCs w:val="12"/>
                  <w:color w:val="0000FF"/>
                </w:rPr>
                <w:t>(incorporated by reference to Exhibit 10.6 of the Registrant’s Registration Statement on Form F-1 (File No. 333-260003) filed with the SEC on October 4, 2021)</w:t>
              </w:r>
            </w:hyperlink>
          </w:p>
        </w:tc>
        <w:tc>
          <w:tcPr>
            <w:tcW w:w="760" w:type="dxa"/>
            <w:vAlign w:val="bottom"/>
            <w:tcBorders>
              <w:top w:val="single" w:sz="8" w:color="0000FF"/>
            </w:tcBorders>
            <w:gridSpan w:val="3"/>
          </w:tcPr>
          <w:p>
            <w:pPr>
              <w:spacing w:after="0"/>
              <w:rPr>
                <w:sz w:val="9"/>
                <w:szCs w:val="9"/>
                <w:color w:val="auto"/>
              </w:rPr>
            </w:pPr>
          </w:p>
        </w:tc>
        <w:tc>
          <w:tcPr>
            <w:tcW w:w="220" w:type="dxa"/>
            <w:vAlign w:val="bottom"/>
            <w:gridSpan w:val="11"/>
          </w:tcPr>
          <w:p>
            <w:pPr>
              <w:spacing w:after="0"/>
              <w:rPr>
                <w:sz w:val="9"/>
                <w:szCs w:val="9"/>
                <w:color w:val="auto"/>
              </w:rPr>
            </w:pPr>
          </w:p>
        </w:tc>
        <w:tc>
          <w:tcPr>
            <w:tcW w:w="40" w:type="dxa"/>
            <w:vAlign w:val="bottom"/>
            <w:gridSpan w:val="2"/>
          </w:tcPr>
          <w:p>
            <w:pPr>
              <w:spacing w:after="0"/>
              <w:rPr>
                <w:sz w:val="9"/>
                <w:szCs w:val="9"/>
                <w:color w:val="auto"/>
              </w:rPr>
            </w:pPr>
          </w:p>
        </w:tc>
      </w:tr>
      <w:tr>
        <w:trPr>
          <w:trHeight w:val="150"/>
        </w:trPr>
        <w:tc>
          <w:tcPr>
            <w:tcW w:w="600" w:type="dxa"/>
            <w:vAlign w:val="bottom"/>
          </w:tcPr>
          <w:p>
            <w:pPr>
              <w:ind w:left="20"/>
              <w:spacing w:after="0"/>
              <w:rPr>
                <w:sz w:val="20"/>
                <w:szCs w:val="20"/>
                <w:color w:val="auto"/>
              </w:rPr>
            </w:pPr>
            <w:r>
              <w:rPr>
                <w:rFonts w:ascii="Arial" w:cs="Arial" w:eastAsia="Arial" w:hAnsi="Arial"/>
                <w:sz w:val="13"/>
                <w:szCs w:val="13"/>
                <w:color w:val="auto"/>
              </w:rPr>
              <w:t>4.14</w:t>
            </w:r>
          </w:p>
        </w:tc>
        <w:tc>
          <w:tcPr>
            <w:tcW w:w="72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90">
              <w:r>
                <w:rPr>
                  <w:rFonts w:ascii="Arial" w:cs="Arial" w:eastAsia="Arial" w:hAnsi="Arial"/>
                  <w:sz w:val="13"/>
                  <w:szCs w:val="13"/>
                  <w:color w:val="0000FF"/>
                </w:rPr>
                <w:t>2019 Revolving and L/C Facilities Agreement, dated October 18, 2019, between the Registrant and Citibank, N.A., London Branch and DBS Bank Ltd.(incorporated by</w:t>
              </w:r>
            </w:hyperlink>
          </w:p>
        </w:tc>
      </w:tr>
      <w:tr>
        <w:trPr>
          <w:trHeight w:val="107"/>
        </w:trPr>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920" w:type="dxa"/>
            <w:vAlign w:val="bottom"/>
            <w:tcBorders>
              <w:top w:val="single" w:sz="8" w:color="0000FF"/>
            </w:tcBorders>
            <w:gridSpan w:val="29"/>
          </w:tcPr>
          <w:p>
            <w:pPr>
              <w:spacing w:after="0" w:line="107" w:lineRule="exact"/>
              <w:rPr>
                <w:rFonts w:ascii="Arial" w:cs="Arial" w:eastAsia="Arial" w:hAnsi="Arial"/>
                <w:sz w:val="12"/>
                <w:szCs w:val="12"/>
                <w:color w:val="0000FF"/>
              </w:rPr>
            </w:pPr>
            <w:hyperlink r:id="rId190">
              <w:r>
                <w:rPr>
                  <w:rFonts w:ascii="Arial" w:cs="Arial" w:eastAsia="Arial" w:hAnsi="Arial"/>
                  <w:sz w:val="12"/>
                  <w:szCs w:val="12"/>
                  <w:color w:val="0000FF"/>
                </w:rPr>
                <w:t>reference to Exhibit 4.11 of the Registrant’s Annual Report on Form 20-F (File No.001-40974) filed with the SEC on March 31, 2022)</w:t>
              </w:r>
            </w:hyperlink>
          </w:p>
        </w:tc>
        <w:tc>
          <w:tcPr>
            <w:tcW w:w="40" w:type="dxa"/>
            <w:vAlign w:val="bottom"/>
            <w:gridSpan w:val="2"/>
          </w:tcPr>
          <w:p>
            <w:pPr>
              <w:spacing w:after="0"/>
              <w:rPr>
                <w:sz w:val="9"/>
                <w:szCs w:val="9"/>
                <w:color w:val="auto"/>
              </w:rPr>
            </w:pPr>
          </w:p>
        </w:tc>
      </w:tr>
      <w:tr>
        <w:trPr>
          <w:trHeight w:val="911"/>
        </w:trPr>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20" w:type="dxa"/>
            <w:vAlign w:val="bottom"/>
            <w:tcBorders>
              <w:top w:val="single" w:sz="8" w:color="0000FF"/>
            </w:tcBorders>
            <w:gridSpan w:val="6"/>
          </w:tcPr>
          <w:p>
            <w:pPr>
              <w:ind w:left="4260"/>
              <w:spacing w:after="0"/>
              <w:rPr>
                <w:sz w:val="20"/>
                <w:szCs w:val="20"/>
                <w:color w:val="auto"/>
              </w:rPr>
            </w:pPr>
            <w:r>
              <w:rPr>
                <w:rFonts w:ascii="Arial" w:cs="Arial" w:eastAsia="Arial" w:hAnsi="Arial"/>
                <w:sz w:val="13"/>
                <w:szCs w:val="13"/>
                <w:color w:val="auto"/>
              </w:rPr>
              <w:t>47</w:t>
            </w: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8"/>
        </w:trPr>
        <w:tc>
          <w:tcPr>
            <w:tcW w:w="6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49"/>
        </w:trPr>
        <w:tc>
          <w:tcPr>
            <w:tcW w:w="1300" w:type="dxa"/>
            <w:vAlign w:val="bottom"/>
          </w:tcPr>
          <w:p>
            <w:pPr>
              <w:spacing w:after="0"/>
              <w:rPr>
                <w:sz w:val="20"/>
                <w:szCs w:val="20"/>
                <w:color w:val="auto"/>
              </w:rPr>
            </w:pPr>
            <w:r>
              <w:rPr>
                <w:rFonts w:ascii="Arial" w:cs="Arial" w:eastAsia="Arial" w:hAnsi="Arial"/>
                <w:sz w:val="13"/>
                <w:szCs w:val="13"/>
                <w:color w:val="auto"/>
              </w:rPr>
              <w:t>4.15</w:t>
            </w:r>
          </w:p>
        </w:tc>
        <w:tc>
          <w:tcPr>
            <w:tcW w:w="9800" w:type="dxa"/>
            <w:vAlign w:val="bottom"/>
            <w:tcBorders>
              <w:bottom w:val="single" w:sz="8" w:color="0000FF"/>
            </w:tcBorders>
            <w:gridSpan w:val="19"/>
          </w:tcPr>
          <w:p>
            <w:pPr>
              <w:spacing w:after="0"/>
              <w:rPr>
                <w:rFonts w:ascii="Arial" w:cs="Arial" w:eastAsia="Arial" w:hAnsi="Arial"/>
                <w:sz w:val="13"/>
                <w:szCs w:val="13"/>
                <w:color w:val="0000FF"/>
              </w:rPr>
            </w:pPr>
            <w:hyperlink r:id="rId193">
              <w:r>
                <w:rPr>
                  <w:rFonts w:ascii="Arial" w:cs="Arial" w:eastAsia="Arial" w:hAnsi="Arial"/>
                  <w:sz w:val="13"/>
                  <w:szCs w:val="13"/>
                  <w:color w:val="0000FF"/>
                </w:rPr>
                <w:t>2020 Amendment Agreement to Revolving and L/C Facilities Agreement, dated November 11, 2020, between Registrant and Bank of America, N.A., Citibank, N.A., DBS</w:t>
              </w:r>
            </w:hyperlink>
          </w:p>
        </w:tc>
      </w:tr>
      <w:tr>
        <w:trPr>
          <w:trHeight w:val="107"/>
        </w:trPr>
        <w:tc>
          <w:tcPr>
            <w:tcW w:w="1300" w:type="dxa"/>
            <w:vAlign w:val="bottom"/>
          </w:tcPr>
          <w:p>
            <w:pPr>
              <w:spacing w:after="0"/>
              <w:rPr>
                <w:sz w:val="9"/>
                <w:szCs w:val="9"/>
                <w:color w:val="auto"/>
              </w:rPr>
            </w:pPr>
          </w:p>
        </w:tc>
        <w:tc>
          <w:tcPr>
            <w:tcW w:w="9800" w:type="dxa"/>
            <w:vAlign w:val="bottom"/>
            <w:gridSpan w:val="19"/>
          </w:tcPr>
          <w:p>
            <w:pPr>
              <w:spacing w:after="0" w:line="107" w:lineRule="exact"/>
              <w:rPr>
                <w:rFonts w:ascii="Arial" w:cs="Arial" w:eastAsia="Arial" w:hAnsi="Arial"/>
                <w:sz w:val="12"/>
                <w:szCs w:val="12"/>
                <w:color w:val="0000FF"/>
              </w:rPr>
            </w:pPr>
            <w:hyperlink r:id="rId193">
              <w:r>
                <w:rPr>
                  <w:rFonts w:ascii="Arial" w:cs="Arial" w:eastAsia="Arial" w:hAnsi="Arial"/>
                  <w:sz w:val="12"/>
                  <w:szCs w:val="12"/>
                  <w:color w:val="0000FF"/>
                </w:rPr>
                <w:t>Bank Ltd. and JPMorgan Chase Bank, N.A, Intesa Sanpaolo S.p.A., London Branch, Morgan Stanley Senior Funding, Inc., Deutsche Bank AG, ING Bank, Commerzbank</w:t>
              </w:r>
            </w:hyperlink>
          </w:p>
        </w:tc>
      </w:tr>
      <w:tr>
        <w:trPr>
          <w:trHeight w:val="107"/>
        </w:trPr>
        <w:tc>
          <w:tcPr>
            <w:tcW w:w="1300" w:type="dxa"/>
            <w:vAlign w:val="bottom"/>
          </w:tcPr>
          <w:p>
            <w:pPr>
              <w:spacing w:after="0"/>
              <w:rPr>
                <w:sz w:val="9"/>
                <w:szCs w:val="9"/>
                <w:color w:val="auto"/>
              </w:rPr>
            </w:pPr>
          </w:p>
        </w:tc>
        <w:tc>
          <w:tcPr>
            <w:tcW w:w="9700" w:type="dxa"/>
            <w:vAlign w:val="bottom"/>
            <w:tcBorders>
              <w:top w:val="single" w:sz="8" w:color="0000FF"/>
              <w:bottom w:val="single" w:sz="8" w:color="0000FF"/>
            </w:tcBorders>
            <w:gridSpan w:val="14"/>
          </w:tcPr>
          <w:p>
            <w:pPr>
              <w:spacing w:after="0" w:line="107" w:lineRule="exact"/>
              <w:rPr>
                <w:rFonts w:ascii="Arial" w:cs="Arial" w:eastAsia="Arial" w:hAnsi="Arial"/>
                <w:sz w:val="12"/>
                <w:szCs w:val="12"/>
                <w:color w:val="0000FF"/>
              </w:rPr>
            </w:pPr>
            <w:hyperlink r:id="rId193">
              <w:r>
                <w:rPr>
                  <w:rFonts w:ascii="Arial" w:cs="Arial" w:eastAsia="Arial" w:hAnsi="Arial"/>
                  <w:sz w:val="12"/>
                  <w:szCs w:val="12"/>
                  <w:color w:val="0000FF"/>
                </w:rPr>
                <w:t>AG and Credit Suisse AG, Cayman Islands Branch (incorporated by reference to Exhibit 4.12 of Registrant’s Annual Report on Form 20-F (File No.001-40974) filed with the</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7"/>
        </w:trPr>
        <w:tc>
          <w:tcPr>
            <w:tcW w:w="1300" w:type="dxa"/>
            <w:vAlign w:val="bottom"/>
          </w:tcPr>
          <w:p>
            <w:pPr>
              <w:spacing w:after="0"/>
              <w:rPr>
                <w:sz w:val="9"/>
                <w:szCs w:val="9"/>
                <w:color w:val="auto"/>
              </w:rPr>
            </w:pPr>
          </w:p>
        </w:tc>
        <w:tc>
          <w:tcPr>
            <w:tcW w:w="1400" w:type="dxa"/>
            <w:vAlign w:val="bottom"/>
            <w:tcBorders>
              <w:bottom w:val="single" w:sz="8" w:color="0000FF"/>
            </w:tcBorders>
          </w:tcPr>
          <w:p>
            <w:pPr>
              <w:spacing w:after="0" w:line="107" w:lineRule="exact"/>
              <w:rPr>
                <w:rFonts w:ascii="Arial" w:cs="Arial" w:eastAsia="Arial" w:hAnsi="Arial"/>
                <w:sz w:val="12"/>
                <w:szCs w:val="12"/>
                <w:color w:val="0000FF"/>
              </w:rPr>
            </w:pPr>
            <w:hyperlink r:id="rId193">
              <w:r>
                <w:rPr>
                  <w:rFonts w:ascii="Arial" w:cs="Arial" w:eastAsia="Arial" w:hAnsi="Arial"/>
                  <w:sz w:val="12"/>
                  <w:szCs w:val="12"/>
                  <w:color w:val="0000FF"/>
                </w:rPr>
                <w:t>SEC on March 31, 2022)</w:t>
              </w:r>
            </w:hyperlink>
          </w:p>
        </w:tc>
        <w:tc>
          <w:tcPr>
            <w:tcW w:w="8340" w:type="dxa"/>
            <w:vAlign w:val="bottom"/>
            <w:gridSpan w:val="1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300" w:type="dxa"/>
            <w:vAlign w:val="bottom"/>
          </w:tcPr>
          <w:p>
            <w:pPr>
              <w:spacing w:after="0"/>
              <w:rPr>
                <w:sz w:val="20"/>
                <w:szCs w:val="20"/>
                <w:color w:val="auto"/>
              </w:rPr>
            </w:pPr>
            <w:r>
              <w:rPr>
                <w:rFonts w:ascii="Arial" w:cs="Arial" w:eastAsia="Arial" w:hAnsi="Arial"/>
                <w:sz w:val="13"/>
                <w:szCs w:val="13"/>
                <w:color w:val="auto"/>
              </w:rPr>
              <w:t>4.16</w:t>
            </w:r>
          </w:p>
        </w:tc>
        <w:tc>
          <w:tcPr>
            <w:tcW w:w="9800" w:type="dxa"/>
            <w:vAlign w:val="bottom"/>
            <w:gridSpan w:val="19"/>
          </w:tcPr>
          <w:p>
            <w:pPr>
              <w:spacing w:after="0"/>
              <w:rPr>
                <w:rFonts w:ascii="Arial" w:cs="Arial" w:eastAsia="Arial" w:hAnsi="Arial"/>
                <w:sz w:val="13"/>
                <w:szCs w:val="13"/>
                <w:color w:val="0000FF"/>
              </w:rPr>
            </w:pPr>
            <w:hyperlink r:id="rId194">
              <w:r>
                <w:rPr>
                  <w:rFonts w:ascii="Arial" w:cs="Arial" w:eastAsia="Arial" w:hAnsi="Arial"/>
                  <w:sz w:val="13"/>
                  <w:szCs w:val="13"/>
                  <w:color w:val="0000FF"/>
                </w:rPr>
                <w:t>2021 Amendment to Revolving and L/C Facilities Agreement, dated October 13, 2021, between Registrant and Bank of America, N.A., DBS Bank Ltd., Intesa Sanpaolo</w:t>
              </w:r>
            </w:hyperlink>
          </w:p>
        </w:tc>
      </w:tr>
      <w:tr>
        <w:trPr>
          <w:trHeight w:val="107"/>
        </w:trPr>
        <w:tc>
          <w:tcPr>
            <w:tcW w:w="1300" w:type="dxa"/>
            <w:vAlign w:val="bottom"/>
          </w:tcPr>
          <w:p>
            <w:pPr>
              <w:spacing w:after="0"/>
              <w:rPr>
                <w:sz w:val="9"/>
                <w:szCs w:val="9"/>
                <w:color w:val="auto"/>
              </w:rPr>
            </w:pPr>
          </w:p>
        </w:tc>
        <w:tc>
          <w:tcPr>
            <w:tcW w:w="9760" w:type="dxa"/>
            <w:vAlign w:val="bottom"/>
            <w:tcBorders>
              <w:top w:val="single" w:sz="8" w:color="0000FF"/>
              <w:bottom w:val="single" w:sz="8" w:color="0000FF"/>
            </w:tcBorders>
            <w:gridSpan w:val="17"/>
          </w:tcPr>
          <w:p>
            <w:pPr>
              <w:spacing w:after="0" w:line="107" w:lineRule="exact"/>
              <w:rPr>
                <w:rFonts w:ascii="Arial" w:cs="Arial" w:eastAsia="Arial" w:hAnsi="Arial"/>
                <w:sz w:val="12"/>
                <w:szCs w:val="12"/>
                <w:color w:val="0000FF"/>
              </w:rPr>
            </w:pPr>
            <w:hyperlink r:id="rId194">
              <w:r>
                <w:rPr>
                  <w:rFonts w:ascii="Arial" w:cs="Arial" w:eastAsia="Arial" w:hAnsi="Arial"/>
                  <w:sz w:val="12"/>
                  <w:szCs w:val="12"/>
                  <w:color w:val="0000FF"/>
                </w:rPr>
                <w:t>S.p.A., London Branch, JPMorgan Chase Bank, N.A., Morgan Stanley Senior Funding, Inc., Citibank, N.A., Deutsche Bank AG, Credit Suisse AG, Cayman Islands Branch,</w:t>
              </w:r>
            </w:hyperlink>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r>
      <w:tr>
        <w:trPr>
          <w:trHeight w:val="107"/>
        </w:trPr>
        <w:tc>
          <w:tcPr>
            <w:tcW w:w="1300" w:type="dxa"/>
            <w:vAlign w:val="bottom"/>
          </w:tcPr>
          <w:p>
            <w:pPr>
              <w:spacing w:after="0"/>
              <w:rPr>
                <w:sz w:val="9"/>
                <w:szCs w:val="9"/>
                <w:color w:val="auto"/>
              </w:rPr>
            </w:pPr>
          </w:p>
        </w:tc>
        <w:tc>
          <w:tcPr>
            <w:tcW w:w="9780" w:type="dxa"/>
            <w:vAlign w:val="bottom"/>
            <w:gridSpan w:val="18"/>
          </w:tcPr>
          <w:p>
            <w:pPr>
              <w:spacing w:after="0" w:line="107" w:lineRule="exact"/>
              <w:rPr>
                <w:rFonts w:ascii="Arial" w:cs="Arial" w:eastAsia="Arial" w:hAnsi="Arial"/>
                <w:sz w:val="12"/>
                <w:szCs w:val="12"/>
                <w:color w:val="0000FF"/>
              </w:rPr>
            </w:pPr>
            <w:hyperlink r:id="rId194">
              <w:r>
                <w:rPr>
                  <w:rFonts w:ascii="Arial" w:cs="Arial" w:eastAsia="Arial" w:hAnsi="Arial"/>
                  <w:sz w:val="12"/>
                  <w:szCs w:val="12"/>
                  <w:color w:val="0000FF"/>
                </w:rPr>
                <w:t>HSBC Bank USA, National Association and First Abu Dhabi Bank PJSC (incorporated by reference to Exhibit 4.13 of Registrant’s Annual Report on Form 20-F (File No.001-</w:t>
              </w:r>
            </w:hyperlink>
          </w:p>
        </w:tc>
        <w:tc>
          <w:tcPr>
            <w:tcW w:w="20" w:type="dxa"/>
            <w:vAlign w:val="bottom"/>
          </w:tcPr>
          <w:p>
            <w:pPr>
              <w:spacing w:after="0"/>
              <w:rPr>
                <w:sz w:val="9"/>
                <w:szCs w:val="9"/>
                <w:color w:val="auto"/>
              </w:rPr>
            </w:pPr>
          </w:p>
        </w:tc>
      </w:tr>
      <w:tr>
        <w:trPr>
          <w:trHeight w:val="107"/>
        </w:trPr>
        <w:tc>
          <w:tcPr>
            <w:tcW w:w="1300" w:type="dxa"/>
            <w:vAlign w:val="bottom"/>
          </w:tcPr>
          <w:p>
            <w:pPr>
              <w:spacing w:after="0"/>
              <w:rPr>
                <w:sz w:val="9"/>
                <w:szCs w:val="9"/>
                <w:color w:val="auto"/>
              </w:rPr>
            </w:pPr>
          </w:p>
        </w:tc>
        <w:tc>
          <w:tcPr>
            <w:tcW w:w="9720" w:type="dxa"/>
            <w:vAlign w:val="bottom"/>
            <w:tcBorders>
              <w:top w:val="single" w:sz="8" w:color="0000FF"/>
            </w:tcBorders>
            <w:gridSpan w:val="15"/>
          </w:tcPr>
          <w:p>
            <w:pPr>
              <w:spacing w:after="0" w:line="107" w:lineRule="exact"/>
              <w:rPr>
                <w:rFonts w:ascii="Arial" w:cs="Arial" w:eastAsia="Arial" w:hAnsi="Arial"/>
                <w:sz w:val="12"/>
                <w:szCs w:val="12"/>
                <w:color w:val="0000FF"/>
              </w:rPr>
            </w:pPr>
            <w:hyperlink r:id="rId194">
              <w:r>
                <w:rPr>
                  <w:rFonts w:ascii="Arial" w:cs="Arial" w:eastAsia="Arial" w:hAnsi="Arial"/>
                  <w:sz w:val="12"/>
                  <w:szCs w:val="12"/>
                  <w:color w:val="0000FF"/>
                </w:rPr>
                <w:t>40974) filed with the SEC on March 31, 2022)</w:t>
              </w:r>
            </w:hyperlink>
          </w:p>
        </w:tc>
        <w:tc>
          <w:tcPr>
            <w:tcW w:w="80" w:type="dxa"/>
            <w:vAlign w:val="bottom"/>
            <w:gridSpan w:val="4"/>
          </w:tcPr>
          <w:p>
            <w:pPr>
              <w:spacing w:after="0"/>
              <w:rPr>
                <w:sz w:val="9"/>
                <w:szCs w:val="9"/>
                <w:color w:val="auto"/>
              </w:rPr>
            </w:pPr>
          </w:p>
        </w:tc>
      </w:tr>
      <w:tr>
        <w:trPr>
          <w:trHeight w:val="20"/>
        </w:trPr>
        <w:tc>
          <w:tcPr>
            <w:tcW w:w="130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r>
      <w:tr>
        <w:trPr>
          <w:trHeight w:val="341"/>
        </w:trPr>
        <w:tc>
          <w:tcPr>
            <w:tcW w:w="1300" w:type="dxa"/>
            <w:vAlign w:val="bottom"/>
          </w:tcPr>
          <w:p>
            <w:pPr>
              <w:spacing w:after="0"/>
              <w:rPr>
                <w:sz w:val="20"/>
                <w:szCs w:val="20"/>
                <w:color w:val="auto"/>
              </w:rPr>
            </w:pPr>
            <w:r>
              <w:rPr>
                <w:rFonts w:ascii="Arial" w:cs="Arial" w:eastAsia="Arial" w:hAnsi="Arial"/>
                <w:sz w:val="13"/>
                <w:szCs w:val="13"/>
                <w:color w:val="auto"/>
              </w:rPr>
              <w:t>4.17*</w:t>
            </w:r>
          </w:p>
        </w:tc>
        <w:tc>
          <w:tcPr>
            <w:tcW w:w="9800" w:type="dxa"/>
            <w:vAlign w:val="bottom"/>
            <w:gridSpan w:val="19"/>
          </w:tcPr>
          <w:p>
            <w:pPr>
              <w:spacing w:after="0"/>
              <w:rPr>
                <w:sz w:val="20"/>
                <w:szCs w:val="20"/>
                <w:color w:val="auto"/>
              </w:rPr>
            </w:pPr>
            <w:r>
              <w:rPr>
                <w:rFonts w:ascii="Arial" w:cs="Arial" w:eastAsia="Arial" w:hAnsi="Arial"/>
                <w:sz w:val="13"/>
                <w:szCs w:val="13"/>
                <w:color w:val="0000FF"/>
              </w:rPr>
              <w:t>2023 Amendment Agreement to Revolving and L/C Facilities Agreement dated June 28, 2023, between Registrant and Citibank Europe PLC, UK Branch</w:t>
            </w:r>
          </w:p>
        </w:tc>
      </w:tr>
      <w:tr>
        <w:trPr>
          <w:trHeight w:val="20"/>
        </w:trPr>
        <w:tc>
          <w:tcPr>
            <w:tcW w:w="130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r>
      <w:tr>
        <w:trPr>
          <w:trHeight w:val="150"/>
        </w:trPr>
        <w:tc>
          <w:tcPr>
            <w:tcW w:w="1300" w:type="dxa"/>
            <w:vAlign w:val="bottom"/>
          </w:tcPr>
          <w:p>
            <w:pPr>
              <w:spacing w:after="0"/>
              <w:rPr>
                <w:sz w:val="20"/>
                <w:szCs w:val="20"/>
                <w:color w:val="auto"/>
              </w:rPr>
            </w:pPr>
            <w:r>
              <w:rPr>
                <w:rFonts w:ascii="Arial" w:cs="Arial" w:eastAsia="Arial" w:hAnsi="Arial"/>
                <w:sz w:val="13"/>
                <w:szCs w:val="13"/>
                <w:color w:val="auto"/>
              </w:rPr>
              <w:t>4.18</w:t>
            </w:r>
          </w:p>
        </w:tc>
        <w:tc>
          <w:tcPr>
            <w:tcW w:w="9800" w:type="dxa"/>
            <w:vAlign w:val="bottom"/>
            <w:gridSpan w:val="19"/>
          </w:tcPr>
          <w:p>
            <w:pPr>
              <w:spacing w:after="0"/>
              <w:rPr>
                <w:rFonts w:ascii="Arial" w:cs="Arial" w:eastAsia="Arial" w:hAnsi="Arial"/>
                <w:sz w:val="13"/>
                <w:szCs w:val="13"/>
                <w:color w:val="0000FF"/>
              </w:rPr>
            </w:pPr>
            <w:hyperlink r:id="rId195">
              <w:r>
                <w:rPr>
                  <w:rFonts w:ascii="Arial" w:cs="Arial" w:eastAsia="Arial" w:hAnsi="Arial"/>
                  <w:sz w:val="13"/>
                  <w:szCs w:val="13"/>
                  <w:color w:val="0000FF"/>
                </w:rPr>
                <w:t>Form of Director and Officer Indemnification Agreement (incorporated by reference to Exhibit 10.2 of the Registrant’s Registration Statement on Form F-1 (File No. 333-</w:t>
              </w:r>
            </w:hyperlink>
          </w:p>
        </w:tc>
      </w:tr>
      <w:tr>
        <w:trPr>
          <w:trHeight w:val="107"/>
        </w:trPr>
        <w:tc>
          <w:tcPr>
            <w:tcW w:w="1300" w:type="dxa"/>
            <w:vAlign w:val="bottom"/>
          </w:tcPr>
          <w:p>
            <w:pPr>
              <w:spacing w:after="0"/>
              <w:rPr>
                <w:sz w:val="9"/>
                <w:szCs w:val="9"/>
                <w:color w:val="auto"/>
              </w:rPr>
            </w:pPr>
          </w:p>
        </w:tc>
        <w:tc>
          <w:tcPr>
            <w:tcW w:w="9420" w:type="dxa"/>
            <w:vAlign w:val="bottom"/>
            <w:tcBorders>
              <w:top w:val="single" w:sz="8" w:color="0000FF"/>
            </w:tcBorders>
            <w:gridSpan w:val="13"/>
          </w:tcPr>
          <w:p>
            <w:pPr>
              <w:spacing w:after="0" w:line="107" w:lineRule="exact"/>
              <w:rPr>
                <w:rFonts w:ascii="Arial" w:cs="Arial" w:eastAsia="Arial" w:hAnsi="Arial"/>
                <w:sz w:val="12"/>
                <w:szCs w:val="12"/>
                <w:color w:val="0000FF"/>
              </w:rPr>
            </w:pPr>
            <w:hyperlink r:id="rId195">
              <w:r>
                <w:rPr>
                  <w:rFonts w:ascii="Arial" w:cs="Arial" w:eastAsia="Arial" w:hAnsi="Arial"/>
                  <w:sz w:val="12"/>
                  <w:szCs w:val="12"/>
                  <w:color w:val="0000FF"/>
                </w:rPr>
                <w:t>260003) filed with the SEC on October 4, 2021)</w:t>
              </w:r>
            </w:hyperlink>
          </w:p>
        </w:tc>
        <w:tc>
          <w:tcPr>
            <w:tcW w:w="380" w:type="dxa"/>
            <w:vAlign w:val="bottom"/>
            <w:gridSpan w:val="6"/>
          </w:tcPr>
          <w:p>
            <w:pPr>
              <w:spacing w:after="0"/>
              <w:rPr>
                <w:sz w:val="9"/>
                <w:szCs w:val="9"/>
                <w:color w:val="auto"/>
              </w:rPr>
            </w:pPr>
          </w:p>
        </w:tc>
      </w:tr>
      <w:tr>
        <w:trPr>
          <w:trHeight w:val="20"/>
        </w:trPr>
        <w:tc>
          <w:tcPr>
            <w:tcW w:w="130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40" w:type="dxa"/>
            <w:vAlign w:val="bottom"/>
            <w:gridSpan w:val="8"/>
          </w:tcPr>
          <w:p>
            <w:pPr>
              <w:spacing w:after="0" w:line="20" w:lineRule="exact"/>
              <w:rPr>
                <w:sz w:val="1"/>
                <w:szCs w:val="1"/>
                <w:color w:val="auto"/>
              </w:rPr>
            </w:pPr>
          </w:p>
        </w:tc>
      </w:tr>
      <w:tr>
        <w:trPr>
          <w:trHeight w:val="150"/>
        </w:trPr>
        <w:tc>
          <w:tcPr>
            <w:tcW w:w="1300" w:type="dxa"/>
            <w:vAlign w:val="bottom"/>
          </w:tcPr>
          <w:p>
            <w:pPr>
              <w:spacing w:after="0"/>
              <w:rPr>
                <w:sz w:val="20"/>
                <w:szCs w:val="20"/>
                <w:color w:val="auto"/>
              </w:rPr>
            </w:pPr>
            <w:r>
              <w:rPr>
                <w:rFonts w:ascii="Arial" w:cs="Arial" w:eastAsia="Arial" w:hAnsi="Arial"/>
                <w:sz w:val="13"/>
                <w:szCs w:val="13"/>
                <w:color w:val="auto"/>
              </w:rPr>
              <w:t>4.19*</w:t>
            </w:r>
          </w:p>
        </w:tc>
        <w:tc>
          <w:tcPr>
            <w:tcW w:w="3440" w:type="dxa"/>
            <w:vAlign w:val="bottom"/>
            <w:tcBorders>
              <w:bottom w:val="single" w:sz="8" w:color="0000FF"/>
            </w:tcBorders>
            <w:gridSpan w:val="9"/>
          </w:tcPr>
          <w:p>
            <w:pPr>
              <w:spacing w:after="0"/>
              <w:rPr>
                <w:sz w:val="20"/>
                <w:szCs w:val="20"/>
                <w:color w:val="auto"/>
              </w:rPr>
            </w:pPr>
            <w:r>
              <w:rPr>
                <w:rFonts w:ascii="Arial" w:cs="Arial" w:eastAsia="Arial" w:hAnsi="Arial"/>
                <w:sz w:val="13"/>
                <w:szCs w:val="13"/>
                <w:color w:val="0000FF"/>
                <w:w w:val="97"/>
              </w:rPr>
              <w:t>2023 Form of Director and Officer Indemnification Agreement</w:t>
            </w:r>
          </w:p>
        </w:tc>
        <w:tc>
          <w:tcPr>
            <w:tcW w:w="6360" w:type="dxa"/>
            <w:vAlign w:val="bottom"/>
            <w:gridSpan w:val="10"/>
          </w:tcPr>
          <w:p>
            <w:pPr>
              <w:spacing w:after="0"/>
              <w:rPr>
                <w:sz w:val="13"/>
                <w:szCs w:val="13"/>
                <w:color w:val="auto"/>
              </w:rPr>
            </w:pPr>
          </w:p>
        </w:tc>
      </w:tr>
      <w:tr>
        <w:trPr>
          <w:trHeight w:val="150"/>
        </w:trPr>
        <w:tc>
          <w:tcPr>
            <w:tcW w:w="1300" w:type="dxa"/>
            <w:vAlign w:val="bottom"/>
          </w:tcPr>
          <w:p>
            <w:pPr>
              <w:spacing w:after="0"/>
              <w:rPr>
                <w:sz w:val="20"/>
                <w:szCs w:val="20"/>
                <w:color w:val="auto"/>
              </w:rPr>
            </w:pPr>
            <w:r>
              <w:rPr>
                <w:rFonts w:ascii="Arial" w:cs="Arial" w:eastAsia="Arial" w:hAnsi="Arial"/>
                <w:sz w:val="13"/>
                <w:szCs w:val="13"/>
                <w:color w:val="auto"/>
              </w:rPr>
              <w:t>8*</w:t>
            </w:r>
          </w:p>
        </w:tc>
        <w:tc>
          <w:tcPr>
            <w:tcW w:w="9800" w:type="dxa"/>
            <w:vAlign w:val="bottom"/>
            <w:gridSpan w:val="19"/>
          </w:tcPr>
          <w:p>
            <w:pPr>
              <w:spacing w:after="0"/>
              <w:rPr>
                <w:sz w:val="20"/>
                <w:szCs w:val="20"/>
                <w:color w:val="auto"/>
              </w:rPr>
            </w:pPr>
            <w:r>
              <w:rPr>
                <w:rFonts w:ascii="Arial" w:cs="Arial" w:eastAsia="Arial" w:hAnsi="Arial"/>
                <w:sz w:val="13"/>
                <w:szCs w:val="13"/>
                <w:color w:val="0000FF"/>
              </w:rPr>
              <w:t>List of subsidiaries of Registrant (as of December 31, 2023)</w:t>
            </w:r>
          </w:p>
        </w:tc>
      </w:tr>
      <w:tr>
        <w:trPr>
          <w:trHeight w:val="150"/>
        </w:trPr>
        <w:tc>
          <w:tcPr>
            <w:tcW w:w="1300" w:type="dxa"/>
            <w:vAlign w:val="bottom"/>
          </w:tcPr>
          <w:p>
            <w:pPr>
              <w:spacing w:after="0"/>
              <w:rPr>
                <w:sz w:val="20"/>
                <w:szCs w:val="20"/>
                <w:color w:val="auto"/>
              </w:rPr>
            </w:pPr>
            <w:r>
              <w:rPr>
                <w:rFonts w:ascii="Arial" w:cs="Arial" w:eastAsia="Arial" w:hAnsi="Arial"/>
                <w:sz w:val="13"/>
                <w:szCs w:val="13"/>
                <w:color w:val="auto"/>
              </w:rPr>
              <w:t>12.1*</w:t>
            </w:r>
          </w:p>
        </w:tc>
        <w:tc>
          <w:tcPr>
            <w:tcW w:w="31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3"/>
                <w:szCs w:val="13"/>
                <w:color w:val="0000FF"/>
                <w:w w:val="97"/>
              </w:rPr>
              <w:t>CEO Certification pursuant to Rule 13a-14(a)/15d-14(a)</w:t>
            </w:r>
          </w:p>
        </w:tc>
        <w:tc>
          <w:tcPr>
            <w:tcW w:w="200" w:type="dxa"/>
            <w:vAlign w:val="bottom"/>
            <w:tcBorders>
              <w:top w:val="single" w:sz="8" w:color="0000FF"/>
            </w:tcBorders>
          </w:tcPr>
          <w:p>
            <w:pPr>
              <w:spacing w:after="0"/>
              <w:rPr>
                <w:sz w:val="13"/>
                <w:szCs w:val="13"/>
                <w:color w:val="auto"/>
              </w:rPr>
            </w:pPr>
          </w:p>
        </w:tc>
        <w:tc>
          <w:tcPr>
            <w:tcW w:w="6460" w:type="dxa"/>
            <w:vAlign w:val="bottom"/>
            <w:gridSpan w:val="12"/>
          </w:tcPr>
          <w:p>
            <w:pPr>
              <w:spacing w:after="0"/>
              <w:rPr>
                <w:sz w:val="13"/>
                <w:szCs w:val="13"/>
                <w:color w:val="auto"/>
              </w:rPr>
            </w:pPr>
          </w:p>
        </w:tc>
      </w:tr>
      <w:tr>
        <w:trPr>
          <w:trHeight w:val="150"/>
        </w:trPr>
        <w:tc>
          <w:tcPr>
            <w:tcW w:w="1300" w:type="dxa"/>
            <w:vAlign w:val="bottom"/>
          </w:tcPr>
          <w:p>
            <w:pPr>
              <w:spacing w:after="0"/>
              <w:rPr>
                <w:sz w:val="20"/>
                <w:szCs w:val="20"/>
                <w:color w:val="auto"/>
              </w:rPr>
            </w:pPr>
            <w:r>
              <w:rPr>
                <w:rFonts w:ascii="Arial" w:cs="Arial" w:eastAsia="Arial" w:hAnsi="Arial"/>
                <w:sz w:val="13"/>
                <w:szCs w:val="13"/>
                <w:color w:val="auto"/>
              </w:rPr>
              <w:t>12.2*</w:t>
            </w:r>
          </w:p>
        </w:tc>
        <w:tc>
          <w:tcPr>
            <w:tcW w:w="312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97"/>
              </w:rPr>
              <w:t>CFO Certification pursuant to Rule 13a-14(a)/15d-14(a)</w:t>
            </w:r>
          </w:p>
        </w:tc>
        <w:tc>
          <w:tcPr>
            <w:tcW w:w="6680" w:type="dxa"/>
            <w:vAlign w:val="bottom"/>
            <w:gridSpan w:val="14"/>
          </w:tcPr>
          <w:p>
            <w:pPr>
              <w:spacing w:after="0"/>
              <w:rPr>
                <w:sz w:val="13"/>
                <w:szCs w:val="13"/>
                <w:color w:val="auto"/>
              </w:rPr>
            </w:pPr>
          </w:p>
        </w:tc>
      </w:tr>
      <w:tr>
        <w:trPr>
          <w:trHeight w:val="150"/>
        </w:trPr>
        <w:tc>
          <w:tcPr>
            <w:tcW w:w="1300" w:type="dxa"/>
            <w:vAlign w:val="bottom"/>
          </w:tcPr>
          <w:p>
            <w:pPr>
              <w:spacing w:after="0"/>
              <w:rPr>
                <w:sz w:val="20"/>
                <w:szCs w:val="20"/>
                <w:color w:val="auto"/>
              </w:rPr>
            </w:pPr>
            <w:r>
              <w:rPr>
                <w:rFonts w:ascii="Arial" w:cs="Arial" w:eastAsia="Arial" w:hAnsi="Arial"/>
                <w:sz w:val="13"/>
                <w:szCs w:val="13"/>
                <w:color w:val="auto"/>
              </w:rPr>
              <w:t>13.1*</w:t>
            </w:r>
          </w:p>
        </w:tc>
        <w:tc>
          <w:tcPr>
            <w:tcW w:w="4060" w:type="dxa"/>
            <w:vAlign w:val="bottom"/>
            <w:tcBorders>
              <w:bottom w:val="single" w:sz="8" w:color="0000FF"/>
            </w:tcBorders>
            <w:gridSpan w:val="11"/>
          </w:tcPr>
          <w:p>
            <w:pPr>
              <w:spacing w:after="0"/>
              <w:rPr>
                <w:sz w:val="20"/>
                <w:szCs w:val="20"/>
                <w:color w:val="auto"/>
              </w:rPr>
            </w:pPr>
            <w:r>
              <w:rPr>
                <w:rFonts w:ascii="Arial" w:cs="Arial" w:eastAsia="Arial" w:hAnsi="Arial"/>
                <w:sz w:val="13"/>
                <w:szCs w:val="13"/>
                <w:color w:val="0000FF"/>
                <w:w w:val="97"/>
              </w:rPr>
              <w:t>Certification pursuant to Rule 13a-14(b)/15d-14(b) and 18 U.S.C. §1350</w:t>
            </w:r>
          </w:p>
        </w:tc>
        <w:tc>
          <w:tcPr>
            <w:tcW w:w="5740" w:type="dxa"/>
            <w:vAlign w:val="bottom"/>
            <w:gridSpan w:val="8"/>
          </w:tcPr>
          <w:p>
            <w:pPr>
              <w:spacing w:after="0"/>
              <w:rPr>
                <w:sz w:val="13"/>
                <w:szCs w:val="13"/>
                <w:color w:val="auto"/>
              </w:rPr>
            </w:pPr>
          </w:p>
        </w:tc>
      </w:tr>
      <w:tr>
        <w:trPr>
          <w:trHeight w:val="150"/>
        </w:trPr>
        <w:tc>
          <w:tcPr>
            <w:tcW w:w="1300" w:type="dxa"/>
            <w:vAlign w:val="bottom"/>
          </w:tcPr>
          <w:p>
            <w:pPr>
              <w:spacing w:after="0"/>
              <w:rPr>
                <w:sz w:val="20"/>
                <w:szCs w:val="20"/>
                <w:color w:val="auto"/>
              </w:rPr>
            </w:pPr>
            <w:r>
              <w:rPr>
                <w:rFonts w:ascii="Arial" w:cs="Arial" w:eastAsia="Arial" w:hAnsi="Arial"/>
                <w:sz w:val="13"/>
                <w:szCs w:val="13"/>
                <w:color w:val="auto"/>
              </w:rPr>
              <w:t>15.1*</w:t>
            </w:r>
          </w:p>
        </w:tc>
        <w:tc>
          <w:tcPr>
            <w:tcW w:w="4040" w:type="dxa"/>
            <w:vAlign w:val="bottom"/>
            <w:tcBorders>
              <w:bottom w:val="single" w:sz="8" w:color="0000FF"/>
            </w:tcBorders>
            <w:gridSpan w:val="10"/>
          </w:tcPr>
          <w:p>
            <w:pPr>
              <w:spacing w:after="0"/>
              <w:rPr>
                <w:sz w:val="20"/>
                <w:szCs w:val="20"/>
                <w:color w:val="auto"/>
              </w:rPr>
            </w:pPr>
            <w:r>
              <w:rPr>
                <w:rFonts w:ascii="Arial" w:cs="Arial" w:eastAsia="Arial" w:hAnsi="Arial"/>
                <w:sz w:val="13"/>
                <w:szCs w:val="13"/>
                <w:color w:val="0000FF"/>
                <w:w w:val="97"/>
              </w:rPr>
              <w:t>Consent of KPMG LLP, Independent Registered Public Accounting Firm</w:t>
            </w:r>
          </w:p>
        </w:tc>
        <w:tc>
          <w:tcPr>
            <w:tcW w:w="5760" w:type="dxa"/>
            <w:vAlign w:val="bottom"/>
            <w:gridSpan w:val="9"/>
          </w:tcPr>
          <w:p>
            <w:pPr>
              <w:spacing w:after="0"/>
              <w:rPr>
                <w:sz w:val="13"/>
                <w:szCs w:val="13"/>
                <w:color w:val="auto"/>
              </w:rPr>
            </w:pPr>
          </w:p>
        </w:tc>
      </w:tr>
      <w:tr>
        <w:trPr>
          <w:trHeight w:val="150"/>
        </w:trPr>
        <w:tc>
          <w:tcPr>
            <w:tcW w:w="1300" w:type="dxa"/>
            <w:vAlign w:val="bottom"/>
          </w:tcPr>
          <w:p>
            <w:pPr>
              <w:spacing w:after="0"/>
              <w:rPr>
                <w:sz w:val="20"/>
                <w:szCs w:val="20"/>
                <w:color w:val="auto"/>
              </w:rPr>
            </w:pPr>
            <w:r>
              <w:rPr>
                <w:rFonts w:ascii="Arial" w:cs="Arial" w:eastAsia="Arial" w:hAnsi="Arial"/>
                <w:sz w:val="13"/>
                <w:szCs w:val="13"/>
                <w:color w:val="auto"/>
              </w:rPr>
              <w:t>15.2*</w:t>
            </w:r>
          </w:p>
        </w:tc>
        <w:tc>
          <w:tcPr>
            <w:tcW w:w="3420" w:type="dxa"/>
            <w:vAlign w:val="bottom"/>
            <w:tcBorders>
              <w:bottom w:val="single" w:sz="8" w:color="0000FF"/>
            </w:tcBorders>
            <w:gridSpan w:val="8"/>
          </w:tcPr>
          <w:p>
            <w:pPr>
              <w:spacing w:after="0"/>
              <w:rPr>
                <w:sz w:val="20"/>
                <w:szCs w:val="20"/>
                <w:color w:val="auto"/>
              </w:rPr>
            </w:pPr>
            <w:r>
              <w:rPr>
                <w:rFonts w:ascii="Arial" w:cs="Arial" w:eastAsia="Arial" w:hAnsi="Arial"/>
                <w:sz w:val="13"/>
                <w:szCs w:val="13"/>
                <w:color w:val="0000FF"/>
                <w:w w:val="97"/>
              </w:rPr>
              <w:t>Letter of KPMG LLP to the Securities Exchange Commission</w:t>
            </w:r>
          </w:p>
        </w:tc>
        <w:tc>
          <w:tcPr>
            <w:tcW w:w="6380" w:type="dxa"/>
            <w:vAlign w:val="bottom"/>
            <w:gridSpan w:val="11"/>
          </w:tcPr>
          <w:p>
            <w:pPr>
              <w:spacing w:after="0"/>
              <w:rPr>
                <w:sz w:val="13"/>
                <w:szCs w:val="13"/>
                <w:color w:val="auto"/>
              </w:rPr>
            </w:pPr>
          </w:p>
        </w:tc>
      </w:tr>
      <w:tr>
        <w:trPr>
          <w:trHeight w:val="150"/>
        </w:trPr>
        <w:tc>
          <w:tcPr>
            <w:tcW w:w="1300" w:type="dxa"/>
            <w:vAlign w:val="bottom"/>
          </w:tcPr>
          <w:p>
            <w:pPr>
              <w:spacing w:after="0"/>
              <w:rPr>
                <w:sz w:val="20"/>
                <w:szCs w:val="20"/>
                <w:color w:val="auto"/>
              </w:rPr>
            </w:pPr>
            <w:r>
              <w:rPr>
                <w:rFonts w:ascii="Arial" w:cs="Arial" w:eastAsia="Arial" w:hAnsi="Arial"/>
                <w:sz w:val="13"/>
                <w:szCs w:val="13"/>
                <w:color w:val="auto"/>
              </w:rPr>
              <w:t>97*</w:t>
            </w:r>
          </w:p>
        </w:tc>
        <w:tc>
          <w:tcPr>
            <w:tcW w:w="9800" w:type="dxa"/>
            <w:vAlign w:val="bottom"/>
            <w:gridSpan w:val="19"/>
          </w:tcPr>
          <w:p>
            <w:pPr>
              <w:spacing w:after="0"/>
              <w:rPr>
                <w:sz w:val="20"/>
                <w:szCs w:val="20"/>
                <w:color w:val="auto"/>
              </w:rPr>
            </w:pPr>
            <w:r>
              <w:rPr>
                <w:rFonts w:ascii="Arial" w:cs="Arial" w:eastAsia="Arial" w:hAnsi="Arial"/>
                <w:sz w:val="13"/>
                <w:szCs w:val="13"/>
                <w:color w:val="0000FF"/>
              </w:rPr>
              <w:t>Compensation Recoupment Policy</w:t>
            </w:r>
          </w:p>
        </w:tc>
      </w:tr>
      <w:tr>
        <w:trPr>
          <w:trHeight w:val="20"/>
        </w:trPr>
        <w:tc>
          <w:tcPr>
            <w:tcW w:w="130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7860" w:type="dxa"/>
            <w:vAlign w:val="bottom"/>
            <w:gridSpan w:val="17"/>
          </w:tcPr>
          <w:p>
            <w:pPr>
              <w:spacing w:after="0" w:line="20" w:lineRule="exact"/>
              <w:rPr>
                <w:sz w:val="1"/>
                <w:szCs w:val="1"/>
                <w:color w:val="auto"/>
              </w:rPr>
            </w:pPr>
          </w:p>
        </w:tc>
      </w:tr>
      <w:tr>
        <w:trPr>
          <w:trHeight w:val="139"/>
        </w:trPr>
        <w:tc>
          <w:tcPr>
            <w:tcW w:w="1300" w:type="dxa"/>
            <w:vAlign w:val="bottom"/>
          </w:tcPr>
          <w:p>
            <w:pPr>
              <w:spacing w:after="0" w:line="139" w:lineRule="exact"/>
              <w:rPr>
                <w:sz w:val="20"/>
                <w:szCs w:val="20"/>
                <w:color w:val="auto"/>
              </w:rPr>
            </w:pPr>
            <w:r>
              <w:rPr>
                <w:rFonts w:ascii="Arial" w:cs="Arial" w:eastAsia="Arial" w:hAnsi="Arial"/>
                <w:sz w:val="13"/>
                <w:szCs w:val="13"/>
                <w:color w:val="auto"/>
              </w:rPr>
              <w:t>101.INS*</w:t>
            </w:r>
          </w:p>
        </w:tc>
        <w:tc>
          <w:tcPr>
            <w:tcW w:w="9800" w:type="dxa"/>
            <w:vAlign w:val="bottom"/>
            <w:gridSpan w:val="19"/>
          </w:tcPr>
          <w:p>
            <w:pPr>
              <w:spacing w:after="0" w:line="139" w:lineRule="exact"/>
              <w:rPr>
                <w:sz w:val="20"/>
                <w:szCs w:val="20"/>
                <w:color w:val="auto"/>
              </w:rPr>
            </w:pPr>
            <w:r>
              <w:rPr>
                <w:rFonts w:ascii="Arial" w:cs="Arial" w:eastAsia="Arial" w:hAnsi="Arial"/>
                <w:sz w:val="13"/>
                <w:szCs w:val="13"/>
                <w:color w:val="auto"/>
              </w:rPr>
              <w:t>Inline XBRL Instance Document (the instance document does not appear in the Interactive Data File because its XBRL tags are embedded within the Inline XBRL</w:t>
            </w:r>
          </w:p>
        </w:tc>
      </w:tr>
      <w:tr>
        <w:trPr>
          <w:trHeight w:val="167"/>
        </w:trPr>
        <w:tc>
          <w:tcPr>
            <w:tcW w:w="1300" w:type="dxa"/>
            <w:vAlign w:val="bottom"/>
          </w:tcPr>
          <w:p>
            <w:pPr>
              <w:spacing w:after="0"/>
              <w:rPr>
                <w:sz w:val="14"/>
                <w:szCs w:val="14"/>
                <w:color w:val="auto"/>
              </w:rPr>
            </w:pPr>
          </w:p>
        </w:tc>
        <w:tc>
          <w:tcPr>
            <w:tcW w:w="9800" w:type="dxa"/>
            <w:vAlign w:val="bottom"/>
            <w:gridSpan w:val="19"/>
          </w:tcPr>
          <w:p>
            <w:pPr>
              <w:spacing w:after="0"/>
              <w:rPr>
                <w:sz w:val="20"/>
                <w:szCs w:val="20"/>
                <w:color w:val="auto"/>
              </w:rPr>
            </w:pPr>
            <w:r>
              <w:rPr>
                <w:rFonts w:ascii="Arial" w:cs="Arial" w:eastAsia="Arial" w:hAnsi="Arial"/>
                <w:sz w:val="13"/>
                <w:szCs w:val="13"/>
                <w:color w:val="auto"/>
              </w:rPr>
              <w:t>document)</w:t>
            </w:r>
          </w:p>
        </w:tc>
      </w:tr>
      <w:tr>
        <w:trPr>
          <w:trHeight w:val="170"/>
        </w:trPr>
        <w:tc>
          <w:tcPr>
            <w:tcW w:w="1300" w:type="dxa"/>
            <w:vAlign w:val="bottom"/>
          </w:tcPr>
          <w:p>
            <w:pPr>
              <w:spacing w:after="0"/>
              <w:rPr>
                <w:sz w:val="20"/>
                <w:szCs w:val="20"/>
                <w:color w:val="auto"/>
              </w:rPr>
            </w:pPr>
            <w:r>
              <w:rPr>
                <w:rFonts w:ascii="Arial" w:cs="Arial" w:eastAsia="Arial" w:hAnsi="Arial"/>
                <w:sz w:val="13"/>
                <w:szCs w:val="13"/>
                <w:color w:val="auto"/>
              </w:rPr>
              <w:t>101.SCH*</w:t>
            </w:r>
          </w:p>
        </w:tc>
        <w:tc>
          <w:tcPr>
            <w:tcW w:w="9800" w:type="dxa"/>
            <w:vAlign w:val="bottom"/>
            <w:gridSpan w:val="19"/>
          </w:tcPr>
          <w:p>
            <w:pPr>
              <w:spacing w:after="0"/>
              <w:rPr>
                <w:sz w:val="20"/>
                <w:szCs w:val="20"/>
                <w:color w:val="auto"/>
              </w:rPr>
            </w:pPr>
            <w:r>
              <w:rPr>
                <w:rFonts w:ascii="Arial" w:cs="Arial" w:eastAsia="Arial" w:hAnsi="Arial"/>
                <w:sz w:val="13"/>
                <w:szCs w:val="13"/>
                <w:color w:val="auto"/>
              </w:rPr>
              <w:t>Inline XBRL Taxonomy Extension Schema Document</w:t>
            </w:r>
          </w:p>
        </w:tc>
      </w:tr>
      <w:tr>
        <w:trPr>
          <w:trHeight w:val="170"/>
        </w:trPr>
        <w:tc>
          <w:tcPr>
            <w:tcW w:w="1300" w:type="dxa"/>
            <w:vAlign w:val="bottom"/>
          </w:tcPr>
          <w:p>
            <w:pPr>
              <w:spacing w:after="0"/>
              <w:rPr>
                <w:sz w:val="20"/>
                <w:szCs w:val="20"/>
                <w:color w:val="auto"/>
              </w:rPr>
            </w:pPr>
            <w:r>
              <w:rPr>
                <w:rFonts w:ascii="Arial" w:cs="Arial" w:eastAsia="Arial" w:hAnsi="Arial"/>
                <w:sz w:val="13"/>
                <w:szCs w:val="13"/>
                <w:color w:val="auto"/>
              </w:rPr>
              <w:t>101.CAL*</w:t>
            </w:r>
          </w:p>
        </w:tc>
        <w:tc>
          <w:tcPr>
            <w:tcW w:w="9800" w:type="dxa"/>
            <w:vAlign w:val="bottom"/>
            <w:gridSpan w:val="19"/>
          </w:tcPr>
          <w:p>
            <w:pPr>
              <w:spacing w:after="0"/>
              <w:rPr>
                <w:sz w:val="20"/>
                <w:szCs w:val="20"/>
                <w:color w:val="auto"/>
              </w:rPr>
            </w:pPr>
            <w:r>
              <w:rPr>
                <w:rFonts w:ascii="Arial" w:cs="Arial" w:eastAsia="Arial" w:hAnsi="Arial"/>
                <w:sz w:val="13"/>
                <w:szCs w:val="13"/>
                <w:color w:val="auto"/>
              </w:rPr>
              <w:t>Inline XBRL Taxonomy Extension Calculation Linkbase Document</w:t>
            </w:r>
          </w:p>
        </w:tc>
      </w:tr>
      <w:tr>
        <w:trPr>
          <w:trHeight w:val="170"/>
        </w:trPr>
        <w:tc>
          <w:tcPr>
            <w:tcW w:w="1300" w:type="dxa"/>
            <w:vAlign w:val="bottom"/>
          </w:tcPr>
          <w:p>
            <w:pPr>
              <w:spacing w:after="0"/>
              <w:rPr>
                <w:sz w:val="20"/>
                <w:szCs w:val="20"/>
                <w:color w:val="auto"/>
              </w:rPr>
            </w:pPr>
            <w:r>
              <w:rPr>
                <w:rFonts w:ascii="Arial" w:cs="Arial" w:eastAsia="Arial" w:hAnsi="Arial"/>
                <w:sz w:val="13"/>
                <w:szCs w:val="13"/>
                <w:color w:val="auto"/>
              </w:rPr>
              <w:t>101.DEF*</w:t>
            </w:r>
          </w:p>
        </w:tc>
        <w:tc>
          <w:tcPr>
            <w:tcW w:w="9800" w:type="dxa"/>
            <w:vAlign w:val="bottom"/>
            <w:gridSpan w:val="19"/>
          </w:tcPr>
          <w:p>
            <w:pPr>
              <w:spacing w:after="0"/>
              <w:rPr>
                <w:sz w:val="20"/>
                <w:szCs w:val="20"/>
                <w:color w:val="auto"/>
              </w:rPr>
            </w:pPr>
            <w:r>
              <w:rPr>
                <w:rFonts w:ascii="Arial" w:cs="Arial" w:eastAsia="Arial" w:hAnsi="Arial"/>
                <w:sz w:val="13"/>
                <w:szCs w:val="13"/>
                <w:color w:val="auto"/>
              </w:rPr>
              <w:t>Inline XBRL Taxonomy Extension Definition Linkbase Document</w:t>
            </w:r>
          </w:p>
        </w:tc>
      </w:tr>
      <w:tr>
        <w:trPr>
          <w:trHeight w:val="170"/>
        </w:trPr>
        <w:tc>
          <w:tcPr>
            <w:tcW w:w="1300" w:type="dxa"/>
            <w:vAlign w:val="bottom"/>
          </w:tcPr>
          <w:p>
            <w:pPr>
              <w:spacing w:after="0"/>
              <w:rPr>
                <w:sz w:val="20"/>
                <w:szCs w:val="20"/>
                <w:color w:val="auto"/>
              </w:rPr>
            </w:pPr>
            <w:r>
              <w:rPr>
                <w:rFonts w:ascii="Arial" w:cs="Arial" w:eastAsia="Arial" w:hAnsi="Arial"/>
                <w:sz w:val="13"/>
                <w:szCs w:val="13"/>
                <w:color w:val="auto"/>
              </w:rPr>
              <w:t>101.LAB*</w:t>
            </w:r>
          </w:p>
        </w:tc>
        <w:tc>
          <w:tcPr>
            <w:tcW w:w="9800" w:type="dxa"/>
            <w:vAlign w:val="bottom"/>
            <w:gridSpan w:val="19"/>
          </w:tcPr>
          <w:p>
            <w:pPr>
              <w:spacing w:after="0"/>
              <w:rPr>
                <w:sz w:val="20"/>
                <w:szCs w:val="20"/>
                <w:color w:val="auto"/>
              </w:rPr>
            </w:pPr>
            <w:r>
              <w:rPr>
                <w:rFonts w:ascii="Arial" w:cs="Arial" w:eastAsia="Arial" w:hAnsi="Arial"/>
                <w:sz w:val="13"/>
                <w:szCs w:val="13"/>
                <w:color w:val="auto"/>
              </w:rPr>
              <w:t>Inline XBRL Taxonomy Extension Label Linkbase Document</w:t>
            </w:r>
          </w:p>
        </w:tc>
      </w:tr>
      <w:tr>
        <w:trPr>
          <w:trHeight w:val="170"/>
        </w:trPr>
        <w:tc>
          <w:tcPr>
            <w:tcW w:w="1300" w:type="dxa"/>
            <w:vAlign w:val="bottom"/>
          </w:tcPr>
          <w:p>
            <w:pPr>
              <w:spacing w:after="0"/>
              <w:rPr>
                <w:sz w:val="20"/>
                <w:szCs w:val="20"/>
                <w:color w:val="auto"/>
              </w:rPr>
            </w:pPr>
            <w:r>
              <w:rPr>
                <w:rFonts w:ascii="Arial" w:cs="Arial" w:eastAsia="Arial" w:hAnsi="Arial"/>
                <w:sz w:val="13"/>
                <w:szCs w:val="13"/>
                <w:color w:val="auto"/>
              </w:rPr>
              <w:t>101.PRE*</w:t>
            </w:r>
          </w:p>
        </w:tc>
        <w:tc>
          <w:tcPr>
            <w:tcW w:w="9800" w:type="dxa"/>
            <w:vAlign w:val="bottom"/>
            <w:gridSpan w:val="19"/>
          </w:tcPr>
          <w:p>
            <w:pPr>
              <w:spacing w:after="0"/>
              <w:rPr>
                <w:sz w:val="20"/>
                <w:szCs w:val="20"/>
                <w:color w:val="auto"/>
              </w:rPr>
            </w:pPr>
            <w:r>
              <w:rPr>
                <w:rFonts w:ascii="Arial" w:cs="Arial" w:eastAsia="Arial" w:hAnsi="Arial"/>
                <w:sz w:val="13"/>
                <w:szCs w:val="13"/>
                <w:color w:val="auto"/>
              </w:rPr>
              <w:t>Inline XBRL Taxonomy Extension Presentation Linkbase Document</w:t>
            </w:r>
          </w:p>
        </w:tc>
      </w:tr>
      <w:tr>
        <w:trPr>
          <w:trHeight w:val="170"/>
        </w:trPr>
        <w:tc>
          <w:tcPr>
            <w:tcW w:w="1300" w:type="dxa"/>
            <w:vAlign w:val="bottom"/>
          </w:tcPr>
          <w:p>
            <w:pPr>
              <w:spacing w:after="0"/>
              <w:rPr>
                <w:sz w:val="20"/>
                <w:szCs w:val="20"/>
                <w:color w:val="auto"/>
              </w:rPr>
            </w:pPr>
            <w:r>
              <w:rPr>
                <w:rFonts w:ascii="Arial" w:cs="Arial" w:eastAsia="Arial" w:hAnsi="Arial"/>
                <w:sz w:val="13"/>
                <w:szCs w:val="13"/>
                <w:color w:val="auto"/>
              </w:rPr>
              <w:t>104*</w:t>
            </w:r>
          </w:p>
        </w:tc>
        <w:tc>
          <w:tcPr>
            <w:tcW w:w="9800" w:type="dxa"/>
            <w:vAlign w:val="bottom"/>
            <w:gridSpan w:val="19"/>
          </w:tcPr>
          <w:p>
            <w:pPr>
              <w:spacing w:after="0"/>
              <w:rPr>
                <w:sz w:val="20"/>
                <w:szCs w:val="20"/>
                <w:color w:val="auto"/>
              </w:rPr>
            </w:pPr>
            <w:r>
              <w:rPr>
                <w:rFonts w:ascii="Arial" w:cs="Arial" w:eastAsia="Arial" w:hAnsi="Arial"/>
                <w:sz w:val="13"/>
                <w:szCs w:val="13"/>
                <w:color w:val="auto"/>
              </w:rPr>
              <w:t>Cover Page Interactive Data File (formatted as Inline XBRL and contained in Exhibit 101)</w:t>
            </w:r>
          </w:p>
        </w:tc>
      </w:tr>
    </w:tbl>
    <w:p>
      <w:pPr>
        <w:spacing w:after="0" w:line="151" w:lineRule="exact"/>
        <w:rPr>
          <w:sz w:val="20"/>
          <w:szCs w:val="20"/>
          <w:color w:val="auto"/>
        </w:rPr>
      </w:pPr>
    </w:p>
    <w:p>
      <w:pPr>
        <w:ind w:left="440" w:hanging="200"/>
        <w:spacing w:after="0"/>
        <w:tabs>
          <w:tab w:leader="none" w:pos="44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84" w:lineRule="exact"/>
        <w:rPr>
          <w:sz w:val="20"/>
          <w:szCs w:val="20"/>
          <w:color w:val="auto"/>
        </w:rPr>
      </w:pPr>
    </w:p>
    <w:p>
      <w:pPr>
        <w:ind w:left="500" w:hanging="260"/>
        <w:spacing w:after="0" w:line="266" w:lineRule="auto"/>
        <w:tabs>
          <w:tab w:leader="none" w:pos="496" w:val="left"/>
        </w:tabs>
        <w:numPr>
          <w:ilvl w:val="0"/>
          <w:numId w:val="125"/>
        </w:numPr>
        <w:rPr>
          <w:rFonts w:ascii="Arial" w:cs="Arial" w:eastAsia="Arial" w:hAnsi="Arial"/>
          <w:sz w:val="13"/>
          <w:szCs w:val="13"/>
          <w:color w:val="auto"/>
        </w:rPr>
      </w:pPr>
      <w:r>
        <w:rPr>
          <w:rFonts w:ascii="Arial" w:cs="Arial" w:eastAsia="Arial" w:hAnsi="Arial"/>
          <w:sz w:val="13"/>
          <w:szCs w:val="13"/>
          <w:color w:val="auto"/>
        </w:rPr>
        <w:t>Pursuant to Item 601(b)(10) of Regulation S-K, certain confidential portions of this exhibit have been omitted by means of marking such portions with asterisks [***] as the identified confidential information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53975</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138" w:name="page139"/>
    <w:bookmarkEnd w:id="138"/>
    <w:p>
      <w:pPr>
        <w:jc w:val="center"/>
        <w:ind w:right="20"/>
        <w:spacing w:after="0"/>
        <w:rPr>
          <w:sz w:val="20"/>
          <w:szCs w:val="20"/>
          <w:color w:val="auto"/>
        </w:rPr>
      </w:pPr>
      <w:r>
        <w:rPr>
          <w:rFonts w:ascii="Arial" w:cs="Arial" w:eastAsia="Arial" w:hAnsi="Arial"/>
          <w:sz w:val="13"/>
          <w:szCs w:val="13"/>
          <w:b w:val="1"/>
          <w:bCs w:val="1"/>
          <w:color w:val="auto"/>
        </w:rPr>
        <w:t>SIGNATURE</w:t>
      </w:r>
    </w:p>
    <w:p>
      <w:pPr>
        <w:spacing w:after="0" w:line="84"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The registrant hereby certifies that it meets all of the requirements for filing on Form 20-F and that it has duly caused and authorized the undersigned to sign this Annual Report on its behalf.</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8440" w:type="dxa"/>
            <w:vAlign w:val="bottom"/>
            <w:gridSpan w:val="2"/>
          </w:tcPr>
          <w:p>
            <w:pPr>
              <w:ind w:left="1680"/>
              <w:spacing w:after="0"/>
              <w:rPr>
                <w:sz w:val="20"/>
                <w:szCs w:val="20"/>
                <w:color w:val="auto"/>
              </w:rPr>
            </w:pPr>
            <w:r>
              <w:rPr>
                <w:rFonts w:ascii="Arial" w:cs="Arial" w:eastAsia="Arial" w:hAnsi="Arial"/>
                <w:sz w:val="13"/>
                <w:szCs w:val="13"/>
                <w:b w:val="1"/>
                <w:bCs w:val="1"/>
                <w:color w:val="auto"/>
              </w:rPr>
              <w:t>GLOBALFOUNDRIES Inc.</w:t>
            </w:r>
          </w:p>
        </w:tc>
      </w:tr>
      <w:tr>
        <w:trPr>
          <w:trHeight w:val="376"/>
        </w:trPr>
        <w:tc>
          <w:tcPr>
            <w:tcW w:w="2820" w:type="dxa"/>
            <w:vAlign w:val="bottom"/>
          </w:tcPr>
          <w:p>
            <w:pPr>
              <w:spacing w:after="0"/>
              <w:rPr>
                <w:sz w:val="20"/>
                <w:szCs w:val="20"/>
                <w:color w:val="auto"/>
              </w:rPr>
            </w:pPr>
            <w:r>
              <w:rPr>
                <w:rFonts w:ascii="Arial" w:cs="Arial" w:eastAsia="Arial" w:hAnsi="Arial"/>
                <w:sz w:val="13"/>
                <w:szCs w:val="13"/>
                <w:color w:val="auto"/>
              </w:rPr>
              <w:t>Date: April 29, 2024</w:t>
            </w:r>
          </w:p>
        </w:tc>
        <w:tc>
          <w:tcPr>
            <w:tcW w:w="2880" w:type="dxa"/>
            <w:vAlign w:val="bottom"/>
          </w:tcPr>
          <w:p>
            <w:pPr>
              <w:ind w:left="1680"/>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John Hollister</w:t>
            </w:r>
          </w:p>
        </w:tc>
      </w:tr>
      <w:tr>
        <w:trPr>
          <w:trHeight w:val="160"/>
        </w:trPr>
        <w:tc>
          <w:tcPr>
            <w:tcW w:w="2820" w:type="dxa"/>
            <w:vAlign w:val="bottom"/>
          </w:tcPr>
          <w:p>
            <w:pPr>
              <w:spacing w:after="0"/>
              <w:rPr>
                <w:sz w:val="13"/>
                <w:szCs w:val="13"/>
                <w:color w:val="auto"/>
              </w:rPr>
            </w:pPr>
          </w:p>
        </w:tc>
        <w:tc>
          <w:tcPr>
            <w:tcW w:w="2880" w:type="dxa"/>
            <w:vAlign w:val="bottom"/>
          </w:tcPr>
          <w:p>
            <w:pPr>
              <w:ind w:left="1680"/>
              <w:spacing w:after="0"/>
              <w:rPr>
                <w:sz w:val="20"/>
                <w:szCs w:val="20"/>
                <w:color w:val="auto"/>
              </w:rPr>
            </w:pPr>
            <w:r>
              <w:rPr>
                <w:rFonts w:ascii="Arial" w:cs="Arial" w:eastAsia="Arial" w:hAnsi="Arial"/>
                <w:sz w:val="13"/>
                <w:szCs w:val="13"/>
                <w:color w:val="auto"/>
              </w:rPr>
              <w:t>Name:</w:t>
            </w:r>
          </w:p>
        </w:tc>
        <w:tc>
          <w:tcPr>
            <w:tcW w:w="5560" w:type="dxa"/>
            <w:vAlign w:val="bottom"/>
          </w:tcPr>
          <w:p>
            <w:pPr>
              <w:ind w:left="20"/>
              <w:spacing w:after="0"/>
              <w:rPr>
                <w:sz w:val="20"/>
                <w:szCs w:val="20"/>
                <w:color w:val="auto"/>
              </w:rPr>
            </w:pPr>
            <w:r>
              <w:rPr>
                <w:rFonts w:ascii="Arial" w:cs="Arial" w:eastAsia="Arial" w:hAnsi="Arial"/>
                <w:sz w:val="13"/>
                <w:szCs w:val="13"/>
                <w:color w:val="auto"/>
              </w:rPr>
              <w:t>John Hollister</w:t>
            </w:r>
          </w:p>
        </w:tc>
      </w:tr>
      <w:tr>
        <w:trPr>
          <w:trHeight w:val="170"/>
        </w:trPr>
        <w:tc>
          <w:tcPr>
            <w:tcW w:w="2820" w:type="dxa"/>
            <w:vAlign w:val="bottom"/>
          </w:tcPr>
          <w:p>
            <w:pPr>
              <w:spacing w:after="0"/>
              <w:rPr>
                <w:sz w:val="14"/>
                <w:szCs w:val="14"/>
                <w:color w:val="auto"/>
              </w:rPr>
            </w:pPr>
          </w:p>
        </w:tc>
        <w:tc>
          <w:tcPr>
            <w:tcW w:w="2880" w:type="dxa"/>
            <w:vAlign w:val="bottom"/>
          </w:tcPr>
          <w:p>
            <w:pPr>
              <w:ind w:left="1680"/>
              <w:spacing w:after="0"/>
              <w:rPr>
                <w:sz w:val="20"/>
                <w:szCs w:val="20"/>
                <w:color w:val="auto"/>
              </w:rPr>
            </w:pPr>
            <w:r>
              <w:rPr>
                <w:rFonts w:ascii="Arial" w:cs="Arial" w:eastAsia="Arial" w:hAnsi="Arial"/>
                <w:sz w:val="13"/>
                <w:szCs w:val="13"/>
                <w:color w:val="auto"/>
              </w:rPr>
              <w:t>Title:</w:t>
            </w:r>
          </w:p>
        </w:tc>
        <w:tc>
          <w:tcPr>
            <w:tcW w:w="5560" w:type="dxa"/>
            <w:vAlign w:val="bottom"/>
          </w:tcPr>
          <w:p>
            <w:pPr>
              <w:ind w:left="20"/>
              <w:spacing w:after="0"/>
              <w:rPr>
                <w:sz w:val="20"/>
                <w:szCs w:val="20"/>
                <w:color w:val="auto"/>
              </w:rPr>
            </w:pPr>
            <w:r>
              <w:rPr>
                <w:rFonts w:ascii="Arial" w:cs="Arial" w:eastAsia="Arial" w:hAnsi="Arial"/>
                <w:sz w:val="13"/>
                <w:szCs w:val="13"/>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260"/>
          </w:cols>
          <w:pgMar w:left="320" w:top="935" w:right="319" w:bottom="1440" w:gutter="0" w:footer="0" w:header="0"/>
        </w:sectPr>
      </w:pPr>
    </w:p>
    <w:bookmarkStart w:id="139" w:name="page140"/>
    <w:bookmarkEnd w:id="139"/>
    <w:p>
      <w:pPr>
        <w:jc w:val="right"/>
        <w:spacing w:after="0"/>
        <w:rPr>
          <w:sz w:val="20"/>
          <w:szCs w:val="20"/>
          <w:color w:val="auto"/>
        </w:rPr>
      </w:pPr>
      <w:r>
        <w:rPr>
          <w:rFonts w:ascii="Calibri" w:cs="Calibri" w:eastAsia="Calibri" w:hAnsi="Calibri"/>
          <w:sz w:val="16"/>
          <w:szCs w:val="16"/>
          <w:b w:val="1"/>
          <w:bCs w:val="1"/>
          <w:color w:val="auto"/>
        </w:rPr>
        <w:t>Exhibit 4.12</w:t>
      </w:r>
    </w:p>
    <w:p>
      <w:pPr>
        <w:jc w:val="right"/>
        <w:spacing w:after="0" w:line="234" w:lineRule="auto"/>
        <w:rPr>
          <w:sz w:val="20"/>
          <w:szCs w:val="20"/>
          <w:color w:val="auto"/>
        </w:rPr>
      </w:pPr>
      <w:r>
        <w:rPr>
          <w:rFonts w:ascii="Calibri" w:cs="Calibri" w:eastAsia="Calibri" w:hAnsi="Calibri"/>
          <w:sz w:val="16"/>
          <w:szCs w:val="16"/>
          <w:b w:val="1"/>
          <w:bCs w:val="1"/>
          <w:u w:val="single" w:color="auto"/>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800" w:firstLine="5"/>
        <w:spacing w:after="0" w:line="237" w:lineRule="auto"/>
        <w:tabs>
          <w:tab w:leader="none" w:pos="322" w:val="left"/>
        </w:tabs>
        <w:numPr>
          <w:ilvl w:val="0"/>
          <w:numId w:val="126"/>
        </w:numPr>
        <w:rPr>
          <w:rFonts w:ascii="Calibri" w:cs="Calibri" w:eastAsia="Calibri" w:hAnsi="Calibri"/>
          <w:sz w:val="14"/>
          <w:szCs w:val="14"/>
          <w:color w:val="auto"/>
        </w:rPr>
      </w:pPr>
      <w:r>
        <w:rPr>
          <w:rFonts w:ascii="Calibri" w:cs="Calibri" w:eastAsia="Calibri" w:hAnsi="Calibri"/>
          <w:sz w:val="14"/>
          <w:szCs w:val="14"/>
          <w:color w:val="auto"/>
        </w:rPr>
        <w:t>= CERTAIN CONFIDENTIAL INFORMATION CONTAINED IN THIS DOCUMENT, MARKED BY BRACKETS, HAS BEEN OMITTED BECAUSE IT IS BOTH (I) NOT MATERIAL AND (II) IS THE TYPE OF INFORMATION THE REGISTRANT TREATS AS PRIVATE OR CONFIDENTIAL.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Addendum for 300mm RFSOI, PDSOI, Silicon Photonics, and FD Products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Materials Supply Agreement, dated April 25, 2017</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Addendum for 300mm RFSOI, PDSOI, Silicon Photonics and FD Products to GLOBALFOUNDRIES’ contract number 00037735.0 (the “</w:t>
      </w:r>
      <w:r>
        <w:rPr>
          <w:rFonts w:ascii="Arial" w:cs="Arial" w:eastAsia="Arial" w:hAnsi="Arial"/>
          <w:sz w:val="16"/>
          <w:szCs w:val="16"/>
          <w:b w:val="1"/>
          <w:bCs w:val="1"/>
          <w:u w:val="single" w:color="auto"/>
          <w:color w:val="auto"/>
        </w:rPr>
        <w:t>2023-2024 Mixed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Product Addendum</w:t>
      </w:r>
      <w:r>
        <w:rPr>
          <w:rFonts w:ascii="Arial" w:cs="Arial" w:eastAsia="Arial" w:hAnsi="Arial"/>
          <w:sz w:val="16"/>
          <w:szCs w:val="16"/>
          <w:color w:val="auto"/>
        </w:rPr>
        <w:t>”) to the Materials Supply Agreement, dated April 25, 2017, GLOBALFOUNDRIES contract number 00037735.0, and as amended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is effective as of the date of last signature (the “</w:t>
      </w:r>
      <w:r>
        <w:rPr>
          <w:rFonts w:ascii="Arial" w:cs="Arial" w:eastAsia="Arial" w:hAnsi="Arial"/>
          <w:sz w:val="16"/>
          <w:szCs w:val="16"/>
          <w:b w:val="1"/>
          <w:bCs w:val="1"/>
          <w:u w:val="single" w:color="auto"/>
          <w:color w:val="auto"/>
        </w:rPr>
        <w:t>Commencement Date</w:t>
      </w:r>
      <w:r>
        <w:rPr>
          <w:rFonts w:ascii="Arial" w:cs="Arial" w:eastAsia="Arial" w:hAnsi="Arial"/>
          <w:sz w:val="16"/>
          <w:szCs w:val="16"/>
          <w:color w:val="auto"/>
        </w:rPr>
        <w:t>”) by and between GLOBALFOUNDRIES U.S. Inc., a corporation organized under the laws of the State of Delaware, with its principal place of business at 400 Stonebreak Road Extension, Malta, NY 12020, USA (“</w:t>
      </w:r>
      <w:r>
        <w:rPr>
          <w:rFonts w:ascii="Arial" w:cs="Arial" w:eastAsia="Arial" w:hAnsi="Arial"/>
          <w:sz w:val="16"/>
          <w:szCs w:val="16"/>
          <w:b w:val="1"/>
          <w:bCs w:val="1"/>
          <w:u w:val="single" w:color="auto"/>
          <w:color w:val="auto"/>
        </w:rPr>
        <w:t>GF</w:t>
      </w:r>
      <w:r>
        <w:rPr>
          <w:rFonts w:ascii="Arial" w:cs="Arial" w:eastAsia="Arial" w:hAnsi="Arial"/>
          <w:sz w:val="16"/>
          <w:szCs w:val="16"/>
          <w:color w:val="auto"/>
        </w:rPr>
        <w:t>”) and SOITEC S.A., a Societe Anonyme organized under the laws of France with its principal office at Parc Technologique des Fontaines, Bernin 38926 Crolles Cedex (the “</w:t>
      </w:r>
      <w:r>
        <w:rPr>
          <w:rFonts w:ascii="Arial" w:cs="Arial" w:eastAsia="Arial" w:hAnsi="Arial"/>
          <w:sz w:val="16"/>
          <w:szCs w:val="16"/>
          <w:b w:val="1"/>
          <w:bCs w:val="1"/>
          <w:u w:val="single" w:color="auto"/>
          <w:color w:val="auto"/>
        </w:rPr>
        <w:t>Supplier</w:t>
      </w:r>
      <w:r>
        <w:rPr>
          <w:rFonts w:ascii="Arial" w:cs="Arial" w:eastAsia="Arial" w:hAnsi="Arial"/>
          <w:sz w:val="16"/>
          <w:szCs w:val="16"/>
          <w:color w:val="auto"/>
        </w:rPr>
        <w:t xml:space="preserve">”). Both GF and Supplier are referenced herein as a </w:t>
      </w:r>
      <w:r>
        <w:rPr>
          <w:rFonts w:ascii="Arial" w:cs="Arial" w:eastAsia="Arial" w:hAnsi="Arial"/>
          <w:sz w:val="16"/>
          <w:szCs w:val="16"/>
          <w:b w:val="1"/>
          <w:bCs w:val="1"/>
          <w:u w:val="single" w:color="auto"/>
          <w:color w:val="auto"/>
        </w:rPr>
        <w:t>Party</w:t>
      </w:r>
      <w:r>
        <w:rPr>
          <w:rFonts w:ascii="Arial" w:cs="Arial" w:eastAsia="Arial" w:hAnsi="Arial"/>
          <w:sz w:val="16"/>
          <w:szCs w:val="16"/>
          <w:color w:val="auto"/>
        </w:rPr>
        <w:t xml:space="preserve"> or the </w:t>
      </w:r>
      <w:r>
        <w:rPr>
          <w:rFonts w:ascii="Arial" w:cs="Arial" w:eastAsia="Arial" w:hAnsi="Arial"/>
          <w:sz w:val="16"/>
          <w:szCs w:val="16"/>
          <w:b w:val="1"/>
          <w:bCs w:val="1"/>
          <w:u w:val="single" w:color="auto"/>
          <w:color w:val="auto"/>
        </w:rPr>
        <w:t>Parties</w:t>
      </w:r>
      <w:r>
        <w:rPr>
          <w:rFonts w:ascii="Arial" w:cs="Arial" w:eastAsia="Arial" w:hAnsi="Arial"/>
          <w:sz w:val="16"/>
          <w:szCs w:val="16"/>
          <w:color w:val="auto"/>
        </w:rPr>
        <w:t>, as the case may be.</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WHEREAS, the Parties have entered into the 2023 Addendum for FDSOI Products to Materials Supply Agreement, dated April 25, 2017, on </w:t>
      </w:r>
      <w:r>
        <w:rPr>
          <w:rFonts w:ascii="Arial" w:cs="Arial" w:eastAsia="Arial" w:hAnsi="Arial"/>
          <w:sz w:val="14"/>
          <w:szCs w:val="14"/>
          <w:color w:val="auto"/>
        </w:rPr>
        <w:t>November 28, 2022</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2023 FD Addendum</w:t>
      </w:r>
      <w:r>
        <w:rPr>
          <w:rFonts w:ascii="Arial" w:cs="Arial" w:eastAsia="Arial" w:hAnsi="Arial"/>
          <w:sz w:val="16"/>
          <w:szCs w:val="16"/>
          <w:color w:val="auto"/>
        </w:rPr>
        <w:t xml:space="preserve">”), with a termination date of </w:t>
      </w:r>
      <w:r>
        <w:rPr>
          <w:rFonts w:ascii="Arial" w:cs="Arial" w:eastAsia="Arial" w:hAnsi="Arial"/>
          <w:sz w:val="14"/>
          <w:szCs w:val="14"/>
          <w:color w:val="auto"/>
        </w:rPr>
        <w:t>[***]</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“FD Term</w:t>
      </w:r>
      <w:r>
        <w:rPr>
          <w:rFonts w:ascii="Arial" w:cs="Arial" w:eastAsia="Arial" w:hAnsi="Arial"/>
          <w:sz w:val="16"/>
          <w:szCs w:val="16"/>
          <w:color w:val="auto"/>
        </w:rPr>
        <w:t>”)</w:t>
      </w:r>
    </w:p>
    <w:p>
      <w:pPr>
        <w:spacing w:after="0" w:line="14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WHEREAS, the Parties have entered into the Addendum for 300mm RSOI, PDSOI &amp; Silicon Photonics Products to Materials Supply Agreement, dated April 1, 2017, on </w:t>
      </w:r>
      <w:r>
        <w:rPr>
          <w:rFonts w:ascii="Arial" w:cs="Arial" w:eastAsia="Arial" w:hAnsi="Arial"/>
          <w:sz w:val="14"/>
          <w:szCs w:val="14"/>
          <w:color w:val="auto"/>
        </w:rPr>
        <w:t>[***]</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2021 Addendum</w:t>
      </w:r>
      <w:r>
        <w:rPr>
          <w:rFonts w:ascii="Arial" w:cs="Arial" w:eastAsia="Arial" w:hAnsi="Arial"/>
          <w:sz w:val="16"/>
          <w:szCs w:val="16"/>
          <w:color w:val="auto"/>
        </w:rPr>
        <w:t>”), with a termination date of December 31, 2023 (the “</w:t>
      </w:r>
      <w:r>
        <w:rPr>
          <w:rFonts w:ascii="Arial" w:cs="Arial" w:eastAsia="Arial" w:hAnsi="Arial"/>
          <w:sz w:val="16"/>
          <w:szCs w:val="16"/>
          <w:b w:val="1"/>
          <w:bCs w:val="1"/>
          <w:u w:val="single" w:color="auto"/>
          <w:color w:val="auto"/>
        </w:rPr>
        <w:t>2021 Addendum Term</w:t>
      </w:r>
      <w:r>
        <w:rPr>
          <w:rFonts w:ascii="Arial" w:cs="Arial" w:eastAsia="Arial" w:hAnsi="Arial"/>
          <w:sz w:val="16"/>
          <w:szCs w:val="16"/>
          <w:color w:val="auto"/>
        </w:rPr>
        <w:t>”)</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WHEREAS, the Parties acknowledge that they wish to enter into a purchase and supply arrangement for 300mm RFSOI, PDSOI, and Silicon Photonics products (together referred to as the “</w:t>
      </w:r>
      <w:r>
        <w:rPr>
          <w:rFonts w:ascii="Arial" w:cs="Arial" w:eastAsia="Arial" w:hAnsi="Arial"/>
          <w:sz w:val="16"/>
          <w:szCs w:val="16"/>
          <w:b w:val="1"/>
          <w:bCs w:val="1"/>
          <w:u w:val="single" w:color="auto"/>
          <w:color w:val="auto"/>
        </w:rPr>
        <w:t>300mm Products</w:t>
      </w:r>
      <w:r>
        <w:rPr>
          <w:rFonts w:ascii="Arial" w:cs="Arial" w:eastAsia="Arial" w:hAnsi="Arial"/>
          <w:sz w:val="16"/>
          <w:szCs w:val="16"/>
          <w:color w:val="auto"/>
        </w:rPr>
        <w:t>”,) and FD products (the “</w:t>
      </w:r>
      <w:r>
        <w:rPr>
          <w:rFonts w:ascii="Arial" w:cs="Arial" w:eastAsia="Arial" w:hAnsi="Arial"/>
          <w:sz w:val="16"/>
          <w:szCs w:val="16"/>
          <w:b w:val="1"/>
          <w:bCs w:val="1"/>
          <w:u w:val="single" w:color="auto"/>
          <w:color w:val="auto"/>
        </w:rPr>
        <w:t>FD Product</w:t>
      </w:r>
      <w:r>
        <w:rPr>
          <w:rFonts w:ascii="Arial" w:cs="Arial" w:eastAsia="Arial" w:hAnsi="Arial"/>
          <w:sz w:val="16"/>
          <w:szCs w:val="16"/>
          <w:color w:val="auto"/>
        </w:rPr>
        <w:t xml:space="preserve">”)as itemized in </w:t>
      </w:r>
      <w:r>
        <w:rPr>
          <w:rFonts w:ascii="Arial" w:cs="Arial" w:eastAsia="Arial" w:hAnsi="Arial"/>
          <w:sz w:val="16"/>
          <w:szCs w:val="16"/>
          <w:u w:val="single" w:color="auto"/>
          <w:color w:val="auto"/>
        </w:rPr>
        <w:t>Table 1</w:t>
      </w:r>
      <w:r>
        <w:rPr>
          <w:rFonts w:ascii="Arial" w:cs="Arial" w:eastAsia="Arial" w:hAnsi="Arial"/>
          <w:sz w:val="16"/>
          <w:szCs w:val="16"/>
          <w:color w:val="auto"/>
        </w:rPr>
        <w:t>, below, and based upon agreed upon applicable Product Specifications (as defined below), for the volumes and prices, set forth herein, during the Term (as defined below) of this 2023-2024 Mixed Product Addendum;</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WHEREAS, GF and GF’s Affiliates (together, the “</w:t>
      </w:r>
      <w:r>
        <w:rPr>
          <w:rFonts w:ascii="Arial" w:cs="Arial" w:eastAsia="Arial" w:hAnsi="Arial"/>
          <w:sz w:val="16"/>
          <w:szCs w:val="16"/>
          <w:b w:val="1"/>
          <w:bCs w:val="1"/>
          <w:u w:val="single" w:color="auto"/>
          <w:color w:val="auto"/>
        </w:rPr>
        <w:t>GF Parties</w:t>
      </w:r>
      <w:r>
        <w:rPr>
          <w:rFonts w:ascii="Arial" w:cs="Arial" w:eastAsia="Arial" w:hAnsi="Arial"/>
          <w:sz w:val="16"/>
          <w:szCs w:val="16"/>
          <w:color w:val="auto"/>
        </w:rPr>
        <w:t>”, or if only one, the “</w:t>
      </w:r>
      <w:r>
        <w:rPr>
          <w:rFonts w:ascii="Arial" w:cs="Arial" w:eastAsia="Arial" w:hAnsi="Arial"/>
          <w:sz w:val="16"/>
          <w:szCs w:val="16"/>
          <w:b w:val="1"/>
          <w:bCs w:val="1"/>
          <w:u w:val="single" w:color="auto"/>
          <w:color w:val="auto"/>
        </w:rPr>
        <w:t>GF Party</w:t>
      </w:r>
      <w:r>
        <w:rPr>
          <w:rFonts w:ascii="Arial" w:cs="Arial" w:eastAsia="Arial" w:hAnsi="Arial"/>
          <w:sz w:val="16"/>
          <w:szCs w:val="16"/>
          <w:color w:val="auto"/>
        </w:rPr>
        <w:t>”) wish to purchase the 300mm Products and the FD Product (collectively referred to as the “</w:t>
      </w:r>
      <w:r>
        <w:rPr>
          <w:rFonts w:ascii="Arial" w:cs="Arial" w:eastAsia="Arial" w:hAnsi="Arial"/>
          <w:sz w:val="16"/>
          <w:szCs w:val="16"/>
          <w:b w:val="1"/>
          <w:bCs w:val="1"/>
          <w:u w:val="single" w:color="auto"/>
          <w:color w:val="auto"/>
        </w:rPr>
        <w:t>Products</w:t>
      </w:r>
      <w:r>
        <w:rPr>
          <w:rFonts w:ascii="Arial" w:cs="Arial" w:eastAsia="Arial" w:hAnsi="Arial"/>
          <w:sz w:val="16"/>
          <w:szCs w:val="16"/>
          <w:color w:val="auto"/>
        </w:rPr>
        <w:t>”) from Supplier, and Supplier wishes to sell the Products to GF based upon the terms and provisions set forth in the Agreement and this 2023-2024 Mixed Product Addendum;</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WHEREAS, as set forth in this 2023-2024 Mixed Product Addendum, Supplier’s Affiliate, Soitec Microelectronics Singapore Pte. Ltd, located at 81 Pasir Ris Industrial Drive 1, Singapore 518220 (“</w:t>
      </w:r>
      <w:r>
        <w:rPr>
          <w:rFonts w:ascii="Arial" w:cs="Arial" w:eastAsia="Arial" w:hAnsi="Arial"/>
          <w:sz w:val="16"/>
          <w:szCs w:val="16"/>
          <w:b w:val="1"/>
          <w:bCs w:val="1"/>
          <w:u w:val="single" w:color="auto"/>
          <w:color w:val="auto"/>
        </w:rPr>
        <w:t>Supplier Singapore</w:t>
      </w:r>
      <w:r>
        <w:rPr>
          <w:rFonts w:ascii="Arial" w:cs="Arial" w:eastAsia="Arial" w:hAnsi="Arial"/>
          <w:sz w:val="16"/>
          <w:szCs w:val="16"/>
          <w:color w:val="auto"/>
        </w:rPr>
        <w:t>”, and together Supplier and Supplier Singapore are referred to as the “</w:t>
      </w:r>
      <w:r>
        <w:rPr>
          <w:rFonts w:ascii="Arial" w:cs="Arial" w:eastAsia="Arial" w:hAnsi="Arial"/>
          <w:sz w:val="16"/>
          <w:szCs w:val="16"/>
          <w:b w:val="1"/>
          <w:bCs w:val="1"/>
          <w:u w:val="single" w:color="auto"/>
          <w:color w:val="auto"/>
        </w:rPr>
        <w:t>Supplier Group</w:t>
      </w:r>
      <w:r>
        <w:rPr>
          <w:rFonts w:ascii="Arial" w:cs="Arial" w:eastAsia="Arial" w:hAnsi="Arial"/>
          <w:sz w:val="16"/>
          <w:szCs w:val="16"/>
          <w:color w:val="auto"/>
        </w:rPr>
        <w:t>”), will participate in the supply of Products to GF Parties, as more specifically set forth, below</w:t>
      </w:r>
      <w:r>
        <w:rPr>
          <w:rFonts w:ascii="Calibri" w:cs="Calibri" w:eastAsia="Calibri" w:hAnsi="Calibri"/>
          <w:sz w:val="16"/>
          <w:szCs w:val="16"/>
          <w:color w:val="auto"/>
        </w:rPr>
        <w:t>.</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NOW THEREFORE, in consideration of the mutual covenants, rights and obligations set forth herein and, in the Agreement, the receipt and sufficiency of which each Party hereby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1</w:t>
      </w:r>
    </w:p>
    <w:p>
      <w:pPr>
        <w:sectPr>
          <w:pgSz w:w="11900" w:h="16838" w:orient="portrait"/>
          <w:cols w:equalWidth="0" w:num="1">
            <w:col w:w="11280"/>
          </w:cols>
          <w:pgMar w:left="300" w:top="109" w:right="319" w:bottom="1440" w:gutter="0" w:footer="0" w:header="0"/>
        </w:sectPr>
      </w:pPr>
    </w:p>
    <w:bookmarkStart w:id="140" w:name="page141"/>
    <w:bookmarkEnd w:id="140"/>
    <w:p>
      <w:pPr>
        <w:jc w:val="right"/>
        <w:spacing w:after="0"/>
        <w:rPr>
          <w:sz w:val="20"/>
          <w:szCs w:val="20"/>
          <w:color w:val="auto"/>
        </w:rPr>
      </w:pPr>
      <w:r>
        <w:rPr>
          <w:rFonts w:ascii="Calibri" w:cs="Calibri" w:eastAsia="Calibri" w:hAnsi="Calibri"/>
          <w:sz w:val="16"/>
          <w:szCs w:val="16"/>
          <w:b w:val="1"/>
          <w:bCs w:val="1"/>
          <w:color w:val="auto"/>
        </w:rPr>
        <w:t>Exhibit 4.12</w:t>
      </w:r>
    </w:p>
    <w:p>
      <w:pPr>
        <w:jc w:val="right"/>
        <w:spacing w:after="0" w:line="234" w:lineRule="auto"/>
        <w:rPr>
          <w:sz w:val="20"/>
          <w:szCs w:val="20"/>
          <w:color w:val="auto"/>
        </w:rPr>
      </w:pPr>
      <w:r>
        <w:rPr>
          <w:rFonts w:ascii="Calibri" w:cs="Calibri" w:eastAsia="Calibri" w:hAnsi="Calibri"/>
          <w:sz w:val="16"/>
          <w:szCs w:val="16"/>
          <w:b w:val="1"/>
          <w:bCs w:val="1"/>
          <w:u w:val="single" w:color="auto"/>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acknowledges, the Parties intending to be legally bound, and the Parties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80" w:hanging="175"/>
        <w:spacing w:after="0"/>
        <w:tabs>
          <w:tab w:leader="none" w:pos="180"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Introduction</w:t>
      </w:r>
      <w:r>
        <w:rPr>
          <w:rFonts w:ascii="Arial" w:cs="Arial" w:eastAsia="Arial" w:hAnsi="Arial"/>
          <w:sz w:val="16"/>
          <w:szCs w:val="16"/>
          <w:color w:val="auto"/>
        </w:rPr>
        <w:t>:</w:t>
      </w:r>
    </w:p>
    <w:p>
      <w:pPr>
        <w:spacing w:after="0" w:line="199" w:lineRule="exact"/>
        <w:rPr>
          <w:rFonts w:ascii="Arial" w:cs="Arial" w:eastAsia="Arial" w:hAnsi="Arial"/>
          <w:sz w:val="16"/>
          <w:szCs w:val="16"/>
          <w:b w:val="1"/>
          <w:bCs w:val="1"/>
          <w:color w:val="auto"/>
        </w:rPr>
      </w:pPr>
    </w:p>
    <w:p>
      <w:pPr>
        <w:ind w:left="580" w:hanging="257"/>
        <w:spacing w:after="0" w:line="276" w:lineRule="auto"/>
        <w:tabs>
          <w:tab w:leader="none" w:pos="572"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All capitalized terms in this 2023-2024 Mixed Product Addendum shall have the same meaning as set forth in the Agreement, unless otherwise defined in this 2023-2024 Mixed Product Addendum.</w:t>
      </w:r>
    </w:p>
    <w:p>
      <w:pPr>
        <w:spacing w:after="0" w:line="139" w:lineRule="exact"/>
        <w:rPr>
          <w:rFonts w:ascii="Arial" w:cs="Arial" w:eastAsia="Arial" w:hAnsi="Arial"/>
          <w:sz w:val="16"/>
          <w:szCs w:val="16"/>
          <w:color w:val="auto"/>
        </w:rPr>
      </w:pPr>
    </w:p>
    <w:p>
      <w:pPr>
        <w:ind w:left="560" w:hanging="237"/>
        <w:spacing w:after="0"/>
        <w:tabs>
          <w:tab w:leader="none" w:pos="56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Where the context so admits or requires, references to the plural in any defined term herein shall include the singular and vice versa.</w:t>
      </w:r>
    </w:p>
    <w:p>
      <w:pPr>
        <w:spacing w:after="0" w:line="197" w:lineRule="exact"/>
        <w:rPr>
          <w:rFonts w:ascii="Arial" w:cs="Arial" w:eastAsia="Arial" w:hAnsi="Arial"/>
          <w:sz w:val="16"/>
          <w:szCs w:val="16"/>
          <w:color w:val="auto"/>
        </w:rPr>
      </w:pPr>
    </w:p>
    <w:p>
      <w:pPr>
        <w:jc w:val="both"/>
        <w:ind w:left="580" w:hanging="260"/>
        <w:spacing w:after="0" w:line="253" w:lineRule="auto"/>
        <w:tabs>
          <w:tab w:leader="none" w:pos="574" w:val="left"/>
        </w:tabs>
        <w:numPr>
          <w:ilvl w:val="1"/>
          <w:numId w:val="127"/>
        </w:numPr>
        <w:rPr>
          <w:rFonts w:ascii="Arial" w:cs="Arial" w:eastAsia="Arial" w:hAnsi="Arial"/>
          <w:sz w:val="16"/>
          <w:szCs w:val="16"/>
          <w:color w:val="auto"/>
        </w:rPr>
      </w:pPr>
      <w:r>
        <w:rPr>
          <w:rFonts w:ascii="Arial" w:cs="Arial" w:eastAsia="Arial" w:hAnsi="Arial"/>
          <w:sz w:val="16"/>
          <w:szCs w:val="16"/>
          <w:color w:val="auto"/>
        </w:rPr>
        <w:t>For the avoidance of doubt, the Parties agree that this 2023-2024 Mixed Product Addendum is hereby incorporated into the Agreement. Subject to Section 1(a) of the Agreement, in the event of any conflict between the terms of this 2023-2024 Mixed Product Addendum and the Agreement, terms of this 20223-2024 Mixed Product Addendum shall control. For the avoidance of doubt, to the extent this 2023-2024 Mixed Product Addendum remains silent on a topic or matter, then the Agreement shall apply.</w:t>
      </w:r>
    </w:p>
    <w:p>
      <w:pPr>
        <w:spacing w:after="0" w:line="155" w:lineRule="exact"/>
        <w:rPr>
          <w:rFonts w:ascii="Arial" w:cs="Arial" w:eastAsia="Arial" w:hAnsi="Arial"/>
          <w:sz w:val="16"/>
          <w:szCs w:val="16"/>
          <w:color w:val="auto"/>
        </w:rPr>
      </w:pPr>
    </w:p>
    <w:p>
      <w:pPr>
        <w:jc w:val="both"/>
        <w:ind w:left="580" w:hanging="257"/>
        <w:spacing w:after="0" w:line="287" w:lineRule="auto"/>
        <w:tabs>
          <w:tab w:leader="none" w:pos="572" w:val="left"/>
        </w:tabs>
        <w:numPr>
          <w:ilvl w:val="1"/>
          <w:numId w:val="127"/>
        </w:numPr>
        <w:rPr>
          <w:rFonts w:ascii="Arial" w:cs="Arial" w:eastAsia="Arial" w:hAnsi="Arial"/>
          <w:sz w:val="14"/>
          <w:szCs w:val="14"/>
          <w:color w:val="auto"/>
        </w:rPr>
      </w:pPr>
      <w:r>
        <w:rPr>
          <w:rFonts w:ascii="Arial" w:cs="Arial" w:eastAsia="Arial" w:hAnsi="Arial"/>
          <w:sz w:val="14"/>
          <w:szCs w:val="14"/>
          <w:color w:val="auto"/>
        </w:rPr>
        <w:t>The GF Parties and Supplier Group have entered into various product purchase addenda [***] (collectively referred to as the “</w:t>
      </w:r>
      <w:r>
        <w:rPr>
          <w:rFonts w:ascii="Arial" w:cs="Arial" w:eastAsia="Arial" w:hAnsi="Arial"/>
          <w:sz w:val="14"/>
          <w:szCs w:val="14"/>
          <w:b w:val="1"/>
          <w:bCs w:val="1"/>
          <w:u w:val="single" w:color="auto"/>
          <w:color w:val="auto"/>
        </w:rPr>
        <w:t>Product Purchase</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Addenda</w:t>
      </w:r>
      <w:r>
        <w:rPr>
          <w:rFonts w:ascii="Arial" w:cs="Arial" w:eastAsia="Arial" w:hAnsi="Arial"/>
          <w:sz w:val="14"/>
          <w:szCs w:val="14"/>
          <w:color w:val="auto"/>
        </w:rPr>
        <w:t>”). Such Product Purchase Addenda [***] set forth in this 2023-2024 Mixed Product Addendum; and in the event of any conflict between the terms</w:t>
      </w:r>
      <w:r>
        <w:rPr>
          <w:rFonts w:ascii="Arial" w:cs="Arial" w:eastAsia="Arial" w:hAnsi="Arial"/>
          <w:sz w:val="14"/>
          <w:szCs w:val="14"/>
          <w:b w:val="1"/>
          <w:bCs w:val="1"/>
          <w:color w:val="auto"/>
        </w:rPr>
        <w:t xml:space="preserve"> </w:t>
      </w:r>
      <w:r>
        <w:rPr>
          <w:rFonts w:ascii="Arial" w:cs="Arial" w:eastAsia="Arial" w:hAnsi="Arial"/>
          <w:sz w:val="14"/>
          <w:szCs w:val="14"/>
          <w:color w:val="auto"/>
        </w:rPr>
        <w:t>of this 2023-2024 Mixed Product Addendum and such Product Purchase Addenda, the terms of this 2023-2024 Mixed Product Addendum shall control.</w:t>
      </w:r>
    </w:p>
    <w:p>
      <w:pPr>
        <w:jc w:val="both"/>
        <w:ind w:left="580" w:hanging="260"/>
        <w:spacing w:after="0" w:line="246" w:lineRule="auto"/>
        <w:tabs>
          <w:tab w:leader="none" w:pos="572" w:val="left"/>
        </w:tabs>
        <w:numPr>
          <w:ilvl w:val="1"/>
          <w:numId w:val="127"/>
        </w:numPr>
        <w:rPr>
          <w:rFonts w:ascii="Arial" w:cs="Arial" w:eastAsia="Arial" w:hAnsi="Arial"/>
          <w:sz w:val="16"/>
          <w:szCs w:val="16"/>
          <w:color w:val="auto"/>
        </w:rPr>
      </w:pPr>
      <w:r>
        <w:rPr>
          <w:rFonts w:ascii="Arial" w:cs="Arial" w:eastAsia="Arial" w:hAnsi="Arial"/>
          <w:sz w:val="16"/>
          <w:szCs w:val="16"/>
          <w:color w:val="auto"/>
        </w:rPr>
        <w:t>[***], this 2023-2024 Mixed Product Addendum [***] 2021 Addendum or the 2023 FD Addendum; and such 2021 Addendum and 2023 FD Addendum remain in effect until [***]. This 2023-2024 Mixed Product Addendum shall apply to the [***] Volumes (defined below) ordered by GF Parties ,to be delivered by Supplier, pursuant to [***] after the Commencement Date.</w:t>
      </w:r>
    </w:p>
    <w:p>
      <w:pPr>
        <w:spacing w:after="0" w:line="171" w:lineRule="exact"/>
        <w:rPr>
          <w:rFonts w:ascii="Arial" w:cs="Arial" w:eastAsia="Arial" w:hAnsi="Arial"/>
          <w:sz w:val="16"/>
          <w:szCs w:val="16"/>
          <w:color w:val="auto"/>
        </w:rPr>
      </w:pPr>
    </w:p>
    <w:p>
      <w:pPr>
        <w:ind w:left="180" w:hanging="175"/>
        <w:spacing w:after="0"/>
        <w:tabs>
          <w:tab w:leader="none" w:pos="180" w:val="left"/>
        </w:tabs>
        <w:numPr>
          <w:ilvl w:val="0"/>
          <w:numId w:val="127"/>
        </w:numPr>
        <w:rPr>
          <w:rFonts w:ascii="Calibri" w:cs="Calibri" w:eastAsia="Calibri" w:hAnsi="Calibri"/>
          <w:sz w:val="17"/>
          <w:szCs w:val="17"/>
          <w:b w:val="1"/>
          <w:bCs w:val="1"/>
          <w:color w:val="auto"/>
        </w:rPr>
      </w:pPr>
      <w:r>
        <w:rPr>
          <w:rFonts w:ascii="Arial" w:cs="Arial" w:eastAsia="Arial" w:hAnsi="Arial"/>
          <w:sz w:val="16"/>
          <w:szCs w:val="16"/>
          <w:b w:val="1"/>
          <w:bCs w:val="1"/>
          <w:u w:val="single" w:color="auto"/>
          <w:color w:val="auto"/>
        </w:rPr>
        <w:t>Term and Termination of the 2023-2024 Mixed Product Addendum:</w:t>
      </w:r>
    </w:p>
    <w:p>
      <w:pPr>
        <w:spacing w:after="0" w:line="18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This 2023-2024 Mixed Product Addendum shall commence on the Commencement Date and shall remain in effect [***] (the “</w:t>
      </w: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unless otherwise terminated as set forth in the Agreement.</w:t>
      </w:r>
    </w:p>
    <w:p>
      <w:pPr>
        <w:spacing w:after="0" w:line="136" w:lineRule="exact"/>
        <w:rPr>
          <w:sz w:val="20"/>
          <w:szCs w:val="20"/>
          <w:color w:val="auto"/>
        </w:rPr>
      </w:pPr>
    </w:p>
    <w:p>
      <w:pPr>
        <w:ind w:left="180" w:hanging="175"/>
        <w:spacing w:after="0"/>
        <w:tabs>
          <w:tab w:leader="none" w:pos="180"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Products and Product Specifications:</w:t>
      </w:r>
    </w:p>
    <w:p>
      <w:pPr>
        <w:spacing w:after="0" w:line="199" w:lineRule="exact"/>
        <w:rPr>
          <w:rFonts w:ascii="Arial" w:cs="Arial" w:eastAsia="Arial" w:hAnsi="Arial"/>
          <w:sz w:val="16"/>
          <w:szCs w:val="16"/>
          <w:b w:val="1"/>
          <w:bCs w:val="1"/>
          <w:color w:val="auto"/>
        </w:rPr>
      </w:pPr>
    </w:p>
    <w:p>
      <w:pPr>
        <w:ind w:left="520" w:hanging="260"/>
        <w:spacing w:after="0" w:line="272" w:lineRule="auto"/>
        <w:tabs>
          <w:tab w:leader="none" w:pos="512" w:val="left"/>
        </w:tabs>
        <w:numPr>
          <w:ilvl w:val="1"/>
          <w:numId w:val="128"/>
        </w:numPr>
        <w:rPr>
          <w:rFonts w:ascii="Arial" w:cs="Arial" w:eastAsia="Arial" w:hAnsi="Arial"/>
          <w:sz w:val="16"/>
          <w:szCs w:val="16"/>
          <w:color w:val="auto"/>
        </w:rPr>
      </w:pPr>
      <w:r>
        <w:rPr>
          <w:rFonts w:ascii="Arial" w:cs="Arial" w:eastAsia="Arial" w:hAnsi="Arial"/>
          <w:sz w:val="16"/>
          <w:szCs w:val="16"/>
          <w:color w:val="auto"/>
        </w:rPr>
        <w:t xml:space="preserve">The Product(s) to be purchased by GF Parties and sold by the Supplier Group, pursuant to this 2023-2024 Mixed Product , are listed in </w:t>
      </w:r>
      <w:r>
        <w:rPr>
          <w:rFonts w:ascii="Arial" w:cs="Arial" w:eastAsia="Arial" w:hAnsi="Arial"/>
          <w:sz w:val="16"/>
          <w:szCs w:val="16"/>
          <w:u w:val="single" w:color="auto"/>
          <w:color w:val="auto"/>
        </w:rPr>
        <w:t>Table 1</w:t>
      </w:r>
      <w:r>
        <w:rPr>
          <w:rFonts w:ascii="Arial" w:cs="Arial" w:eastAsia="Arial" w:hAnsi="Arial"/>
          <w:sz w:val="16"/>
          <w:szCs w:val="16"/>
          <w:color w:val="auto"/>
        </w:rPr>
        <w:t>, below; and the term “</w:t>
      </w:r>
      <w:r>
        <w:rPr>
          <w:rFonts w:ascii="Arial" w:cs="Arial" w:eastAsia="Arial" w:hAnsi="Arial"/>
          <w:sz w:val="16"/>
          <w:szCs w:val="16"/>
          <w:b w:val="1"/>
          <w:bCs w:val="1"/>
          <w:u w:val="single" w:color="auto"/>
          <w:color w:val="auto"/>
        </w:rPr>
        <w:t>Product(s)</w:t>
      </w:r>
      <w:r>
        <w:rPr>
          <w:rFonts w:ascii="Arial" w:cs="Arial" w:eastAsia="Arial" w:hAnsi="Arial"/>
          <w:sz w:val="16"/>
          <w:szCs w:val="16"/>
          <w:color w:val="auto"/>
        </w:rPr>
        <w: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2</w:t>
      </w:r>
    </w:p>
    <w:p>
      <w:pPr>
        <w:sectPr>
          <w:pgSz w:w="11900" w:h="16838" w:orient="portrait"/>
          <w:cols w:equalWidth="0" w:num="1">
            <w:col w:w="11280"/>
          </w:cols>
          <w:pgMar w:left="300" w:top="109" w:right="319" w:bottom="1440" w:gutter="0" w:footer="0" w:header="0"/>
        </w:sectPr>
      </w:pPr>
    </w:p>
    <w:bookmarkStart w:id="141" w:name="page142"/>
    <w:bookmarkEnd w:id="141"/>
    <w:p>
      <w:pPr>
        <w:jc w:val="right"/>
        <w:spacing w:after="0"/>
        <w:rPr>
          <w:sz w:val="20"/>
          <w:szCs w:val="20"/>
          <w:color w:val="auto"/>
        </w:rPr>
      </w:pPr>
      <w:r>
        <w:rPr>
          <w:rFonts w:ascii="Calibri" w:cs="Calibri" w:eastAsia="Calibri" w:hAnsi="Calibri"/>
          <w:sz w:val="16"/>
          <w:szCs w:val="16"/>
          <w:b w:val="1"/>
          <w:bCs w:val="1"/>
          <w:color w:val="auto"/>
        </w:rPr>
        <w:t>Exhibit 4.12</w:t>
      </w:r>
    </w:p>
    <w:p>
      <w:pPr>
        <w:jc w:val="right"/>
        <w:spacing w:after="0" w:line="234" w:lineRule="auto"/>
        <w:rPr>
          <w:sz w:val="20"/>
          <w:szCs w:val="20"/>
          <w:color w:val="auto"/>
        </w:rPr>
      </w:pPr>
      <w:r>
        <w:rPr>
          <w:rFonts w:ascii="Calibri" w:cs="Calibri" w:eastAsia="Calibri" w:hAnsi="Calibri"/>
          <w:sz w:val="16"/>
          <w:szCs w:val="16"/>
          <w:b w:val="1"/>
          <w:bCs w:val="1"/>
          <w:u w:val="single" w:color="auto"/>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xml:space="preserve">used in this 2023-2024 Mixed Product Addendum shall mean the product items listed in </w:t>
      </w:r>
      <w:r>
        <w:rPr>
          <w:rFonts w:ascii="Arial" w:cs="Arial" w:eastAsia="Arial" w:hAnsi="Arial"/>
          <w:sz w:val="16"/>
          <w:szCs w:val="16"/>
          <w:u w:val="single" w:color="auto"/>
          <w:color w:val="auto"/>
        </w:rPr>
        <w:t>Table 1</w:t>
      </w:r>
      <w:r>
        <w:rPr>
          <w:rFonts w:ascii="Arial" w:cs="Arial" w:eastAsia="Arial" w:hAnsi="Arial"/>
          <w:sz w:val="16"/>
          <w:szCs w:val="16"/>
          <w:color w:val="auto"/>
        </w:rPr>
        <w:t>.</w:t>
      </w:r>
    </w:p>
    <w:p>
      <w:pPr>
        <w:spacing w:after="0" w:line="10" w:lineRule="exact"/>
        <w:rPr>
          <w:sz w:val="20"/>
          <w:szCs w:val="20"/>
          <w:color w:val="auto"/>
        </w:rPr>
      </w:pPr>
    </w:p>
    <w:p>
      <w:pPr>
        <w:ind w:left="260" w:hanging="260"/>
        <w:spacing w:after="0" w:line="265" w:lineRule="auto"/>
        <w:tabs>
          <w:tab w:leader="none" w:pos="254" w:val="left"/>
        </w:tabs>
        <w:numPr>
          <w:ilvl w:val="0"/>
          <w:numId w:val="129"/>
        </w:numPr>
        <w:rPr>
          <w:rFonts w:ascii="Calibri" w:cs="Calibri" w:eastAsia="Calibri" w:hAnsi="Calibri"/>
          <w:sz w:val="17"/>
          <w:szCs w:val="17"/>
          <w:color w:val="auto"/>
        </w:rPr>
      </w:pPr>
      <w:r>
        <w:rPr>
          <w:rFonts w:ascii="Arial" w:cs="Arial" w:eastAsia="Arial" w:hAnsi="Arial"/>
          <w:sz w:val="16"/>
          <w:szCs w:val="16"/>
          <w:color w:val="auto"/>
        </w:rPr>
        <w:t xml:space="preserve">The applicable Products specification(s) for each of the Products is identified in </w:t>
      </w:r>
      <w:r>
        <w:rPr>
          <w:rFonts w:ascii="Arial" w:cs="Arial" w:eastAsia="Arial" w:hAnsi="Arial"/>
          <w:sz w:val="16"/>
          <w:szCs w:val="16"/>
          <w:u w:val="single" w:color="auto"/>
          <w:color w:val="auto"/>
        </w:rPr>
        <w:t>Exhibit A</w:t>
      </w:r>
      <w:r>
        <w:rPr>
          <w:rFonts w:ascii="Arial" w:cs="Arial" w:eastAsia="Arial" w:hAnsi="Arial"/>
          <w:sz w:val="16"/>
          <w:szCs w:val="16"/>
          <w:color w:val="auto"/>
        </w:rPr>
        <w:t>, by a Product specification number (each a “</w:t>
      </w:r>
      <w:r>
        <w:rPr>
          <w:rFonts w:ascii="Arial" w:cs="Arial" w:eastAsia="Arial" w:hAnsi="Arial"/>
          <w:sz w:val="16"/>
          <w:szCs w:val="16"/>
          <w:b w:val="1"/>
          <w:bCs w:val="1"/>
          <w:u w:val="single" w:color="auto"/>
          <w:color w:val="auto"/>
        </w:rPr>
        <w:t>Product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Specification</w:t>
      </w:r>
      <w:r>
        <w:rPr>
          <w:rFonts w:ascii="Arial" w:cs="Arial" w:eastAsia="Arial" w:hAnsi="Arial"/>
          <w:sz w:val="16"/>
          <w:szCs w:val="16"/>
          <w:color w:val="auto"/>
        </w:rPr>
        <w:t>”); and each such Product Specification correlates to a corresponding GF part number, as itemized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Table 1</w:t>
      </w:r>
      <w:r>
        <w:rPr>
          <w:rFonts w:ascii="Arial" w:cs="Arial" w:eastAsia="Arial" w:hAnsi="Arial"/>
          <w:sz w:val="16"/>
          <w:szCs w:val="16"/>
          <w:color w:val="auto"/>
        </w:rPr>
        <w:t>, below.</w:t>
      </w:r>
    </w:p>
    <w:p>
      <w:pPr>
        <w:spacing w:after="0" w:line="330"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Table 1- Products for 2023-2024 Mixed Product Addendum</w:t>
      </w:r>
    </w:p>
    <w:p>
      <w:pPr>
        <w:spacing w:after="0" w:line="33" w:lineRule="exact"/>
        <w:rPr>
          <w:sz w:val="20"/>
          <w:szCs w:val="20"/>
          <w:color w:val="auto"/>
        </w:rPr>
      </w:pPr>
    </w:p>
    <w:tbl>
      <w:tblPr>
        <w:tblLayout w:type="fixed"/>
        <w:tblInd w:w="840" w:type="dxa"/>
        <w:tblCellMar>
          <w:top w:w="0" w:type="dxa"/>
          <w:left w:w="0" w:type="dxa"/>
          <w:bottom w:w="0" w:type="dxa"/>
          <w:right w:w="0" w:type="dxa"/>
        </w:tblCellMar>
      </w:tblPr>
      <w:tr>
        <w:trPr>
          <w:trHeight w:val="241"/>
        </w:trPr>
        <w:tc>
          <w:tcPr>
            <w:tcW w:w="180" w:type="dxa"/>
            <w:vAlign w:val="bottom"/>
            <w:tcBorders>
              <w:right w:val="single" w:sz="8" w:color="auto"/>
            </w:tcBorders>
          </w:tcPr>
          <w:p>
            <w:pPr>
              <w:spacing w:after="0"/>
              <w:rPr>
                <w:sz w:val="20"/>
                <w:szCs w:val="20"/>
                <w:color w:val="auto"/>
              </w:rPr>
            </w:pPr>
          </w:p>
        </w:tc>
        <w:tc>
          <w:tcPr>
            <w:tcW w:w="1480" w:type="dxa"/>
            <w:vAlign w:val="bottom"/>
            <w:tcBorders>
              <w:top w:val="single" w:sz="8" w:color="auto"/>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4"/>
                <w:szCs w:val="14"/>
                <w:b w:val="1"/>
                <w:bCs w:val="1"/>
                <w:color w:val="auto"/>
              </w:rPr>
              <w:t>300mm Products</w:t>
            </w:r>
          </w:p>
        </w:tc>
        <w:tc>
          <w:tcPr>
            <w:tcW w:w="2380" w:type="dxa"/>
            <w:vAlign w:val="bottom"/>
            <w:tcBorders>
              <w:top w:val="single" w:sz="8" w:color="auto"/>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4"/>
                <w:szCs w:val="14"/>
                <w:b w:val="1"/>
                <w:bCs w:val="1"/>
                <w:color w:val="auto"/>
              </w:rPr>
              <w:t>Program</w:t>
            </w:r>
          </w:p>
        </w:tc>
        <w:tc>
          <w:tcPr>
            <w:tcW w:w="3500" w:type="dxa"/>
            <w:vAlign w:val="bottom"/>
            <w:tcBorders>
              <w:top w:val="single" w:sz="8" w:color="auto"/>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4"/>
                <w:szCs w:val="14"/>
                <w:b w:val="1"/>
                <w:bCs w:val="1"/>
                <w:color w:val="auto"/>
              </w:rPr>
              <w:t>Products (GF PN)</w:t>
            </w:r>
          </w:p>
        </w:tc>
      </w:tr>
      <w:tr>
        <w:trPr>
          <w:trHeight w:val="194"/>
        </w:trPr>
        <w:tc>
          <w:tcPr>
            <w:tcW w:w="180" w:type="dxa"/>
            <w:vAlign w:val="bottom"/>
            <w:tcBorders>
              <w:right w:val="single" w:sz="8" w:color="auto"/>
            </w:tcBorders>
          </w:tcPr>
          <w:p>
            <w:pPr>
              <w:spacing w:after="0"/>
              <w:rPr>
                <w:sz w:val="16"/>
                <w:szCs w:val="16"/>
                <w:color w:val="auto"/>
              </w:rPr>
            </w:pP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30"/>
        </w:trPr>
        <w:tc>
          <w:tcPr>
            <w:tcW w:w="180" w:type="dxa"/>
            <w:vAlign w:val="bottom"/>
            <w:tcBorders>
              <w:right w:val="single" w:sz="8" w:color="auto"/>
            </w:tcBorders>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194"/>
        </w:trPr>
        <w:tc>
          <w:tcPr>
            <w:tcW w:w="1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30"/>
        </w:trPr>
        <w:tc>
          <w:tcPr>
            <w:tcW w:w="180" w:type="dxa"/>
            <w:vAlign w:val="bottom"/>
            <w:tcBorders>
              <w:right w:val="single" w:sz="8" w:color="auto"/>
            </w:tcBorders>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194"/>
        </w:trPr>
        <w:tc>
          <w:tcPr>
            <w:tcW w:w="1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30"/>
        </w:trPr>
        <w:tc>
          <w:tcPr>
            <w:tcW w:w="180" w:type="dxa"/>
            <w:vAlign w:val="bottom"/>
            <w:tcBorders>
              <w:right w:val="single" w:sz="8" w:color="auto"/>
            </w:tcBorders>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194"/>
        </w:trPr>
        <w:tc>
          <w:tcPr>
            <w:tcW w:w="1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30"/>
        </w:trPr>
        <w:tc>
          <w:tcPr>
            <w:tcW w:w="180" w:type="dxa"/>
            <w:vAlign w:val="bottom"/>
            <w:tcBorders>
              <w:right w:val="single" w:sz="8" w:color="auto"/>
            </w:tcBorders>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194"/>
        </w:trPr>
        <w:tc>
          <w:tcPr>
            <w:tcW w:w="1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30"/>
        </w:trPr>
        <w:tc>
          <w:tcPr>
            <w:tcW w:w="180" w:type="dxa"/>
            <w:vAlign w:val="bottom"/>
            <w:tcBorders>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194"/>
        </w:trPr>
        <w:tc>
          <w:tcPr>
            <w:tcW w:w="1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30"/>
        </w:trPr>
        <w:tc>
          <w:tcPr>
            <w:tcW w:w="180" w:type="dxa"/>
            <w:vAlign w:val="bottom"/>
            <w:tcBorders>
              <w:right w:val="single" w:sz="8" w:color="auto"/>
            </w:tcBorders>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194"/>
        </w:trPr>
        <w:tc>
          <w:tcPr>
            <w:tcW w:w="1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30"/>
        </w:trPr>
        <w:tc>
          <w:tcPr>
            <w:tcW w:w="180" w:type="dxa"/>
            <w:vAlign w:val="bottom"/>
            <w:tcBorders>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194"/>
        </w:trPr>
        <w:tc>
          <w:tcPr>
            <w:tcW w:w="1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30"/>
        </w:trPr>
        <w:tc>
          <w:tcPr>
            <w:tcW w:w="180" w:type="dxa"/>
            <w:vAlign w:val="bottom"/>
            <w:tcBorders>
              <w:bottom w:val="single" w:sz="8" w:color="DDD9C4"/>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224"/>
        </w:trPr>
        <w:tc>
          <w:tcPr>
            <w:tcW w:w="180" w:type="dxa"/>
            <w:vAlign w:val="bottom"/>
            <w:tcBorders>
              <w:bottom w:val="single" w:sz="8" w:color="DDD9C4"/>
              <w:right w:val="single" w:sz="8" w:color="auto"/>
            </w:tcBorders>
            <w:shd w:val="clear" w:color="auto" w:fill="DDD9C4"/>
          </w:tcPr>
          <w:p>
            <w:pPr>
              <w:spacing w:after="0"/>
              <w:rPr>
                <w:sz w:val="19"/>
                <w:szCs w:val="19"/>
                <w:color w:val="auto"/>
              </w:rPr>
            </w:pPr>
          </w:p>
        </w:tc>
        <w:tc>
          <w:tcPr>
            <w:tcW w:w="1480" w:type="dxa"/>
            <w:vAlign w:val="bottom"/>
            <w:tcBorders>
              <w:bottom w:val="single" w:sz="8" w:color="EEECE1"/>
              <w:right w:val="single" w:sz="8" w:color="auto"/>
            </w:tcBorders>
            <w:shd w:val="clear" w:color="auto" w:fill="EEECE1"/>
          </w:tcPr>
          <w:p>
            <w:pPr>
              <w:jc w:val="center"/>
              <w:spacing w:after="0"/>
              <w:rPr>
                <w:sz w:val="20"/>
                <w:szCs w:val="20"/>
                <w:color w:val="auto"/>
              </w:rPr>
            </w:pPr>
            <w:r>
              <w:rPr>
                <w:rFonts w:ascii="Arial" w:cs="Arial" w:eastAsia="Arial" w:hAnsi="Arial"/>
                <w:sz w:val="14"/>
                <w:szCs w:val="14"/>
                <w:b w:val="1"/>
                <w:bCs w:val="1"/>
                <w:color w:val="auto"/>
              </w:rPr>
              <w:t>FD Products</w:t>
            </w:r>
          </w:p>
        </w:tc>
        <w:tc>
          <w:tcPr>
            <w:tcW w:w="2380" w:type="dxa"/>
            <w:vAlign w:val="bottom"/>
            <w:tcBorders>
              <w:bottom w:val="single" w:sz="8" w:color="EEECE1"/>
              <w:right w:val="single" w:sz="8" w:color="auto"/>
            </w:tcBorders>
            <w:shd w:val="clear" w:color="auto" w:fill="EEECE1"/>
          </w:tcPr>
          <w:p>
            <w:pPr>
              <w:jc w:val="center"/>
              <w:spacing w:after="0"/>
              <w:rPr>
                <w:sz w:val="20"/>
                <w:szCs w:val="20"/>
                <w:color w:val="auto"/>
              </w:rPr>
            </w:pPr>
            <w:r>
              <w:rPr>
                <w:rFonts w:ascii="Arial" w:cs="Arial" w:eastAsia="Arial" w:hAnsi="Arial"/>
                <w:sz w:val="14"/>
                <w:szCs w:val="14"/>
                <w:b w:val="1"/>
                <w:bCs w:val="1"/>
                <w:color w:val="auto"/>
              </w:rPr>
              <w:t>Program</w:t>
            </w:r>
          </w:p>
        </w:tc>
        <w:tc>
          <w:tcPr>
            <w:tcW w:w="3500" w:type="dxa"/>
            <w:vAlign w:val="bottom"/>
            <w:tcBorders>
              <w:bottom w:val="single" w:sz="8" w:color="EEECE1"/>
              <w:right w:val="single" w:sz="8" w:color="auto"/>
            </w:tcBorders>
            <w:shd w:val="clear" w:color="auto" w:fill="EEECE1"/>
          </w:tcPr>
          <w:p>
            <w:pPr>
              <w:jc w:val="center"/>
              <w:spacing w:after="0"/>
              <w:rPr>
                <w:sz w:val="20"/>
                <w:szCs w:val="20"/>
                <w:color w:val="auto"/>
              </w:rPr>
            </w:pPr>
            <w:r>
              <w:rPr>
                <w:rFonts w:ascii="Arial" w:cs="Arial" w:eastAsia="Arial" w:hAnsi="Arial"/>
                <w:sz w:val="14"/>
                <w:szCs w:val="14"/>
                <w:b w:val="1"/>
                <w:bCs w:val="1"/>
                <w:color w:val="auto"/>
              </w:rPr>
              <w:t>Products (GF PN)</w:t>
            </w:r>
          </w:p>
        </w:tc>
      </w:tr>
      <w:tr>
        <w:trPr>
          <w:trHeight w:val="194"/>
        </w:trPr>
        <w:tc>
          <w:tcPr>
            <w:tcW w:w="180" w:type="dxa"/>
            <w:vAlign w:val="bottom"/>
            <w:tcBorders>
              <w:right w:val="single" w:sz="8" w:color="auto"/>
            </w:tcBorders>
          </w:tcPr>
          <w:p>
            <w:pPr>
              <w:spacing w:after="0"/>
              <w:rPr>
                <w:sz w:val="16"/>
                <w:szCs w:val="16"/>
                <w:color w:val="auto"/>
              </w:rPr>
            </w:pP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30"/>
        </w:trPr>
        <w:tc>
          <w:tcPr>
            <w:tcW w:w="180" w:type="dxa"/>
            <w:vAlign w:val="bottom"/>
            <w:tcBorders>
              <w:right w:val="single" w:sz="8" w:color="auto"/>
            </w:tcBorders>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194"/>
        </w:trPr>
        <w:tc>
          <w:tcPr>
            <w:tcW w:w="1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253"/>
        </w:trPr>
        <w:tc>
          <w:tcPr>
            <w:tcW w:w="18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2380" w:type="dxa"/>
            <w:vAlign w:val="bottom"/>
            <w:tcBorders>
              <w:bottom w:val="single" w:sz="8" w:color="auto"/>
              <w:right w:val="single" w:sz="8" w:color="auto"/>
            </w:tcBorders>
          </w:tcPr>
          <w:p>
            <w:pPr>
              <w:spacing w:after="0"/>
              <w:rPr>
                <w:sz w:val="22"/>
                <w:szCs w:val="22"/>
                <w:color w:val="auto"/>
              </w:rPr>
            </w:pPr>
          </w:p>
        </w:tc>
        <w:tc>
          <w:tcPr>
            <w:tcW w:w="3500" w:type="dxa"/>
            <w:vAlign w:val="bottom"/>
            <w:tcBorders>
              <w:bottom w:val="single" w:sz="8" w:color="auto"/>
              <w:right w:val="single" w:sz="8" w:color="auto"/>
            </w:tcBorders>
          </w:tcPr>
          <w:p>
            <w:pPr>
              <w:spacing w:after="0"/>
              <w:rPr>
                <w:sz w:val="22"/>
                <w:szCs w:val="22"/>
                <w:color w:val="auto"/>
              </w:rPr>
            </w:pPr>
          </w:p>
        </w:tc>
      </w:tr>
    </w:tbl>
    <w:p>
      <w:pPr>
        <w:spacing w:after="0" w:line="386"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4"/>
          <w:szCs w:val="14"/>
          <w:color w:val="auto"/>
        </w:rPr>
        <w:t xml:space="preserve">[***] </w:t>
      </w:r>
      <w:r>
        <w:rPr>
          <w:rFonts w:ascii="Arial" w:cs="Arial" w:eastAsia="Arial" w:hAnsi="Arial"/>
          <w:sz w:val="15"/>
          <w:szCs w:val="15"/>
          <w:color w:val="auto"/>
        </w:rPr>
        <w:t>for the Products purchased and delivered to GF and applicable GF Parties pursuant to this 2023-2024 Mixed Product Addendum</w:t>
      </w:r>
      <w:r>
        <w:rPr>
          <w:rFonts w:ascii="Arial" w:cs="Arial" w:eastAsia="Arial" w:hAnsi="Arial"/>
          <w:sz w:val="14"/>
          <w:szCs w:val="14"/>
          <w:color w:val="auto"/>
        </w:rPr>
        <w:t xml:space="preserve"> [***]</w:t>
      </w:r>
      <w:r>
        <w:rPr>
          <w:rFonts w:ascii="Arial" w:cs="Arial" w:eastAsia="Arial" w:hAnsi="Arial"/>
          <w:sz w:val="15"/>
          <w:szCs w:val="15"/>
          <w:color w:val="auto"/>
        </w:rPr>
        <w:t>.</w:t>
      </w:r>
    </w:p>
    <w:p>
      <w:pPr>
        <w:spacing w:after="0" w:line="196" w:lineRule="exact"/>
        <w:rPr>
          <w:sz w:val="20"/>
          <w:szCs w:val="20"/>
          <w:color w:val="auto"/>
        </w:rPr>
      </w:pPr>
    </w:p>
    <w:p>
      <w:pPr>
        <w:ind w:left="240" w:hanging="240"/>
        <w:spacing w:after="0"/>
        <w:tabs>
          <w:tab w:leader="none" w:pos="24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Pricing, Volumes, Purchase Orders, and </w:t>
      </w:r>
      <w:r>
        <w:rPr>
          <w:rFonts w:ascii="Arial" w:cs="Arial" w:eastAsia="Arial" w:hAnsi="Arial"/>
          <w:sz w:val="14"/>
          <w:szCs w:val="14"/>
          <w:b w:val="1"/>
          <w:bCs w:val="1"/>
          <w:u w:val="single" w:color="auto"/>
          <w:color w:val="auto"/>
        </w:rPr>
        <w:t>[***]</w:t>
      </w:r>
      <w:r>
        <w:rPr>
          <w:rFonts w:ascii="Arial" w:cs="Arial" w:eastAsia="Arial" w:hAnsi="Arial"/>
          <w:sz w:val="16"/>
          <w:szCs w:val="16"/>
          <w:b w:val="1"/>
          <w:bCs w:val="1"/>
          <w:u w:val="single" w:color="auto"/>
          <w:color w:val="auto"/>
        </w:rPr>
        <w:t xml:space="preserve"> Volumes:</w:t>
      </w:r>
    </w:p>
    <w:p>
      <w:pPr>
        <w:spacing w:after="0" w:line="187" w:lineRule="exact"/>
        <w:rPr>
          <w:rFonts w:ascii="Arial" w:cs="Arial" w:eastAsia="Arial" w:hAnsi="Arial"/>
          <w:sz w:val="16"/>
          <w:szCs w:val="16"/>
          <w:b w:val="1"/>
          <w:bCs w:val="1"/>
          <w:color w:val="auto"/>
        </w:rPr>
      </w:pPr>
    </w:p>
    <w:p>
      <w:pPr>
        <w:ind w:left="60"/>
        <w:spacing w:after="0"/>
        <w:rPr>
          <w:rFonts w:ascii="Arial" w:cs="Arial" w:eastAsia="Arial" w:hAnsi="Arial"/>
          <w:sz w:val="16"/>
          <w:szCs w:val="16"/>
          <w:b w:val="1"/>
          <w:bCs w:val="1"/>
          <w:color w:val="auto"/>
        </w:rPr>
      </w:pPr>
      <w:r>
        <w:rPr>
          <w:rFonts w:ascii="Arial" w:cs="Arial" w:eastAsia="Arial" w:hAnsi="Arial"/>
          <w:sz w:val="16"/>
          <w:szCs w:val="16"/>
          <w:color w:val="auto"/>
        </w:rPr>
        <w:t xml:space="preserve">a.  The price for each Product is set forth in </w:t>
      </w:r>
      <w:r>
        <w:rPr>
          <w:rFonts w:ascii="Arial" w:cs="Arial" w:eastAsia="Arial" w:hAnsi="Arial"/>
          <w:sz w:val="16"/>
          <w:szCs w:val="16"/>
          <w:u w:val="single" w:color="auto"/>
          <w:color w:val="auto"/>
        </w:rPr>
        <w:t>Table 2</w:t>
      </w:r>
      <w:r>
        <w:rPr>
          <w:rFonts w:ascii="Arial" w:cs="Arial" w:eastAsia="Arial" w:hAnsi="Arial"/>
          <w:sz w:val="16"/>
          <w:szCs w:val="16"/>
          <w:color w:val="auto"/>
        </w:rPr>
        <w:t>, below (each a “</w:t>
      </w:r>
      <w:r>
        <w:rPr>
          <w:rFonts w:ascii="Arial" w:cs="Arial" w:eastAsia="Arial" w:hAnsi="Arial"/>
          <w:sz w:val="16"/>
          <w:szCs w:val="16"/>
          <w:b w:val="1"/>
          <w:bCs w:val="1"/>
          <w:u w:val="single" w:color="auto"/>
          <w:color w:val="auto"/>
        </w:rPr>
        <w:t>Price</w:t>
      </w:r>
      <w:r>
        <w:rPr>
          <w:rFonts w:ascii="Arial" w:cs="Arial" w:eastAsia="Arial" w:hAnsi="Arial"/>
          <w:sz w:val="16"/>
          <w:szCs w:val="16"/>
          <w:color w:val="auto"/>
        </w:rPr>
        <w:t>”).</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w:t>
      </w:r>
      <w:r>
        <w:rPr>
          <w:rFonts w:ascii="Arial" w:cs="Arial" w:eastAsia="Arial" w:hAnsi="Arial"/>
          <w:sz w:val="14"/>
          <w:szCs w:val="14"/>
          <w:b w:val="1"/>
          <w:bCs w:val="1"/>
          <w:color w:val="auto"/>
        </w:rPr>
        <w:t>able–2 - Product Price per wafer (US $) &amp; [***] Volumes for Products</w:t>
      </w:r>
    </w:p>
    <w:p>
      <w:pPr>
        <w:spacing w:after="0" w:line="31" w:lineRule="exact"/>
        <w:rPr>
          <w:sz w:val="20"/>
          <w:szCs w:val="20"/>
          <w:color w:val="auto"/>
        </w:rPr>
      </w:pPr>
    </w:p>
    <w:tbl>
      <w:tblPr>
        <w:tblLayout w:type="fixed"/>
        <w:tblInd w:w="70" w:type="dxa"/>
        <w:tblCellMar>
          <w:top w:w="0" w:type="dxa"/>
          <w:left w:w="0" w:type="dxa"/>
          <w:bottom w:w="0" w:type="dxa"/>
          <w:right w:w="0" w:type="dxa"/>
        </w:tblCellMar>
      </w:tblPr>
      <w:tr>
        <w:trPr>
          <w:trHeight w:val="245"/>
        </w:trPr>
        <w:tc>
          <w:tcPr>
            <w:tcW w:w="2320" w:type="dxa"/>
            <w:vAlign w:val="bottom"/>
            <w:tcBorders>
              <w:top w:val="single" w:sz="8" w:color="auto"/>
              <w:left w:val="single" w:sz="8" w:color="auto"/>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4"/>
                <w:szCs w:val="14"/>
                <w:b w:val="1"/>
                <w:bCs w:val="1"/>
                <w:color w:val="auto"/>
              </w:rPr>
              <w:t>300mm Products</w:t>
            </w:r>
          </w:p>
        </w:tc>
        <w:tc>
          <w:tcPr>
            <w:tcW w:w="3380" w:type="dxa"/>
            <w:vAlign w:val="bottom"/>
            <w:tcBorders>
              <w:top w:val="single" w:sz="8" w:color="auto"/>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4"/>
                <w:szCs w:val="14"/>
                <w:b w:val="1"/>
                <w:bCs w:val="1"/>
                <w:color w:val="auto"/>
                <w:w w:val="98"/>
              </w:rPr>
              <w:t>Product</w:t>
            </w:r>
          </w:p>
        </w:tc>
        <w:tc>
          <w:tcPr>
            <w:tcW w:w="1680" w:type="dxa"/>
            <w:vAlign w:val="bottom"/>
            <w:tcBorders>
              <w:top w:val="single" w:sz="8" w:color="auto"/>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4"/>
                <w:szCs w:val="14"/>
                <w:b w:val="1"/>
                <w:bCs w:val="1"/>
                <w:color w:val="auto"/>
              </w:rPr>
              <w:t>Price/wafer</w:t>
            </w:r>
          </w:p>
        </w:tc>
        <w:tc>
          <w:tcPr>
            <w:tcW w:w="2440" w:type="dxa"/>
            <w:vAlign w:val="bottom"/>
            <w:tcBorders>
              <w:top w:val="single" w:sz="8" w:color="auto"/>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4"/>
                <w:szCs w:val="14"/>
                <w:b w:val="1"/>
                <w:bCs w:val="1"/>
                <w:color w:val="auto"/>
              </w:rPr>
              <w:t>[***] Volumes</w:t>
            </w:r>
          </w:p>
        </w:tc>
      </w:tr>
      <w:tr>
        <w:trPr>
          <w:trHeight w:val="194"/>
        </w:trPr>
        <w:tc>
          <w:tcPr>
            <w:tcW w:w="23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2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30"/>
        </w:trPr>
        <w:tc>
          <w:tcPr>
            <w:tcW w:w="2320" w:type="dxa"/>
            <w:vAlign w:val="bottom"/>
            <w:tcBorders>
              <w:left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194"/>
        </w:trPr>
        <w:tc>
          <w:tcPr>
            <w:tcW w:w="2320" w:type="dxa"/>
            <w:vAlign w:val="bottom"/>
            <w:tcBorders>
              <w:left w:val="single" w:sz="8" w:color="auto"/>
              <w:right w:val="single" w:sz="8" w:color="auto"/>
            </w:tcBorders>
          </w:tcPr>
          <w:p>
            <w:pPr>
              <w:spacing w:after="0"/>
              <w:rPr>
                <w:sz w:val="16"/>
                <w:szCs w:val="16"/>
                <w:color w:val="auto"/>
              </w:rPr>
            </w:pP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30"/>
        </w:trPr>
        <w:tc>
          <w:tcPr>
            <w:tcW w:w="2320" w:type="dxa"/>
            <w:vAlign w:val="bottom"/>
            <w:tcBorders>
              <w:left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194"/>
        </w:trPr>
        <w:tc>
          <w:tcPr>
            <w:tcW w:w="2320" w:type="dxa"/>
            <w:vAlign w:val="bottom"/>
            <w:tcBorders>
              <w:left w:val="single" w:sz="8" w:color="auto"/>
              <w:right w:val="single" w:sz="8" w:color="auto"/>
            </w:tcBorders>
          </w:tcPr>
          <w:p>
            <w:pPr>
              <w:spacing w:after="0"/>
              <w:rPr>
                <w:sz w:val="16"/>
                <w:szCs w:val="16"/>
                <w:color w:val="auto"/>
              </w:rPr>
            </w:pP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30"/>
        </w:trPr>
        <w:tc>
          <w:tcPr>
            <w:tcW w:w="2320" w:type="dxa"/>
            <w:vAlign w:val="bottom"/>
            <w:tcBorders>
              <w:left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194"/>
        </w:trPr>
        <w:tc>
          <w:tcPr>
            <w:tcW w:w="2320" w:type="dxa"/>
            <w:vAlign w:val="bottom"/>
            <w:tcBorders>
              <w:left w:val="single" w:sz="8" w:color="auto"/>
              <w:right w:val="single" w:sz="8" w:color="auto"/>
            </w:tcBorders>
          </w:tcPr>
          <w:p>
            <w:pPr>
              <w:spacing w:after="0"/>
              <w:rPr>
                <w:sz w:val="16"/>
                <w:szCs w:val="16"/>
                <w:color w:val="auto"/>
              </w:rPr>
            </w:pP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30"/>
        </w:trPr>
        <w:tc>
          <w:tcPr>
            <w:tcW w:w="2320" w:type="dxa"/>
            <w:vAlign w:val="bottom"/>
            <w:tcBorders>
              <w:left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194"/>
        </w:trPr>
        <w:tc>
          <w:tcPr>
            <w:tcW w:w="2320" w:type="dxa"/>
            <w:vAlign w:val="bottom"/>
            <w:tcBorders>
              <w:left w:val="single" w:sz="8" w:color="auto"/>
              <w:right w:val="single" w:sz="8" w:color="auto"/>
            </w:tcBorders>
          </w:tcPr>
          <w:p>
            <w:pPr>
              <w:spacing w:after="0"/>
              <w:rPr>
                <w:sz w:val="16"/>
                <w:szCs w:val="16"/>
                <w:color w:val="auto"/>
              </w:rPr>
            </w:pP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30"/>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194"/>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30"/>
        </w:trPr>
        <w:tc>
          <w:tcPr>
            <w:tcW w:w="2320" w:type="dxa"/>
            <w:vAlign w:val="bottom"/>
            <w:tcBorders>
              <w:left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194"/>
        </w:trPr>
        <w:tc>
          <w:tcPr>
            <w:tcW w:w="2320" w:type="dxa"/>
            <w:vAlign w:val="bottom"/>
            <w:tcBorders>
              <w:left w:val="single" w:sz="8" w:color="auto"/>
              <w:right w:val="single" w:sz="8" w:color="auto"/>
            </w:tcBorders>
          </w:tcPr>
          <w:p>
            <w:pPr>
              <w:spacing w:after="0"/>
              <w:rPr>
                <w:sz w:val="16"/>
                <w:szCs w:val="16"/>
                <w:color w:val="auto"/>
              </w:rPr>
            </w:pP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30"/>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194"/>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30"/>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60"/>
        <w:spacing w:after="0"/>
        <w:rPr>
          <w:sz w:val="20"/>
          <w:szCs w:val="20"/>
          <w:color w:val="auto"/>
        </w:rPr>
      </w:pPr>
      <w:r>
        <w:rPr>
          <w:rFonts w:ascii="Calibri" w:cs="Calibri" w:eastAsia="Calibri" w:hAnsi="Calibri"/>
          <w:sz w:val="16"/>
          <w:szCs w:val="16"/>
          <w:color w:val="auto"/>
        </w:rPr>
        <w:t>3</w:t>
      </w:r>
    </w:p>
    <w:p>
      <w:pPr>
        <w:sectPr>
          <w:pgSz w:w="11900" w:h="16838" w:orient="portrait"/>
          <w:cols w:equalWidth="0" w:num="1">
            <w:col w:w="11020"/>
          </w:cols>
          <w:pgMar w:left="560" w:top="109" w:right="319" w:bottom="1440" w:gutter="0" w:footer="0" w:header="0"/>
        </w:sectPr>
      </w:pPr>
    </w:p>
    <w:bookmarkStart w:id="142" w:name="page143"/>
    <w:bookmarkEnd w:id="142"/>
    <w:p>
      <w:pPr>
        <w:jc w:val="right"/>
        <w:spacing w:after="0"/>
        <w:rPr>
          <w:sz w:val="20"/>
          <w:szCs w:val="20"/>
          <w:color w:val="auto"/>
        </w:rPr>
      </w:pPr>
      <w:r>
        <w:rPr>
          <w:rFonts w:ascii="Calibri" w:cs="Calibri" w:eastAsia="Calibri" w:hAnsi="Calibri"/>
          <w:sz w:val="16"/>
          <w:szCs w:val="16"/>
          <w:b w:val="1"/>
          <w:bCs w:val="1"/>
          <w:color w:val="auto"/>
        </w:rPr>
        <w:t>Exhibit 4.12</w:t>
      </w:r>
    </w:p>
    <w:p>
      <w:pPr>
        <w:jc w:val="right"/>
        <w:spacing w:after="0" w:line="234" w:lineRule="auto"/>
        <w:rPr>
          <w:sz w:val="20"/>
          <w:szCs w:val="20"/>
          <w:color w:val="auto"/>
        </w:rPr>
      </w:pPr>
      <w:r>
        <w:rPr>
          <w:rFonts w:ascii="Calibri" w:cs="Calibri" w:eastAsia="Calibri" w:hAnsi="Calibri"/>
          <w:sz w:val="16"/>
          <w:szCs w:val="16"/>
          <w:b w:val="1"/>
          <w:bCs w:val="1"/>
          <w:u w:val="single" w:color="auto"/>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320" w:type="dxa"/>
            <w:vAlign w:val="bottom"/>
            <w:tcBorders>
              <w:top w:val="single" w:sz="8" w:color="auto"/>
              <w:left w:val="single" w:sz="8" w:color="auto"/>
              <w:bottom w:val="single" w:sz="8" w:color="auto"/>
              <w:right w:val="single" w:sz="8" w:color="auto"/>
            </w:tcBorders>
            <w:shd w:val="clear" w:color="auto" w:fill="EEECE1"/>
          </w:tcPr>
          <w:p>
            <w:pPr>
              <w:jc w:val="center"/>
              <w:spacing w:after="0"/>
              <w:rPr>
                <w:sz w:val="20"/>
                <w:szCs w:val="20"/>
                <w:color w:val="auto"/>
              </w:rPr>
            </w:pPr>
            <w:r>
              <w:rPr>
                <w:rFonts w:ascii="Arial" w:cs="Arial" w:eastAsia="Arial" w:hAnsi="Arial"/>
                <w:sz w:val="14"/>
                <w:szCs w:val="14"/>
                <w:b w:val="1"/>
                <w:bCs w:val="1"/>
                <w:color w:val="434343"/>
              </w:rPr>
              <w:t>FD Products</w:t>
            </w:r>
          </w:p>
        </w:tc>
        <w:tc>
          <w:tcPr>
            <w:tcW w:w="3380" w:type="dxa"/>
            <w:vAlign w:val="bottom"/>
            <w:tcBorders>
              <w:top w:val="single" w:sz="8" w:color="auto"/>
              <w:bottom w:val="single" w:sz="8" w:color="auto"/>
              <w:right w:val="single" w:sz="8" w:color="auto"/>
            </w:tcBorders>
            <w:shd w:val="clear" w:color="auto" w:fill="EEECE1"/>
          </w:tcPr>
          <w:p>
            <w:pPr>
              <w:jc w:val="center"/>
              <w:spacing w:after="0"/>
              <w:rPr>
                <w:sz w:val="20"/>
                <w:szCs w:val="20"/>
                <w:color w:val="auto"/>
              </w:rPr>
            </w:pPr>
            <w:r>
              <w:rPr>
                <w:rFonts w:ascii="Arial" w:cs="Arial" w:eastAsia="Arial" w:hAnsi="Arial"/>
                <w:sz w:val="14"/>
                <w:szCs w:val="14"/>
                <w:b w:val="1"/>
                <w:bCs w:val="1"/>
                <w:color w:val="auto"/>
                <w:w w:val="98"/>
              </w:rPr>
              <w:t>Product</w:t>
            </w:r>
          </w:p>
        </w:tc>
        <w:tc>
          <w:tcPr>
            <w:tcW w:w="1680" w:type="dxa"/>
            <w:vAlign w:val="bottom"/>
            <w:tcBorders>
              <w:top w:val="single" w:sz="8" w:color="auto"/>
              <w:bottom w:val="single" w:sz="8" w:color="auto"/>
              <w:right w:val="single" w:sz="8" w:color="auto"/>
            </w:tcBorders>
            <w:shd w:val="clear" w:color="auto" w:fill="EEECE1"/>
          </w:tcPr>
          <w:p>
            <w:pPr>
              <w:jc w:val="center"/>
              <w:spacing w:after="0"/>
              <w:rPr>
                <w:sz w:val="20"/>
                <w:szCs w:val="20"/>
                <w:color w:val="auto"/>
              </w:rPr>
            </w:pPr>
            <w:r>
              <w:rPr>
                <w:rFonts w:ascii="Arial" w:cs="Arial" w:eastAsia="Arial" w:hAnsi="Arial"/>
                <w:sz w:val="14"/>
                <w:szCs w:val="14"/>
                <w:b w:val="1"/>
                <w:bCs w:val="1"/>
                <w:color w:val="434343"/>
              </w:rPr>
              <w:t>Price/wafer</w:t>
            </w:r>
          </w:p>
        </w:tc>
        <w:tc>
          <w:tcPr>
            <w:tcW w:w="2440" w:type="dxa"/>
            <w:vAlign w:val="bottom"/>
            <w:tcBorders>
              <w:top w:val="single" w:sz="8" w:color="auto"/>
              <w:bottom w:val="single" w:sz="8" w:color="auto"/>
              <w:right w:val="single" w:sz="8" w:color="auto"/>
            </w:tcBorders>
            <w:shd w:val="clear" w:color="auto" w:fill="EEECE1"/>
          </w:tcPr>
          <w:p>
            <w:pPr>
              <w:jc w:val="center"/>
              <w:spacing w:after="0"/>
              <w:rPr>
                <w:sz w:val="20"/>
                <w:szCs w:val="20"/>
                <w:color w:val="auto"/>
              </w:rPr>
            </w:pPr>
            <w:r>
              <w:rPr>
                <w:rFonts w:ascii="Arial" w:cs="Arial" w:eastAsia="Arial" w:hAnsi="Arial"/>
                <w:sz w:val="14"/>
                <w:szCs w:val="14"/>
                <w:color w:val="auto"/>
                <w:w w:val="99"/>
              </w:rPr>
              <w:t xml:space="preserve">[***] </w:t>
            </w:r>
            <w:r>
              <w:rPr>
                <w:rFonts w:ascii="Arial" w:cs="Arial" w:eastAsia="Arial" w:hAnsi="Arial"/>
                <w:sz w:val="14"/>
                <w:szCs w:val="14"/>
                <w:b w:val="1"/>
                <w:bCs w:val="1"/>
                <w:color w:val="434343"/>
                <w:w w:val="99"/>
              </w:rPr>
              <w:t>Volumes</w:t>
            </w:r>
          </w:p>
        </w:tc>
        <w:tc>
          <w:tcPr>
            <w:tcW w:w="0" w:type="dxa"/>
            <w:vAlign w:val="bottom"/>
          </w:tcPr>
          <w:p>
            <w:pPr>
              <w:spacing w:after="0"/>
              <w:rPr>
                <w:sz w:val="1"/>
                <w:szCs w:val="1"/>
                <w:color w:val="auto"/>
              </w:rPr>
            </w:pPr>
          </w:p>
        </w:tc>
      </w:tr>
      <w:tr>
        <w:trPr>
          <w:trHeight w:val="194"/>
        </w:trPr>
        <w:tc>
          <w:tcPr>
            <w:tcW w:w="2320" w:type="dxa"/>
            <w:vAlign w:val="bottom"/>
            <w:tcBorders>
              <w:left w:val="single" w:sz="8" w:color="auto"/>
              <w:right w:val="single" w:sz="8" w:color="auto"/>
            </w:tcBorders>
            <w:vMerge w:val="restart"/>
          </w:tcPr>
          <w:p>
            <w:pPr>
              <w:jc w:val="right"/>
              <w:ind w:right="969"/>
              <w:spacing w:after="0"/>
              <w:rPr>
                <w:sz w:val="20"/>
                <w:szCs w:val="20"/>
                <w:color w:val="auto"/>
              </w:rPr>
            </w:pPr>
            <w:r>
              <w:rPr>
                <w:rFonts w:ascii="Arial" w:cs="Arial" w:eastAsia="Arial" w:hAnsi="Arial"/>
                <w:sz w:val="14"/>
                <w:szCs w:val="14"/>
                <w:color w:val="auto"/>
              </w:rPr>
              <w:t>[***]</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80" w:type="dxa"/>
            <w:vAlign w:val="bottom"/>
            <w:tcBorders>
              <w:right w:val="single" w:sz="8" w:color="auto"/>
            </w:tcBorders>
            <w:vMerge w:val="restart"/>
          </w:tcPr>
          <w:p>
            <w:pPr>
              <w:jc w:val="right"/>
              <w:ind w:right="649"/>
              <w:spacing w:after="0"/>
              <w:rPr>
                <w:sz w:val="20"/>
                <w:szCs w:val="20"/>
                <w:color w:val="auto"/>
              </w:rPr>
            </w:pPr>
            <w:r>
              <w:rPr>
                <w:rFonts w:ascii="Arial" w:cs="Arial" w:eastAsia="Arial" w:hAnsi="Arial"/>
                <w:sz w:val="14"/>
                <w:szCs w:val="14"/>
                <w:color w:val="auto"/>
              </w:rPr>
              <w:t>[***]</w:t>
            </w:r>
          </w:p>
        </w:tc>
        <w:tc>
          <w:tcPr>
            <w:tcW w:w="2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2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auto"/>
              <w:right w:val="single" w:sz="8" w:color="auto"/>
            </w:tcBorders>
            <w:vMerge w:val="continue"/>
          </w:tcPr>
          <w:p>
            <w:pPr>
              <w:spacing w:after="0"/>
              <w:rPr>
                <w:sz w:val="17"/>
                <w:szCs w:val="17"/>
                <w:color w:val="auto"/>
              </w:rPr>
            </w:pPr>
          </w:p>
        </w:tc>
        <w:tc>
          <w:tcPr>
            <w:tcW w:w="2440" w:type="dxa"/>
            <w:vAlign w:val="bottom"/>
            <w:tcBorders>
              <w:bottom w:val="single" w:sz="8" w:color="auto"/>
              <w:right w:val="single" w:sz="8" w:color="auto"/>
            </w:tcBorders>
          </w:tcPr>
          <w:p>
            <w:pPr>
              <w:jc w:val="right"/>
              <w:ind w:right="10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260" w:hanging="257"/>
        <w:spacing w:after="0" w:line="253" w:lineRule="auto"/>
        <w:tabs>
          <w:tab w:leader="none" w:pos="33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GF and each applicable GF Party shall order from Supplier Group the volumes of each Product specified in Table 2 (above), for the </w:t>
      </w:r>
      <w:r>
        <w:rPr>
          <w:rFonts w:ascii="Arial" w:cs="Arial" w:eastAsia="Arial" w:hAnsi="Arial"/>
          <w:sz w:val="14"/>
          <w:szCs w:val="14"/>
          <w:color w:val="auto"/>
        </w:rPr>
        <w:t>[***]</w:t>
      </w:r>
      <w:r>
        <w:rPr>
          <w:rFonts w:ascii="Arial" w:cs="Arial" w:eastAsia="Arial" w:hAnsi="Arial"/>
          <w:sz w:val="16"/>
          <w:szCs w:val="16"/>
          <w:color w:val="auto"/>
        </w:rPr>
        <w:t>) (the “</w:t>
      </w:r>
      <w:r>
        <w:rPr>
          <w:rFonts w:ascii="Arial" w:cs="Arial" w:eastAsia="Arial" w:hAnsi="Arial"/>
          <w:sz w:val="14"/>
          <w:szCs w:val="14"/>
          <w:color w:val="auto"/>
        </w:rPr>
        <w:t>[***]</w:t>
      </w:r>
      <w:r>
        <w:rPr>
          <w:rFonts w:ascii="Arial" w:cs="Arial" w:eastAsia="Arial" w:hAnsi="Arial"/>
          <w:sz w:val="16"/>
          <w:szCs w:val="16"/>
          <w:b w:val="1"/>
          <w:bCs w:val="1"/>
          <w:u w:val="single" w:color="auto"/>
          <w:color w:val="auto"/>
        </w:rPr>
        <w:t>Volumes</w:t>
      </w:r>
      <w:r>
        <w:rPr>
          <w:rFonts w:ascii="Arial" w:cs="Arial" w:eastAsia="Arial" w:hAnsi="Arial"/>
          <w:sz w:val="16"/>
          <w:szCs w:val="16"/>
          <w:color w:val="auto"/>
        </w:rPr>
        <w:t xml:space="preserve">”); for delivery and purchase from Suppler from the Commencement Date through </w:t>
      </w:r>
      <w:r>
        <w:rPr>
          <w:rFonts w:ascii="Arial" w:cs="Arial" w:eastAsia="Arial" w:hAnsi="Arial"/>
          <w:sz w:val="14"/>
          <w:szCs w:val="14"/>
          <w:color w:val="auto"/>
        </w:rPr>
        <w:t>[***]</w:t>
      </w:r>
      <w:r>
        <w:rPr>
          <w:rFonts w:ascii="Arial" w:cs="Arial" w:eastAsia="Arial" w:hAnsi="Arial"/>
          <w:sz w:val="16"/>
          <w:szCs w:val="16"/>
          <w:color w:val="auto"/>
        </w:rPr>
        <w:t xml:space="preserve">, as more fully described in </w:t>
      </w:r>
      <w:r>
        <w:rPr>
          <w:rFonts w:ascii="Arial" w:cs="Arial" w:eastAsia="Arial" w:hAnsi="Arial"/>
          <w:sz w:val="14"/>
          <w:szCs w:val="14"/>
          <w:color w:val="auto"/>
        </w:rPr>
        <w:t>[***]</w:t>
      </w:r>
      <w:r>
        <w:rPr>
          <w:rFonts w:ascii="Arial" w:cs="Arial" w:eastAsia="Arial" w:hAnsi="Arial"/>
          <w:sz w:val="16"/>
          <w:szCs w:val="16"/>
          <w:color w:val="auto"/>
        </w:rPr>
        <w:t xml:space="preserve"> and GF and each applicable GF Party </w:t>
      </w:r>
      <w:r>
        <w:rPr>
          <w:rFonts w:ascii="Arial" w:cs="Arial" w:eastAsia="Arial" w:hAnsi="Arial"/>
          <w:sz w:val="14"/>
          <w:szCs w:val="14"/>
          <w:color w:val="auto"/>
        </w:rPr>
        <w:t>[***]</w:t>
      </w:r>
      <w:r>
        <w:rPr>
          <w:rFonts w:ascii="Arial" w:cs="Arial" w:eastAsia="Arial" w:hAnsi="Arial"/>
          <w:sz w:val="16"/>
          <w:szCs w:val="16"/>
          <w:color w:val="auto"/>
        </w:rPr>
        <w:t xml:space="preserve"> Volumes, at the Price(s) set forth in </w:t>
      </w:r>
      <w:r>
        <w:rPr>
          <w:rFonts w:ascii="Arial" w:cs="Arial" w:eastAsia="Arial" w:hAnsi="Arial"/>
          <w:sz w:val="16"/>
          <w:szCs w:val="16"/>
          <w:u w:val="single" w:color="auto"/>
          <w:color w:val="auto"/>
        </w:rPr>
        <w:t>Table 2</w:t>
      </w:r>
      <w:r>
        <w:rPr>
          <w:rFonts w:ascii="Arial" w:cs="Arial" w:eastAsia="Arial" w:hAnsi="Arial"/>
          <w:sz w:val="16"/>
          <w:szCs w:val="16"/>
          <w:color w:val="auto"/>
        </w:rPr>
        <w:t xml:space="preserve"> (above), within </w:t>
      </w:r>
      <w:r>
        <w:rPr>
          <w:rFonts w:ascii="Arial" w:cs="Arial" w:eastAsia="Arial" w:hAnsi="Arial"/>
          <w:sz w:val="14"/>
          <w:szCs w:val="14"/>
          <w:color w:val="auto"/>
        </w:rPr>
        <w:t>[***]</w:t>
      </w:r>
      <w:r>
        <w:rPr>
          <w:rFonts w:ascii="Arial" w:cs="Arial" w:eastAsia="Arial" w:hAnsi="Arial"/>
          <w:sz w:val="16"/>
          <w:szCs w:val="16"/>
          <w:color w:val="auto"/>
        </w:rPr>
        <w:t xml:space="preserve"> of the Commencement Date. For the avoidance of doubt, the </w:t>
      </w:r>
      <w:r>
        <w:rPr>
          <w:rFonts w:ascii="Arial" w:cs="Arial" w:eastAsia="Arial" w:hAnsi="Arial"/>
          <w:sz w:val="14"/>
          <w:szCs w:val="14"/>
          <w:color w:val="auto"/>
        </w:rPr>
        <w:t>[***]</w:t>
      </w:r>
      <w:r>
        <w:rPr>
          <w:rFonts w:ascii="Arial" w:cs="Arial" w:eastAsia="Arial" w:hAnsi="Arial"/>
          <w:sz w:val="16"/>
          <w:szCs w:val="16"/>
          <w:color w:val="auto"/>
        </w:rPr>
        <w:t xml:space="preserve"> issued by GF’s Affiliates shall be subject to the terms of the Agreement and this 2023-2024 Mixed Product Addendum.</w:t>
      </w:r>
    </w:p>
    <w:p>
      <w:pPr>
        <w:spacing w:after="0" w:line="157" w:lineRule="exact"/>
        <w:rPr>
          <w:rFonts w:ascii="Arial" w:cs="Arial" w:eastAsia="Arial" w:hAnsi="Arial"/>
          <w:sz w:val="16"/>
          <w:szCs w:val="16"/>
          <w:color w:val="auto"/>
        </w:rPr>
      </w:pPr>
    </w:p>
    <w:p>
      <w:pPr>
        <w:ind w:left="260" w:hanging="257"/>
        <w:spacing w:after="0"/>
        <w:tabs>
          <w:tab w:leader="none" w:pos="2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4"/>
          <w:szCs w:val="14"/>
          <w:color w:val="auto"/>
        </w:rPr>
        <w:t>[***]</w:t>
      </w:r>
      <w:r>
        <w:rPr>
          <w:rFonts w:ascii="Arial" w:cs="Arial" w:eastAsia="Arial" w:hAnsi="Arial"/>
          <w:sz w:val="16"/>
          <w:szCs w:val="16"/>
          <w:color w:val="auto"/>
        </w:rPr>
        <w:t xml:space="preserve"> for the FD Products, </w:t>
      </w:r>
      <w:r>
        <w:rPr>
          <w:rFonts w:ascii="Arial" w:cs="Arial" w:eastAsia="Arial" w:hAnsi="Arial"/>
          <w:sz w:val="14"/>
          <w:szCs w:val="14"/>
          <w:color w:val="auto"/>
        </w:rPr>
        <w:t>[***]</w:t>
      </w:r>
      <w:r>
        <w:rPr>
          <w:rFonts w:ascii="Arial" w:cs="Arial" w:eastAsia="Arial" w:hAnsi="Arial"/>
          <w:sz w:val="16"/>
          <w:szCs w:val="16"/>
          <w:color w:val="auto"/>
        </w:rPr>
        <w:t xml:space="preserve">, is as set forth in </w:t>
      </w:r>
      <w:r>
        <w:rPr>
          <w:rFonts w:ascii="Arial" w:cs="Arial" w:eastAsia="Arial" w:hAnsi="Arial"/>
          <w:sz w:val="16"/>
          <w:szCs w:val="16"/>
          <w:u w:val="single" w:color="auto"/>
          <w:color w:val="auto"/>
        </w:rPr>
        <w:t>Table 3</w:t>
      </w:r>
      <w:r>
        <w:rPr>
          <w:rFonts w:ascii="Arial" w:cs="Arial" w:eastAsia="Arial" w:hAnsi="Arial"/>
          <w:sz w:val="16"/>
          <w:szCs w:val="16"/>
          <w:color w:val="auto"/>
        </w:rPr>
        <w:t>, below (the “</w:t>
      </w:r>
      <w:r>
        <w:rPr>
          <w:rFonts w:ascii="Arial" w:cs="Arial" w:eastAsia="Arial" w:hAnsi="Arial"/>
          <w:sz w:val="14"/>
          <w:szCs w:val="14"/>
          <w:color w:val="auto"/>
        </w:rPr>
        <w:t>[***]</w:t>
      </w:r>
      <w:r>
        <w:rPr>
          <w:rFonts w:ascii="Arial" w:cs="Arial" w:eastAsia="Arial" w:hAnsi="Arial"/>
          <w:sz w:val="16"/>
          <w:szCs w:val="16"/>
          <w:color w:val="auto"/>
        </w:rPr>
        <w:t>”).</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Table 3 </w:t>
      </w:r>
      <w:r>
        <w:rPr>
          <w:rFonts w:ascii="Arial" w:cs="Arial" w:eastAsia="Arial" w:hAnsi="Arial"/>
          <w:sz w:val="14"/>
          <w:szCs w:val="14"/>
          <w:color w:val="auto"/>
        </w:rPr>
        <w:t>[***]</w:t>
      </w:r>
      <w:r>
        <w:rPr>
          <w:rFonts w:ascii="Arial" w:cs="Arial" w:eastAsia="Arial" w:hAnsi="Arial"/>
          <w:sz w:val="14"/>
          <w:szCs w:val="14"/>
          <w:b w:val="1"/>
          <w:bCs w:val="1"/>
          <w:color w:val="auto"/>
        </w:rPr>
        <w:t xml:space="preserve"> for FD </w:t>
      </w:r>
      <w:r>
        <w:rPr>
          <w:rFonts w:ascii="Arial" w:cs="Arial" w:eastAsia="Arial" w:hAnsi="Arial"/>
          <w:sz w:val="14"/>
          <w:szCs w:val="14"/>
          <w:color w:val="auto"/>
        </w:rPr>
        <w:t>[***]</w:t>
      </w:r>
      <w:r>
        <w:rPr>
          <w:rFonts w:ascii="Arial" w:cs="Arial" w:eastAsia="Arial" w:hAnsi="Arial"/>
          <w:sz w:val="14"/>
          <w:szCs w:val="14"/>
          <w:b w:val="1"/>
          <w:bCs w:val="1"/>
          <w:color w:val="auto"/>
        </w:rPr>
        <w:t xml:space="preserve"> Volumes</w:t>
      </w:r>
    </w:p>
    <w:p>
      <w:pPr>
        <w:spacing w:after="0" w:line="33" w:lineRule="exact"/>
        <w:rPr>
          <w:sz w:val="20"/>
          <w:szCs w:val="20"/>
          <w:color w:val="auto"/>
        </w:rPr>
      </w:pPr>
    </w:p>
    <w:tbl>
      <w:tblPr>
        <w:tblLayout w:type="fixed"/>
        <w:tblInd w:w="210" w:type="dxa"/>
        <w:tblCellMar>
          <w:top w:w="0" w:type="dxa"/>
          <w:left w:w="0" w:type="dxa"/>
          <w:bottom w:w="0" w:type="dxa"/>
          <w:right w:w="0" w:type="dxa"/>
        </w:tblCellMar>
      </w:tblPr>
      <w:tr>
        <w:trPr>
          <w:trHeight w:val="179"/>
        </w:trPr>
        <w:tc>
          <w:tcPr>
            <w:tcW w:w="24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GF Part No. for</w:t>
            </w:r>
          </w:p>
        </w:tc>
        <w:tc>
          <w:tcPr>
            <w:tcW w:w="2480" w:type="dxa"/>
            <w:vAlign w:val="bottom"/>
            <w:tcBorders>
              <w:top w:val="single" w:sz="8" w:color="auto"/>
              <w:right w:val="single" w:sz="8" w:color="auto"/>
            </w:tcBorders>
          </w:tcPr>
          <w:p>
            <w:pPr>
              <w:jc w:val="right"/>
              <w:ind w:right="1069"/>
              <w:spacing w:after="0"/>
              <w:rPr>
                <w:sz w:val="20"/>
                <w:szCs w:val="20"/>
                <w:color w:val="auto"/>
              </w:rPr>
            </w:pPr>
            <w:r>
              <w:rPr>
                <w:rFonts w:ascii="Arial" w:cs="Arial" w:eastAsia="Arial" w:hAnsi="Arial"/>
                <w:sz w:val="14"/>
                <w:szCs w:val="14"/>
                <w:color w:val="auto"/>
              </w:rPr>
              <w:t>[***]</w:t>
            </w:r>
          </w:p>
        </w:tc>
        <w:tc>
          <w:tcPr>
            <w:tcW w:w="3720" w:type="dxa"/>
            <w:vAlign w:val="bottom"/>
            <w:tcBorders>
              <w:top w:val="single" w:sz="8" w:color="auto"/>
              <w:right w:val="single" w:sz="8" w:color="auto"/>
            </w:tcBorders>
          </w:tcPr>
          <w:p>
            <w:pPr>
              <w:spacing w:after="0"/>
              <w:rPr>
                <w:sz w:val="15"/>
                <w:szCs w:val="15"/>
                <w:color w:val="auto"/>
              </w:rPr>
            </w:pPr>
          </w:p>
        </w:tc>
      </w:tr>
      <w:tr>
        <w:trPr>
          <w:trHeight w:val="200"/>
        </w:trPr>
        <w:tc>
          <w:tcPr>
            <w:tcW w:w="2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FD Product</w:t>
            </w:r>
          </w:p>
        </w:tc>
        <w:tc>
          <w:tcPr>
            <w:tcW w:w="2480" w:type="dxa"/>
            <w:vAlign w:val="bottom"/>
            <w:tcBorders>
              <w:bottom w:val="single" w:sz="8" w:color="auto"/>
              <w:right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Percentage of </w:t>
            </w:r>
            <w:r>
              <w:rPr>
                <w:rFonts w:ascii="Arial" w:cs="Arial" w:eastAsia="Arial" w:hAnsi="Arial"/>
                <w:sz w:val="14"/>
                <w:szCs w:val="14"/>
                <w:color w:val="auto"/>
              </w:rPr>
              <w:t>[***]</w:t>
            </w:r>
            <w:r>
              <w:rPr>
                <w:rFonts w:ascii="Arial" w:cs="Arial" w:eastAsia="Arial" w:hAnsi="Arial"/>
                <w:sz w:val="14"/>
                <w:szCs w:val="14"/>
                <w:b w:val="1"/>
                <w:bCs w:val="1"/>
                <w:color w:val="auto"/>
              </w:rPr>
              <w:t xml:space="preserve"> Volume of FD Product</w:t>
            </w:r>
          </w:p>
        </w:tc>
      </w:tr>
      <w:tr>
        <w:trPr>
          <w:trHeight w:val="220"/>
        </w:trPr>
        <w:tc>
          <w:tcPr>
            <w:tcW w:w="2400" w:type="dxa"/>
            <w:vAlign w:val="bottom"/>
            <w:tcBorders>
              <w:left w:val="single" w:sz="8" w:color="auto"/>
              <w:bottom w:val="single" w:sz="8" w:color="auto"/>
              <w:right w:val="single" w:sz="8" w:color="auto"/>
            </w:tcBorders>
          </w:tcPr>
          <w:p>
            <w:pPr>
              <w:jc w:val="right"/>
              <w:ind w:right="2029"/>
              <w:spacing w:after="0"/>
              <w:rPr>
                <w:sz w:val="20"/>
                <w:szCs w:val="20"/>
                <w:color w:val="auto"/>
              </w:rPr>
            </w:pPr>
            <w:r>
              <w:rPr>
                <w:rFonts w:ascii="Arial" w:cs="Arial" w:eastAsia="Arial" w:hAnsi="Arial"/>
                <w:sz w:val="14"/>
                <w:szCs w:val="14"/>
                <w:color w:val="auto"/>
              </w:rPr>
              <w:t>[***]</w:t>
            </w:r>
          </w:p>
        </w:tc>
        <w:tc>
          <w:tcPr>
            <w:tcW w:w="2480" w:type="dxa"/>
            <w:vAlign w:val="bottom"/>
            <w:tcBorders>
              <w:bottom w:val="single" w:sz="8" w:color="auto"/>
              <w:right w:val="single" w:sz="8" w:color="auto"/>
            </w:tcBorders>
          </w:tcPr>
          <w:p>
            <w:pPr>
              <w:jc w:val="right"/>
              <w:ind w:right="1069"/>
              <w:spacing w:after="0"/>
              <w:rPr>
                <w:sz w:val="20"/>
                <w:szCs w:val="20"/>
                <w:color w:val="auto"/>
              </w:rPr>
            </w:pPr>
            <w:r>
              <w:rPr>
                <w:rFonts w:ascii="Arial" w:cs="Arial" w:eastAsia="Arial" w:hAnsi="Arial"/>
                <w:sz w:val="14"/>
                <w:szCs w:val="14"/>
                <w:color w:val="auto"/>
              </w:rPr>
              <w:t>[***]</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203"/>
        </w:trPr>
        <w:tc>
          <w:tcPr>
            <w:tcW w:w="2400" w:type="dxa"/>
            <w:vAlign w:val="bottom"/>
            <w:tcBorders>
              <w:left w:val="single" w:sz="8" w:color="auto"/>
              <w:right w:val="single" w:sz="8" w:color="auto"/>
            </w:tcBorders>
          </w:tcPr>
          <w:p>
            <w:pPr>
              <w:jc w:val="right"/>
              <w:ind w:right="2069"/>
              <w:spacing w:after="0"/>
              <w:rPr>
                <w:sz w:val="20"/>
                <w:szCs w:val="20"/>
                <w:color w:val="auto"/>
              </w:rPr>
            </w:pPr>
            <w:r>
              <w:rPr>
                <w:rFonts w:ascii="Arial" w:cs="Arial" w:eastAsia="Arial" w:hAnsi="Arial"/>
                <w:sz w:val="14"/>
                <w:szCs w:val="14"/>
                <w:color w:val="auto"/>
                <w:w w:val="99"/>
              </w:rPr>
              <w:t>[***]</w:t>
            </w:r>
          </w:p>
        </w:tc>
        <w:tc>
          <w:tcPr>
            <w:tcW w:w="2480" w:type="dxa"/>
            <w:vAlign w:val="bottom"/>
            <w:tcBorders>
              <w:right w:val="single" w:sz="8" w:color="auto"/>
            </w:tcBorders>
          </w:tcPr>
          <w:p>
            <w:pPr>
              <w:jc w:val="right"/>
              <w:ind w:right="1069"/>
              <w:spacing w:after="0"/>
              <w:rPr>
                <w:sz w:val="20"/>
                <w:szCs w:val="20"/>
                <w:color w:val="auto"/>
              </w:rPr>
            </w:pPr>
            <w:r>
              <w:rPr>
                <w:rFonts w:ascii="Arial" w:cs="Arial" w:eastAsia="Arial" w:hAnsi="Arial"/>
                <w:sz w:val="14"/>
                <w:szCs w:val="14"/>
                <w:color w:val="auto"/>
              </w:rPr>
              <w:t>[***]</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30"/>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bl>
    <w:p>
      <w:pPr>
        <w:spacing w:after="0" w:line="195" w:lineRule="exact"/>
        <w:rPr>
          <w:sz w:val="20"/>
          <w:szCs w:val="20"/>
          <w:color w:val="auto"/>
        </w:rPr>
      </w:pPr>
    </w:p>
    <w:p>
      <w:pPr>
        <w:jc w:val="both"/>
        <w:ind w:left="260" w:hanging="257"/>
        <w:spacing w:after="0" w:line="250" w:lineRule="auto"/>
        <w:tabs>
          <w:tab w:leader="none" w:pos="25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Within </w:t>
      </w:r>
      <w:r>
        <w:rPr>
          <w:rFonts w:ascii="Arial" w:cs="Arial" w:eastAsia="Arial" w:hAnsi="Arial"/>
          <w:sz w:val="14"/>
          <w:szCs w:val="14"/>
          <w:color w:val="auto"/>
        </w:rPr>
        <w:t>[***]</w:t>
      </w:r>
      <w:r>
        <w:rPr>
          <w:rFonts w:ascii="Arial" w:cs="Arial" w:eastAsia="Arial" w:hAnsi="Arial"/>
          <w:sz w:val="16"/>
          <w:szCs w:val="16"/>
          <w:color w:val="auto"/>
        </w:rPr>
        <w:t xml:space="preserve"> of receipt of the </w:t>
      </w:r>
      <w:r>
        <w:rPr>
          <w:rFonts w:ascii="Arial" w:cs="Arial" w:eastAsia="Arial" w:hAnsi="Arial"/>
          <w:sz w:val="14"/>
          <w:szCs w:val="14"/>
          <w:color w:val="auto"/>
        </w:rPr>
        <w:t>[***]</w:t>
      </w:r>
      <w:r>
        <w:rPr>
          <w:rFonts w:ascii="Arial" w:cs="Arial" w:eastAsia="Arial" w:hAnsi="Arial"/>
          <w:sz w:val="16"/>
          <w:szCs w:val="16"/>
          <w:color w:val="auto"/>
        </w:rPr>
        <w:t xml:space="preserve">, Supplier and/or Supplier Singapore, as applicable, will </w:t>
      </w:r>
      <w:r>
        <w:rPr>
          <w:rFonts w:ascii="Arial" w:cs="Arial" w:eastAsia="Arial" w:hAnsi="Arial"/>
          <w:sz w:val="14"/>
          <w:szCs w:val="14"/>
          <w:color w:val="auto"/>
        </w:rPr>
        <w:t>[***]</w:t>
      </w:r>
      <w:r>
        <w:rPr>
          <w:rFonts w:ascii="Arial" w:cs="Arial" w:eastAsia="Arial" w:hAnsi="Arial"/>
          <w:sz w:val="16"/>
          <w:szCs w:val="16"/>
          <w:color w:val="auto"/>
        </w:rPr>
        <w:t xml:space="preserve">, and the relevant </w:t>
      </w:r>
      <w:r>
        <w:rPr>
          <w:rFonts w:ascii="Arial" w:cs="Arial" w:eastAsia="Arial" w:hAnsi="Arial"/>
          <w:sz w:val="14"/>
          <w:szCs w:val="14"/>
          <w:color w:val="auto"/>
        </w:rPr>
        <w:t>[***]</w:t>
      </w:r>
      <w:r>
        <w:rPr>
          <w:rFonts w:ascii="Arial" w:cs="Arial" w:eastAsia="Arial" w:hAnsi="Arial"/>
          <w:sz w:val="16"/>
          <w:szCs w:val="16"/>
          <w:color w:val="auto"/>
        </w:rPr>
        <w:t xml:space="preserve"> for Products delivered </w:t>
      </w:r>
      <w:r>
        <w:rPr>
          <w:rFonts w:ascii="Arial" w:cs="Arial" w:eastAsia="Arial" w:hAnsi="Arial"/>
          <w:sz w:val="14"/>
          <w:szCs w:val="14"/>
          <w:color w:val="auto"/>
        </w:rPr>
        <w:t>[***]</w:t>
      </w:r>
      <w:r>
        <w:rPr>
          <w:rFonts w:ascii="Arial" w:cs="Arial" w:eastAsia="Arial" w:hAnsi="Arial"/>
          <w:sz w:val="16"/>
          <w:szCs w:val="16"/>
          <w:color w:val="auto"/>
        </w:rPr>
        <w:t xml:space="preserve"> collectively referred to as the </w:t>
      </w:r>
      <w:r>
        <w:rPr>
          <w:rFonts w:ascii="Arial" w:cs="Arial" w:eastAsia="Arial" w:hAnsi="Arial"/>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w:t>
      </w:r>
      <w:r>
        <w:rPr>
          <w:rFonts w:ascii="Arial" w:cs="Arial" w:eastAsia="Arial" w:hAnsi="Arial"/>
          <w:sz w:val="16"/>
          <w:szCs w:val="16"/>
          <w:color w:val="auto"/>
        </w:rPr>
        <w:t xml:space="preserve"> shall be followed for each </w:t>
      </w:r>
      <w:r>
        <w:rPr>
          <w:rFonts w:ascii="Arial" w:cs="Arial" w:eastAsia="Arial" w:hAnsi="Arial"/>
          <w:sz w:val="14"/>
          <w:szCs w:val="14"/>
          <w:color w:val="auto"/>
        </w:rPr>
        <w:t>[***]</w:t>
      </w:r>
      <w:r>
        <w:rPr>
          <w:rFonts w:ascii="Arial" w:cs="Arial" w:eastAsia="Arial" w:hAnsi="Arial"/>
          <w:sz w:val="16"/>
          <w:szCs w:val="16"/>
          <w:color w:val="auto"/>
        </w:rPr>
        <w:t xml:space="preserve"> and the Parties further agree that the volume of Products ordered by the GF Parties, </w:t>
      </w:r>
      <w:r>
        <w:rPr>
          <w:rFonts w:ascii="Arial" w:cs="Arial" w:eastAsia="Arial" w:hAnsi="Arial"/>
          <w:sz w:val="14"/>
          <w:szCs w:val="14"/>
          <w:color w:val="auto"/>
        </w:rPr>
        <w:t>[***]</w:t>
      </w:r>
      <w:r>
        <w:rPr>
          <w:rFonts w:ascii="Arial" w:cs="Arial" w:eastAsia="Arial" w:hAnsi="Arial"/>
          <w:sz w:val="16"/>
          <w:szCs w:val="16"/>
          <w:color w:val="auto"/>
        </w:rPr>
        <w:t xml:space="preserve"> and applicable </w:t>
      </w:r>
      <w:r>
        <w:rPr>
          <w:rFonts w:ascii="Arial" w:cs="Arial" w:eastAsia="Arial" w:hAnsi="Arial"/>
          <w:sz w:val="14"/>
          <w:szCs w:val="14"/>
          <w:color w:val="auto"/>
        </w:rPr>
        <w:t>[***]</w:t>
      </w:r>
      <w:r>
        <w:rPr>
          <w:rFonts w:ascii="Arial" w:cs="Arial" w:eastAsia="Arial" w:hAnsi="Arial"/>
          <w:sz w:val="16"/>
          <w:szCs w:val="16"/>
          <w:color w:val="auto"/>
        </w:rPr>
        <w:t xml:space="preserve"> (x) are </w:t>
      </w:r>
      <w:r>
        <w:rPr>
          <w:rFonts w:ascii="Arial" w:cs="Arial" w:eastAsia="Arial" w:hAnsi="Arial"/>
          <w:sz w:val="14"/>
          <w:szCs w:val="14"/>
          <w:color w:val="auto"/>
        </w:rPr>
        <w:t>[***]</w:t>
      </w:r>
      <w:r>
        <w:rPr>
          <w:rFonts w:ascii="Arial" w:cs="Arial" w:eastAsia="Arial" w:hAnsi="Arial"/>
          <w:sz w:val="16"/>
          <w:szCs w:val="16"/>
          <w:color w:val="auto"/>
        </w:rPr>
        <w:t xml:space="preserve"> and (y) Supplier shall deliver </w:t>
      </w:r>
      <w:r>
        <w:rPr>
          <w:rFonts w:ascii="Arial" w:cs="Arial" w:eastAsia="Arial" w:hAnsi="Arial"/>
          <w:sz w:val="14"/>
          <w:szCs w:val="14"/>
          <w:color w:val="auto"/>
        </w:rPr>
        <w:t>[***]</w:t>
      </w:r>
      <w:r>
        <w:rPr>
          <w:rFonts w:ascii="Arial" w:cs="Arial" w:eastAsia="Arial" w:hAnsi="Arial"/>
          <w:sz w:val="16"/>
          <w:szCs w:val="16"/>
          <w:color w:val="auto"/>
        </w:rPr>
        <w:t xml:space="preserve"> to the corresponding </w:t>
      </w:r>
      <w:r>
        <w:rPr>
          <w:rFonts w:ascii="Arial" w:cs="Arial" w:eastAsia="Arial" w:hAnsi="Arial"/>
          <w:sz w:val="14"/>
          <w:szCs w:val="14"/>
          <w:color w:val="auto"/>
        </w:rPr>
        <w:t>[***]</w:t>
      </w:r>
      <w:r>
        <w:rPr>
          <w:rFonts w:ascii="Arial" w:cs="Arial" w:eastAsia="Arial" w:hAnsi="Arial"/>
          <w:sz w:val="16"/>
          <w:szCs w:val="16"/>
          <w:color w:val="auto"/>
        </w:rPr>
        <w:t xml:space="preserve"> in the </w:t>
      </w:r>
      <w:r>
        <w:rPr>
          <w:rFonts w:ascii="Arial" w:cs="Arial" w:eastAsia="Arial" w:hAnsi="Arial"/>
          <w:sz w:val="14"/>
          <w:szCs w:val="14"/>
          <w:color w:val="auto"/>
        </w:rPr>
        <w:t>[***]</w:t>
      </w:r>
      <w:r>
        <w:rPr>
          <w:rFonts w:ascii="Arial" w:cs="Arial" w:eastAsia="Arial" w:hAnsi="Arial"/>
          <w:sz w:val="16"/>
          <w:szCs w:val="16"/>
          <w:color w:val="auto"/>
        </w:rPr>
        <w:t xml:space="preserve"> in the </w:t>
      </w:r>
      <w:r>
        <w:rPr>
          <w:rFonts w:ascii="Arial" w:cs="Arial" w:eastAsia="Arial" w:hAnsi="Arial"/>
          <w:sz w:val="14"/>
          <w:szCs w:val="14"/>
          <w:color w:val="auto"/>
        </w:rPr>
        <w:t>[***]</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240" w:hanging="237"/>
        <w:spacing w:after="0"/>
        <w:tabs>
          <w:tab w:leader="none" w:pos="240" w:val="left"/>
        </w:tabs>
        <w:numPr>
          <w:ilvl w:val="0"/>
          <w:numId w:val="132"/>
        </w:numPr>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5"/>
          <w:szCs w:val="15"/>
          <w:color w:val="auto"/>
        </w:rPr>
        <w:t>in the Agreement</w:t>
      </w:r>
      <w:r>
        <w:rPr>
          <w:rFonts w:ascii="Arial" w:cs="Arial" w:eastAsia="Arial" w:hAnsi="Arial"/>
          <w:sz w:val="14"/>
          <w:szCs w:val="14"/>
          <w:color w:val="auto"/>
        </w:rPr>
        <w:t xml:space="preserve"> [***]</w:t>
      </w:r>
      <w:r>
        <w:rPr>
          <w:rFonts w:ascii="Arial" w:cs="Arial" w:eastAsia="Arial" w:hAnsi="Arial"/>
          <w:sz w:val="15"/>
          <w:szCs w:val="15"/>
          <w:color w:val="auto"/>
        </w:rPr>
        <w:t>, the Parties agree that</w:t>
      </w:r>
      <w:r>
        <w:rPr>
          <w:rFonts w:ascii="Arial" w:cs="Arial" w:eastAsia="Arial" w:hAnsi="Arial"/>
          <w:sz w:val="14"/>
          <w:szCs w:val="14"/>
          <w:color w:val="auto"/>
        </w:rPr>
        <w:t xml:space="preserve"> [***] </w:t>
      </w:r>
      <w:r>
        <w:rPr>
          <w:rFonts w:ascii="Arial" w:cs="Arial" w:eastAsia="Arial" w:hAnsi="Arial"/>
          <w:sz w:val="15"/>
          <w:szCs w:val="15"/>
          <w:color w:val="auto"/>
        </w:rPr>
        <w:t>to this 2023-2024 Mixed Product Addendum.</w:t>
      </w:r>
    </w:p>
    <w:p>
      <w:pPr>
        <w:spacing w:after="0" w:line="173" w:lineRule="exact"/>
        <w:rPr>
          <w:rFonts w:ascii="Arial" w:cs="Arial" w:eastAsia="Arial" w:hAnsi="Arial"/>
          <w:sz w:val="16"/>
          <w:szCs w:val="16"/>
          <w:color w:val="auto"/>
        </w:rPr>
      </w:pPr>
    </w:p>
    <w:p>
      <w:pPr>
        <w:ind w:left="260" w:hanging="257"/>
        <w:spacing w:after="0" w:line="276" w:lineRule="auto"/>
        <w:tabs>
          <w:tab w:leader="none" w:pos="25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The Parties agree that </w:t>
      </w:r>
      <w:r>
        <w:rPr>
          <w:rFonts w:ascii="Arial" w:cs="Arial" w:eastAsia="Arial" w:hAnsi="Arial"/>
          <w:sz w:val="14"/>
          <w:szCs w:val="14"/>
          <w:color w:val="auto"/>
        </w:rPr>
        <w:t>[***]</w:t>
      </w:r>
      <w:r>
        <w:rPr>
          <w:rFonts w:ascii="Arial" w:cs="Arial" w:eastAsia="Arial" w:hAnsi="Arial"/>
          <w:sz w:val="16"/>
          <w:szCs w:val="16"/>
          <w:color w:val="auto"/>
        </w:rPr>
        <w:t xml:space="preserve"> for Products purchased under this 2023-2024 Mixed Product Addendum; in all other respects, </w:t>
      </w:r>
      <w:r>
        <w:rPr>
          <w:rFonts w:ascii="Arial" w:cs="Arial" w:eastAsia="Arial" w:hAnsi="Arial"/>
          <w:sz w:val="14"/>
          <w:szCs w:val="14"/>
          <w:color w:val="auto"/>
        </w:rPr>
        <w:t>[***]</w:t>
      </w:r>
      <w:r>
        <w:rPr>
          <w:rFonts w:ascii="Arial" w:cs="Arial" w:eastAsia="Arial" w:hAnsi="Arial"/>
          <w:sz w:val="16"/>
          <w:szCs w:val="16"/>
          <w:color w:val="auto"/>
        </w:rPr>
        <w:t xml:space="preserve"> to the correlating Products purchased and supplied hereunder:</w:t>
      </w:r>
    </w:p>
    <w:p>
      <w:pPr>
        <w:spacing w:after="0" w:line="139" w:lineRule="exact"/>
        <w:rPr>
          <w:rFonts w:ascii="Arial" w:cs="Arial" w:eastAsia="Arial" w:hAnsi="Arial"/>
          <w:sz w:val="16"/>
          <w:szCs w:val="16"/>
          <w:color w:val="auto"/>
        </w:rPr>
      </w:pPr>
    </w:p>
    <w:p>
      <w:pPr>
        <w:ind w:left="760" w:hanging="248"/>
        <w:spacing w:after="0" w:line="286" w:lineRule="auto"/>
        <w:tabs>
          <w:tab w:leader="none" w:pos="753" w:val="left"/>
        </w:tabs>
        <w:numPr>
          <w:ilvl w:val="1"/>
          <w:numId w:val="132"/>
        </w:numPr>
        <w:rPr>
          <w:rFonts w:ascii="Arial" w:cs="Arial" w:eastAsia="Arial" w:hAnsi="Arial"/>
          <w:sz w:val="16"/>
          <w:szCs w:val="16"/>
          <w:color w:val="auto"/>
        </w:rPr>
      </w:pPr>
      <w:r>
        <w:rPr>
          <w:rFonts w:ascii="Arial" w:cs="Arial" w:eastAsia="Arial" w:hAnsi="Arial"/>
          <w:sz w:val="16"/>
          <w:szCs w:val="16"/>
          <w:color w:val="auto"/>
        </w:rPr>
        <w:t xml:space="preserve">For the Product Purchase Addendum between GLOBALFOUNDRIES Dresden Module One LLC &amp; Co. KG and Soitec S.A., with a Commencement Date </w:t>
      </w:r>
      <w:r>
        <w:rPr>
          <w:rFonts w:ascii="Arial" w:cs="Arial" w:eastAsia="Arial" w:hAnsi="Arial"/>
          <w:sz w:val="14"/>
          <w:szCs w:val="14"/>
          <w:color w:val="auto"/>
        </w:rPr>
        <w:t>[***]</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GF Dresden PPA</w:t>
      </w:r>
      <w:r>
        <w:rPr>
          <w:rFonts w:ascii="Arial" w:cs="Arial" w:eastAsia="Arial" w:hAnsi="Arial"/>
          <w:sz w:val="16"/>
          <w:szCs w:val="16"/>
          <w:color w:val="auto"/>
        </w:rPr>
        <w:t xml:space="preserve">”), the following provisions </w:t>
      </w:r>
      <w:r>
        <w:rPr>
          <w:rFonts w:ascii="Arial" w:cs="Arial" w:eastAsia="Arial" w:hAnsi="Arial"/>
          <w:sz w:val="14"/>
          <w:szCs w:val="14"/>
          <w:color w:val="auto"/>
        </w:rPr>
        <w:t>[***]</w:t>
      </w:r>
      <w:r>
        <w:rPr>
          <w:rFonts w:ascii="Arial" w:cs="Arial" w:eastAsia="Arial" w:hAnsi="Arial"/>
          <w:sz w:val="16"/>
          <w:szCs w:val="16"/>
          <w:color w:val="auto"/>
        </w:rPr>
        <w:t xml:space="preserve">: Sections </w:t>
      </w:r>
      <w:r>
        <w:rPr>
          <w:rFonts w:ascii="Arial" w:cs="Arial" w:eastAsia="Arial" w:hAnsi="Arial"/>
          <w:sz w:val="14"/>
          <w:szCs w:val="14"/>
          <w:color w:val="auto"/>
        </w:rPr>
        <w:t>[***]</w:t>
      </w:r>
      <w:r>
        <w:rPr>
          <w:rFonts w:ascii="Arial" w:cs="Arial" w:eastAsia="Arial" w:hAnsi="Arial"/>
          <w:sz w:val="16"/>
          <w:szCs w:val="16"/>
          <w:color w:val="auto"/>
        </w:rPr>
        <w:t>.</w:t>
      </w:r>
    </w:p>
    <w:p>
      <w:pPr>
        <w:spacing w:after="0" w:line="132" w:lineRule="exact"/>
        <w:rPr>
          <w:rFonts w:ascii="Arial" w:cs="Arial" w:eastAsia="Arial" w:hAnsi="Arial"/>
          <w:sz w:val="16"/>
          <w:szCs w:val="16"/>
          <w:color w:val="auto"/>
        </w:rPr>
      </w:pPr>
    </w:p>
    <w:p>
      <w:pPr>
        <w:jc w:val="both"/>
        <w:ind w:left="760" w:hanging="248"/>
        <w:spacing w:after="0" w:line="257" w:lineRule="auto"/>
        <w:tabs>
          <w:tab w:leader="none" w:pos="756" w:val="left"/>
        </w:tabs>
        <w:numPr>
          <w:ilvl w:val="1"/>
          <w:numId w:val="132"/>
        </w:numPr>
        <w:rPr>
          <w:rFonts w:ascii="Arial" w:cs="Arial" w:eastAsia="Arial" w:hAnsi="Arial"/>
          <w:sz w:val="16"/>
          <w:szCs w:val="16"/>
          <w:color w:val="auto"/>
        </w:rPr>
      </w:pPr>
      <w:r>
        <w:rPr>
          <w:rFonts w:ascii="Arial" w:cs="Arial" w:eastAsia="Arial" w:hAnsi="Arial"/>
          <w:sz w:val="16"/>
          <w:szCs w:val="16"/>
          <w:color w:val="auto"/>
        </w:rPr>
        <w:t>For the Product Purchase Addendum between GLOBALFOUNDRIES Singapore Pte. Ltd (“</w:t>
      </w:r>
      <w:r>
        <w:rPr>
          <w:rFonts w:ascii="Arial" w:cs="Arial" w:eastAsia="Arial" w:hAnsi="Arial"/>
          <w:sz w:val="16"/>
          <w:szCs w:val="16"/>
          <w:b w:val="1"/>
          <w:bCs w:val="1"/>
          <w:u w:val="single" w:color="auto"/>
          <w:color w:val="auto"/>
        </w:rPr>
        <w:t>GF Singapore</w:t>
      </w:r>
      <w:r>
        <w:rPr>
          <w:rFonts w:ascii="Arial" w:cs="Arial" w:eastAsia="Arial" w:hAnsi="Arial"/>
          <w:sz w:val="16"/>
          <w:szCs w:val="16"/>
          <w:color w:val="auto"/>
        </w:rPr>
        <w:t xml:space="preserve">”) and Soitec Microelectronics Singapore Pte. Ltd, with </w:t>
      </w:r>
      <w:r>
        <w:rPr>
          <w:rFonts w:ascii="Arial" w:cs="Arial" w:eastAsia="Arial" w:hAnsi="Arial"/>
          <w:sz w:val="14"/>
          <w:szCs w:val="14"/>
          <w:color w:val="auto"/>
        </w:rPr>
        <w:t>[***]</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SG PPA</w:t>
      </w:r>
      <w:r>
        <w:rPr>
          <w:rFonts w:ascii="Arial" w:cs="Arial" w:eastAsia="Arial" w:hAnsi="Arial"/>
          <w:sz w:val="16"/>
          <w:szCs w:val="16"/>
          <w:color w:val="auto"/>
        </w:rPr>
        <w:t xml:space="preserve">”): (x) </w:t>
      </w:r>
      <w:r>
        <w:rPr>
          <w:rFonts w:ascii="Arial" w:cs="Arial" w:eastAsia="Arial" w:hAnsi="Arial"/>
          <w:sz w:val="14"/>
          <w:szCs w:val="14"/>
          <w:color w:val="auto"/>
        </w:rPr>
        <w:t>[***]</w:t>
      </w:r>
      <w:r>
        <w:rPr>
          <w:rFonts w:ascii="Arial" w:cs="Arial" w:eastAsia="Arial" w:hAnsi="Arial"/>
          <w:sz w:val="16"/>
          <w:szCs w:val="16"/>
          <w:color w:val="auto"/>
        </w:rPr>
        <w:t xml:space="preserve">, this 2023-2024 Mixed Product Addendum shall also be deemed to be referenced and </w:t>
      </w:r>
      <w:r>
        <w:rPr>
          <w:rFonts w:ascii="Arial" w:cs="Arial" w:eastAsia="Arial" w:hAnsi="Arial"/>
          <w:sz w:val="14"/>
          <w:szCs w:val="14"/>
          <w:color w:val="auto"/>
        </w:rPr>
        <w:t>[***]</w:t>
      </w:r>
      <w:r>
        <w:rPr>
          <w:rFonts w:ascii="Arial" w:cs="Arial" w:eastAsia="Arial" w:hAnsi="Arial"/>
          <w:sz w:val="16"/>
          <w:szCs w:val="16"/>
          <w:color w:val="auto"/>
        </w:rPr>
        <w:t xml:space="preserve">; and (y) the following provisions </w:t>
      </w:r>
      <w:r>
        <w:rPr>
          <w:rFonts w:ascii="Arial" w:cs="Arial" w:eastAsia="Arial" w:hAnsi="Arial"/>
          <w:sz w:val="14"/>
          <w:szCs w:val="14"/>
          <w:color w:val="auto"/>
        </w:rPr>
        <w:t>[***]</w:t>
      </w:r>
      <w:r>
        <w:rPr>
          <w:rFonts w:ascii="Arial" w:cs="Arial" w:eastAsia="Arial" w:hAnsi="Arial"/>
          <w:sz w:val="16"/>
          <w:szCs w:val="16"/>
          <w:color w:val="auto"/>
        </w:rPr>
        <w:t xml:space="preserve">: Sections </w:t>
      </w:r>
      <w:r>
        <w:rPr>
          <w:rFonts w:ascii="Arial" w:cs="Arial" w:eastAsia="Arial" w:hAnsi="Arial"/>
          <w:sz w:val="14"/>
          <w:szCs w:val="14"/>
          <w:color w:val="auto"/>
        </w:rPr>
        <w:t>[***]</w:t>
      </w:r>
      <w:r>
        <w:rPr>
          <w:rFonts w:ascii="Arial" w:cs="Arial" w:eastAsia="Arial" w:hAnsi="Arial"/>
          <w:sz w:val="16"/>
          <w:szCs w:val="16"/>
          <w:color w:val="auto"/>
        </w:rPr>
        <w:t xml:space="preserve"> and the </w:t>
      </w:r>
      <w:r>
        <w:rPr>
          <w:rFonts w:ascii="Arial" w:cs="Arial" w:eastAsia="Arial" w:hAnsi="Arial"/>
          <w:sz w:val="14"/>
          <w:szCs w:val="14"/>
          <w:color w:val="auto"/>
        </w:rPr>
        <w:t>[***]</w:t>
      </w:r>
      <w:r>
        <w:rPr>
          <w:rFonts w:ascii="Arial" w:cs="Arial" w:eastAsia="Arial" w:hAnsi="Arial"/>
          <w:sz w:val="16"/>
          <w:szCs w:val="16"/>
          <w:color w:val="auto"/>
        </w:rPr>
        <w:t xml:space="preserve"> Section </w:t>
      </w:r>
      <w:r>
        <w:rPr>
          <w:rFonts w:ascii="Arial" w:cs="Arial" w:eastAsia="Arial" w:hAnsi="Arial"/>
          <w:sz w:val="14"/>
          <w:szCs w:val="14"/>
          <w:color w:val="auto"/>
        </w:rPr>
        <w:t>[***]</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left="760" w:hanging="248"/>
        <w:spacing w:after="0"/>
        <w:tabs>
          <w:tab w:leader="none" w:pos="76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 xml:space="preserve">For the Product Purchase Addendum between GLOBALFOUNDRIES US Inc. and Soitec S.A., with </w:t>
      </w:r>
      <w:r>
        <w:rPr>
          <w:rFonts w:ascii="Arial" w:cs="Arial" w:eastAsia="Arial" w:hAnsi="Arial"/>
          <w:sz w:val="14"/>
          <w:szCs w:val="14"/>
          <w:color w:val="auto"/>
        </w:rPr>
        <w:t>[***]</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US PPA</w:t>
      </w:r>
      <w:r>
        <w:rPr>
          <w:rFonts w:ascii="Arial" w:cs="Arial" w:eastAsia="Arial" w:hAnsi="Arial"/>
          <w:sz w:val="16"/>
          <w:szCs w:val="16"/>
          <w:color w:val="auto"/>
        </w:rPr>
        <w:t>”), the following provisions</w:t>
      </w:r>
    </w:p>
    <w:p>
      <w:pPr>
        <w:spacing w:after="0" w:line="22"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4"/>
          <w:szCs w:val="14"/>
          <w:color w:val="auto"/>
        </w:rPr>
        <w:t>[***]</w:t>
      </w:r>
      <w:r>
        <w:rPr>
          <w:rFonts w:ascii="Arial" w:cs="Arial" w:eastAsia="Arial" w:hAnsi="Arial"/>
          <w:sz w:val="15"/>
          <w:szCs w:val="15"/>
          <w:color w:val="auto"/>
        </w:rPr>
        <w:t>: Sections</w:t>
      </w:r>
      <w:r>
        <w:rPr>
          <w:rFonts w:ascii="Arial" w:cs="Arial" w:eastAsia="Arial" w:hAnsi="Arial"/>
          <w:sz w:val="14"/>
          <w:szCs w:val="14"/>
          <w:color w:val="auto"/>
        </w:rPr>
        <w:t xml:space="preserve"> [***]</w:t>
      </w:r>
    </w:p>
    <w:p>
      <w:pPr>
        <w:spacing w:after="0" w:line="200" w:lineRule="exact"/>
        <w:rPr>
          <w:sz w:val="20"/>
          <w:szCs w:val="20"/>
          <w:color w:val="auto"/>
        </w:rPr>
      </w:pPr>
    </w:p>
    <w:p>
      <w:pPr>
        <w:spacing w:after="0" w:line="311" w:lineRule="exact"/>
        <w:rPr>
          <w:sz w:val="20"/>
          <w:szCs w:val="20"/>
          <w:color w:val="auto"/>
        </w:rPr>
      </w:pPr>
    </w:p>
    <w:p>
      <w:pPr>
        <w:jc w:val="center"/>
        <w:ind w:right="320"/>
        <w:spacing w:after="0"/>
        <w:rPr>
          <w:sz w:val="20"/>
          <w:szCs w:val="20"/>
          <w:color w:val="auto"/>
        </w:rPr>
      </w:pPr>
      <w:r>
        <w:rPr>
          <w:rFonts w:ascii="Calibri" w:cs="Calibri" w:eastAsia="Calibri" w:hAnsi="Calibri"/>
          <w:sz w:val="16"/>
          <w:szCs w:val="16"/>
          <w:color w:val="auto"/>
        </w:rPr>
        <w:t>4</w:t>
      </w:r>
    </w:p>
    <w:p>
      <w:pPr>
        <w:sectPr>
          <w:pgSz w:w="11900" w:h="16838" w:orient="portrait"/>
          <w:cols w:equalWidth="0" w:num="1">
            <w:col w:w="10960"/>
          </w:cols>
          <w:pgMar w:left="620" w:top="109" w:right="319" w:bottom="1440" w:gutter="0" w:footer="0" w:header="0"/>
        </w:sectPr>
      </w:pPr>
    </w:p>
    <w:bookmarkStart w:id="143" w:name="page144"/>
    <w:bookmarkEnd w:id="143"/>
    <w:p>
      <w:pPr>
        <w:jc w:val="right"/>
        <w:spacing w:after="0"/>
        <w:rPr>
          <w:sz w:val="20"/>
          <w:szCs w:val="20"/>
          <w:color w:val="auto"/>
        </w:rPr>
      </w:pPr>
      <w:r>
        <w:rPr>
          <w:rFonts w:ascii="Calibri" w:cs="Calibri" w:eastAsia="Calibri" w:hAnsi="Calibri"/>
          <w:sz w:val="16"/>
          <w:szCs w:val="16"/>
          <w:b w:val="1"/>
          <w:bCs w:val="1"/>
          <w:color w:val="auto"/>
        </w:rPr>
        <w:t>Exhibit 4.12</w:t>
      </w:r>
    </w:p>
    <w:p>
      <w:pPr>
        <w:jc w:val="right"/>
        <w:spacing w:after="0" w:line="234" w:lineRule="auto"/>
        <w:rPr>
          <w:sz w:val="20"/>
          <w:szCs w:val="20"/>
          <w:color w:val="auto"/>
        </w:rPr>
      </w:pPr>
      <w:r>
        <w:rPr>
          <w:rFonts w:ascii="Calibri" w:cs="Calibri" w:eastAsia="Calibri" w:hAnsi="Calibri"/>
          <w:sz w:val="16"/>
          <w:szCs w:val="16"/>
          <w:b w:val="1"/>
          <w:bCs w:val="1"/>
          <w:u w:val="single" w:color="auto"/>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80" w:hanging="257"/>
        <w:spacing w:after="0" w:line="262" w:lineRule="auto"/>
        <w:tabs>
          <w:tab w:leader="none" w:pos="57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With reference to the </w:t>
      </w:r>
      <w:r>
        <w:rPr>
          <w:rFonts w:ascii="Arial" w:cs="Arial" w:eastAsia="Arial" w:hAnsi="Arial"/>
          <w:sz w:val="14"/>
          <w:szCs w:val="14"/>
          <w:color w:val="auto"/>
        </w:rPr>
        <w:t>[***]</w:t>
      </w:r>
      <w:r>
        <w:rPr>
          <w:rFonts w:ascii="Arial" w:cs="Arial" w:eastAsia="Arial" w:hAnsi="Arial"/>
          <w:sz w:val="16"/>
          <w:szCs w:val="16"/>
          <w:color w:val="auto"/>
        </w:rPr>
        <w:t xml:space="preserve">” provisions that are provided for in </w:t>
      </w:r>
      <w:r>
        <w:rPr>
          <w:rFonts w:ascii="Arial" w:cs="Arial" w:eastAsia="Arial" w:hAnsi="Arial"/>
          <w:sz w:val="14"/>
          <w:szCs w:val="14"/>
          <w:color w:val="auto"/>
        </w:rPr>
        <w:t>[***]</w:t>
      </w:r>
      <w:r>
        <w:rPr>
          <w:rFonts w:ascii="Arial" w:cs="Arial" w:eastAsia="Arial" w:hAnsi="Arial"/>
          <w:sz w:val="16"/>
          <w:szCs w:val="16"/>
          <w:color w:val="auto"/>
        </w:rPr>
        <w:t xml:space="preserve"> for purposes of </w:t>
      </w:r>
      <w:r>
        <w:rPr>
          <w:rFonts w:ascii="Arial" w:cs="Arial" w:eastAsia="Arial" w:hAnsi="Arial"/>
          <w:sz w:val="14"/>
          <w:szCs w:val="14"/>
          <w:color w:val="auto"/>
        </w:rPr>
        <w:t>[***]</w:t>
      </w:r>
      <w:r>
        <w:rPr>
          <w:rFonts w:ascii="Arial" w:cs="Arial" w:eastAsia="Arial" w:hAnsi="Arial"/>
          <w:sz w:val="16"/>
          <w:szCs w:val="16"/>
          <w:color w:val="auto"/>
        </w:rPr>
        <w:t xml:space="preserve"> the following “</w:t>
      </w:r>
      <w:r>
        <w:rPr>
          <w:rFonts w:ascii="Arial" w:cs="Arial" w:eastAsia="Arial" w:hAnsi="Arial"/>
          <w:sz w:val="14"/>
          <w:szCs w:val="14"/>
          <w:color w:val="auto"/>
        </w:rPr>
        <w:t>[***]</w:t>
      </w:r>
      <w:r>
        <w:rPr>
          <w:rFonts w:ascii="Arial" w:cs="Arial" w:eastAsia="Arial" w:hAnsi="Arial"/>
          <w:sz w:val="16"/>
          <w:szCs w:val="16"/>
          <w:color w:val="auto"/>
        </w:rPr>
        <w:t xml:space="preserve">” provision shall </w:t>
      </w:r>
      <w:r>
        <w:rPr>
          <w:rFonts w:ascii="Arial" w:cs="Arial" w:eastAsia="Arial" w:hAnsi="Arial"/>
          <w:sz w:val="14"/>
          <w:szCs w:val="14"/>
          <w:color w:val="auto"/>
        </w:rPr>
        <w:t>[***]</w:t>
      </w:r>
      <w:r>
        <w:rPr>
          <w:rFonts w:ascii="Arial" w:cs="Arial" w:eastAsia="Arial" w:hAnsi="Arial"/>
          <w:sz w:val="16"/>
          <w:szCs w:val="16"/>
          <w:color w:val="auto"/>
        </w:rPr>
        <w:t xml:space="preserve"> such Product Purchase Addendum:</w:t>
      </w:r>
    </w:p>
    <w:p>
      <w:pPr>
        <w:spacing w:after="0" w:line="161" w:lineRule="exact"/>
        <w:rPr>
          <w:sz w:val="20"/>
          <w:szCs w:val="20"/>
          <w:color w:val="auto"/>
        </w:rPr>
      </w:pPr>
    </w:p>
    <w:p>
      <w:pPr>
        <w:ind w:left="1080"/>
        <w:spacing w:after="0" w:line="276" w:lineRule="auto"/>
        <w:rPr>
          <w:sz w:val="20"/>
          <w:szCs w:val="20"/>
          <w:color w:val="auto"/>
        </w:rPr>
      </w:pPr>
      <w:r>
        <w:rPr>
          <w:rFonts w:ascii="Arial" w:cs="Arial" w:eastAsia="Arial" w:hAnsi="Arial"/>
          <w:sz w:val="16"/>
          <w:szCs w:val="16"/>
          <w:color w:val="auto"/>
        </w:rPr>
        <w:t xml:space="preserve">“If the applicable GF Parties do not </w:t>
      </w:r>
      <w:r>
        <w:rPr>
          <w:rFonts w:ascii="Arial" w:cs="Arial" w:eastAsia="Arial" w:hAnsi="Arial"/>
          <w:sz w:val="14"/>
          <w:szCs w:val="14"/>
          <w:color w:val="auto"/>
        </w:rPr>
        <w:t>[***]</w:t>
      </w:r>
      <w:r>
        <w:rPr>
          <w:rFonts w:ascii="Arial" w:cs="Arial" w:eastAsia="Arial" w:hAnsi="Arial"/>
          <w:sz w:val="16"/>
          <w:szCs w:val="16"/>
          <w:color w:val="auto"/>
        </w:rPr>
        <w:t xml:space="preserve"> Product(s) </w:t>
      </w:r>
      <w:r>
        <w:rPr>
          <w:rFonts w:ascii="Arial" w:cs="Arial" w:eastAsia="Arial" w:hAnsi="Arial"/>
          <w:sz w:val="14"/>
          <w:szCs w:val="14"/>
          <w:color w:val="auto"/>
        </w:rPr>
        <w:t>[***]</w:t>
      </w:r>
      <w:r>
        <w:rPr>
          <w:rFonts w:ascii="Arial" w:cs="Arial" w:eastAsia="Arial" w:hAnsi="Arial"/>
          <w:sz w:val="16"/>
          <w:szCs w:val="16"/>
          <w:color w:val="auto"/>
        </w:rPr>
        <w:t xml:space="preserve"> after such Products were </w:t>
      </w:r>
      <w:r>
        <w:rPr>
          <w:rFonts w:ascii="Arial" w:cs="Arial" w:eastAsia="Arial" w:hAnsi="Arial"/>
          <w:sz w:val="14"/>
          <w:szCs w:val="14"/>
          <w:color w:val="auto"/>
        </w:rPr>
        <w:t>[***]</w:t>
      </w:r>
      <w:r>
        <w:rPr>
          <w:rFonts w:ascii="Arial" w:cs="Arial" w:eastAsia="Arial" w:hAnsi="Arial"/>
          <w:sz w:val="16"/>
          <w:szCs w:val="16"/>
          <w:color w:val="auto"/>
        </w:rPr>
        <w:t xml:space="preserve">, the </w:t>
      </w:r>
      <w:r>
        <w:rPr>
          <w:rFonts w:ascii="Arial" w:cs="Arial" w:eastAsia="Arial" w:hAnsi="Arial"/>
          <w:sz w:val="14"/>
          <w:szCs w:val="14"/>
          <w:color w:val="auto"/>
        </w:rPr>
        <w:t>[***]</w:t>
      </w:r>
      <w:r>
        <w:rPr>
          <w:rFonts w:ascii="Arial" w:cs="Arial" w:eastAsia="Arial" w:hAnsi="Arial"/>
          <w:sz w:val="16"/>
          <w:szCs w:val="16"/>
          <w:color w:val="auto"/>
        </w:rPr>
        <w:t xml:space="preserve"> for such Products </w:t>
      </w:r>
      <w:r>
        <w:rPr>
          <w:rFonts w:ascii="Arial" w:cs="Arial" w:eastAsia="Arial" w:hAnsi="Arial"/>
          <w:sz w:val="14"/>
          <w:szCs w:val="14"/>
          <w:color w:val="auto"/>
        </w:rPr>
        <w:t>[***]</w:t>
      </w:r>
      <w:r>
        <w:rPr>
          <w:rFonts w:ascii="Arial" w:cs="Arial" w:eastAsia="Arial" w:hAnsi="Arial"/>
          <w:sz w:val="16"/>
          <w:szCs w:val="16"/>
          <w:color w:val="auto"/>
        </w:rPr>
        <w:t xml:space="preserve"> to be the </w:t>
      </w:r>
      <w:r>
        <w:rPr>
          <w:rFonts w:ascii="Arial" w:cs="Arial" w:eastAsia="Arial" w:hAnsi="Arial"/>
          <w:sz w:val="14"/>
          <w:szCs w:val="14"/>
          <w:color w:val="auto"/>
        </w:rPr>
        <w:t>[***]</w:t>
      </w:r>
      <w:r>
        <w:rPr>
          <w:rFonts w:ascii="Arial" w:cs="Arial" w:eastAsia="Arial" w:hAnsi="Arial"/>
          <w:sz w:val="16"/>
          <w:szCs w:val="16"/>
          <w:color w:val="auto"/>
        </w:rPr>
        <w:t xml:space="preserve"> and </w:t>
      </w:r>
      <w:r>
        <w:rPr>
          <w:rFonts w:ascii="Arial" w:cs="Arial" w:eastAsia="Arial" w:hAnsi="Arial"/>
          <w:sz w:val="14"/>
          <w:szCs w:val="14"/>
          <w:color w:val="auto"/>
        </w:rPr>
        <w:t>[***]</w:t>
      </w:r>
      <w:r>
        <w:rPr>
          <w:rFonts w:ascii="Arial" w:cs="Arial" w:eastAsia="Arial" w:hAnsi="Arial"/>
          <w:sz w:val="16"/>
          <w:szCs w:val="16"/>
          <w:color w:val="auto"/>
        </w:rPr>
        <w:t xml:space="preserve"> the Products will </w:t>
      </w:r>
      <w:r>
        <w:rPr>
          <w:rFonts w:ascii="Arial" w:cs="Arial" w:eastAsia="Arial" w:hAnsi="Arial"/>
          <w:sz w:val="14"/>
          <w:szCs w:val="14"/>
          <w:color w:val="auto"/>
        </w:rPr>
        <w:t>[***]</w:t>
      </w:r>
      <w:r>
        <w:rPr>
          <w:rFonts w:ascii="Arial" w:cs="Arial" w:eastAsia="Arial" w:hAnsi="Arial"/>
          <w:sz w:val="16"/>
          <w:szCs w:val="16"/>
          <w:color w:val="auto"/>
        </w:rPr>
        <w:t xml:space="preserve"> the applicable GF Parties </w:t>
      </w:r>
      <w:r>
        <w:rPr>
          <w:rFonts w:ascii="Arial" w:cs="Arial" w:eastAsia="Arial" w:hAnsi="Arial"/>
          <w:sz w:val="14"/>
          <w:szCs w:val="14"/>
          <w:color w:val="auto"/>
        </w:rPr>
        <w:t>[***]</w:t>
      </w:r>
      <w:r>
        <w:rPr>
          <w:rFonts w:ascii="Arial" w:cs="Arial" w:eastAsia="Arial" w:hAnsi="Arial"/>
          <w:sz w:val="16"/>
          <w:szCs w:val="16"/>
          <w:color w:val="auto"/>
        </w:rPr>
        <w:t xml:space="preserve"> (the “</w:t>
      </w:r>
      <w:r>
        <w:rPr>
          <w:rFonts w:ascii="Arial" w:cs="Arial" w:eastAsia="Arial" w:hAnsi="Arial"/>
          <w:sz w:val="14"/>
          <w:szCs w:val="14"/>
          <w:color w:val="auto"/>
        </w:rPr>
        <w:t>[***]</w:t>
      </w:r>
      <w:r>
        <w:rPr>
          <w:rFonts w:ascii="Arial" w:cs="Arial" w:eastAsia="Arial" w:hAnsi="Arial"/>
          <w:sz w:val="16"/>
          <w:szCs w:val="16"/>
          <w:color w:val="auto"/>
        </w:rPr>
        <w:t xml:space="preserve">”). The applicable GF Parties will then </w:t>
      </w:r>
      <w:r>
        <w:rPr>
          <w:rFonts w:ascii="Arial" w:cs="Arial" w:eastAsia="Arial" w:hAnsi="Arial"/>
          <w:sz w:val="14"/>
          <w:szCs w:val="14"/>
          <w:color w:val="auto"/>
        </w:rPr>
        <w:t>[***]</w:t>
      </w:r>
      <w:r>
        <w:rPr>
          <w:rFonts w:ascii="Arial" w:cs="Arial" w:eastAsia="Arial" w:hAnsi="Arial"/>
          <w:sz w:val="16"/>
          <w:szCs w:val="16"/>
          <w:color w:val="auto"/>
        </w:rPr>
        <w:t xml:space="preserve"> terms for </w:t>
      </w:r>
      <w:r>
        <w:rPr>
          <w:rFonts w:ascii="Arial" w:cs="Arial" w:eastAsia="Arial" w:hAnsi="Arial"/>
          <w:sz w:val="14"/>
          <w:szCs w:val="14"/>
          <w:color w:val="auto"/>
        </w:rPr>
        <w:t>[***]</w:t>
      </w:r>
      <w:r>
        <w:rPr>
          <w:rFonts w:ascii="Arial" w:cs="Arial" w:eastAsia="Arial" w:hAnsi="Arial"/>
          <w:sz w:val="16"/>
          <w:szCs w:val="16"/>
          <w:color w:val="auto"/>
        </w:rPr>
        <w:t xml:space="preserve">, which have </w:t>
      </w:r>
      <w:r>
        <w:rPr>
          <w:rFonts w:ascii="Arial" w:cs="Arial" w:eastAsia="Arial" w:hAnsi="Arial"/>
          <w:sz w:val="14"/>
          <w:szCs w:val="14"/>
          <w:color w:val="auto"/>
        </w:rPr>
        <w:t>[***]</w:t>
      </w:r>
      <w:r>
        <w:rPr>
          <w:rFonts w:ascii="Arial" w:cs="Arial" w:eastAsia="Arial" w:hAnsi="Arial"/>
          <w:sz w:val="16"/>
          <w:szCs w:val="16"/>
          <w:color w:val="auto"/>
        </w:rPr>
        <w:t>.”</w:t>
      </w:r>
    </w:p>
    <w:p>
      <w:pPr>
        <w:spacing w:after="0" w:line="139" w:lineRule="exact"/>
        <w:rPr>
          <w:sz w:val="20"/>
          <w:szCs w:val="20"/>
          <w:color w:val="auto"/>
        </w:rPr>
      </w:pPr>
    </w:p>
    <w:p>
      <w:pPr>
        <w:ind w:left="260" w:hanging="255"/>
        <w:spacing w:after="0" w:line="294" w:lineRule="auto"/>
        <w:tabs>
          <w:tab w:leader="none" w:pos="252" w:val="left"/>
        </w:tabs>
        <w:numPr>
          <w:ilvl w:val="0"/>
          <w:numId w:val="134"/>
        </w:numPr>
        <w:rPr>
          <w:rFonts w:ascii="Arial" w:cs="Arial" w:eastAsia="Arial" w:hAnsi="Arial"/>
          <w:sz w:val="16"/>
          <w:szCs w:val="16"/>
          <w:b w:val="1"/>
          <w:bCs w:val="1"/>
          <w:color w:val="auto"/>
        </w:rPr>
      </w:pPr>
      <w:r>
        <w:rPr>
          <w:rFonts w:ascii="Arial" w:cs="Arial" w:eastAsia="Arial" w:hAnsi="Arial"/>
          <w:sz w:val="14"/>
          <w:szCs w:val="14"/>
          <w:color w:val="auto"/>
        </w:rPr>
        <w:t>[***]</w:t>
      </w:r>
      <w:r>
        <w:rPr>
          <w:rFonts w:ascii="Arial" w:cs="Arial" w:eastAsia="Arial" w:hAnsi="Arial"/>
          <w:sz w:val="15"/>
          <w:szCs w:val="15"/>
          <w:color w:val="auto"/>
        </w:rPr>
        <w:t>: In the event the GF Parties</w:t>
      </w:r>
      <w:r>
        <w:rPr>
          <w:rFonts w:ascii="Arial" w:cs="Arial" w:eastAsia="Arial" w:hAnsi="Arial"/>
          <w:sz w:val="14"/>
          <w:szCs w:val="14"/>
          <w:color w:val="auto"/>
        </w:rPr>
        <w:t xml:space="preserve"> [***] </w:t>
      </w:r>
      <w:r>
        <w:rPr>
          <w:rFonts w:ascii="Arial" w:cs="Arial" w:eastAsia="Arial" w:hAnsi="Arial"/>
          <w:sz w:val="15"/>
          <w:szCs w:val="15"/>
          <w:color w:val="auto"/>
        </w:rPr>
        <w:t>of (by</w:t>
      </w:r>
      <w:r>
        <w:rPr>
          <w:rFonts w:ascii="Arial" w:cs="Arial" w:eastAsia="Arial" w:hAnsi="Arial"/>
          <w:sz w:val="14"/>
          <w:szCs w:val="14"/>
          <w:color w:val="auto"/>
        </w:rPr>
        <w:t xml:space="preserve"> [***] </w:t>
      </w:r>
      <w:r>
        <w:rPr>
          <w:rFonts w:ascii="Arial" w:cs="Arial" w:eastAsia="Arial" w:hAnsi="Arial"/>
          <w:sz w:val="15"/>
          <w:szCs w:val="15"/>
          <w:color w:val="auto"/>
        </w:rPr>
        <w:t>set forth in Section</w:t>
      </w:r>
      <w:r>
        <w:rPr>
          <w:rFonts w:ascii="Arial" w:cs="Arial" w:eastAsia="Arial" w:hAnsi="Arial"/>
          <w:sz w:val="14"/>
          <w:szCs w:val="14"/>
          <w:color w:val="auto"/>
        </w:rPr>
        <w:t xml:space="preserve"> [***]</w:t>
      </w:r>
      <w:r>
        <w:rPr>
          <w:rFonts w:ascii="Arial" w:cs="Arial" w:eastAsia="Arial" w:hAnsi="Arial"/>
          <w:sz w:val="15"/>
          <w:szCs w:val="15"/>
          <w:color w:val="auto"/>
        </w:rPr>
        <w:t>) and</w:t>
      </w:r>
      <w:r>
        <w:rPr>
          <w:rFonts w:ascii="Arial" w:cs="Arial" w:eastAsia="Arial" w:hAnsi="Arial"/>
          <w:sz w:val="14"/>
          <w:szCs w:val="14"/>
          <w:color w:val="auto"/>
        </w:rPr>
        <w:t xml:space="preserve"> [***] </w:t>
      </w:r>
      <w:r>
        <w:rPr>
          <w:rFonts w:ascii="Arial" w:cs="Arial" w:eastAsia="Arial" w:hAnsi="Arial"/>
          <w:sz w:val="15"/>
          <w:szCs w:val="15"/>
          <w:color w:val="auto"/>
        </w:rPr>
        <w:t>for all the</w:t>
      </w:r>
      <w:r>
        <w:rPr>
          <w:rFonts w:ascii="Arial" w:cs="Arial" w:eastAsia="Arial" w:hAnsi="Arial"/>
          <w:sz w:val="14"/>
          <w:szCs w:val="14"/>
          <w:color w:val="auto"/>
        </w:rPr>
        <w:t xml:space="preserve"> [***] </w:t>
      </w:r>
      <w:r>
        <w:rPr>
          <w:rFonts w:ascii="Arial" w:cs="Arial" w:eastAsia="Arial" w:hAnsi="Arial"/>
          <w:sz w:val="15"/>
          <w:szCs w:val="15"/>
          <w:color w:val="auto"/>
        </w:rPr>
        <w:t>Volumes, then Supplier will</w:t>
      </w:r>
      <w:r>
        <w:rPr>
          <w:rFonts w:ascii="Arial" w:cs="Arial" w:eastAsia="Arial" w:hAnsi="Arial"/>
          <w:sz w:val="14"/>
          <w:szCs w:val="14"/>
          <w:color w:val="auto"/>
        </w:rPr>
        <w:t xml:space="preserve"> [***]</w:t>
      </w:r>
      <w:r>
        <w:rPr>
          <w:rFonts w:ascii="Arial" w:cs="Arial" w:eastAsia="Arial" w:hAnsi="Arial"/>
          <w:sz w:val="15"/>
          <w:szCs w:val="15"/>
          <w:color w:val="auto"/>
        </w:rPr>
        <w:t>”) upon such</w:t>
      </w:r>
      <w:r>
        <w:rPr>
          <w:rFonts w:ascii="Arial" w:cs="Arial" w:eastAsia="Arial" w:hAnsi="Arial"/>
          <w:sz w:val="14"/>
          <w:szCs w:val="14"/>
          <w:color w:val="auto"/>
        </w:rPr>
        <w:t xml:space="preserve"> [***]</w:t>
      </w:r>
      <w:r>
        <w:rPr>
          <w:rFonts w:ascii="Arial" w:cs="Arial" w:eastAsia="Arial" w:hAnsi="Arial"/>
          <w:sz w:val="15"/>
          <w:szCs w:val="15"/>
          <w:color w:val="auto"/>
        </w:rPr>
        <w:t>. Such</w:t>
      </w:r>
      <w:r>
        <w:rPr>
          <w:rFonts w:ascii="Arial" w:cs="Arial" w:eastAsia="Arial" w:hAnsi="Arial"/>
          <w:sz w:val="14"/>
          <w:szCs w:val="14"/>
          <w:color w:val="auto"/>
        </w:rPr>
        <w:t xml:space="preserve"> [***] </w:t>
      </w:r>
      <w:r>
        <w:rPr>
          <w:rFonts w:ascii="Arial" w:cs="Arial" w:eastAsia="Arial" w:hAnsi="Arial"/>
          <w:sz w:val="15"/>
          <w:szCs w:val="15"/>
          <w:color w:val="auto"/>
        </w:rPr>
        <w:t>will be</w:t>
      </w:r>
      <w:r>
        <w:rPr>
          <w:rFonts w:ascii="Arial" w:cs="Arial" w:eastAsia="Arial" w:hAnsi="Arial"/>
          <w:sz w:val="14"/>
          <w:szCs w:val="14"/>
          <w:color w:val="auto"/>
        </w:rPr>
        <w:t xml:space="preserve"> [***] </w:t>
      </w:r>
      <w:r>
        <w:rPr>
          <w:rFonts w:ascii="Arial" w:cs="Arial" w:eastAsia="Arial" w:hAnsi="Arial"/>
          <w:sz w:val="15"/>
          <w:szCs w:val="15"/>
          <w:color w:val="auto"/>
        </w:rPr>
        <w:t>for</w:t>
      </w:r>
      <w:r>
        <w:rPr>
          <w:rFonts w:ascii="Arial" w:cs="Arial" w:eastAsia="Arial" w:hAnsi="Arial"/>
          <w:sz w:val="14"/>
          <w:szCs w:val="14"/>
          <w:color w:val="auto"/>
        </w:rPr>
        <w:t xml:space="preserve"> [***] </w:t>
      </w:r>
      <w:r>
        <w:rPr>
          <w:rFonts w:ascii="Arial" w:cs="Arial" w:eastAsia="Arial" w:hAnsi="Arial"/>
          <w:sz w:val="15"/>
          <w:szCs w:val="15"/>
          <w:color w:val="auto"/>
        </w:rPr>
        <w:t>to Supplier.</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[the balance of the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5</w:t>
      </w:r>
    </w:p>
    <w:p>
      <w:pPr>
        <w:sectPr>
          <w:pgSz w:w="11900" w:h="16838" w:orient="portrait"/>
          <w:cols w:equalWidth="0" w:num="1">
            <w:col w:w="11280"/>
          </w:cols>
          <w:pgMar w:left="300" w:top="109" w:right="319" w:bottom="1440" w:gutter="0" w:footer="0" w:header="0"/>
        </w:sectPr>
      </w:pPr>
    </w:p>
    <w:bookmarkStart w:id="144" w:name="page145"/>
    <w:bookmarkEnd w:id="144"/>
    <w:p>
      <w:pPr>
        <w:jc w:val="right"/>
        <w:spacing w:after="0"/>
        <w:rPr>
          <w:sz w:val="20"/>
          <w:szCs w:val="20"/>
          <w:color w:val="auto"/>
        </w:rPr>
      </w:pPr>
      <w:r>
        <w:rPr>
          <w:rFonts w:ascii="Calibri" w:cs="Calibri" w:eastAsia="Calibri" w:hAnsi="Calibri"/>
          <w:sz w:val="16"/>
          <w:szCs w:val="16"/>
          <w:b w:val="1"/>
          <w:bCs w:val="1"/>
          <w:color w:val="auto"/>
        </w:rPr>
        <w:t>Exhibit 4.12</w:t>
      </w:r>
    </w:p>
    <w:p>
      <w:pPr>
        <w:jc w:val="right"/>
        <w:spacing w:after="0" w:line="234" w:lineRule="auto"/>
        <w:rPr>
          <w:sz w:val="20"/>
          <w:szCs w:val="20"/>
          <w:color w:val="auto"/>
        </w:rPr>
      </w:pPr>
      <w:r>
        <w:rPr>
          <w:rFonts w:ascii="Calibri" w:cs="Calibri" w:eastAsia="Calibri" w:hAnsi="Calibri"/>
          <w:sz w:val="16"/>
          <w:szCs w:val="16"/>
          <w:b w:val="1"/>
          <w:bCs w:val="1"/>
          <w:u w:val="single" w:color="auto"/>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2023-2024 Mixed Product Addendum to the Materials Supply Agreement, effective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Commencement Date.</w:t>
      </w:r>
    </w:p>
    <w:p>
      <w:pPr>
        <w:sectPr>
          <w:pgSz w:w="11900" w:h="16838" w:orient="portrait"/>
          <w:cols w:equalWidth="0" w:num="1">
            <w:col w:w="11280"/>
          </w:cols>
          <w:pgMar w:left="300" w:top="10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2900" w:val="left"/>
        </w:tabs>
        <w:rPr>
          <w:sz w:val="20"/>
          <w:szCs w:val="20"/>
          <w:color w:val="auto"/>
        </w:rPr>
      </w:pPr>
      <w:r>
        <w:rPr>
          <w:rFonts w:ascii="Arial" w:cs="Arial" w:eastAsia="Arial" w:hAnsi="Arial"/>
          <w:sz w:val="16"/>
          <w:szCs w:val="16"/>
          <w:b w:val="1"/>
          <w:bCs w:val="1"/>
          <w:color w:val="auto"/>
        </w:rPr>
        <w:t>GLOBALFOUNDRIES U.S. Inc.</w:t>
      </w:r>
      <w:r>
        <w:rPr>
          <w:sz w:val="20"/>
          <w:szCs w:val="20"/>
          <w:color w:val="auto"/>
        </w:rPr>
        <w:tab/>
      </w:r>
      <w:r>
        <w:rPr>
          <w:rFonts w:ascii="Arial" w:cs="Arial" w:eastAsia="Arial" w:hAnsi="Arial"/>
          <w:sz w:val="14"/>
          <w:szCs w:val="14"/>
          <w:b w:val="1"/>
          <w:bCs w:val="1"/>
          <w:color w:val="auto"/>
        </w:rPr>
        <w:t>SOITEC S.A.</w:t>
      </w:r>
    </w:p>
    <w:p>
      <w:pPr>
        <w:spacing w:after="0" w:line="23" w:lineRule="exact"/>
        <w:rPr>
          <w:sz w:val="20"/>
          <w:szCs w:val="20"/>
          <w:color w:val="auto"/>
        </w:rPr>
      </w:pPr>
    </w:p>
    <w:p>
      <w:pPr>
        <w:spacing w:after="0"/>
        <w:tabs>
          <w:tab w:leader="none" w:pos="1740" w:val="left"/>
        </w:tabs>
        <w:rPr>
          <w:sz w:val="20"/>
          <w:szCs w:val="20"/>
          <w:color w:val="auto"/>
        </w:rPr>
      </w:pPr>
      <w:r>
        <w:rPr>
          <w:rFonts w:ascii="Arial" w:cs="Arial" w:eastAsia="Arial" w:hAnsi="Arial"/>
          <w:sz w:val="16"/>
          <w:szCs w:val="16"/>
          <w:b w:val="1"/>
          <w:bCs w:val="1"/>
          <w:color w:val="auto"/>
        </w:rPr>
        <w:t>“GF”</w:t>
      </w:r>
      <w:r>
        <w:rPr>
          <w:sz w:val="20"/>
          <w:szCs w:val="20"/>
          <w:color w:val="auto"/>
        </w:rPr>
        <w:tab/>
      </w:r>
      <w:r>
        <w:rPr>
          <w:rFonts w:ascii="Arial" w:cs="Arial" w:eastAsia="Arial" w:hAnsi="Arial"/>
          <w:sz w:val="16"/>
          <w:szCs w:val="16"/>
          <w:b w:val="1"/>
          <w:bCs w:val="1"/>
          <w:color w:val="auto"/>
        </w:rPr>
        <w:t>“Supplier”</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Roger Kao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wp:posOffset>
            </wp:positionV>
            <wp:extent cx="344932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3449320" cy="698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Authorized Signature</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6"/>
          <w:szCs w:val="16"/>
          <w:color w:val="auto"/>
        </w:rPr>
        <w:t>Roger Kao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wp:posOffset>
            </wp:positionV>
            <wp:extent cx="344932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3449320" cy="698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Print Name</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6"/>
          <w:szCs w:val="16"/>
          <w:color w:val="auto"/>
        </w:rPr>
        <w:t>VP Procurement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wp:posOffset>
            </wp:positionV>
            <wp:extent cx="344932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3449320" cy="698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0" w:right="1140"/>
        <w:spacing w:after="0" w:line="289" w:lineRule="auto"/>
        <w:rPr>
          <w:sz w:val="20"/>
          <w:szCs w:val="20"/>
          <w:color w:val="auto"/>
        </w:rPr>
      </w:pPr>
      <w:r>
        <w:rPr>
          <w:rFonts w:ascii="Arial" w:cs="Arial" w:eastAsia="Arial" w:hAnsi="Arial"/>
          <w:sz w:val="16"/>
          <w:szCs w:val="16"/>
          <w:b w:val="1"/>
          <w:bCs w:val="1"/>
          <w:color w:val="auto"/>
        </w:rPr>
        <w:t>GlobalFoundries Dresden Module One LLC &amp; Co KG “</w:t>
      </w:r>
      <w:r>
        <w:rPr>
          <w:rFonts w:ascii="Arial" w:cs="Arial" w:eastAsia="Arial" w:hAnsi="Arial"/>
          <w:sz w:val="16"/>
          <w:szCs w:val="16"/>
          <w:color w:val="auto"/>
        </w:rPr>
        <w:t>GF Dresden</w:t>
      </w:r>
      <w:r>
        <w:rPr>
          <w:rFonts w:ascii="Arial" w:cs="Arial" w:eastAsia="Arial" w:hAnsi="Arial"/>
          <w:sz w:val="16"/>
          <w:szCs w:val="16"/>
          <w:b w:val="1"/>
          <w:bCs w:val="1"/>
          <w:color w:val="auto"/>
        </w:rPr>
        <w:t>”</w:t>
      </w:r>
    </w:p>
    <w:p>
      <w:pPr>
        <w:spacing w:after="0" w:line="355"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__/s/ Yvonne Keil</w:t>
      </w:r>
      <w:r>
        <w:rPr>
          <w:rFonts w:ascii="Arial" w:cs="Arial" w:eastAsia="Arial" w:hAnsi="Arial"/>
          <w:sz w:val="16"/>
          <w:szCs w:val="16"/>
          <w:color w:val="auto"/>
        </w:rPr>
        <w:t>____________________________</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Authorized Signature &amp; Company Seal (if applicable)</w:t>
      </w: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__</w:t>
      </w:r>
      <w:r>
        <w:rPr>
          <w:rFonts w:ascii="Arial" w:cs="Arial" w:eastAsia="Arial" w:hAnsi="Arial"/>
          <w:sz w:val="16"/>
          <w:szCs w:val="16"/>
          <w:u w:val="single" w:color="auto"/>
          <w:color w:val="auto"/>
        </w:rPr>
        <w:t>Yvonne Keil</w:t>
      </w:r>
      <w:r>
        <w:rPr>
          <w:rFonts w:ascii="Arial" w:cs="Arial" w:eastAsia="Arial" w:hAnsi="Arial"/>
          <w:sz w:val="16"/>
          <w:szCs w:val="16"/>
          <w:color w:val="auto"/>
        </w:rPr>
        <w:t>______________________________</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Print Name</w:t>
      </w: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_</w:t>
      </w:r>
      <w:r>
        <w:rPr>
          <w:rFonts w:ascii="Arial" w:cs="Arial" w:eastAsia="Arial" w:hAnsi="Arial"/>
          <w:sz w:val="16"/>
          <w:szCs w:val="16"/>
          <w:u w:val="single" w:color="auto"/>
          <w:color w:val="auto"/>
        </w:rPr>
        <w:t>Sr. Director Procurement</w:t>
      </w:r>
      <w:r>
        <w:rPr>
          <w:rFonts w:ascii="Arial" w:cs="Arial" w:eastAsia="Arial" w:hAnsi="Arial"/>
          <w:sz w:val="16"/>
          <w:szCs w:val="16"/>
          <w:color w:val="auto"/>
        </w:rPr>
        <w:t>_____________________</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__________________________________________</w:t>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/s/ Peirre Barnabe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35560</wp:posOffset>
            </wp:positionV>
            <wp:extent cx="345630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3456305" cy="698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Authorized Signature</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Peirre Barnabe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35560</wp:posOffset>
            </wp:positionV>
            <wp:extent cx="345630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3456305" cy="698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35560</wp:posOffset>
            </wp:positionV>
            <wp:extent cx="345630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3456305" cy="698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4783" w:lineRule="exact"/>
        <w:rPr>
          <w:sz w:val="20"/>
          <w:szCs w:val="20"/>
          <w:color w:val="auto"/>
        </w:rPr>
      </w:pPr>
    </w:p>
    <w:p>
      <w:pPr>
        <w:sectPr>
          <w:pgSz w:w="11900" w:h="16838" w:orient="portrait"/>
          <w:cols w:equalWidth="0" w:num="2">
            <w:col w:w="5140" w:space="720"/>
            <w:col w:w="5420"/>
          </w:cols>
          <w:pgMar w:left="300" w:top="109"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6</w:t>
      </w:r>
    </w:p>
    <w:p>
      <w:pPr>
        <w:sectPr>
          <w:pgSz w:w="11900" w:h="16838" w:orient="portrait"/>
          <w:cols w:equalWidth="0" w:num="1">
            <w:col w:w="11280"/>
          </w:cols>
          <w:pgMar w:left="300" w:top="109" w:right="319" w:bottom="1440" w:gutter="0" w:footer="0" w:header="0"/>
          <w:type w:val="continuous"/>
        </w:sectPr>
      </w:pPr>
    </w:p>
    <w:bookmarkStart w:id="145" w:name="page146"/>
    <w:bookmarkEnd w:id="145"/>
    <w:p>
      <w:pPr>
        <w:jc w:val="right"/>
        <w:spacing w:after="0"/>
        <w:rPr>
          <w:sz w:val="20"/>
          <w:szCs w:val="20"/>
          <w:color w:val="auto"/>
        </w:rPr>
      </w:pPr>
      <w:r>
        <w:rPr>
          <w:rFonts w:ascii="Calibri" w:cs="Calibri" w:eastAsia="Calibri" w:hAnsi="Calibri"/>
          <w:sz w:val="16"/>
          <w:szCs w:val="16"/>
          <w:b w:val="1"/>
          <w:bCs w:val="1"/>
          <w:color w:val="auto"/>
        </w:rPr>
        <w:t>Exhibit 4.12</w:t>
      </w:r>
    </w:p>
    <w:p>
      <w:pPr>
        <w:jc w:val="right"/>
        <w:spacing w:after="0" w:line="234" w:lineRule="auto"/>
        <w:rPr>
          <w:sz w:val="20"/>
          <w:szCs w:val="20"/>
          <w:color w:val="auto"/>
        </w:rPr>
      </w:pPr>
      <w:r>
        <w:rPr>
          <w:rFonts w:ascii="Calibri" w:cs="Calibri" w:eastAsia="Calibri" w:hAnsi="Calibri"/>
          <w:sz w:val="16"/>
          <w:szCs w:val="16"/>
          <w:b w:val="1"/>
          <w:bCs w:val="1"/>
          <w:u w:val="single" w:color="auto"/>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u w:val="single" w:color="auto"/>
          <w:color w:val="auto"/>
        </w:rPr>
        <w:t>EXHIBIT A</w:t>
      </w:r>
    </w:p>
    <w:p>
      <w:pPr>
        <w:jc w:val="center"/>
        <w:spacing w:after="0" w:line="233" w:lineRule="auto"/>
        <w:rPr>
          <w:sz w:val="20"/>
          <w:szCs w:val="20"/>
          <w:color w:val="auto"/>
        </w:rPr>
      </w:pPr>
      <w:r>
        <w:rPr>
          <w:rFonts w:ascii="Calibri" w:cs="Calibri" w:eastAsia="Calibri" w:hAnsi="Calibri"/>
          <w:sz w:val="17"/>
          <w:szCs w:val="17"/>
          <w:b w:val="1"/>
          <w:bCs w:val="1"/>
          <w:u w:val="single" w:color="auto"/>
          <w:color w:val="auto"/>
        </w:rPr>
        <w:t>Product Specifcatons</w:t>
      </w:r>
    </w:p>
    <w:p>
      <w:pPr>
        <w:spacing w:after="0" w:line="200" w:lineRule="exact"/>
        <w:rPr>
          <w:sz w:val="20"/>
          <w:szCs w:val="20"/>
          <w:color w:val="auto"/>
        </w:rPr>
      </w:pP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100" w:type="dxa"/>
            <w:vAlign w:val="bottom"/>
            <w:tcBorders>
              <w:top w:val="single" w:sz="8" w:color="auto"/>
              <w:left w:val="single" w:sz="8" w:color="auto"/>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4"/>
                <w:szCs w:val="14"/>
                <w:color w:val="auto"/>
                <w:w w:val="96"/>
              </w:rPr>
              <w:t>Technology</w:t>
            </w:r>
          </w:p>
        </w:tc>
        <w:tc>
          <w:tcPr>
            <w:tcW w:w="2020" w:type="dxa"/>
            <w:vAlign w:val="bottom"/>
            <w:tcBorders>
              <w:top w:val="single" w:sz="8" w:color="auto"/>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4"/>
                <w:szCs w:val="14"/>
                <w:color w:val="auto"/>
              </w:rPr>
              <w:t>Program</w:t>
            </w:r>
          </w:p>
        </w:tc>
        <w:tc>
          <w:tcPr>
            <w:tcW w:w="3140" w:type="dxa"/>
            <w:vAlign w:val="bottom"/>
            <w:tcBorders>
              <w:top w:val="single" w:sz="8" w:color="auto"/>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4"/>
                <w:szCs w:val="14"/>
                <w:color w:val="auto"/>
              </w:rPr>
              <w:t>Products ( GF PN)</w:t>
            </w:r>
          </w:p>
        </w:tc>
        <w:tc>
          <w:tcPr>
            <w:tcW w:w="3580" w:type="dxa"/>
            <w:vAlign w:val="bottom"/>
            <w:tcBorders>
              <w:top w:val="single" w:sz="8" w:color="auto"/>
              <w:bottom w:val="single" w:sz="8" w:color="F3F3F3"/>
              <w:right w:val="single" w:sz="8" w:color="auto"/>
            </w:tcBorders>
            <w:shd w:val="clear" w:color="auto" w:fill="F3F3F3"/>
          </w:tcPr>
          <w:p>
            <w:pPr>
              <w:jc w:val="center"/>
              <w:spacing w:after="0"/>
              <w:rPr>
                <w:sz w:val="20"/>
                <w:szCs w:val="20"/>
                <w:color w:val="auto"/>
              </w:rPr>
            </w:pPr>
            <w:r>
              <w:rPr>
                <w:rFonts w:ascii="Arial" w:cs="Arial" w:eastAsia="Arial" w:hAnsi="Arial"/>
                <w:sz w:val="14"/>
                <w:szCs w:val="14"/>
                <w:color w:val="auto"/>
              </w:rPr>
              <w:t>Specs*</w:t>
            </w:r>
          </w:p>
        </w:tc>
        <w:tc>
          <w:tcPr>
            <w:tcW w:w="0" w:type="dxa"/>
            <w:vAlign w:val="bottom"/>
          </w:tcPr>
          <w:p>
            <w:pPr>
              <w:spacing w:after="0"/>
              <w:rPr>
                <w:sz w:val="1"/>
                <w:szCs w:val="1"/>
                <w:color w:val="auto"/>
              </w:rPr>
            </w:pPr>
          </w:p>
        </w:tc>
      </w:tr>
      <w:tr>
        <w:trPr>
          <w:trHeight w:val="194"/>
        </w:trPr>
        <w:tc>
          <w:tcPr>
            <w:tcW w:w="21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0"/>
        </w:trPr>
        <w:tc>
          <w:tcPr>
            <w:tcW w:w="2100" w:type="dxa"/>
            <w:vAlign w:val="bottom"/>
            <w:tcBorders>
              <w:left w:val="single" w:sz="8" w:color="auto"/>
              <w:right w:val="single" w:sz="8" w:color="auto"/>
            </w:tcBorders>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10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0"/>
        </w:trPr>
        <w:tc>
          <w:tcPr>
            <w:tcW w:w="2100" w:type="dxa"/>
            <w:vAlign w:val="bottom"/>
            <w:tcBorders>
              <w:left w:val="single" w:sz="8" w:color="auto"/>
              <w:right w:val="single" w:sz="8" w:color="auto"/>
            </w:tcBorders>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10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0"/>
        </w:trPr>
        <w:tc>
          <w:tcPr>
            <w:tcW w:w="2100" w:type="dxa"/>
            <w:vAlign w:val="bottom"/>
            <w:tcBorders>
              <w:left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10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0"/>
        </w:trPr>
        <w:tc>
          <w:tcPr>
            <w:tcW w:w="2100" w:type="dxa"/>
            <w:vAlign w:val="bottom"/>
            <w:tcBorders>
              <w:left w:val="single" w:sz="8" w:color="auto"/>
              <w:right w:val="single" w:sz="8" w:color="auto"/>
            </w:tcBorders>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10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0"/>
        </w:trPr>
        <w:tc>
          <w:tcPr>
            <w:tcW w:w="2100" w:type="dxa"/>
            <w:vAlign w:val="bottom"/>
            <w:tcBorders>
              <w:left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10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0"/>
        </w:trPr>
        <w:tc>
          <w:tcPr>
            <w:tcW w:w="2100" w:type="dxa"/>
            <w:vAlign w:val="bottom"/>
            <w:tcBorders>
              <w:left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10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0"/>
        </w:trPr>
        <w:tc>
          <w:tcPr>
            <w:tcW w:w="2100" w:type="dxa"/>
            <w:vAlign w:val="bottom"/>
            <w:tcBorders>
              <w:left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10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0"/>
        </w:trPr>
        <w:tc>
          <w:tcPr>
            <w:tcW w:w="2100" w:type="dxa"/>
            <w:vAlign w:val="bottom"/>
            <w:tcBorders>
              <w:left w:val="single" w:sz="8" w:color="auto"/>
              <w:right w:val="single" w:sz="8" w:color="auto"/>
            </w:tcBorders>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3580" w:type="dxa"/>
            <w:vAlign w:val="bottom"/>
            <w:tcBorders>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100" w:type="dxa"/>
            <w:vAlign w:val="bottom"/>
            <w:tcBorders>
              <w:left w:val="single" w:sz="8" w:color="auto"/>
              <w:right w:val="single" w:sz="8" w:color="auto"/>
            </w:tcBorders>
          </w:tcPr>
          <w:p>
            <w:pPr>
              <w:spacing w:after="0"/>
              <w:rPr>
                <w:sz w:val="5"/>
                <w:szCs w:val="5"/>
                <w:color w:val="auto"/>
              </w:rPr>
            </w:pPr>
          </w:p>
        </w:tc>
        <w:tc>
          <w:tcPr>
            <w:tcW w:w="2020" w:type="dxa"/>
            <w:vAlign w:val="bottom"/>
            <w:tcBorders>
              <w:right w:val="single" w:sz="8" w:color="auto"/>
            </w:tcBorders>
          </w:tcPr>
          <w:p>
            <w:pPr>
              <w:spacing w:after="0"/>
              <w:rPr>
                <w:sz w:val="5"/>
                <w:szCs w:val="5"/>
                <w:color w:val="auto"/>
              </w:rPr>
            </w:pP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35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100" w:type="dxa"/>
            <w:vAlign w:val="bottom"/>
            <w:tcBorders>
              <w:left w:val="single" w:sz="8" w:color="auto"/>
              <w:right w:val="single" w:sz="8" w:color="auto"/>
            </w:tcBorders>
          </w:tcPr>
          <w:p>
            <w:pPr>
              <w:spacing w:after="0"/>
              <w:rPr>
                <w:sz w:val="11"/>
                <w:szCs w:val="11"/>
                <w:color w:val="auto"/>
              </w:rPr>
            </w:pPr>
          </w:p>
        </w:tc>
        <w:tc>
          <w:tcPr>
            <w:tcW w:w="2020" w:type="dxa"/>
            <w:vAlign w:val="bottom"/>
            <w:tcBorders>
              <w:right w:val="single" w:sz="8" w:color="auto"/>
            </w:tcBorders>
          </w:tcPr>
          <w:p>
            <w:pPr>
              <w:spacing w:after="0"/>
              <w:rPr>
                <w:sz w:val="11"/>
                <w:szCs w:val="11"/>
                <w:color w:val="auto"/>
              </w:rPr>
            </w:pPr>
          </w:p>
        </w:tc>
        <w:tc>
          <w:tcPr>
            <w:tcW w:w="3140" w:type="dxa"/>
            <w:vAlign w:val="bottom"/>
            <w:tcBorders>
              <w:right w:val="single" w:sz="8" w:color="auto"/>
            </w:tcBorders>
            <w:vMerge w:val="continue"/>
          </w:tcPr>
          <w:p>
            <w:pPr>
              <w:spacing w:after="0"/>
              <w:rPr>
                <w:sz w:val="11"/>
                <w:szCs w:val="11"/>
                <w:color w:val="auto"/>
              </w:rPr>
            </w:pPr>
          </w:p>
        </w:tc>
        <w:tc>
          <w:tcPr>
            <w:tcW w:w="3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0"/>
        </w:trPr>
        <w:tc>
          <w:tcPr>
            <w:tcW w:w="2100" w:type="dxa"/>
            <w:vAlign w:val="bottom"/>
            <w:tcBorders>
              <w:left w:val="single" w:sz="8" w:color="auto"/>
              <w:right w:val="single" w:sz="8" w:color="auto"/>
            </w:tcBorders>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10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0"/>
        </w:trPr>
        <w:tc>
          <w:tcPr>
            <w:tcW w:w="2100" w:type="dxa"/>
            <w:vAlign w:val="bottom"/>
            <w:tcBorders>
              <w:left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10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0"/>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0"/>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10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0"/>
        </w:trPr>
        <w:tc>
          <w:tcPr>
            <w:tcW w:w="2100" w:type="dxa"/>
            <w:vAlign w:val="bottom"/>
            <w:tcBorders>
              <w:left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0"/>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7</w:t>
      </w:r>
    </w:p>
    <w:p>
      <w:pPr>
        <w:sectPr>
          <w:pgSz w:w="11900" w:h="16838" w:orient="portrait"/>
          <w:cols w:equalWidth="0" w:num="1">
            <w:col w:w="11280"/>
          </w:cols>
          <w:pgMar w:left="300" w:top="109" w:right="31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4"/>
          <w:szCs w:val="14"/>
          <w:b w:val="1"/>
          <w:bCs w:val="1"/>
          <w:color w:val="auto"/>
        </w:rPr>
        <w:t>Exhibit 4.17</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u w:val="single" w:color="auto"/>
          <w:color w:val="auto"/>
        </w:rPr>
        <w:t>Date 28 June 2023</w:t>
      </w:r>
    </w:p>
    <w:p>
      <w:pPr>
        <w:spacing w:after="0" w:line="200" w:lineRule="exact"/>
        <w:rPr>
          <w:sz w:val="20"/>
          <w:szCs w:val="20"/>
          <w:color w:val="auto"/>
        </w:rPr>
      </w:pPr>
    </w:p>
    <w:p>
      <w:pPr>
        <w:spacing w:after="0" w:line="37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GLOBALFOUNDRIES INC.</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as the Company</w:t>
      </w:r>
    </w:p>
    <w:p>
      <w:pPr>
        <w:spacing w:after="0" w:line="200" w:lineRule="exact"/>
        <w:rPr>
          <w:sz w:val="20"/>
          <w:szCs w:val="20"/>
          <w:color w:val="auto"/>
        </w:rPr>
      </w:pPr>
    </w:p>
    <w:p>
      <w:pPr>
        <w:spacing w:after="0" w:line="36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 and -</w:t>
      </w:r>
    </w:p>
    <w:p>
      <w:pPr>
        <w:spacing w:after="0" w:line="200" w:lineRule="exact"/>
        <w:rPr>
          <w:sz w:val="20"/>
          <w:szCs w:val="20"/>
          <w:color w:val="auto"/>
        </w:rPr>
      </w:pPr>
    </w:p>
    <w:p>
      <w:pPr>
        <w:spacing w:after="0" w:line="37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CITIBANK EUROPE PLC, UK BRANCH</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as Facility Agent</w:t>
      </w:r>
    </w:p>
    <w:p>
      <w:pPr>
        <w:spacing w:after="0" w:line="20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w:t>
      </w:r>
    </w:p>
    <w:p>
      <w:pPr>
        <w:spacing w:after="0" w:line="2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AMENDMENT AGREEMENT</w:t>
      </w:r>
    </w:p>
    <w:p>
      <w:pPr>
        <w:spacing w:after="0" w:line="5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relating to the Revolving and L/C Facilities Agreement originally dated 18 October 2019</w:t>
      </w:r>
    </w:p>
    <w:p>
      <w:pPr>
        <w:spacing w:after="0" w:line="24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w:t>
      </w:r>
    </w:p>
    <w:p>
      <w:pPr>
        <w:sectPr>
          <w:pgSz w:w="11900" w:h="16838" w:orient="portrait"/>
          <w:cols w:equalWidth="0" w:num="1">
            <w:col w:w="10140"/>
          </w:cols>
          <w:pgMar w:left="1440" w:top="122" w:right="31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6700" w:type="dxa"/>
            <w:vAlign w:val="bottom"/>
          </w:tcPr>
          <w:p>
            <w:pPr>
              <w:jc w:val="right"/>
              <w:ind w:right="5149"/>
              <w:spacing w:after="0"/>
              <w:rPr>
                <w:sz w:val="20"/>
                <w:szCs w:val="20"/>
                <w:color w:val="auto"/>
              </w:rPr>
            </w:pPr>
            <w:r>
              <w:rPr>
                <w:rFonts w:ascii="Times New Roman" w:cs="Times New Roman" w:eastAsia="Times New Roman" w:hAnsi="Times New Roman"/>
                <w:sz w:val="14"/>
                <w:szCs w:val="14"/>
                <w:b w:val="1"/>
                <w:bCs w:val="1"/>
                <w:color w:val="auto"/>
              </w:rPr>
              <w:t>CONTENTS</w:t>
            </w:r>
          </w:p>
        </w:tc>
      </w:tr>
      <w:tr>
        <w:trPr>
          <w:trHeight w:val="739"/>
        </w:trPr>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75"/>
              </w:rPr>
              <w:t>1.</w:t>
            </w:r>
          </w:p>
        </w:tc>
        <w:tc>
          <w:tcPr>
            <w:tcW w:w="4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DEFINITIONS AND INTERPRETATION</w:t>
            </w:r>
          </w:p>
        </w:tc>
        <w:tc>
          <w:tcPr>
            <w:tcW w:w="6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75"/>
              </w:rPr>
              <w:t>2.</w:t>
            </w:r>
          </w:p>
        </w:tc>
        <w:tc>
          <w:tcPr>
            <w:tcW w:w="4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REPRESENTATIONS</w:t>
            </w:r>
          </w:p>
        </w:tc>
        <w:tc>
          <w:tcPr>
            <w:tcW w:w="6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75"/>
              </w:rPr>
              <w:t>3.</w:t>
            </w:r>
          </w:p>
        </w:tc>
        <w:tc>
          <w:tcPr>
            <w:tcW w:w="4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AMENDMENTS TO ORIGINAL FACILITIES AGREEMENT</w:t>
            </w:r>
          </w:p>
        </w:tc>
        <w:tc>
          <w:tcPr>
            <w:tcW w:w="6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75"/>
              </w:rPr>
              <w:t>4.</w:t>
            </w:r>
          </w:p>
        </w:tc>
        <w:tc>
          <w:tcPr>
            <w:tcW w:w="4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FACILITY AGENT</w:t>
            </w:r>
          </w:p>
        </w:tc>
        <w:tc>
          <w:tcPr>
            <w:tcW w:w="6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75"/>
              </w:rPr>
              <w:t>5.</w:t>
            </w:r>
          </w:p>
        </w:tc>
        <w:tc>
          <w:tcPr>
            <w:tcW w:w="4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MISCELLANEOUS</w:t>
            </w:r>
          </w:p>
        </w:tc>
        <w:tc>
          <w:tcPr>
            <w:tcW w:w="6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4"/>
        </w:trPr>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75"/>
              </w:rPr>
              <w:t>6.</w:t>
            </w:r>
          </w:p>
        </w:tc>
        <w:tc>
          <w:tcPr>
            <w:tcW w:w="4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GOVERNING LAW</w:t>
            </w:r>
          </w:p>
        </w:tc>
        <w:tc>
          <w:tcPr>
            <w:tcW w:w="6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bl>
    <w:p>
      <w:pPr>
        <w:sectPr>
          <w:pgSz w:w="11900" w:h="16838" w:orient="portrait"/>
          <w:cols w:equalWidth="0" w:num="1">
            <w:col w:w="11240"/>
          </w:cols>
          <w:pgMar w:left="320" w:top="1162"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color w:val="auto"/>
        </w:rPr>
        <w:t xml:space="preserve">THIS AMENDMENT AGREEMENT </w:t>
      </w:r>
      <w:r>
        <w:rPr>
          <w:rFonts w:ascii="Times New Roman" w:cs="Times New Roman" w:eastAsia="Times New Roman" w:hAnsi="Times New Roman"/>
          <w:sz w:val="14"/>
          <w:szCs w:val="14"/>
          <w:color w:val="auto"/>
        </w:rPr>
        <w:t>is made on 28 June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BETWEEN</w:t>
      </w:r>
      <w:r>
        <w:rPr>
          <w:rFonts w:ascii="Times New Roman" w:cs="Times New Roman" w:eastAsia="Times New Roman" w:hAnsi="Times New Roman"/>
          <w:sz w:val="14"/>
          <w:szCs w:val="14"/>
          <w:color w:val="auto"/>
        </w:rPr>
        <w:t>:</w:t>
      </w:r>
    </w:p>
    <w:p>
      <w:pPr>
        <w:spacing w:after="0" w:line="210" w:lineRule="exact"/>
        <w:rPr>
          <w:sz w:val="20"/>
          <w:szCs w:val="20"/>
          <w:color w:val="auto"/>
        </w:rPr>
      </w:pPr>
    </w:p>
    <w:p>
      <w:pPr>
        <w:ind w:left="520" w:hanging="515"/>
        <w:spacing w:after="0" w:line="337" w:lineRule="auto"/>
        <w:tabs>
          <w:tab w:leader="none" w:pos="327"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GLOBALFOUNDRIES INC</w:t>
      </w:r>
      <w:r>
        <w:rPr>
          <w:rFonts w:ascii="Times New Roman" w:cs="Times New Roman" w:eastAsia="Times New Roman" w:hAnsi="Times New Roman"/>
          <w:sz w:val="14"/>
          <w:szCs w:val="14"/>
          <w:color w:val="auto"/>
        </w:rPr>
        <w:t>., an exempted company incorporated in the Cayman Islands with its registered office at Maples Corporate Services Limited, PO Box 309, Ugland House, Grand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Cayman, KY1-1104, Cayman Islands on behalf of itself and as Obligors' Agent (as defined in the Original Facilities Agreement (as defined below))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w:t>
      </w:r>
    </w:p>
    <w:p>
      <w:pPr>
        <w:spacing w:after="0" w:line="12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CITIBANK EUROPE PLC, UK BRANCH </w:t>
      </w:r>
      <w:r>
        <w:rPr>
          <w:rFonts w:ascii="Times New Roman" w:cs="Times New Roman" w:eastAsia="Times New Roman" w:hAnsi="Times New Roman"/>
          <w:sz w:val="14"/>
          <w:szCs w:val="14"/>
          <w:color w:val="auto"/>
        </w:rPr>
        <w:t>as facility agent of the other Finance Parties (as defined in the Original Facilities Agreement (as defined below)) (the "</w:t>
      </w:r>
      <w:r>
        <w:rPr>
          <w:rFonts w:ascii="Times New Roman" w:cs="Times New Roman" w:eastAsia="Times New Roman" w:hAnsi="Times New Roman"/>
          <w:sz w:val="14"/>
          <w:szCs w:val="14"/>
          <w:b w:val="1"/>
          <w:bCs w:val="1"/>
          <w:color w:val="auto"/>
        </w:rPr>
        <w:t>Facility Agent</w:t>
      </w:r>
      <w:r>
        <w:rPr>
          <w:rFonts w:ascii="Times New Roman" w:cs="Times New Roman" w:eastAsia="Times New Roman" w:hAnsi="Times New Roman"/>
          <w:sz w:val="14"/>
          <w:szCs w:val="14"/>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w:t>
      </w:r>
    </w:p>
    <w:p>
      <w:pPr>
        <w:spacing w:after="0" w:line="212" w:lineRule="exact"/>
        <w:rPr>
          <w:sz w:val="20"/>
          <w:szCs w:val="20"/>
          <w:color w:val="auto"/>
        </w:rPr>
      </w:pPr>
    </w:p>
    <w:p>
      <w:pPr>
        <w:jc w:val="both"/>
        <w:ind w:left="520" w:hanging="515"/>
        <w:spacing w:after="0" w:line="325" w:lineRule="auto"/>
        <w:tabs>
          <w:tab w:leader="none" w:pos="515"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the Facility Agent (among others) entered into a revolving and L/C credit facilities agreement dated 18 October 2019 pursuant to which the lenders thereunder made available to the Original Borrowers a Revolving Facility in an original aggregate amount of $235,000,000 and a L/C Facility in an original aggregate amount of $20,000,000 (each as defined therein) (as amended, amended and restated and/or supplemented from time to time prior to the date hereof, the "</w:t>
      </w:r>
      <w:r>
        <w:rPr>
          <w:rFonts w:ascii="Times New Roman" w:cs="Times New Roman" w:eastAsia="Times New Roman" w:hAnsi="Times New Roman"/>
          <w:sz w:val="14"/>
          <w:szCs w:val="14"/>
          <w:b w:val="1"/>
          <w:bCs w:val="1"/>
          <w:color w:val="auto"/>
        </w:rPr>
        <w:t>Original Facilities Agreement</w:t>
      </w:r>
      <w:r>
        <w:rPr>
          <w:rFonts w:ascii="Times New Roman" w:cs="Times New Roman" w:eastAsia="Times New Roman" w:hAnsi="Times New Roman"/>
          <w:sz w:val="14"/>
          <w:szCs w:val="14"/>
          <w:color w:val="auto"/>
        </w:rPr>
        <w:t>").</w:t>
      </w:r>
    </w:p>
    <w:p>
      <w:pPr>
        <w:spacing w:after="0" w:line="131" w:lineRule="exact"/>
        <w:rPr>
          <w:rFonts w:ascii="Times New Roman" w:cs="Times New Roman" w:eastAsia="Times New Roman" w:hAnsi="Times New Roman"/>
          <w:sz w:val="14"/>
          <w:szCs w:val="14"/>
          <w:color w:val="auto"/>
        </w:rPr>
      </w:pPr>
    </w:p>
    <w:p>
      <w:pPr>
        <w:jc w:val="both"/>
        <w:ind w:left="520" w:hanging="515"/>
        <w:spacing w:after="0" w:line="317" w:lineRule="auto"/>
        <w:tabs>
          <w:tab w:leader="none" w:pos="517"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Facility Agent, for itself and on behalf of the Lenders under the Original Facilities Agreement and the Company, for itself and on behalf of the other Obligors pursuant to Clause 2.4 (</w:t>
      </w:r>
      <w:r>
        <w:rPr>
          <w:rFonts w:ascii="Times New Roman" w:cs="Times New Roman" w:eastAsia="Times New Roman" w:hAnsi="Times New Roman"/>
          <w:sz w:val="14"/>
          <w:szCs w:val="14"/>
          <w:i w:val="1"/>
          <w:iCs w:val="1"/>
          <w:color w:val="auto"/>
        </w:rPr>
        <w:t>Obligors' Agent</w:t>
      </w:r>
      <w:r>
        <w:rPr>
          <w:rFonts w:ascii="Times New Roman" w:cs="Times New Roman" w:eastAsia="Times New Roman" w:hAnsi="Times New Roman"/>
          <w:sz w:val="14"/>
          <w:szCs w:val="14"/>
          <w:color w:val="auto"/>
        </w:rPr>
        <w:t>) of the Original Facilities Agreement have agreed to enter into this Amendment Agreement in order to amend the terms of the Original Facilities Agreement in the manner set out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NOW IT IS HEREBY AGREED</w:t>
      </w:r>
      <w:r>
        <w:rPr>
          <w:rFonts w:ascii="Times New Roman" w:cs="Times New Roman" w:eastAsia="Times New Roman" w:hAnsi="Times New Roman"/>
          <w:sz w:val="14"/>
          <w:szCs w:val="14"/>
          <w:color w:val="auto"/>
        </w:rPr>
        <w:t>:</w:t>
      </w:r>
    </w:p>
    <w:p>
      <w:pPr>
        <w:spacing w:after="0" w:line="210" w:lineRule="exact"/>
        <w:rPr>
          <w:sz w:val="20"/>
          <w:szCs w:val="20"/>
          <w:color w:val="auto"/>
        </w:rPr>
      </w:pPr>
    </w:p>
    <w:p>
      <w:pPr>
        <w:ind w:left="520" w:hanging="515"/>
        <w:spacing w:after="0"/>
        <w:tabs>
          <w:tab w:leader="none" w:pos="52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DEFINITIONS AND INTERPRETATION</w:t>
      </w:r>
    </w:p>
    <w:p>
      <w:pPr>
        <w:spacing w:after="0" w:line="21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4"/>
          <w:szCs w:val="14"/>
          <w:b w:val="1"/>
          <w:bCs w:val="1"/>
          <w:color w:val="auto"/>
        </w:rPr>
        <w:t>Definitions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this Amendment Agreement:</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Amended Facilities Agreement</w:t>
      </w:r>
      <w:r>
        <w:rPr>
          <w:rFonts w:ascii="Times New Roman" w:cs="Times New Roman" w:eastAsia="Times New Roman" w:hAnsi="Times New Roman"/>
          <w:sz w:val="14"/>
          <w:szCs w:val="14"/>
          <w:color w:val="auto"/>
        </w:rPr>
        <w:t>" means the Original Facilities Agreement, as amended by this Amendment Agreement; and</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means the date of this Amendment Agreement.</w:t>
      </w:r>
    </w:p>
    <w:p>
      <w:pPr>
        <w:spacing w:after="0" w:line="21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4"/>
          <w:szCs w:val="14"/>
          <w:b w:val="1"/>
          <w:bCs w:val="1"/>
          <w:color w:val="auto"/>
        </w:rPr>
        <w:t>Incorporation of defined terms</w:t>
      </w:r>
    </w:p>
    <w:p>
      <w:pPr>
        <w:spacing w:after="0" w:line="212" w:lineRule="exact"/>
        <w:rPr>
          <w:sz w:val="20"/>
          <w:szCs w:val="20"/>
          <w:color w:val="auto"/>
        </w:rPr>
      </w:pPr>
    </w:p>
    <w:p>
      <w:pPr>
        <w:ind w:left="1020" w:hanging="506"/>
        <w:spacing w:after="0"/>
        <w:tabs>
          <w:tab w:leader="none" w:pos="10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a contrary indication appears, a term defined in the Original Facilities Agreement has the same meaning when used herein.</w:t>
      </w:r>
    </w:p>
    <w:p>
      <w:pPr>
        <w:spacing w:after="0" w:line="208" w:lineRule="exact"/>
        <w:rPr>
          <w:rFonts w:ascii="Times New Roman" w:cs="Times New Roman" w:eastAsia="Times New Roman" w:hAnsi="Times New Roman"/>
          <w:sz w:val="14"/>
          <w:szCs w:val="14"/>
          <w:color w:val="auto"/>
        </w:rPr>
      </w:pPr>
    </w:p>
    <w:p>
      <w:pPr>
        <w:ind w:left="1020" w:hanging="506"/>
        <w:spacing w:after="0" w:line="337" w:lineRule="auto"/>
        <w:tabs>
          <w:tab w:leader="none" w:pos="1015"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principles of construction set out in clause 1 (</w:t>
      </w:r>
      <w:r>
        <w:rPr>
          <w:rFonts w:ascii="Times New Roman" w:cs="Times New Roman" w:eastAsia="Times New Roman" w:hAnsi="Times New Roman"/>
          <w:sz w:val="14"/>
          <w:szCs w:val="14"/>
          <w:i w:val="1"/>
          <w:iCs w:val="1"/>
          <w:color w:val="auto"/>
        </w:rPr>
        <w:t>Definitions and Interpretation</w:t>
      </w:r>
      <w:r>
        <w:rPr>
          <w:rFonts w:ascii="Times New Roman" w:cs="Times New Roman" w:eastAsia="Times New Roman" w:hAnsi="Times New Roman"/>
          <w:sz w:val="14"/>
          <w:szCs w:val="14"/>
          <w:color w:val="auto"/>
        </w:rPr>
        <w:t>) of the Original Facilities Agreement shall also apply in the interpretation hereof as if expressly set out herein with each reference to the "Agreement" being deemed to be a reference to this Amendment Agreement.</w:t>
      </w:r>
    </w:p>
    <w:p>
      <w:pPr>
        <w:spacing w:after="0" w:line="12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4"/>
          <w:szCs w:val="14"/>
          <w:b w:val="1"/>
          <w:bCs w:val="1"/>
          <w:color w:val="auto"/>
        </w:rPr>
        <w:t>Clauses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162" w:right="319" w:bottom="1440" w:gutter="0" w:footer="0" w:header="0"/>
        </w:sectPr>
      </w:pPr>
    </w:p>
    <w:bookmarkStart w:id="149" w:name="page150"/>
    <w:bookmarkEnd w:id="149"/>
    <w:p>
      <w:pPr>
        <w:ind w:left="520"/>
        <w:spacing w:after="0"/>
        <w:rPr>
          <w:sz w:val="20"/>
          <w:szCs w:val="20"/>
          <w:color w:val="auto"/>
        </w:rPr>
      </w:pPr>
      <w:r>
        <w:rPr>
          <w:rFonts w:ascii="Times New Roman" w:cs="Times New Roman" w:eastAsia="Times New Roman" w:hAnsi="Times New Roman"/>
          <w:sz w:val="14"/>
          <w:szCs w:val="14"/>
          <w:color w:val="auto"/>
        </w:rPr>
        <w:t>In this Amendment Agreement, any reference to a "Clause" or a "Schedule" is, unless the context otherwise requires, a clause of or a schedule to this Amendment Agreement.</w:t>
      </w:r>
    </w:p>
    <w:p>
      <w:pPr>
        <w:spacing w:after="0" w:line="20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b w:val="1"/>
          <w:bCs w:val="1"/>
          <w:color w:val="auto"/>
        </w:rPr>
        <w:t>Third party rights</w:t>
      </w:r>
    </w:p>
    <w:p>
      <w:pPr>
        <w:spacing w:after="0" w:line="212" w:lineRule="exact"/>
        <w:rPr>
          <w:sz w:val="20"/>
          <w:szCs w:val="20"/>
          <w:color w:val="auto"/>
        </w:rPr>
      </w:pPr>
    </w:p>
    <w:p>
      <w:pPr>
        <w:ind w:left="520"/>
        <w:spacing w:after="0" w:line="334" w:lineRule="auto"/>
        <w:rPr>
          <w:sz w:val="20"/>
          <w:szCs w:val="20"/>
          <w:color w:val="auto"/>
        </w:rPr>
      </w:pPr>
      <w:r>
        <w:rPr>
          <w:rFonts w:ascii="Times New Roman" w:cs="Times New Roman" w:eastAsia="Times New Roman" w:hAnsi="Times New Roman"/>
          <w:sz w:val="14"/>
          <w:szCs w:val="14"/>
          <w:color w:val="auto"/>
        </w:rPr>
        <w:t>Unless expressly provided to the contrary in this Amendment Agreement, a person who is not a party to this Amendment Agreement has no right under the Contracts (Rights of Third Parties) Act 1999 to enforce or to enjoy the benefit of any term of this Amendment Agreement.</w:t>
      </w:r>
    </w:p>
    <w:p>
      <w:pPr>
        <w:spacing w:after="0" w:line="12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3"/>
          <w:szCs w:val="13"/>
          <w:b w:val="1"/>
          <w:bCs w:val="1"/>
          <w:color w:val="auto"/>
        </w:rPr>
        <w:t>Designation</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accordance with the Original Facilities Agreement, each of the Company and the Facility Agent designate this Amendment Agreement as a Finance Document.</w:t>
      </w:r>
    </w:p>
    <w:p>
      <w:pPr>
        <w:spacing w:after="0" w:line="208" w:lineRule="exact"/>
        <w:rPr>
          <w:sz w:val="20"/>
          <w:szCs w:val="20"/>
          <w:color w:val="auto"/>
        </w:rPr>
      </w:pPr>
    </w:p>
    <w:p>
      <w:pPr>
        <w:ind w:left="520" w:hanging="515"/>
        <w:spacing w:after="0"/>
        <w:tabs>
          <w:tab w:leader="none" w:pos="52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REPRESENTATIONS</w:t>
      </w:r>
    </w:p>
    <w:p>
      <w:pPr>
        <w:spacing w:after="0" w:line="212" w:lineRule="exact"/>
        <w:rPr>
          <w:rFonts w:ascii="Times New Roman" w:cs="Times New Roman" w:eastAsia="Times New Roman" w:hAnsi="Times New Roman"/>
          <w:sz w:val="14"/>
          <w:szCs w:val="14"/>
          <w:color w:val="auto"/>
        </w:rPr>
      </w:pPr>
    </w:p>
    <w:p>
      <w:pPr>
        <w:ind w:left="520"/>
        <w:spacing w:after="0" w:line="3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makes the Repeating Representations (for itself and, if applicable, on behalf of each Obligor) on the date of this Amendment Agreement as if references to the Original Facilities Agreement were references to the Amended Facilities Agreement and with reference to the facts and circumstances then existing.</w:t>
      </w:r>
    </w:p>
    <w:p>
      <w:pPr>
        <w:spacing w:after="0" w:line="111"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AMENDMENTS TO ORIGINAL FACILITIES AGREEMENT</w:t>
      </w:r>
    </w:p>
    <w:p>
      <w:pPr>
        <w:spacing w:after="0" w:line="210" w:lineRule="exact"/>
        <w:rPr>
          <w:sz w:val="20"/>
          <w:szCs w:val="20"/>
          <w:color w:val="auto"/>
        </w:rPr>
      </w:pPr>
    </w:p>
    <w:p>
      <w:pPr>
        <w:jc w:val="both"/>
        <w:ind w:left="520" w:hanging="508"/>
        <w:spacing w:after="0" w:line="337" w:lineRule="auto"/>
        <w:tabs>
          <w:tab w:leader="none" w:pos="50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4"/>
          <w:szCs w:val="14"/>
          <w:color w:val="auto"/>
        </w:rPr>
        <w:t>Subject to Clause 3.2 below, with effect from the date of this Amendment Agreement, the Original Facilities Agreement shall be amended as set out in Schedule 1 (</w:t>
      </w:r>
      <w:r>
        <w:rPr>
          <w:rFonts w:ascii="Times New Roman" w:cs="Times New Roman" w:eastAsia="Times New Roman" w:hAnsi="Times New Roman"/>
          <w:sz w:val="14"/>
          <w:szCs w:val="14"/>
          <w:i w:val="1"/>
          <w:iCs w:val="1"/>
          <w:color w:val="auto"/>
        </w:rPr>
        <w:t>Amendments to Original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Facilities Agreement</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both"/>
        <w:ind w:left="520" w:hanging="508"/>
        <w:spacing w:after="0" w:line="317" w:lineRule="auto"/>
        <w:tabs>
          <w:tab w:leader="none" w:pos="50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color w:val="auto"/>
        </w:rPr>
        <w:t>If the Effective Date falls before the last day of an Interest Period for any outstanding Loan in USD, that Loan shall remain outstanding with interest calculated by reference to LIBOR (as defined in the Original Facilities Agreement) until the end of that Interest Period and on and from the first day of the next Interest Period (if any) such Loan shall constitute a Term Rate Loan and interest shall accrue on that Loan as set out in Clause 14.1 (</w:t>
      </w:r>
      <w:r>
        <w:rPr>
          <w:rFonts w:ascii="Times New Roman" w:cs="Times New Roman" w:eastAsia="Times New Roman" w:hAnsi="Times New Roman"/>
          <w:sz w:val="14"/>
          <w:szCs w:val="14"/>
          <w:i w:val="1"/>
          <w:iCs w:val="1"/>
          <w:color w:val="auto"/>
        </w:rPr>
        <w:t>Calculation of interest</w:t>
      </w:r>
      <w:r>
        <w:rPr>
          <w:rFonts w:ascii="Times New Roman" w:cs="Times New Roman" w:eastAsia="Times New Roman" w:hAnsi="Times New Roman"/>
          <w:sz w:val="14"/>
          <w:szCs w:val="14"/>
          <w:color w:val="auto"/>
        </w:rPr>
        <w:t>) of the Amended Facilities Agreement.</w:t>
      </w:r>
    </w:p>
    <w:p>
      <w:pPr>
        <w:spacing w:after="0" w:line="137" w:lineRule="exact"/>
        <w:rPr>
          <w:sz w:val="20"/>
          <w:szCs w:val="20"/>
          <w:color w:val="auto"/>
        </w:rPr>
      </w:pPr>
    </w:p>
    <w:p>
      <w:pPr>
        <w:jc w:val="both"/>
        <w:ind w:left="520" w:hanging="508"/>
        <w:spacing w:after="0" w:line="311" w:lineRule="auto"/>
        <w:tabs>
          <w:tab w:leader="none" w:pos="500" w:val="left"/>
        </w:tabs>
        <w:rPr>
          <w:sz w:val="20"/>
          <w:szCs w:val="20"/>
          <w:color w:val="auto"/>
        </w:rPr>
      </w:pPr>
      <w:r>
        <w:rPr>
          <w:rFonts w:ascii="Times New Roman" w:cs="Times New Roman" w:eastAsia="Times New Roman" w:hAnsi="Times New Roman"/>
          <w:sz w:val="14"/>
          <w:szCs w:val="14"/>
          <w:color w:val="auto"/>
        </w:rPr>
        <w:t>3.3</w:t>
      </w:r>
      <w:r>
        <w:rPr>
          <w:sz w:val="20"/>
          <w:szCs w:val="20"/>
          <w:color w:val="auto"/>
        </w:rPr>
        <w:tab/>
      </w:r>
      <w:r>
        <w:rPr>
          <w:rFonts w:ascii="Times New Roman" w:cs="Times New Roman" w:eastAsia="Times New Roman" w:hAnsi="Times New Roman"/>
          <w:sz w:val="14"/>
          <w:szCs w:val="14"/>
          <w:color w:val="auto"/>
        </w:rPr>
        <w:t>Except as amended by the terms of this Amendment Agreement, the Original Facilities Agreement and the other Finance Documents will remain in full force and effect and, as from the date of this Amendment Agreement, references in the Original Facilities Agreement or any other Finance Document to the Original Facilities Agreement or to any provision of the Original Facilities Agreement shall be construed as a reference to the Original Facilities Agreement, as amended by this Amendment Agreement, or that provision, as amended by this Amendment Agreement.</w:t>
      </w:r>
    </w:p>
    <w:p>
      <w:pPr>
        <w:spacing w:after="0" w:line="140" w:lineRule="exact"/>
        <w:rPr>
          <w:sz w:val="20"/>
          <w:szCs w:val="20"/>
          <w:color w:val="auto"/>
        </w:rPr>
      </w:pPr>
    </w:p>
    <w:p>
      <w:pPr>
        <w:ind w:left="520" w:hanging="515"/>
        <w:spacing w:after="0"/>
        <w:tabs>
          <w:tab w:leader="none" w:pos="5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FACILITY AGENT</w:t>
      </w:r>
    </w:p>
    <w:p>
      <w:pPr>
        <w:spacing w:after="0" w:line="210" w:lineRule="exact"/>
        <w:rPr>
          <w:rFonts w:ascii="Times New Roman" w:cs="Times New Roman" w:eastAsia="Times New Roman" w:hAnsi="Times New Roman"/>
          <w:sz w:val="14"/>
          <w:szCs w:val="14"/>
          <w:color w:val="auto"/>
        </w:rPr>
      </w:pPr>
    </w:p>
    <w:p>
      <w:pPr>
        <w:ind w:left="520"/>
        <w:spacing w:after="0" w:line="33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Facility Agent has been authorised to enter into this Amendment Agreement by the Majority Lenders in accordance with Clause 42.5 (</w:t>
      </w:r>
      <w:r>
        <w:rPr>
          <w:rFonts w:ascii="Times New Roman" w:cs="Times New Roman" w:eastAsia="Times New Roman" w:hAnsi="Times New Roman"/>
          <w:sz w:val="14"/>
          <w:szCs w:val="14"/>
          <w:i w:val="1"/>
          <w:iCs w:val="1"/>
          <w:color w:val="auto"/>
        </w:rPr>
        <w:t>Replacement of Screen Rate</w:t>
      </w:r>
      <w:r>
        <w:rPr>
          <w:rFonts w:ascii="Times New Roman" w:cs="Times New Roman" w:eastAsia="Times New Roman" w:hAnsi="Times New Roman"/>
          <w:sz w:val="14"/>
          <w:szCs w:val="14"/>
          <w:color w:val="auto"/>
        </w:rPr>
        <w:t>) of the Original Facilities Agreement.</w:t>
      </w:r>
    </w:p>
    <w:p>
      <w:pPr>
        <w:spacing w:after="0" w:line="120"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MISCELLANEOUS</w:t>
      </w:r>
    </w:p>
    <w:p>
      <w:pPr>
        <w:spacing w:after="0" w:line="210" w:lineRule="exact"/>
        <w:rPr>
          <w:rFonts w:ascii="Times New Roman" w:cs="Times New Roman" w:eastAsia="Times New Roman" w:hAnsi="Times New Roman"/>
          <w:sz w:val="14"/>
          <w:szCs w:val="14"/>
          <w:color w:val="auto"/>
        </w:rPr>
      </w:pPr>
    </w:p>
    <w:p>
      <w:pPr>
        <w:ind w:left="520"/>
        <w:spacing w:after="0" w:line="3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Clauses 38 (</w:t>
      </w:r>
      <w:r>
        <w:rPr>
          <w:rFonts w:ascii="Times New Roman" w:cs="Times New Roman" w:eastAsia="Times New Roman" w:hAnsi="Times New Roman"/>
          <w:sz w:val="14"/>
          <w:szCs w:val="14"/>
          <w:i w:val="1"/>
          <w:iCs w:val="1"/>
          <w:color w:val="auto"/>
        </w:rPr>
        <w:t>Notices</w:t>
      </w:r>
      <w:r>
        <w:rPr>
          <w:rFonts w:ascii="Times New Roman" w:cs="Times New Roman" w:eastAsia="Times New Roman" w:hAnsi="Times New Roman"/>
          <w:sz w:val="14"/>
          <w:szCs w:val="14"/>
          <w:color w:val="auto"/>
        </w:rPr>
        <w:t>), 40 (</w:t>
      </w:r>
      <w:r>
        <w:rPr>
          <w:rFonts w:ascii="Times New Roman" w:cs="Times New Roman" w:eastAsia="Times New Roman" w:hAnsi="Times New Roman"/>
          <w:sz w:val="14"/>
          <w:szCs w:val="14"/>
          <w:i w:val="1"/>
          <w:iCs w:val="1"/>
          <w:color w:val="auto"/>
        </w:rPr>
        <w:t>Partial Invalidity</w:t>
      </w:r>
      <w:r>
        <w:rPr>
          <w:rFonts w:ascii="Times New Roman" w:cs="Times New Roman" w:eastAsia="Times New Roman" w:hAnsi="Times New Roman"/>
          <w:sz w:val="14"/>
          <w:szCs w:val="14"/>
          <w:color w:val="auto"/>
        </w:rPr>
        <w:t>), 46 (</w:t>
      </w:r>
      <w:r>
        <w:rPr>
          <w:rFonts w:ascii="Times New Roman" w:cs="Times New Roman" w:eastAsia="Times New Roman" w:hAnsi="Times New Roman"/>
          <w:sz w:val="14"/>
          <w:szCs w:val="14"/>
          <w:i w:val="1"/>
          <w:iCs w:val="1"/>
          <w:color w:val="auto"/>
        </w:rPr>
        <w:t>Counterparts</w:t>
      </w:r>
      <w:r>
        <w:rPr>
          <w:rFonts w:ascii="Times New Roman" w:cs="Times New Roman" w:eastAsia="Times New Roman" w:hAnsi="Times New Roman"/>
          <w:sz w:val="14"/>
          <w:szCs w:val="14"/>
          <w:color w:val="auto"/>
        </w:rPr>
        <w:t>) and 50 (</w:t>
      </w:r>
      <w:r>
        <w:rPr>
          <w:rFonts w:ascii="Times New Roman" w:cs="Times New Roman" w:eastAsia="Times New Roman" w:hAnsi="Times New Roman"/>
          <w:sz w:val="14"/>
          <w:szCs w:val="14"/>
          <w:i w:val="1"/>
          <w:iCs w:val="1"/>
          <w:color w:val="auto"/>
        </w:rPr>
        <w:t>Enforcement</w:t>
      </w:r>
      <w:r>
        <w:rPr>
          <w:rFonts w:ascii="Times New Roman" w:cs="Times New Roman" w:eastAsia="Times New Roman" w:hAnsi="Times New Roman"/>
          <w:sz w:val="14"/>
          <w:szCs w:val="14"/>
          <w:color w:val="auto"/>
        </w:rPr>
        <w:t>) of the Original Facilities Agreement shall be deemed incorporated in this Amendment Agreement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165" w:right="319" w:bottom="1440" w:gutter="0" w:footer="0" w:header="0"/>
        </w:sectPr>
      </w:pPr>
    </w:p>
    <w:bookmarkStart w:id="150" w:name="page151"/>
    <w:bookmarkEnd w:id="150"/>
    <w:p>
      <w:pPr>
        <w:ind w:left="520"/>
        <w:spacing w:after="0"/>
        <w:rPr>
          <w:sz w:val="20"/>
          <w:szCs w:val="20"/>
          <w:color w:val="auto"/>
        </w:rPr>
      </w:pPr>
      <w:r>
        <w:rPr>
          <w:rFonts w:ascii="Times New Roman" w:cs="Times New Roman" w:eastAsia="Times New Roman" w:hAnsi="Times New Roman"/>
          <w:sz w:val="14"/>
          <w:szCs w:val="14"/>
          <w:color w:val="auto"/>
        </w:rPr>
        <w:t>conforming amendments as the context requires) as if set out herein with each reference to the "Agreement" being deemed to be a reference to this Amendment Agreement.</w:t>
      </w:r>
    </w:p>
    <w:p>
      <w:pPr>
        <w:spacing w:after="0" w:line="208" w:lineRule="exact"/>
        <w:rPr>
          <w:sz w:val="20"/>
          <w:szCs w:val="20"/>
          <w:color w:val="auto"/>
        </w:rPr>
      </w:pPr>
    </w:p>
    <w:p>
      <w:pPr>
        <w:ind w:left="520" w:hanging="515"/>
        <w:spacing w:after="0"/>
        <w:tabs>
          <w:tab w:leader="none" w:pos="5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GOVERNING LAW</w:t>
      </w:r>
    </w:p>
    <w:p>
      <w:pPr>
        <w:spacing w:after="0" w:line="212"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Amendment Agreement and any non-contractual obligations arising out of or in connection with it are governed by English law.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Amendment Agreement has been executed by the duly authorised representatives of the parties hereto and is entered into on the date specified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240"/>
          </w:cols>
          <w:pgMar w:left="300" w:top="1164" w:right="1359" w:bottom="1440" w:gutter="0" w:footer="0" w:header="0"/>
        </w:sectPr>
      </w:pPr>
    </w:p>
    <w:bookmarkStart w:id="151" w:name="page152"/>
    <w:bookmarkEnd w:id="151"/>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SCHEDULE 1</w:t>
      </w:r>
    </w:p>
    <w:p>
      <w:pPr>
        <w:spacing w:after="0" w:line="4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AMENDMENTS TO ORIGINAL FACILITIES AGREEMENT</w:t>
      </w:r>
    </w:p>
    <w:p>
      <w:pPr>
        <w:spacing w:after="0" w:line="212" w:lineRule="exact"/>
        <w:rPr>
          <w:sz w:val="20"/>
          <w:szCs w:val="20"/>
          <w:color w:val="auto"/>
        </w:rPr>
      </w:pPr>
    </w:p>
    <w:p>
      <w:pPr>
        <w:ind w:left="880" w:hanging="506"/>
        <w:spacing w:after="0"/>
        <w:tabs>
          <w:tab w:leader="none" w:pos="880" w:val="left"/>
        </w:tabs>
        <w:numPr>
          <w:ilvl w:val="0"/>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following provisions shall be deleted in their entirety from the Original Facilities Agreement:</w:t>
      </w:r>
    </w:p>
    <w:p>
      <w:pPr>
        <w:spacing w:after="0" w:line="208" w:lineRule="exact"/>
        <w:rPr>
          <w:rFonts w:ascii="Times New Roman" w:cs="Times New Roman" w:eastAsia="Times New Roman" w:hAnsi="Times New Roman"/>
          <w:sz w:val="14"/>
          <w:szCs w:val="14"/>
          <w:color w:val="010000"/>
        </w:rPr>
      </w:pPr>
    </w:p>
    <w:p>
      <w:pPr>
        <w:ind w:left="1380" w:hanging="497"/>
        <w:spacing w:after="0"/>
        <w:tabs>
          <w:tab w:leader="none" w:pos="1380" w:val="left"/>
        </w:tabs>
        <w:numPr>
          <w:ilvl w:val="1"/>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following defined terms from Clause 1.1 (</w:t>
      </w:r>
      <w:r>
        <w:rPr>
          <w:rFonts w:ascii="Times New Roman" w:cs="Times New Roman" w:eastAsia="Times New Roman" w:hAnsi="Times New Roman"/>
          <w:sz w:val="14"/>
          <w:szCs w:val="14"/>
          <w:i w:val="1"/>
          <w:iCs w:val="1"/>
          <w:color w:val="auto"/>
        </w:rPr>
        <w:t>Definitions</w:t>
      </w:r>
      <w:r>
        <w:rPr>
          <w:rFonts w:ascii="Times New Roman" w:cs="Times New Roman" w:eastAsia="Times New Roman" w:hAnsi="Times New Roman"/>
          <w:sz w:val="14"/>
          <w:szCs w:val="14"/>
          <w:color w:val="auto"/>
        </w:rPr>
        <w:t>):</w:t>
      </w:r>
    </w:p>
    <w:p>
      <w:pPr>
        <w:spacing w:after="0" w:line="212" w:lineRule="exact"/>
        <w:rPr>
          <w:rFonts w:ascii="Times New Roman" w:cs="Times New Roman" w:eastAsia="Times New Roman" w:hAnsi="Times New Roman"/>
          <w:sz w:val="14"/>
          <w:szCs w:val="14"/>
          <w:color w:val="010000"/>
        </w:rPr>
      </w:pPr>
    </w:p>
    <w:p>
      <w:pPr>
        <w:ind w:left="1900" w:hanging="507"/>
        <w:spacing w:after="0"/>
        <w:tabs>
          <w:tab w:leader="none" w:pos="1900" w:val="left"/>
        </w:tabs>
        <w:numPr>
          <w:ilvl w:val="2"/>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"Business Day";</w:t>
      </w:r>
    </w:p>
    <w:p>
      <w:pPr>
        <w:spacing w:after="0" w:line="210" w:lineRule="exact"/>
        <w:rPr>
          <w:rFonts w:ascii="Times New Roman" w:cs="Times New Roman" w:eastAsia="Times New Roman" w:hAnsi="Times New Roman"/>
          <w:sz w:val="14"/>
          <w:szCs w:val="14"/>
          <w:color w:val="010000"/>
        </w:rPr>
      </w:pPr>
    </w:p>
    <w:p>
      <w:pPr>
        <w:ind w:left="1900" w:hanging="507"/>
        <w:spacing w:after="0"/>
        <w:tabs>
          <w:tab w:leader="none" w:pos="1900" w:val="left"/>
        </w:tabs>
        <w:numPr>
          <w:ilvl w:val="2"/>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"EURIBOR";</w:t>
      </w:r>
    </w:p>
    <w:p>
      <w:pPr>
        <w:spacing w:after="0" w:line="210" w:lineRule="exact"/>
        <w:rPr>
          <w:rFonts w:ascii="Times New Roman" w:cs="Times New Roman" w:eastAsia="Times New Roman" w:hAnsi="Times New Roman"/>
          <w:sz w:val="14"/>
          <w:szCs w:val="14"/>
          <w:color w:val="010000"/>
        </w:rPr>
      </w:pPr>
    </w:p>
    <w:p>
      <w:pPr>
        <w:ind w:left="1900" w:hanging="507"/>
        <w:spacing w:after="0"/>
        <w:tabs>
          <w:tab w:leader="none" w:pos="1900" w:val="left"/>
        </w:tabs>
        <w:numPr>
          <w:ilvl w:val="2"/>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"Funding Rate";</w:t>
      </w:r>
    </w:p>
    <w:p>
      <w:pPr>
        <w:spacing w:after="0" w:line="210" w:lineRule="exact"/>
        <w:rPr>
          <w:rFonts w:ascii="Times New Roman" w:cs="Times New Roman" w:eastAsia="Times New Roman" w:hAnsi="Times New Roman"/>
          <w:sz w:val="14"/>
          <w:szCs w:val="14"/>
          <w:color w:val="010000"/>
        </w:rPr>
      </w:pPr>
    </w:p>
    <w:p>
      <w:pPr>
        <w:ind w:left="1900" w:hanging="507"/>
        <w:spacing w:after="0"/>
        <w:tabs>
          <w:tab w:leader="none" w:pos="1900" w:val="left"/>
        </w:tabs>
        <w:numPr>
          <w:ilvl w:val="2"/>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"Historic Screen Rate";</w:t>
      </w:r>
    </w:p>
    <w:p>
      <w:pPr>
        <w:spacing w:after="0" w:line="220" w:lineRule="exact"/>
        <w:rPr>
          <w:rFonts w:ascii="Times New Roman" w:cs="Times New Roman" w:eastAsia="Times New Roman" w:hAnsi="Times New Roman"/>
          <w:sz w:val="14"/>
          <w:szCs w:val="14"/>
          <w:color w:val="010000"/>
        </w:rPr>
      </w:pPr>
    </w:p>
    <w:p>
      <w:pPr>
        <w:ind w:left="1900" w:hanging="507"/>
        <w:spacing w:after="0"/>
        <w:tabs>
          <w:tab w:leader="none" w:pos="1900" w:val="left"/>
        </w:tabs>
        <w:numPr>
          <w:ilvl w:val="2"/>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"Interpolated Historic Screen Rate";</w:t>
      </w:r>
    </w:p>
    <w:p>
      <w:pPr>
        <w:spacing w:after="0" w:line="210" w:lineRule="exact"/>
        <w:rPr>
          <w:rFonts w:ascii="Times New Roman" w:cs="Times New Roman" w:eastAsia="Times New Roman" w:hAnsi="Times New Roman"/>
          <w:sz w:val="14"/>
          <w:szCs w:val="14"/>
          <w:color w:val="010000"/>
        </w:rPr>
      </w:pPr>
    </w:p>
    <w:p>
      <w:pPr>
        <w:ind w:left="1900" w:hanging="507"/>
        <w:spacing w:after="0"/>
        <w:tabs>
          <w:tab w:leader="none" w:pos="1900" w:val="left"/>
        </w:tabs>
        <w:numPr>
          <w:ilvl w:val="2"/>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"Interpolated Screen Rate";</w:t>
      </w:r>
    </w:p>
    <w:p>
      <w:pPr>
        <w:spacing w:after="0" w:line="210" w:lineRule="exact"/>
        <w:rPr>
          <w:rFonts w:ascii="Times New Roman" w:cs="Times New Roman" w:eastAsia="Times New Roman" w:hAnsi="Times New Roman"/>
          <w:sz w:val="14"/>
          <w:szCs w:val="14"/>
          <w:color w:val="010000"/>
        </w:rPr>
      </w:pPr>
    </w:p>
    <w:p>
      <w:pPr>
        <w:ind w:left="1900" w:hanging="507"/>
        <w:spacing w:after="0"/>
        <w:tabs>
          <w:tab w:leader="none" w:pos="1900" w:val="left"/>
        </w:tabs>
        <w:numPr>
          <w:ilvl w:val="2"/>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"LIBOR";</w:t>
      </w:r>
    </w:p>
    <w:p>
      <w:pPr>
        <w:spacing w:after="0" w:line="210" w:lineRule="exact"/>
        <w:rPr>
          <w:rFonts w:ascii="Times New Roman" w:cs="Times New Roman" w:eastAsia="Times New Roman" w:hAnsi="Times New Roman"/>
          <w:sz w:val="14"/>
          <w:szCs w:val="14"/>
          <w:color w:val="010000"/>
        </w:rPr>
      </w:pPr>
    </w:p>
    <w:p>
      <w:pPr>
        <w:ind w:left="1900" w:hanging="507"/>
        <w:spacing w:after="0"/>
        <w:tabs>
          <w:tab w:leader="none" w:pos="1900" w:val="left"/>
        </w:tabs>
        <w:numPr>
          <w:ilvl w:val="2"/>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"Quotation Day";</w:t>
      </w:r>
    </w:p>
    <w:p>
      <w:pPr>
        <w:spacing w:after="0" w:line="210" w:lineRule="exact"/>
        <w:rPr>
          <w:rFonts w:ascii="Times New Roman" w:cs="Times New Roman" w:eastAsia="Times New Roman" w:hAnsi="Times New Roman"/>
          <w:sz w:val="14"/>
          <w:szCs w:val="14"/>
          <w:color w:val="010000"/>
        </w:rPr>
      </w:pPr>
    </w:p>
    <w:p>
      <w:pPr>
        <w:ind w:left="1900" w:hanging="507"/>
        <w:spacing w:after="0"/>
        <w:tabs>
          <w:tab w:leader="none" w:pos="1900" w:val="left"/>
        </w:tabs>
        <w:numPr>
          <w:ilvl w:val="2"/>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"Reference Bank Rate";</w:t>
      </w:r>
    </w:p>
    <w:p>
      <w:pPr>
        <w:spacing w:after="0" w:line="210" w:lineRule="exact"/>
        <w:rPr>
          <w:rFonts w:ascii="Times New Roman" w:cs="Times New Roman" w:eastAsia="Times New Roman" w:hAnsi="Times New Roman"/>
          <w:sz w:val="14"/>
          <w:szCs w:val="14"/>
          <w:color w:val="010000"/>
        </w:rPr>
      </w:pPr>
    </w:p>
    <w:p>
      <w:pPr>
        <w:ind w:left="1900" w:hanging="507"/>
        <w:spacing w:after="0"/>
        <w:tabs>
          <w:tab w:leader="none" w:pos="1900" w:val="left"/>
        </w:tabs>
        <w:numPr>
          <w:ilvl w:val="2"/>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"Relevant Market";</w:t>
      </w:r>
    </w:p>
    <w:p>
      <w:pPr>
        <w:spacing w:after="0" w:line="210" w:lineRule="exact"/>
        <w:rPr>
          <w:rFonts w:ascii="Times New Roman" w:cs="Times New Roman" w:eastAsia="Times New Roman" w:hAnsi="Times New Roman"/>
          <w:sz w:val="14"/>
          <w:szCs w:val="14"/>
          <w:color w:val="010000"/>
        </w:rPr>
      </w:pPr>
    </w:p>
    <w:p>
      <w:pPr>
        <w:ind w:left="1900" w:hanging="507"/>
        <w:spacing w:after="0"/>
        <w:tabs>
          <w:tab w:leader="none" w:pos="1900" w:val="left"/>
        </w:tabs>
        <w:numPr>
          <w:ilvl w:val="2"/>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"Screen Rate";</w:t>
      </w:r>
    </w:p>
    <w:p>
      <w:pPr>
        <w:spacing w:after="0" w:line="210" w:lineRule="exact"/>
        <w:rPr>
          <w:rFonts w:ascii="Times New Roman" w:cs="Times New Roman" w:eastAsia="Times New Roman" w:hAnsi="Times New Roman"/>
          <w:sz w:val="14"/>
          <w:szCs w:val="14"/>
          <w:color w:val="010000"/>
        </w:rPr>
      </w:pPr>
    </w:p>
    <w:p>
      <w:pPr>
        <w:ind w:left="1900" w:hanging="507"/>
        <w:spacing w:after="0"/>
        <w:tabs>
          <w:tab w:leader="none" w:pos="1900" w:val="left"/>
        </w:tabs>
        <w:numPr>
          <w:ilvl w:val="2"/>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"TARGET2"; and</w:t>
      </w:r>
    </w:p>
    <w:p>
      <w:pPr>
        <w:spacing w:after="0" w:line="210" w:lineRule="exact"/>
        <w:rPr>
          <w:rFonts w:ascii="Times New Roman" w:cs="Times New Roman" w:eastAsia="Times New Roman" w:hAnsi="Times New Roman"/>
          <w:sz w:val="14"/>
          <w:szCs w:val="14"/>
          <w:color w:val="010000"/>
        </w:rPr>
      </w:pPr>
    </w:p>
    <w:p>
      <w:pPr>
        <w:ind w:left="1900" w:hanging="507"/>
        <w:spacing w:after="0"/>
        <w:tabs>
          <w:tab w:leader="none" w:pos="1900" w:val="left"/>
        </w:tabs>
        <w:numPr>
          <w:ilvl w:val="2"/>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"TARGET Day";</w:t>
      </w:r>
    </w:p>
    <w:p>
      <w:pPr>
        <w:spacing w:after="0" w:line="208" w:lineRule="exact"/>
        <w:rPr>
          <w:rFonts w:ascii="Times New Roman" w:cs="Times New Roman" w:eastAsia="Times New Roman" w:hAnsi="Times New Roman"/>
          <w:sz w:val="14"/>
          <w:szCs w:val="14"/>
          <w:color w:val="010000"/>
        </w:rPr>
      </w:pPr>
    </w:p>
    <w:p>
      <w:pPr>
        <w:ind w:left="1380" w:hanging="497"/>
        <w:spacing w:after="0"/>
        <w:tabs>
          <w:tab w:leader="none" w:pos="1380" w:val="left"/>
        </w:tabs>
        <w:numPr>
          <w:ilvl w:val="1"/>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Clause 4.3 (</w:t>
      </w:r>
      <w:r>
        <w:rPr>
          <w:rFonts w:ascii="Times New Roman" w:cs="Times New Roman" w:eastAsia="Times New Roman" w:hAnsi="Times New Roman"/>
          <w:sz w:val="14"/>
          <w:szCs w:val="14"/>
          <w:i w:val="1"/>
          <w:iCs w:val="1"/>
          <w:color w:val="auto"/>
        </w:rPr>
        <w:t>Conditions relating to Optional Currencies</w:t>
      </w:r>
      <w:r>
        <w:rPr>
          <w:rFonts w:ascii="Times New Roman" w:cs="Times New Roman" w:eastAsia="Times New Roman" w:hAnsi="Times New Roman"/>
          <w:sz w:val="14"/>
          <w:szCs w:val="14"/>
          <w:color w:val="auto"/>
        </w:rPr>
        <w:t>);</w:t>
      </w:r>
    </w:p>
    <w:p>
      <w:pPr>
        <w:spacing w:after="0" w:line="210" w:lineRule="exact"/>
        <w:rPr>
          <w:rFonts w:ascii="Times New Roman" w:cs="Times New Roman" w:eastAsia="Times New Roman" w:hAnsi="Times New Roman"/>
          <w:sz w:val="14"/>
          <w:szCs w:val="14"/>
          <w:color w:val="010000"/>
        </w:rPr>
      </w:pPr>
    </w:p>
    <w:p>
      <w:pPr>
        <w:ind w:left="1400" w:hanging="517"/>
        <w:spacing w:after="0"/>
        <w:tabs>
          <w:tab w:leader="none" w:pos="1400" w:val="left"/>
        </w:tabs>
        <w:numPr>
          <w:ilvl w:val="1"/>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Clause 14.1 (</w:t>
      </w:r>
      <w:r>
        <w:rPr>
          <w:rFonts w:ascii="Times New Roman" w:cs="Times New Roman" w:eastAsia="Times New Roman" w:hAnsi="Times New Roman"/>
          <w:sz w:val="14"/>
          <w:szCs w:val="14"/>
          <w:i w:val="1"/>
          <w:iCs w:val="1"/>
          <w:color w:val="auto"/>
        </w:rPr>
        <w:t>Calculation of Interest</w:t>
      </w:r>
      <w:r>
        <w:rPr>
          <w:rFonts w:ascii="Times New Roman" w:cs="Times New Roman" w:eastAsia="Times New Roman" w:hAnsi="Times New Roman"/>
          <w:sz w:val="14"/>
          <w:szCs w:val="14"/>
          <w:color w:val="auto"/>
        </w:rPr>
        <w:t>);</w:t>
      </w:r>
    </w:p>
    <w:p>
      <w:pPr>
        <w:spacing w:after="0" w:line="210" w:lineRule="exact"/>
        <w:rPr>
          <w:rFonts w:ascii="Times New Roman" w:cs="Times New Roman" w:eastAsia="Times New Roman" w:hAnsi="Times New Roman"/>
          <w:sz w:val="14"/>
          <w:szCs w:val="14"/>
          <w:color w:val="010000"/>
        </w:rPr>
      </w:pPr>
    </w:p>
    <w:p>
      <w:pPr>
        <w:ind w:left="1380" w:hanging="497"/>
        <w:spacing w:after="0"/>
        <w:tabs>
          <w:tab w:leader="none" w:pos="1380" w:val="left"/>
        </w:tabs>
        <w:numPr>
          <w:ilvl w:val="1"/>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Clause 16 (</w:t>
      </w:r>
      <w:r>
        <w:rPr>
          <w:rFonts w:ascii="Times New Roman" w:cs="Times New Roman" w:eastAsia="Times New Roman" w:hAnsi="Times New Roman"/>
          <w:sz w:val="14"/>
          <w:szCs w:val="14"/>
          <w:i w:val="1"/>
          <w:iCs w:val="1"/>
          <w:color w:val="auto"/>
        </w:rPr>
        <w:t>Changes to the Calculation of Interest</w:t>
      </w:r>
      <w:r>
        <w:rPr>
          <w:rFonts w:ascii="Times New Roman" w:cs="Times New Roman" w:eastAsia="Times New Roman" w:hAnsi="Times New Roman"/>
          <w:sz w:val="14"/>
          <w:szCs w:val="14"/>
          <w:color w:val="auto"/>
        </w:rPr>
        <w:t>);</w:t>
      </w:r>
    </w:p>
    <w:p>
      <w:pPr>
        <w:spacing w:after="0" w:line="210" w:lineRule="exact"/>
        <w:rPr>
          <w:rFonts w:ascii="Times New Roman" w:cs="Times New Roman" w:eastAsia="Times New Roman" w:hAnsi="Times New Roman"/>
          <w:sz w:val="14"/>
          <w:szCs w:val="14"/>
          <w:color w:val="010000"/>
        </w:rPr>
      </w:pPr>
    </w:p>
    <w:p>
      <w:pPr>
        <w:ind w:left="1380" w:hanging="497"/>
        <w:spacing w:after="0"/>
        <w:tabs>
          <w:tab w:leader="none" w:pos="1380" w:val="left"/>
        </w:tabs>
        <w:numPr>
          <w:ilvl w:val="1"/>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Clause 42.5 (</w:t>
      </w:r>
      <w:r>
        <w:rPr>
          <w:rFonts w:ascii="Times New Roman" w:cs="Times New Roman" w:eastAsia="Times New Roman" w:hAnsi="Times New Roman"/>
          <w:sz w:val="14"/>
          <w:szCs w:val="14"/>
          <w:i w:val="1"/>
          <w:iCs w:val="1"/>
          <w:color w:val="auto"/>
        </w:rPr>
        <w:t>Replacement of Screen Rate</w:t>
      </w:r>
      <w:r>
        <w:rPr>
          <w:rFonts w:ascii="Times New Roman" w:cs="Times New Roman" w:eastAsia="Times New Roman" w:hAnsi="Times New Roman"/>
          <w:sz w:val="14"/>
          <w:szCs w:val="14"/>
          <w:color w:val="auto"/>
        </w:rPr>
        <w:t>); and</w:t>
      </w:r>
    </w:p>
    <w:p>
      <w:pPr>
        <w:spacing w:after="0" w:line="210" w:lineRule="exact"/>
        <w:rPr>
          <w:rFonts w:ascii="Times New Roman" w:cs="Times New Roman" w:eastAsia="Times New Roman" w:hAnsi="Times New Roman"/>
          <w:sz w:val="14"/>
          <w:szCs w:val="14"/>
          <w:color w:val="010000"/>
        </w:rPr>
      </w:pPr>
    </w:p>
    <w:p>
      <w:pPr>
        <w:ind w:left="1380" w:hanging="497"/>
        <w:spacing w:after="0"/>
        <w:tabs>
          <w:tab w:leader="none" w:pos="1380" w:val="left"/>
        </w:tabs>
        <w:numPr>
          <w:ilvl w:val="1"/>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Schedule 4, Part 1 (</w:t>
      </w:r>
      <w:r>
        <w:rPr>
          <w:rFonts w:ascii="Times New Roman" w:cs="Times New Roman" w:eastAsia="Times New Roman" w:hAnsi="Times New Roman"/>
          <w:sz w:val="14"/>
          <w:szCs w:val="14"/>
          <w:i w:val="1"/>
          <w:iCs w:val="1"/>
          <w:color w:val="auto"/>
        </w:rPr>
        <w:t>Loans</w:t>
      </w:r>
      <w:r>
        <w:rPr>
          <w:rFonts w:ascii="Times New Roman" w:cs="Times New Roman" w:eastAsia="Times New Roman" w:hAnsi="Times New Roman"/>
          <w:sz w:val="14"/>
          <w:szCs w:val="14"/>
          <w:color w:val="auto"/>
        </w:rPr>
        <w:t>).</w:t>
      </w:r>
    </w:p>
    <w:p>
      <w:pPr>
        <w:spacing w:after="0" w:line="210" w:lineRule="exact"/>
        <w:rPr>
          <w:rFonts w:ascii="Times New Roman" w:cs="Times New Roman" w:eastAsia="Times New Roman" w:hAnsi="Times New Roman"/>
          <w:sz w:val="14"/>
          <w:szCs w:val="14"/>
          <w:color w:val="010000"/>
        </w:rPr>
      </w:pPr>
    </w:p>
    <w:p>
      <w:pPr>
        <w:ind w:left="880" w:hanging="506"/>
        <w:spacing w:after="0"/>
        <w:tabs>
          <w:tab w:leader="none" w:pos="880" w:val="left"/>
        </w:tabs>
        <w:numPr>
          <w:ilvl w:val="0"/>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provisions set out in Schedule 2 (</w:t>
      </w:r>
      <w:r>
        <w:rPr>
          <w:rFonts w:ascii="Times New Roman" w:cs="Times New Roman" w:eastAsia="Times New Roman" w:hAnsi="Times New Roman"/>
          <w:sz w:val="14"/>
          <w:szCs w:val="14"/>
          <w:i w:val="1"/>
          <w:iCs w:val="1"/>
          <w:color w:val="auto"/>
        </w:rPr>
        <w:t>Interest Rate Setting Amendments</w:t>
      </w:r>
      <w:r>
        <w:rPr>
          <w:rFonts w:ascii="Times New Roman" w:cs="Times New Roman" w:eastAsia="Times New Roman" w:hAnsi="Times New Roman"/>
          <w:sz w:val="14"/>
          <w:szCs w:val="14"/>
          <w:color w:val="auto"/>
        </w:rPr>
        <w:t>) shall be incorporated into the Original Facilities Agreement.</w:t>
      </w:r>
    </w:p>
    <w:p>
      <w:pPr>
        <w:spacing w:after="0" w:line="210" w:lineRule="exact"/>
        <w:rPr>
          <w:rFonts w:ascii="Times New Roman" w:cs="Times New Roman" w:eastAsia="Times New Roman" w:hAnsi="Times New Roman"/>
          <w:sz w:val="14"/>
          <w:szCs w:val="14"/>
          <w:color w:val="010000"/>
        </w:rPr>
      </w:pPr>
    </w:p>
    <w:p>
      <w:pPr>
        <w:ind w:left="880" w:hanging="506"/>
        <w:spacing w:after="0" w:line="353" w:lineRule="auto"/>
        <w:tabs>
          <w:tab w:leader="none" w:pos="878" w:val="left"/>
        </w:tabs>
        <w:numPr>
          <w:ilvl w:val="0"/>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references to Clause 42.5 (</w:t>
      </w:r>
      <w:r>
        <w:rPr>
          <w:rFonts w:ascii="Times New Roman" w:cs="Times New Roman" w:eastAsia="Times New Roman" w:hAnsi="Times New Roman"/>
          <w:sz w:val="14"/>
          <w:szCs w:val="14"/>
          <w:i w:val="1"/>
          <w:iCs w:val="1"/>
          <w:color w:val="auto"/>
        </w:rPr>
        <w:t>Replacement of Screen Rate</w:t>
      </w:r>
      <w:r>
        <w:rPr>
          <w:rFonts w:ascii="Times New Roman" w:cs="Times New Roman" w:eastAsia="Times New Roman" w:hAnsi="Times New Roman"/>
          <w:sz w:val="14"/>
          <w:szCs w:val="14"/>
          <w:color w:val="auto"/>
        </w:rPr>
        <w:t>) in Clauses 42.2 (</w:t>
      </w:r>
      <w:r>
        <w:rPr>
          <w:rFonts w:ascii="Times New Roman" w:cs="Times New Roman" w:eastAsia="Times New Roman" w:hAnsi="Times New Roman"/>
          <w:sz w:val="14"/>
          <w:szCs w:val="14"/>
          <w:i w:val="1"/>
          <w:iCs w:val="1"/>
          <w:color w:val="auto"/>
        </w:rPr>
        <w:t>All Lender matters</w:t>
      </w:r>
      <w:r>
        <w:rPr>
          <w:rFonts w:ascii="Times New Roman" w:cs="Times New Roman" w:eastAsia="Times New Roman" w:hAnsi="Times New Roman"/>
          <w:sz w:val="14"/>
          <w:szCs w:val="14"/>
          <w:color w:val="auto"/>
        </w:rPr>
        <w:t>) and 42.3 (</w:t>
      </w:r>
      <w:r>
        <w:rPr>
          <w:rFonts w:ascii="Times New Roman" w:cs="Times New Roman" w:eastAsia="Times New Roman" w:hAnsi="Times New Roman"/>
          <w:sz w:val="14"/>
          <w:szCs w:val="14"/>
          <w:i w:val="1"/>
          <w:iCs w:val="1"/>
          <w:color w:val="auto"/>
        </w:rPr>
        <w:t>Super Majority matters</w:t>
      </w:r>
      <w:r>
        <w:rPr>
          <w:rFonts w:ascii="Times New Roman" w:cs="Times New Roman" w:eastAsia="Times New Roman" w:hAnsi="Times New Roman"/>
          <w:sz w:val="14"/>
          <w:szCs w:val="14"/>
          <w:color w:val="auto"/>
        </w:rPr>
        <w:t>) of the Original Facilities Agreement shall be deemed to be references to Clause 42.5 (</w:t>
      </w:r>
      <w:r>
        <w:rPr>
          <w:rFonts w:ascii="Times New Roman" w:cs="Times New Roman" w:eastAsia="Times New Roman" w:hAnsi="Times New Roman"/>
          <w:sz w:val="14"/>
          <w:szCs w:val="14"/>
          <w:i w:val="1"/>
          <w:iCs w:val="1"/>
          <w:color w:val="auto"/>
        </w:rPr>
        <w:t>Replacement of Primary Term Rate</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140"/>
          </w:cols>
          <w:pgMar w:left="440" w:top="1162" w:right="31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4"/>
          <w:szCs w:val="14"/>
          <w:b w:val="1"/>
          <w:bCs w:val="1"/>
          <w:color w:val="auto"/>
        </w:rPr>
        <w:t>SCHEDULE 2</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 SETTING AMENDMENTS</w:t>
      </w:r>
    </w:p>
    <w:p>
      <w:pPr>
        <w:spacing w:after="0" w:line="210" w:lineRule="exact"/>
        <w:rPr>
          <w:sz w:val="20"/>
          <w:szCs w:val="20"/>
          <w:color w:val="auto"/>
        </w:rPr>
      </w:pPr>
    </w:p>
    <w:p>
      <w:pPr>
        <w:ind w:right="5040" w:firstLine="5"/>
        <w:spacing w:after="0" w:line="531" w:lineRule="auto"/>
        <w:tabs>
          <w:tab w:leader="none" w:pos="295"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definitions shall be added to Clause 1.1 (</w:t>
      </w:r>
      <w:r>
        <w:rPr>
          <w:rFonts w:ascii="Times New Roman" w:cs="Times New Roman" w:eastAsia="Times New Roman" w:hAnsi="Times New Roman"/>
          <w:sz w:val="14"/>
          <w:szCs w:val="14"/>
          <w:i w:val="1"/>
          <w:iCs w:val="1"/>
          <w:color w:val="auto"/>
        </w:rPr>
        <w:t>Definitions</w:t>
      </w:r>
      <w:r>
        <w:rPr>
          <w:rFonts w:ascii="Times New Roman" w:cs="Times New Roman" w:eastAsia="Times New Roman" w:hAnsi="Times New Roman"/>
          <w:sz w:val="14"/>
          <w:szCs w:val="14"/>
          <w:color w:val="auto"/>
        </w:rPr>
        <w:t>) in the appropriate alphabetical order: ""</w:t>
      </w:r>
      <w:r>
        <w:rPr>
          <w:rFonts w:ascii="Times New Roman" w:cs="Times New Roman" w:eastAsia="Times New Roman" w:hAnsi="Times New Roman"/>
          <w:sz w:val="14"/>
          <w:szCs w:val="14"/>
          <w:b w:val="1"/>
          <w:bCs w:val="1"/>
          <w:color w:val="auto"/>
        </w:rPr>
        <w:t>Additional Business Day</w:t>
      </w:r>
      <w:r>
        <w:rPr>
          <w:rFonts w:ascii="Times New Roman" w:cs="Times New Roman" w:eastAsia="Times New Roman" w:hAnsi="Times New Roman"/>
          <w:sz w:val="14"/>
          <w:szCs w:val="14"/>
          <w:color w:val="auto"/>
        </w:rPr>
        <w:t>" means any day other than:</w:t>
      </w:r>
    </w:p>
    <w:p>
      <w:pPr>
        <w:ind w:left="520" w:hanging="515"/>
        <w:spacing w:after="0"/>
        <w:tabs>
          <w:tab w:leader="none" w:pos="520" w:val="left"/>
        </w:tabs>
        <w:numPr>
          <w:ilvl w:val="0"/>
          <w:numId w:val="14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 Saturday or a Sunday; and</w:t>
      </w:r>
    </w:p>
    <w:p>
      <w:pPr>
        <w:spacing w:after="0" w:line="210" w:lineRule="exact"/>
        <w:rPr>
          <w:rFonts w:ascii="Times New Roman" w:cs="Times New Roman" w:eastAsia="Times New Roman" w:hAnsi="Times New Roman"/>
          <w:sz w:val="14"/>
          <w:szCs w:val="14"/>
          <w:color w:val="010000"/>
        </w:rPr>
      </w:pPr>
    </w:p>
    <w:p>
      <w:pPr>
        <w:ind w:left="520" w:hanging="515"/>
        <w:spacing w:after="0" w:line="334" w:lineRule="auto"/>
        <w:tabs>
          <w:tab w:leader="none" w:pos="515" w:val="left"/>
        </w:tabs>
        <w:numPr>
          <w:ilvl w:val="0"/>
          <w:numId w:val="14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 day on which the Securities Industry and Financial Markets Association (or any successor organisation) recommends that the fixed income departments of its members be closed for the entire day for purposes of trading in US Government securities.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 means:</w:t>
      </w:r>
    </w:p>
    <w:p>
      <w:pPr>
        <w:spacing w:after="0" w:line="202" w:lineRule="exact"/>
        <w:rPr>
          <w:sz w:val="20"/>
          <w:szCs w:val="20"/>
          <w:color w:val="auto"/>
        </w:rPr>
      </w:pPr>
    </w:p>
    <w:p>
      <w:pPr>
        <w:ind w:left="520" w:hanging="515"/>
        <w:spacing w:after="0"/>
        <w:tabs>
          <w:tab w:leader="none" w:pos="52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purposes of determining the Term Reference Rate applicable to Loans in Euro, a TARGET Day;</w:t>
      </w:r>
    </w:p>
    <w:p>
      <w:pPr>
        <w:spacing w:after="0" w:line="210"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purposes of fixing an interest rate in relation to a Term Rate Loan in Dollars, an Additional Business Day;</w:t>
      </w:r>
    </w:p>
    <w:p>
      <w:pPr>
        <w:spacing w:after="0" w:line="220" w:lineRule="exact"/>
        <w:rPr>
          <w:rFonts w:ascii="Times New Roman" w:cs="Times New Roman" w:eastAsia="Times New Roman" w:hAnsi="Times New Roman"/>
          <w:sz w:val="14"/>
          <w:szCs w:val="14"/>
          <w:color w:val="auto"/>
        </w:rPr>
      </w:pPr>
    </w:p>
    <w:p>
      <w:pPr>
        <w:jc w:val="both"/>
        <w:ind w:left="520" w:hanging="515"/>
        <w:spacing w:after="0" w:line="317" w:lineRule="auto"/>
        <w:tabs>
          <w:tab w:leader="none" w:pos="518"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purposes of delivering any Utilisation Request or Renewal Request, identifying any Utilisation Date, issuing any Letters of Credit, funding any Utilisation (or calculating any amounts for the relevant Utilisation) and making any other payment, a day (other than a Saturday or Sunday) on which banks are open for general business in London, New York and Singapore </w:t>
      </w:r>
      <w:r>
        <w:rPr>
          <w:rFonts w:ascii="Times New Roman" w:cs="Times New Roman" w:eastAsia="Times New Roman" w:hAnsi="Times New Roman"/>
          <w:sz w:val="14"/>
          <w:szCs w:val="14"/>
          <w:b w:val="1"/>
          <w:bCs w:val="1"/>
          <w:color w:val="auto"/>
        </w:rPr>
        <w:t xml:space="preserve">provided that </w:t>
      </w:r>
      <w:r>
        <w:rPr>
          <w:rFonts w:ascii="Times New Roman" w:cs="Times New Roman" w:eastAsia="Times New Roman" w:hAnsi="Times New Roman"/>
          <w:sz w:val="14"/>
          <w:szCs w:val="14"/>
          <w:color w:val="auto"/>
        </w:rPr>
        <w:t>such day is a TARGET Day for payment or purchase of Euro; and</w:t>
      </w:r>
    </w:p>
    <w:p>
      <w:pPr>
        <w:spacing w:after="0" w:line="136"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all other purposes, a day (other than a Friday, Saturday or Sunday) on which banks are open for general business in London, New York, Abu Dhabi and Singapore.</w:t>
      </w:r>
    </w:p>
    <w:p>
      <w:pPr>
        <w:spacing w:after="0" w:line="20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Central Bank Rate</w:t>
      </w:r>
      <w:r>
        <w:rPr>
          <w:rFonts w:ascii="Times New Roman" w:cs="Times New Roman" w:eastAsia="Times New Roman" w:hAnsi="Times New Roman"/>
          <w:sz w:val="14"/>
          <w:szCs w:val="14"/>
          <w:color w:val="auto"/>
        </w:rPr>
        <w:t>" means the short-term interest rate target set by the US Federal Open Market Committee as published by the Federal Reserve Bank of New York from time to time or if that target is not a single figure, the arithmetic mean (calculated by the Facility Agent (in consultation with the Company) or (with the prior written consent of the Company) by any other Finance Party which agrees to do so in place of the Facility Agent) of:</w:t>
      </w:r>
    </w:p>
    <w:p>
      <w:pPr>
        <w:spacing w:after="0" w:line="135" w:lineRule="exact"/>
        <w:rPr>
          <w:sz w:val="20"/>
          <w:szCs w:val="20"/>
          <w:color w:val="auto"/>
        </w:rPr>
      </w:pPr>
    </w:p>
    <w:p>
      <w:pPr>
        <w:ind w:left="520" w:hanging="515"/>
        <w:spacing w:after="0"/>
        <w:tabs>
          <w:tab w:leader="none" w:pos="52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upper bound of the short-term interest rate target range set by the US Federal Open Market Committee and published by the Federal Reserve Bank of New York; and</w:t>
      </w:r>
    </w:p>
    <w:p>
      <w:pPr>
        <w:spacing w:after="0" w:line="210"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lower bound of that target range.</w:t>
      </w:r>
    </w:p>
    <w:p>
      <w:pPr>
        <w:spacing w:after="0" w:line="208"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Central Bank Rate Adjustment</w:t>
      </w:r>
      <w:r>
        <w:rPr>
          <w:rFonts w:ascii="Times New Roman" w:cs="Times New Roman" w:eastAsia="Times New Roman" w:hAnsi="Times New Roman"/>
          <w:sz w:val="14"/>
          <w:szCs w:val="14"/>
          <w:color w:val="auto"/>
        </w:rPr>
        <w:t>" means the mean of the spread of Term SOFR to the Central Bank Rate (expressed as a percentage rate per annum) over the previous five Additional Business Days on which Term SOFR has been published, excluding the highest spread (or if there is more than one highest spread, only one of those highest spreads) and lowest spread (or, if there is more than one lowest spread, only one of those lowest spreads), calculated by the Facility Agent (in consultation with the Company) or (with the prior written consent of the Company) by any other Finance Party which agrees to do so in place of the Facility Agent) and rounded to five decimal places.</w:t>
      </w:r>
    </w:p>
    <w:p>
      <w:pPr>
        <w:spacing w:after="0" w:line="11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EURIBOR</w:t>
      </w:r>
      <w:r>
        <w:rPr>
          <w:rFonts w:ascii="Times New Roman" w:cs="Times New Roman" w:eastAsia="Times New Roman" w:hAnsi="Times New Roman"/>
          <w:sz w:val="14"/>
          <w:szCs w:val="14"/>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163"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Funding Rate</w:t>
      </w:r>
      <w:r>
        <w:rPr>
          <w:rFonts w:ascii="Times New Roman" w:cs="Times New Roman" w:eastAsia="Times New Roman" w:hAnsi="Times New Roman"/>
          <w:sz w:val="14"/>
          <w:szCs w:val="14"/>
          <w:color w:val="auto"/>
        </w:rPr>
        <w:t>" means any individual rate notified by a Lender to the Facility Agent pursuant to paragraph (a)(ii) of Clause 16.4 (</w:t>
      </w:r>
      <w:r>
        <w:rPr>
          <w:rFonts w:ascii="Times New Roman" w:cs="Times New Roman" w:eastAsia="Times New Roman" w:hAnsi="Times New Roman"/>
          <w:sz w:val="14"/>
          <w:szCs w:val="14"/>
          <w:i w:val="1"/>
          <w:iCs w:val="1"/>
          <w:color w:val="auto"/>
        </w:rPr>
        <w:t>Cost of funds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Historic Primary Term Rate</w:t>
      </w:r>
      <w:r>
        <w:rPr>
          <w:rFonts w:ascii="Times New Roman" w:cs="Times New Roman" w:eastAsia="Times New Roman" w:hAnsi="Times New Roman"/>
          <w:sz w:val="14"/>
          <w:szCs w:val="14"/>
          <w:color w:val="auto"/>
        </w:rPr>
        <w:t>" means, in relation to any Term Rate Loan denominated in Euro, the most recent applicable Primary Term Rate for a period equal in length to the Interest Period of that Loan and which is as of a day which is no more than 3 calendar days before the Quotation Day.</w:t>
      </w:r>
    </w:p>
    <w:p>
      <w:pPr>
        <w:spacing w:after="0" w:line="120"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Interpolated Historic Primary Term Rate</w:t>
      </w:r>
      <w:r>
        <w:rPr>
          <w:rFonts w:ascii="Times New Roman" w:cs="Times New Roman" w:eastAsia="Times New Roman" w:hAnsi="Times New Roman"/>
          <w:sz w:val="14"/>
          <w:szCs w:val="14"/>
          <w:color w:val="auto"/>
        </w:rPr>
        <w:t>" means, in relation to any Term Rate Loan denominated in Euro, the rate (rounded to the same number of decimal places as the relevant Primary Term Rate) which results from interpolating on a linear basis between:</w:t>
      </w:r>
    </w:p>
    <w:p>
      <w:pPr>
        <w:spacing w:after="0" w:line="165" w:lineRule="exact"/>
        <w:rPr>
          <w:sz w:val="20"/>
          <w:szCs w:val="20"/>
          <w:color w:val="auto"/>
        </w:rPr>
      </w:pPr>
    </w:p>
    <w:p>
      <w:pPr>
        <w:ind w:left="520" w:hanging="515"/>
        <w:spacing w:after="0" w:line="334" w:lineRule="auto"/>
        <w:tabs>
          <w:tab w:leader="none" w:pos="518"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most recent applicable Primary Term Rate (as of a day which is not more than three (3) calendar days before the Quotation Day) for the longest period (for which that Primary Term Rate is available) which is less than the Interest Period of that Loan; and</w:t>
      </w:r>
    </w:p>
    <w:p>
      <w:pPr>
        <w:spacing w:after="0" w:line="124" w:lineRule="exact"/>
        <w:rPr>
          <w:rFonts w:ascii="Times New Roman" w:cs="Times New Roman" w:eastAsia="Times New Roman" w:hAnsi="Times New Roman"/>
          <w:sz w:val="14"/>
          <w:szCs w:val="14"/>
          <w:color w:val="auto"/>
        </w:rPr>
      </w:pPr>
    </w:p>
    <w:p>
      <w:pPr>
        <w:ind w:left="520" w:hanging="515"/>
        <w:spacing w:after="0" w:line="334" w:lineRule="auto"/>
        <w:tabs>
          <w:tab w:leader="none" w:pos="515"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most recent applicable Primary Term Rate (as of a day which is not more than 3 calendar days before the Quotation Day) for the shortest period (for which that Primary Term Rate is available) which exceeds the Interest Period of that Loan.</w:t>
      </w:r>
    </w:p>
    <w:p>
      <w:pPr>
        <w:spacing w:after="0" w:line="10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Interpolated Primary Term Rate</w:t>
      </w:r>
      <w:r>
        <w:rPr>
          <w:rFonts w:ascii="Times New Roman" w:cs="Times New Roman" w:eastAsia="Times New Roman" w:hAnsi="Times New Roman"/>
          <w:sz w:val="14"/>
          <w:szCs w:val="14"/>
          <w:color w:val="auto"/>
        </w:rPr>
        <w:t>" means, in relation to any Term Rate Loan, the rate (rounded to the same number of decimal places as the relevant Primary Term Rate) which results from interpolating on a linear basis between:</w:t>
      </w:r>
    </w:p>
    <w:p>
      <w:pPr>
        <w:spacing w:after="0" w:line="143" w:lineRule="exact"/>
        <w:rPr>
          <w:sz w:val="20"/>
          <w:szCs w:val="20"/>
          <w:color w:val="auto"/>
        </w:rPr>
      </w:pPr>
    </w:p>
    <w:p>
      <w:pPr>
        <w:ind w:left="520" w:hanging="515"/>
        <w:spacing w:after="0"/>
        <w:tabs>
          <w:tab w:leader="none" w:pos="5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210" w:lineRule="exact"/>
        <w:rPr>
          <w:rFonts w:ascii="Times New Roman" w:cs="Times New Roman" w:eastAsia="Times New Roman" w:hAnsi="Times New Roman"/>
          <w:sz w:val="14"/>
          <w:szCs w:val="14"/>
          <w:color w:val="auto"/>
        </w:rPr>
      </w:pPr>
    </w:p>
    <w:p>
      <w:pPr>
        <w:ind w:left="1020" w:hanging="506"/>
        <w:spacing w:after="0" w:line="334" w:lineRule="auto"/>
        <w:tabs>
          <w:tab w:leader="none" w:pos="1016" w:val="left"/>
        </w:tabs>
        <w:numPr>
          <w:ilvl w:val="1"/>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Primary Term Rate (as of the Quotation Time) for the longest period (for which that Primary Term Rate is available) which is less than the Interest Period of that Loan; or</w:t>
      </w:r>
    </w:p>
    <w:p>
      <w:pPr>
        <w:spacing w:after="0" w:line="124" w:lineRule="exact"/>
        <w:rPr>
          <w:rFonts w:ascii="Times New Roman" w:cs="Times New Roman" w:eastAsia="Times New Roman" w:hAnsi="Times New Roman"/>
          <w:sz w:val="14"/>
          <w:szCs w:val="14"/>
          <w:color w:val="auto"/>
        </w:rPr>
      </w:pPr>
    </w:p>
    <w:p>
      <w:pPr>
        <w:ind w:left="1020" w:hanging="506"/>
        <w:spacing w:after="0" w:line="295" w:lineRule="auto"/>
        <w:tabs>
          <w:tab w:leader="none" w:pos="1012" w:val="left"/>
        </w:tabs>
        <w:numPr>
          <w:ilvl w:val="1"/>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no such Primary Term Rate is available for a period which is less than the Interest Period of that Loan, the applicable Overnight Rate (if any) for the Overnight Reference Day; and</w:t>
      </w:r>
    </w:p>
    <w:p>
      <w:pPr>
        <w:spacing w:after="0" w:line="385"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Primary Term Rate (as of the Quotation Time) for the shortest period (for which that Primary Term Rate is available) which exceeds the Interest Period of that Loan.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Market Disruption Rate</w:t>
      </w:r>
      <w:r>
        <w:rPr>
          <w:rFonts w:ascii="Times New Roman" w:cs="Times New Roman" w:eastAsia="Times New Roman" w:hAnsi="Times New Roman"/>
          <w:sz w:val="14"/>
          <w:szCs w:val="14"/>
          <w:color w:val="auto"/>
        </w:rPr>
        <w:t>" means:</w:t>
      </w:r>
    </w:p>
    <w:p>
      <w:pPr>
        <w:spacing w:after="0" w:line="202" w:lineRule="exact"/>
        <w:rPr>
          <w:sz w:val="20"/>
          <w:szCs w:val="20"/>
          <w:color w:val="auto"/>
        </w:rPr>
      </w:pPr>
    </w:p>
    <w:p>
      <w:pPr>
        <w:ind w:left="500" w:hanging="495"/>
        <w:spacing w:after="0"/>
        <w:tabs>
          <w:tab w:leader="none" w:pos="50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 Loan in Dollars, the percentage rate per annum which is the aggregate of the applicable Term Reference Rate and the applicable Term Reference Rate CAS; and</w:t>
      </w:r>
    </w:p>
    <w:p>
      <w:pPr>
        <w:spacing w:after="0" w:line="210"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 Loan in Euro, the applicable Term Reference Rate,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provided that, in each case, if such rate is less than zero, the Market Disruption Rate for Loans in such currency shall be deemed to be zero.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Overnight Rate</w:t>
      </w:r>
      <w:r>
        <w:rPr>
          <w:rFonts w:ascii="Times New Roman" w:cs="Times New Roman" w:eastAsia="Times New Roman" w:hAnsi="Times New Roman"/>
          <w:sz w:val="14"/>
          <w:szCs w:val="14"/>
          <w:color w:val="auto"/>
        </w:rPr>
        <w:t>" means:</w:t>
      </w:r>
    </w:p>
    <w:p>
      <w:pPr>
        <w:spacing w:after="0" w:line="202" w:lineRule="exact"/>
        <w:rPr>
          <w:sz w:val="20"/>
          <w:szCs w:val="20"/>
          <w:color w:val="auto"/>
        </w:rPr>
      </w:pPr>
    </w:p>
    <w:p>
      <w:pPr>
        <w:jc w:val="both"/>
        <w:ind w:left="500" w:hanging="495"/>
        <w:spacing w:after="0" w:line="317" w:lineRule="auto"/>
        <w:tabs>
          <w:tab w:leader="none" w:pos="495"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 Term Rate Loan denominated in Dollars, the secured overnight financing rate (SOFR) administered by the Federal Reserve Bank of New York (or any other person which takes over the administration of that rate) published (before any correction, recalculation or republication by the administrator) by the Federal Reserve Bank of New York (or any other person which takes over the publication of that rate); and</w:t>
      </w:r>
    </w:p>
    <w:p>
      <w:pPr>
        <w:spacing w:after="0" w:line="136"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 Term Rate Loan denominated in Euro,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1141" w:right="3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Overnight Reference Day</w:t>
      </w:r>
      <w:r>
        <w:rPr>
          <w:rFonts w:ascii="Times New Roman" w:cs="Times New Roman" w:eastAsia="Times New Roman" w:hAnsi="Times New Roman"/>
          <w:sz w:val="14"/>
          <w:szCs w:val="14"/>
          <w:color w:val="auto"/>
        </w:rPr>
        <w:t>" means:</w:t>
      </w:r>
    </w:p>
    <w:p>
      <w:pPr>
        <w:spacing w:after="0" w:line="212" w:lineRule="exact"/>
        <w:rPr>
          <w:sz w:val="20"/>
          <w:szCs w:val="20"/>
          <w:color w:val="auto"/>
        </w:rPr>
      </w:pPr>
    </w:p>
    <w:p>
      <w:pPr>
        <w:ind w:left="500" w:hanging="495"/>
        <w:spacing w:after="0"/>
        <w:tabs>
          <w:tab w:leader="none" w:pos="50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 Term Rate Loan denominated in Dollars, the day which is two (2) Additional Business Days before the Quotation Day; and</w:t>
      </w:r>
    </w:p>
    <w:p>
      <w:pPr>
        <w:spacing w:after="0" w:line="210"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 Term Rate Loan denominated in Euro, not applicable.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Primary Term Rate</w:t>
      </w:r>
      <w:r>
        <w:rPr>
          <w:rFonts w:ascii="Times New Roman" w:cs="Times New Roman" w:eastAsia="Times New Roman" w:hAnsi="Times New Roman"/>
          <w:sz w:val="14"/>
          <w:szCs w:val="14"/>
          <w:color w:val="auto"/>
        </w:rPr>
        <w:t>" means:</w:t>
      </w:r>
    </w:p>
    <w:p>
      <w:pPr>
        <w:spacing w:after="0" w:line="181" w:lineRule="exact"/>
        <w:rPr>
          <w:sz w:val="20"/>
          <w:szCs w:val="20"/>
          <w:color w:val="auto"/>
        </w:rPr>
      </w:pPr>
    </w:p>
    <w:p>
      <w:pPr>
        <w:ind w:left="520" w:hanging="515"/>
        <w:spacing w:after="0"/>
        <w:tabs>
          <w:tab w:leader="none" w:pos="5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 Term Rate Loan denominated in Dollars, Term SOFR;</w:t>
      </w:r>
    </w:p>
    <w:p>
      <w:pPr>
        <w:spacing w:after="0" w:line="178"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 Term Rate Loan denominated in Euro, EURIBOR; and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Quotation Day</w:t>
      </w:r>
      <w:r>
        <w:rPr>
          <w:rFonts w:ascii="Times New Roman" w:cs="Times New Roman" w:eastAsia="Times New Roman" w:hAnsi="Times New Roman"/>
          <w:sz w:val="14"/>
          <w:szCs w:val="14"/>
          <w:color w:val="auto"/>
        </w:rPr>
        <w:t>" means, in relation to any period for which an interest rate is to be determined:</w:t>
      </w:r>
    </w:p>
    <w:p>
      <w:pPr>
        <w:spacing w:after="0" w:line="202" w:lineRule="exact"/>
        <w:rPr>
          <w:sz w:val="20"/>
          <w:szCs w:val="20"/>
          <w:color w:val="auto"/>
        </w:rPr>
      </w:pPr>
    </w:p>
    <w:p>
      <w:pPr>
        <w:ind w:left="520" w:hanging="515"/>
        <w:spacing w:after="0"/>
        <w:tabs>
          <w:tab w:leader="none" w:pos="5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currency is the Base Currency, two (2) Additional Business Days before the first day of the relevant Interest Period;</w:t>
      </w:r>
    </w:p>
    <w:p>
      <w:pPr>
        <w:spacing w:after="0" w:line="210"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currency is Euros, two (2) TARGET Days before the first day of that period; or</w:t>
      </w:r>
    </w:p>
    <w:p>
      <w:pPr>
        <w:spacing w:after="0" w:line="210"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other currency), two (2) Business Days before the first day of that period,</w:t>
      </w:r>
    </w:p>
    <w:p>
      <w:pPr>
        <w:spacing w:after="0" w:line="210" w:lineRule="exact"/>
        <w:rPr>
          <w:sz w:val="20"/>
          <w:szCs w:val="20"/>
          <w:color w:val="auto"/>
        </w:rPr>
      </w:pPr>
    </w:p>
    <w:p>
      <w:pPr>
        <w:spacing w:after="0" w:line="334" w:lineRule="auto"/>
        <w:rPr>
          <w:sz w:val="20"/>
          <w:szCs w:val="20"/>
          <w:color w:val="auto"/>
        </w:rPr>
      </w:pPr>
      <w:r>
        <w:rPr>
          <w:rFonts w:ascii="Times New Roman" w:cs="Times New Roman" w:eastAsia="Times New Roman" w:hAnsi="Times New Roman"/>
          <w:sz w:val="14"/>
          <w:szCs w:val="14"/>
          <w:color w:val="auto"/>
        </w:rPr>
        <w:t>(in each case, unless market practice differs in the Relevant Market for that currency, in which case the Quotation Day will be determined by the Facility Agent in accordance with market practice in the Relevant Market (and if quotations would normally be given by leading banks in the Relevant Market on more than one (1) calendar day, the Quotation Day will be the last of those days)).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Quotation Time</w:t>
      </w:r>
      <w:r>
        <w:rPr>
          <w:rFonts w:ascii="Times New Roman" w:cs="Times New Roman" w:eastAsia="Times New Roman" w:hAnsi="Times New Roman"/>
          <w:sz w:val="14"/>
          <w:szCs w:val="14"/>
          <w:color w:val="auto"/>
        </w:rPr>
        <w:t>" means:</w:t>
      </w:r>
    </w:p>
    <w:p>
      <w:pPr>
        <w:spacing w:after="0" w:line="181" w:lineRule="exact"/>
        <w:rPr>
          <w:sz w:val="20"/>
          <w:szCs w:val="20"/>
          <w:color w:val="auto"/>
        </w:rPr>
      </w:pPr>
    </w:p>
    <w:p>
      <w:pPr>
        <w:ind w:left="520" w:hanging="515"/>
        <w:spacing w:after="0"/>
        <w:tabs>
          <w:tab w:leader="none" w:pos="52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 Term Rate Loan denominated in Dollars, 6:00 a.m. (New York time) on the Quotation Day; and</w:t>
      </w:r>
    </w:p>
    <w:p>
      <w:pPr>
        <w:spacing w:after="0" w:line="178"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 Term Rate Loan denominated in Euro, 11:00 a.m. (Brussels time) on the Quotation Day.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Quoted Tenor</w:t>
      </w:r>
      <w:r>
        <w:rPr>
          <w:rFonts w:ascii="Times New Roman" w:cs="Times New Roman" w:eastAsia="Times New Roman" w:hAnsi="Times New Roman"/>
          <w:sz w:val="14"/>
          <w:szCs w:val="14"/>
          <w:color w:val="auto"/>
        </w:rPr>
        <w:t>" means, in relation to a Primary Term Rate, any period for which that rate is customarily displayed on the relevant page or screen of an information service.</w:t>
      </w:r>
    </w:p>
    <w:p>
      <w:pPr>
        <w:spacing w:after="0" w:line="200" w:lineRule="exact"/>
        <w:rPr>
          <w:sz w:val="20"/>
          <w:szCs w:val="20"/>
          <w:color w:val="auto"/>
        </w:rPr>
      </w:pPr>
    </w:p>
    <w:p>
      <w:pPr>
        <w:spacing w:after="0" w:line="33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Reference Bank Rate</w:t>
      </w:r>
      <w:r>
        <w:rPr>
          <w:rFonts w:ascii="Times New Roman" w:cs="Times New Roman" w:eastAsia="Times New Roman" w:hAnsi="Times New Roman"/>
          <w:sz w:val="14"/>
          <w:szCs w:val="14"/>
          <w:color w:val="auto"/>
        </w:rPr>
        <w:t>" means, in relation to the Term Reference Rate applicable to Loans denominated in Euro, the arithmetic mean of the rates (rounded upwards to four decimal places) as supplied to the Facility Agent at its request by the Reference Banks:</w:t>
      </w:r>
    </w:p>
    <w:p>
      <w:pPr>
        <w:spacing w:after="0" w:line="102" w:lineRule="exact"/>
        <w:rPr>
          <w:sz w:val="20"/>
          <w:szCs w:val="20"/>
          <w:color w:val="auto"/>
        </w:rPr>
      </w:pPr>
    </w:p>
    <w:p>
      <w:pPr>
        <w:ind w:left="520" w:hanging="515"/>
        <w:spacing w:after="0" w:line="287" w:lineRule="auto"/>
        <w:tabs>
          <w:tab w:leader="none" w:pos="518"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where paragraph (b) below applies) as the rate at which the relevant Reference Bank believes one prime bank is quoting to another prime bank for interbank term deposits in Euro within the Participating Member States for the relevant period; or</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15"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different, as the rate (if any and applied to the relevant Reference Bank and the relevant period) which contributors to the applicable Term Reference Rate are asked to submit to the relevant administrator.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Relevant Market</w:t>
      </w:r>
      <w:r>
        <w:rPr>
          <w:rFonts w:ascii="Times New Roman" w:cs="Times New Roman" w:eastAsia="Times New Roman" w:hAnsi="Times New Roman"/>
          <w:sz w:val="14"/>
          <w:szCs w:val="14"/>
          <w:color w:val="auto"/>
        </w:rPr>
        <w:t>" means:</w:t>
      </w:r>
    </w:p>
    <w:p>
      <w:pPr>
        <w:spacing w:after="0" w:line="181" w:lineRule="exact"/>
        <w:rPr>
          <w:sz w:val="20"/>
          <w:szCs w:val="20"/>
          <w:color w:val="auto"/>
        </w:rPr>
      </w:pPr>
    </w:p>
    <w:p>
      <w:pPr>
        <w:ind w:left="520" w:hanging="515"/>
        <w:spacing w:after="0"/>
        <w:tabs>
          <w:tab w:leader="none" w:pos="5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Dollars, the market for overnight cash borrowing collateralized by US Government securities; and</w:t>
      </w:r>
    </w:p>
    <w:p>
      <w:pPr>
        <w:spacing w:after="0" w:line="178"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Euros, the European interbank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1163" w:right="3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T2</w:t>
      </w:r>
      <w:r>
        <w:rPr>
          <w:rFonts w:ascii="Times New Roman" w:cs="Times New Roman" w:eastAsia="Times New Roman" w:hAnsi="Times New Roman"/>
          <w:sz w:val="14"/>
          <w:szCs w:val="14"/>
          <w:color w:val="auto"/>
        </w:rPr>
        <w:t>" means the real time gross settlement system operated by the Eurosystem, or any successor system.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TARGET Day</w:t>
      </w:r>
      <w:r>
        <w:rPr>
          <w:rFonts w:ascii="Times New Roman" w:cs="Times New Roman" w:eastAsia="Times New Roman" w:hAnsi="Times New Roman"/>
          <w:sz w:val="14"/>
          <w:szCs w:val="14"/>
          <w:color w:val="auto"/>
        </w:rPr>
        <w:t>" means any day on which T2 is open for the settlement of payments in euro.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Rate Currency</w:t>
      </w:r>
      <w:r>
        <w:rPr>
          <w:rFonts w:ascii="Times New Roman" w:cs="Times New Roman" w:eastAsia="Times New Roman" w:hAnsi="Times New Roman"/>
          <w:sz w:val="14"/>
          <w:szCs w:val="14"/>
          <w:color w:val="auto"/>
        </w:rPr>
        <w:t>" means:</w:t>
      </w:r>
    </w:p>
    <w:p>
      <w:pPr>
        <w:spacing w:after="0" w:line="202" w:lineRule="exact"/>
        <w:rPr>
          <w:sz w:val="20"/>
          <w:szCs w:val="20"/>
          <w:color w:val="auto"/>
        </w:rPr>
      </w:pPr>
    </w:p>
    <w:p>
      <w:pPr>
        <w:ind w:left="520" w:hanging="515"/>
        <w:spacing w:after="0"/>
        <w:tabs>
          <w:tab w:leader="none" w:pos="52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Dollars; and</w:t>
      </w:r>
    </w:p>
    <w:p>
      <w:pPr>
        <w:spacing w:after="0" w:line="210"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Euros.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Rate Loan</w:t>
      </w:r>
      <w:r>
        <w:rPr>
          <w:rFonts w:ascii="Times New Roman" w:cs="Times New Roman" w:eastAsia="Times New Roman" w:hAnsi="Times New Roman"/>
          <w:sz w:val="14"/>
          <w:szCs w:val="14"/>
          <w:color w:val="auto"/>
        </w:rPr>
        <w:t>" means any Loan or, if applicable, Unpaid Sum in a Term Rate Currency.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Reference Rate</w:t>
      </w:r>
      <w:r>
        <w:rPr>
          <w:rFonts w:ascii="Times New Roman" w:cs="Times New Roman" w:eastAsia="Times New Roman" w:hAnsi="Times New Roman"/>
          <w:sz w:val="14"/>
          <w:szCs w:val="14"/>
          <w:color w:val="auto"/>
        </w:rPr>
        <w:t>" means in relation to a Term Rate Loan:</w:t>
      </w:r>
    </w:p>
    <w:p>
      <w:pPr>
        <w:spacing w:after="0" w:line="202" w:lineRule="exact"/>
        <w:rPr>
          <w:sz w:val="20"/>
          <w:szCs w:val="20"/>
          <w:color w:val="auto"/>
        </w:rPr>
      </w:pPr>
    </w:p>
    <w:p>
      <w:pPr>
        <w:ind w:left="520" w:hanging="515"/>
        <w:spacing w:after="0"/>
        <w:tabs>
          <w:tab w:leader="none" w:pos="52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Primary Term Rate as of the Quotation Time for a period equal in length to the Interest Period of that Loan; or</w:t>
      </w:r>
    </w:p>
    <w:p>
      <w:pPr>
        <w:spacing w:after="0" w:line="208" w:lineRule="exact"/>
        <w:rPr>
          <w:rFonts w:ascii="Times New Roman" w:cs="Times New Roman" w:eastAsia="Times New Roman" w:hAnsi="Times New Roman"/>
          <w:sz w:val="14"/>
          <w:szCs w:val="14"/>
          <w:color w:val="auto"/>
        </w:rPr>
      </w:pPr>
    </w:p>
    <w:p>
      <w:pPr>
        <w:ind w:left="520" w:hanging="515"/>
        <w:spacing w:after="0" w:line="337" w:lineRule="auto"/>
        <w:tabs>
          <w:tab w:leader="none" w:pos="515"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otherwise determined pursuant to Clause 16.1 (</w:t>
      </w:r>
      <w:r>
        <w:rPr>
          <w:rFonts w:ascii="Times New Roman" w:cs="Times New Roman" w:eastAsia="Times New Roman" w:hAnsi="Times New Roman"/>
          <w:sz w:val="14"/>
          <w:szCs w:val="14"/>
          <w:i w:val="1"/>
          <w:iCs w:val="1"/>
          <w:color w:val="auto"/>
        </w:rPr>
        <w:t>Unavailability of Primary Term Rate (USD Term Rate Loans)</w:t>
      </w:r>
      <w:r>
        <w:rPr>
          <w:rFonts w:ascii="Times New Roman" w:cs="Times New Roman" w:eastAsia="Times New Roman" w:hAnsi="Times New Roman"/>
          <w:sz w:val="14"/>
          <w:szCs w:val="14"/>
          <w:color w:val="auto"/>
        </w:rPr>
        <w:t>) or Clause 16.1A (</w:t>
      </w:r>
      <w:r>
        <w:rPr>
          <w:rFonts w:ascii="Times New Roman" w:cs="Times New Roman" w:eastAsia="Times New Roman" w:hAnsi="Times New Roman"/>
          <w:sz w:val="14"/>
          <w:szCs w:val="14"/>
          <w:i w:val="1"/>
          <w:iCs w:val="1"/>
          <w:color w:val="auto"/>
        </w:rPr>
        <w:t>Unavailability of Primary Term Rate (Euro Term Rate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Loans)</w:t>
      </w:r>
      <w:r>
        <w:rPr>
          <w:rFonts w:ascii="Times New Roman" w:cs="Times New Roman" w:eastAsia="Times New Roman" w:hAnsi="Times New Roman"/>
          <w:sz w:val="14"/>
          <w:szCs w:val="14"/>
          <w:color w:val="auto"/>
        </w:rPr>
        <w:t>), as applicable.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Reference Rate CAS</w:t>
      </w:r>
      <w:r>
        <w:rPr>
          <w:rFonts w:ascii="Times New Roman" w:cs="Times New Roman" w:eastAsia="Times New Roman" w:hAnsi="Times New Roman"/>
          <w:sz w:val="14"/>
          <w:szCs w:val="14"/>
          <w:color w:val="auto"/>
        </w:rPr>
        <w:t>" means a percentage rate per annum as set forth below for each Interest Period of such Loan:</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Interest Period</w:t>
            </w:r>
          </w:p>
        </w:tc>
        <w:tc>
          <w:tcPr>
            <w:tcW w:w="2680" w:type="dxa"/>
            <w:vAlign w:val="bottom"/>
          </w:tcPr>
          <w:p>
            <w:pPr>
              <w:spacing w:after="0"/>
              <w:rPr>
                <w:sz w:val="13"/>
                <w:szCs w:val="13"/>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Percentage rate</w:t>
            </w:r>
          </w:p>
        </w:tc>
      </w:tr>
      <w:tr>
        <w:trPr>
          <w:trHeight w:val="188"/>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One month</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0.11448%</w:t>
            </w:r>
          </w:p>
        </w:tc>
      </w:tr>
      <w:tr>
        <w:trPr>
          <w:trHeight w:val="180"/>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Three months</w:t>
            </w:r>
          </w:p>
        </w:tc>
        <w:tc>
          <w:tcPr>
            <w:tcW w:w="9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0.26161%</w:t>
            </w:r>
          </w:p>
        </w:tc>
      </w:tr>
      <w:tr>
        <w:trPr>
          <w:trHeight w:val="184"/>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Six months</w:t>
            </w:r>
          </w:p>
        </w:tc>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0.42826%</w:t>
            </w:r>
          </w:p>
        </w:tc>
      </w:tr>
    </w:tbl>
    <w:p>
      <w:pPr>
        <w:spacing w:after="0" w:line="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provided </w:t>
      </w:r>
      <w:r>
        <w:rPr>
          <w:rFonts w:ascii="Times New Roman" w:cs="Times New Roman" w:eastAsia="Times New Roman" w:hAnsi="Times New Roman"/>
          <w:sz w:val="14"/>
          <w:szCs w:val="14"/>
          <w:color w:val="auto"/>
        </w:rPr>
        <w:t>that, in respect of an Interest Period of a length shorter than six months but which has a length other than as specified above, the Term Reference Rate CAS for that Interest Period shall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percentage per annum which results from interpolating on a linear basis between the Term Reference Rate CAS for the longest period specified above which is less than such Interest Period and the Term Reference Rate CAS for the shortest period specified above which exceeds such Interest Period.</w:t>
      </w:r>
    </w:p>
    <w:p>
      <w:pPr>
        <w:spacing w:after="0" w:line="1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SOFR</w:t>
      </w:r>
      <w:r>
        <w:rPr>
          <w:rFonts w:ascii="Times New Roman" w:cs="Times New Roman" w:eastAsia="Times New Roman" w:hAnsi="Times New Roman"/>
          <w:sz w:val="14"/>
          <w:szCs w:val="14"/>
          <w:color w:val="auto"/>
        </w:rPr>
        <w:t>" means the term SOFR reference rate administered by CME Group Benchmark Administration Limited (or any other person which takes over the administration of that rate) for the relevant period published (before any correction, recalculation or republication by the administrator) by CME Group Benchmark Administration Limited (or any other person which takes over the publication of that rate)."</w:t>
      </w:r>
    </w:p>
    <w:p>
      <w:pPr>
        <w:spacing w:after="0" w:line="155" w:lineRule="exact"/>
        <w:rPr>
          <w:sz w:val="20"/>
          <w:szCs w:val="20"/>
          <w:color w:val="auto"/>
        </w:rPr>
      </w:pPr>
    </w:p>
    <w:p>
      <w:pPr>
        <w:ind w:left="300" w:hanging="295"/>
        <w:spacing w:after="0"/>
        <w:tabs>
          <w:tab w:leader="none" w:pos="30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new Clauses 1.2(r) and 1.2(s) shall be added to Clause 1.2 (</w:t>
      </w:r>
      <w:r>
        <w:rPr>
          <w:rFonts w:ascii="Times New Roman" w:cs="Times New Roman" w:eastAsia="Times New Roman" w:hAnsi="Times New Roman"/>
          <w:sz w:val="14"/>
          <w:szCs w:val="14"/>
          <w:i w:val="1"/>
          <w:iCs w:val="1"/>
          <w:color w:val="auto"/>
        </w:rPr>
        <w:t>Construction</w:t>
      </w:r>
      <w:r>
        <w:rPr>
          <w:rFonts w:ascii="Times New Roman" w:cs="Times New Roman" w:eastAsia="Times New Roman" w:hAnsi="Times New Roman"/>
          <w:sz w:val="14"/>
          <w:szCs w:val="14"/>
          <w:color w:val="auto"/>
        </w:rPr>
        <w:t>):</w:t>
      </w:r>
    </w:p>
    <w:p>
      <w:pPr>
        <w:spacing w:after="0" w:line="212" w:lineRule="exact"/>
        <w:rPr>
          <w:sz w:val="20"/>
          <w:szCs w:val="20"/>
          <w:color w:val="auto"/>
        </w:rPr>
      </w:pPr>
    </w:p>
    <w:p>
      <w:pPr>
        <w:ind w:left="520"/>
        <w:spacing w:after="0"/>
        <w:tabs>
          <w:tab w:leader="none" w:pos="860" w:val="left"/>
        </w:tabs>
        <w:rPr>
          <w:sz w:val="20"/>
          <w:szCs w:val="20"/>
          <w:color w:val="auto"/>
        </w:rPr>
      </w:pPr>
      <w:r>
        <w:rPr>
          <w:rFonts w:ascii="Times New Roman" w:cs="Times New Roman" w:eastAsia="Times New Roman" w:hAnsi="Times New Roman"/>
          <w:sz w:val="14"/>
          <w:szCs w:val="14"/>
          <w:color w:val="auto"/>
        </w:rPr>
        <w:t>"(r)</w:t>
        <w:tab/>
        <w:t>A reference in this Agreement to a page or screen of an information service displaying a rate shall include:</w:t>
      </w:r>
    </w:p>
    <w:p>
      <w:pPr>
        <w:spacing w:after="0" w:line="210" w:lineRule="exact"/>
        <w:rPr>
          <w:sz w:val="20"/>
          <w:szCs w:val="20"/>
          <w:color w:val="auto"/>
        </w:rPr>
      </w:pPr>
    </w:p>
    <w:p>
      <w:pPr>
        <w:ind w:left="1300" w:hanging="277"/>
        <w:spacing w:after="0"/>
        <w:tabs>
          <w:tab w:leader="none" w:pos="130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replacement page of that information service which displays that rate; and</w:t>
      </w:r>
    </w:p>
    <w:p>
      <w:pPr>
        <w:spacing w:after="0" w:line="210" w:lineRule="exact"/>
        <w:rPr>
          <w:rFonts w:ascii="Times New Roman" w:cs="Times New Roman" w:eastAsia="Times New Roman" w:hAnsi="Times New Roman"/>
          <w:sz w:val="14"/>
          <w:szCs w:val="14"/>
          <w:color w:val="auto"/>
        </w:rPr>
      </w:pPr>
    </w:p>
    <w:p>
      <w:pPr>
        <w:ind w:left="1340" w:hanging="317"/>
        <w:spacing w:after="0"/>
        <w:tabs>
          <w:tab w:leader="none" w:pos="134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appropriate page of such other information service which displays that rate from time to time in place of that information service,</w:t>
      </w:r>
    </w:p>
    <w:p>
      <w:pPr>
        <w:spacing w:after="0" w:line="2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and, if such page or service ceases to be available, shall include any other page or service displaying that rate specified by the Facility Agent after consultation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1141" w:right="319" w:bottom="1440" w:gutter="0" w:footer="0" w:header="0"/>
        </w:sectPr>
      </w:pPr>
    </w:p>
    <w:bookmarkStart w:id="156" w:name="page157"/>
    <w:bookmarkEnd w:id="156"/>
    <w:p>
      <w:pPr>
        <w:ind w:left="800" w:hanging="286"/>
        <w:spacing w:after="0"/>
        <w:tabs>
          <w:tab w:leader="none" w:pos="800" w:val="left"/>
        </w:tabs>
        <w:numPr>
          <w:ilvl w:val="1"/>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reference in this Agreement to a Central Bank Rate shall include any successor rate to, or replacement rate for, that rate."</w:t>
      </w:r>
    </w:p>
    <w:p>
      <w:pPr>
        <w:spacing w:after="0" w:line="20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III.  The following new Clause 4.3 (</w:t>
      </w:r>
      <w:r>
        <w:rPr>
          <w:rFonts w:ascii="Times New Roman" w:cs="Times New Roman" w:eastAsia="Times New Roman" w:hAnsi="Times New Roman"/>
          <w:sz w:val="14"/>
          <w:szCs w:val="14"/>
          <w:i w:val="1"/>
          <w:iCs w:val="1"/>
          <w:color w:val="auto"/>
        </w:rPr>
        <w:t>Conditions relating to Optional Currencies</w:t>
      </w:r>
      <w:r>
        <w:rPr>
          <w:rFonts w:ascii="Times New Roman" w:cs="Times New Roman" w:eastAsia="Times New Roman" w:hAnsi="Times New Roman"/>
          <w:sz w:val="14"/>
          <w:szCs w:val="14"/>
          <w:color w:val="auto"/>
        </w:rPr>
        <w:t>) shall be added:</w:t>
      </w:r>
    </w:p>
    <w:p>
      <w:pPr>
        <w:spacing w:after="0" w:line="21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4.3</w:t>
      </w:r>
      <w:r>
        <w:rPr>
          <w:sz w:val="20"/>
          <w:szCs w:val="20"/>
          <w:color w:val="auto"/>
        </w:rPr>
        <w:tab/>
      </w:r>
      <w:r>
        <w:rPr>
          <w:rFonts w:ascii="Times New Roman" w:cs="Times New Roman" w:eastAsia="Times New Roman" w:hAnsi="Times New Roman"/>
          <w:sz w:val="14"/>
          <w:szCs w:val="14"/>
          <w:b w:val="1"/>
          <w:bCs w:val="1"/>
          <w:color w:val="auto"/>
        </w:rPr>
        <w:t>Conditions relating to Optional Currencies</w:t>
      </w:r>
    </w:p>
    <w:p>
      <w:pPr>
        <w:spacing w:after="0" w:line="212" w:lineRule="exact"/>
        <w:rPr>
          <w:sz w:val="20"/>
          <w:szCs w:val="20"/>
          <w:color w:val="auto"/>
        </w:rPr>
      </w:pPr>
    </w:p>
    <w:p>
      <w:pPr>
        <w:ind w:left="1020" w:hanging="506"/>
        <w:spacing w:after="0"/>
        <w:tabs>
          <w:tab w:leader="none" w:pos="102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currency will constitute an Optional Currency in relation to a Utilisation if:</w:t>
      </w:r>
    </w:p>
    <w:p>
      <w:pPr>
        <w:spacing w:after="0" w:line="210" w:lineRule="exact"/>
        <w:rPr>
          <w:rFonts w:ascii="Times New Roman" w:cs="Times New Roman" w:eastAsia="Times New Roman" w:hAnsi="Times New Roman"/>
          <w:sz w:val="14"/>
          <w:szCs w:val="14"/>
          <w:color w:val="auto"/>
        </w:rPr>
      </w:pPr>
    </w:p>
    <w:p>
      <w:pPr>
        <w:ind w:left="1520" w:hanging="497"/>
        <w:spacing w:after="0"/>
        <w:tabs>
          <w:tab w:leader="none" w:pos="1520" w:val="left"/>
        </w:tabs>
        <w:numPr>
          <w:ilvl w:val="1"/>
          <w:numId w:val="16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it is Euro; or</w:t>
      </w:r>
    </w:p>
    <w:p>
      <w:pPr>
        <w:spacing w:after="0" w:line="210" w:lineRule="exact"/>
        <w:rPr>
          <w:rFonts w:ascii="Times New Roman" w:cs="Times New Roman" w:eastAsia="Times New Roman" w:hAnsi="Times New Roman"/>
          <w:sz w:val="14"/>
          <w:szCs w:val="14"/>
          <w:color w:val="010000"/>
        </w:rPr>
      </w:pPr>
    </w:p>
    <w:p>
      <w:pPr>
        <w:ind w:left="1520" w:hanging="497"/>
        <w:spacing w:after="0"/>
        <w:tabs>
          <w:tab w:leader="none" w:pos="1520" w:val="left"/>
        </w:tabs>
        <w:numPr>
          <w:ilvl w:val="1"/>
          <w:numId w:val="16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it:</w:t>
      </w:r>
    </w:p>
    <w:p>
      <w:pPr>
        <w:spacing w:after="0" w:line="210" w:lineRule="exact"/>
        <w:rPr>
          <w:rFonts w:ascii="Times New Roman" w:cs="Times New Roman" w:eastAsia="Times New Roman" w:hAnsi="Times New Roman"/>
          <w:sz w:val="14"/>
          <w:szCs w:val="14"/>
          <w:color w:val="010000"/>
        </w:rPr>
      </w:pPr>
    </w:p>
    <w:p>
      <w:pPr>
        <w:ind w:left="2040" w:hanging="507"/>
        <w:spacing w:after="0" w:line="334" w:lineRule="auto"/>
        <w:tabs>
          <w:tab w:leader="none" w:pos="2035" w:val="left"/>
        </w:tabs>
        <w:numPr>
          <w:ilvl w:val="2"/>
          <w:numId w:val="16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is readily available in the amount required and freely convertible into the Base Currency in the wholesale market for that currency on the Quotation Day and the Utilisation Date for that Utilisation;</w:t>
      </w:r>
    </w:p>
    <w:p>
      <w:pPr>
        <w:spacing w:after="0" w:line="135" w:lineRule="exact"/>
        <w:rPr>
          <w:rFonts w:ascii="Times New Roman" w:cs="Times New Roman" w:eastAsia="Times New Roman" w:hAnsi="Times New Roman"/>
          <w:sz w:val="14"/>
          <w:szCs w:val="14"/>
          <w:color w:val="010000"/>
        </w:rPr>
      </w:pPr>
    </w:p>
    <w:p>
      <w:pPr>
        <w:ind w:left="2040" w:hanging="507"/>
        <w:spacing w:after="0"/>
        <w:tabs>
          <w:tab w:leader="none" w:pos="2040" w:val="left"/>
        </w:tabs>
        <w:numPr>
          <w:ilvl w:val="2"/>
          <w:numId w:val="16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has been requested of the Facility Agent at least five (5) Business Days prior to the date of the relevant Utilisation Request; and</w:t>
      </w:r>
    </w:p>
    <w:p>
      <w:pPr>
        <w:spacing w:after="0" w:line="210" w:lineRule="exact"/>
        <w:rPr>
          <w:rFonts w:ascii="Times New Roman" w:cs="Times New Roman" w:eastAsia="Times New Roman" w:hAnsi="Times New Roman"/>
          <w:sz w:val="14"/>
          <w:szCs w:val="14"/>
          <w:color w:val="010000"/>
        </w:rPr>
      </w:pPr>
    </w:p>
    <w:p>
      <w:pPr>
        <w:ind w:left="2040" w:hanging="507"/>
        <w:spacing w:after="0" w:line="334" w:lineRule="auto"/>
        <w:tabs>
          <w:tab w:leader="none" w:pos="2037" w:val="left"/>
        </w:tabs>
        <w:numPr>
          <w:ilvl w:val="2"/>
          <w:numId w:val="16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has been approved by the Facility Agent (in both its capacity as such and acting on the instructions of all the Lenders under the relevant Facility) on or prior to receipt by the Facility Agent of the relevant Utilisation Request for that Utilisation,</w:t>
      </w:r>
    </w:p>
    <w:p>
      <w:pPr>
        <w:spacing w:after="0" w:line="123" w:lineRule="exact"/>
        <w:rPr>
          <w:sz w:val="20"/>
          <w:szCs w:val="20"/>
          <w:color w:val="auto"/>
        </w:rPr>
      </w:pPr>
    </w:p>
    <w:p>
      <w:pPr>
        <w:jc w:val="both"/>
        <w:ind w:left="1540"/>
        <w:spacing w:after="0" w:line="309" w:lineRule="auto"/>
        <w:rPr>
          <w:sz w:val="20"/>
          <w:szCs w:val="20"/>
          <w:color w:val="auto"/>
        </w:rPr>
      </w:pPr>
      <w:r>
        <w:rPr>
          <w:rFonts w:ascii="Times New Roman" w:cs="Times New Roman" w:eastAsia="Times New Roman" w:hAnsi="Times New Roman"/>
          <w:sz w:val="14"/>
          <w:szCs w:val="14"/>
          <w:b w:val="1"/>
          <w:bCs w:val="1"/>
          <w:color w:val="auto"/>
        </w:rPr>
        <w:t>provided that</w:t>
      </w:r>
      <w:r>
        <w:rPr>
          <w:rFonts w:ascii="Times New Roman" w:cs="Times New Roman" w:eastAsia="Times New Roman" w:hAnsi="Times New Roman"/>
          <w:sz w:val="14"/>
          <w:szCs w:val="14"/>
          <w:color w:val="auto"/>
        </w:rPr>
        <w:t>, on or before the Specified Time, the Obligors' Agent and the Facility Agent (both in its capacity as such and acting on the instructions of all the Lenders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under the relevant Facility), have agreed and effected such amendments to this Agreement that are reasonably necessary (if any) to implement such currency as an Optional Currency for the purposes of this Agreement (including, without limitation, to specify the primary rate of interest to apply to a Utilisation or Unpaid Sum in such currency and any fallback rate(s) in the event such primary rate of interest is unavailable). The Facility Agent and the Lenders shall consider any amendments proposed by the Obligors' Agent for such purposes in good faith and in a timely manner.</w:t>
      </w:r>
    </w:p>
    <w:p>
      <w:pPr>
        <w:spacing w:after="0" w:line="143" w:lineRule="exact"/>
        <w:rPr>
          <w:sz w:val="20"/>
          <w:szCs w:val="20"/>
          <w:color w:val="auto"/>
        </w:rPr>
      </w:pPr>
    </w:p>
    <w:p>
      <w:pPr>
        <w:ind w:left="1020" w:hanging="506"/>
        <w:spacing w:after="0" w:line="334" w:lineRule="auto"/>
        <w:tabs>
          <w:tab w:leader="none" w:pos="1015"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Facility Agent has received a written request from the Company for a currency to be approved under paragraph (a)(ii)(C) above, then, subject to paragraph (a)(ii) above, the Facility Agent will confirm to the Company by the Specified Time:</w:t>
      </w:r>
    </w:p>
    <w:p>
      <w:pPr>
        <w:spacing w:after="0" w:line="124" w:lineRule="exact"/>
        <w:rPr>
          <w:rFonts w:ascii="Times New Roman" w:cs="Times New Roman" w:eastAsia="Times New Roman" w:hAnsi="Times New Roman"/>
          <w:sz w:val="14"/>
          <w:szCs w:val="14"/>
          <w:color w:val="auto"/>
        </w:rPr>
      </w:pPr>
    </w:p>
    <w:p>
      <w:pPr>
        <w:ind w:left="1520" w:hanging="497"/>
        <w:spacing w:after="0"/>
        <w:tabs>
          <w:tab w:leader="none" w:pos="1520" w:val="left"/>
        </w:tabs>
        <w:numPr>
          <w:ilvl w:val="1"/>
          <w:numId w:val="16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whether or not each of it and the relevant Lenders have granted their approval; and</w:t>
      </w:r>
    </w:p>
    <w:p>
      <w:pPr>
        <w:spacing w:after="0" w:line="210" w:lineRule="exact"/>
        <w:rPr>
          <w:rFonts w:ascii="Times New Roman" w:cs="Times New Roman" w:eastAsia="Times New Roman" w:hAnsi="Times New Roman"/>
          <w:sz w:val="14"/>
          <w:szCs w:val="14"/>
          <w:color w:val="010000"/>
        </w:rPr>
      </w:pPr>
    </w:p>
    <w:p>
      <w:pPr>
        <w:ind w:left="1520" w:hanging="497"/>
        <w:spacing w:after="0"/>
        <w:tabs>
          <w:tab w:leader="none" w:pos="1520" w:val="left"/>
        </w:tabs>
        <w:numPr>
          <w:ilvl w:val="1"/>
          <w:numId w:val="16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if approval has been granted, the minimum amount for any subsequent Utilisation in that currency."</w:t>
      </w:r>
    </w:p>
    <w:p>
      <w:pPr>
        <w:spacing w:after="0" w:line="20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IV.</w:t>
        <w:tab/>
        <w:t>The following new Clause 14.1 (</w:t>
      </w:r>
      <w:r>
        <w:rPr>
          <w:rFonts w:ascii="Times New Roman" w:cs="Times New Roman" w:eastAsia="Times New Roman" w:hAnsi="Times New Roman"/>
          <w:sz w:val="14"/>
          <w:szCs w:val="14"/>
          <w:i w:val="1"/>
          <w:iCs w:val="1"/>
          <w:color w:val="auto"/>
        </w:rPr>
        <w:t>Calculation of interest</w:t>
      </w:r>
      <w:r>
        <w:rPr>
          <w:rFonts w:ascii="Times New Roman" w:cs="Times New Roman" w:eastAsia="Times New Roman" w:hAnsi="Times New Roman"/>
          <w:sz w:val="14"/>
          <w:szCs w:val="14"/>
          <w:color w:val="auto"/>
        </w:rPr>
        <w:t>) shall be added:</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14.1 Calculation of interest</w:t>
      </w:r>
    </w:p>
    <w:p>
      <w:pPr>
        <w:spacing w:after="0" w:line="212" w:lineRule="exact"/>
        <w:rPr>
          <w:sz w:val="20"/>
          <w:szCs w:val="20"/>
          <w:color w:val="auto"/>
        </w:rPr>
      </w:pPr>
    </w:p>
    <w:p>
      <w:pPr>
        <w:ind w:left="1020" w:hanging="506"/>
        <w:spacing w:after="0"/>
        <w:tabs>
          <w:tab w:leader="none" w:pos="10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of interest of each Term Rate Loan in Dollars for an Interest Period is the percentage rate per annum which is the aggregate of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1164" w:right="319" w:bottom="1440" w:gutter="0" w:footer="0" w:header="0"/>
        </w:sectPr>
      </w:pPr>
    </w:p>
    <w:bookmarkStart w:id="157" w:name="page158"/>
    <w:bookmarkEnd w:id="157"/>
    <w:p>
      <w:pPr>
        <w:ind w:left="1520" w:hanging="497"/>
        <w:spacing w:after="0"/>
        <w:tabs>
          <w:tab w:leader="none" w:pos="152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Margin;</w:t>
      </w:r>
    </w:p>
    <w:p>
      <w:pPr>
        <w:spacing w:after="0" w:line="210" w:lineRule="exact"/>
        <w:rPr>
          <w:rFonts w:ascii="Times New Roman" w:cs="Times New Roman" w:eastAsia="Times New Roman" w:hAnsi="Times New Roman"/>
          <w:sz w:val="14"/>
          <w:szCs w:val="14"/>
          <w:color w:val="auto"/>
        </w:rPr>
      </w:pPr>
    </w:p>
    <w:p>
      <w:pPr>
        <w:ind w:left="1520" w:hanging="497"/>
        <w:spacing w:after="0"/>
        <w:tabs>
          <w:tab w:leader="none" w:pos="152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 Reference Rate; and</w:t>
      </w:r>
    </w:p>
    <w:p>
      <w:pPr>
        <w:spacing w:after="0" w:line="210" w:lineRule="exact"/>
        <w:rPr>
          <w:rFonts w:ascii="Times New Roman" w:cs="Times New Roman" w:eastAsia="Times New Roman" w:hAnsi="Times New Roman"/>
          <w:sz w:val="14"/>
          <w:szCs w:val="14"/>
          <w:color w:val="auto"/>
        </w:rPr>
      </w:pPr>
    </w:p>
    <w:p>
      <w:pPr>
        <w:ind w:left="1540" w:hanging="517"/>
        <w:spacing w:after="0"/>
        <w:tabs>
          <w:tab w:leader="none" w:pos="154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 Reference Rate CAS,</w:t>
      </w:r>
    </w:p>
    <w:p>
      <w:pPr>
        <w:spacing w:after="0" w:line="210" w:lineRule="exact"/>
        <w:rPr>
          <w:sz w:val="20"/>
          <w:szCs w:val="20"/>
          <w:color w:val="auto"/>
        </w:rPr>
      </w:pPr>
    </w:p>
    <w:p>
      <w:pPr>
        <w:ind w:left="1020"/>
        <w:spacing w:after="0" w:line="334" w:lineRule="auto"/>
        <w:rPr>
          <w:sz w:val="20"/>
          <w:szCs w:val="20"/>
          <w:color w:val="auto"/>
        </w:rPr>
      </w:pPr>
      <w:r>
        <w:rPr>
          <w:rFonts w:ascii="Times New Roman" w:cs="Times New Roman" w:eastAsia="Times New Roman" w:hAnsi="Times New Roman"/>
          <w:sz w:val="14"/>
          <w:szCs w:val="14"/>
          <w:color w:val="auto"/>
        </w:rPr>
        <w:t>provided that, if the aggregate of the applicable Term Reference Rate and Term Reference Rate CAS is less than zero, the aggregate of the applicable Term Reference Rate and Term Reference Rate CAS shall be deemed to be zero.</w:t>
      </w:r>
    </w:p>
    <w:p>
      <w:pPr>
        <w:spacing w:after="0" w:line="125" w:lineRule="exact"/>
        <w:rPr>
          <w:sz w:val="20"/>
          <w:szCs w:val="20"/>
          <w:color w:val="auto"/>
        </w:rPr>
      </w:pPr>
    </w:p>
    <w:p>
      <w:pPr>
        <w:ind w:left="1020" w:hanging="506"/>
        <w:spacing w:after="0"/>
        <w:tabs>
          <w:tab w:leader="none" w:pos="102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of interest of any Term Rate Loan in Euro for an Interest Period is the percentage rate per annum which is the aggregate of the applicable:</w:t>
      </w:r>
    </w:p>
    <w:p>
      <w:pPr>
        <w:spacing w:after="0" w:line="210" w:lineRule="exact"/>
        <w:rPr>
          <w:rFonts w:ascii="Times New Roman" w:cs="Times New Roman" w:eastAsia="Times New Roman" w:hAnsi="Times New Roman"/>
          <w:sz w:val="14"/>
          <w:szCs w:val="14"/>
          <w:color w:val="auto"/>
        </w:rPr>
      </w:pPr>
    </w:p>
    <w:p>
      <w:pPr>
        <w:ind w:left="1520" w:hanging="497"/>
        <w:spacing w:after="0"/>
        <w:tabs>
          <w:tab w:leader="none" w:pos="1520" w:val="left"/>
        </w:tabs>
        <w:numPr>
          <w:ilvl w:val="1"/>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Margin; and</w:t>
      </w:r>
    </w:p>
    <w:p>
      <w:pPr>
        <w:spacing w:after="0" w:line="210" w:lineRule="exact"/>
        <w:rPr>
          <w:rFonts w:ascii="Times New Roman" w:cs="Times New Roman" w:eastAsia="Times New Roman" w:hAnsi="Times New Roman"/>
          <w:sz w:val="14"/>
          <w:szCs w:val="14"/>
          <w:color w:val="auto"/>
        </w:rPr>
      </w:pPr>
    </w:p>
    <w:p>
      <w:pPr>
        <w:ind w:left="1520" w:hanging="497"/>
        <w:spacing w:after="0"/>
        <w:tabs>
          <w:tab w:leader="none" w:pos="1520" w:val="left"/>
        </w:tabs>
        <w:numPr>
          <w:ilvl w:val="1"/>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 Reference Rate,</w:t>
      </w:r>
    </w:p>
    <w:p>
      <w:pPr>
        <w:spacing w:after="0" w:line="2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provided that, if the applicable Term Reference Rate is less than zero, the applicable Term Reference Rate shall be deemed to be zero."</w:t>
      </w:r>
    </w:p>
    <w:p>
      <w:pPr>
        <w:spacing w:after="0" w:line="208" w:lineRule="exact"/>
        <w:rPr>
          <w:sz w:val="20"/>
          <w:szCs w:val="20"/>
          <w:color w:val="auto"/>
        </w:rPr>
      </w:pPr>
    </w:p>
    <w:p>
      <w:pPr>
        <w:ind w:left="300" w:hanging="295"/>
        <w:spacing w:after="0"/>
        <w:tabs>
          <w:tab w:leader="none" w:pos="30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new Clause 16 (</w:t>
      </w:r>
      <w:r>
        <w:rPr>
          <w:rFonts w:ascii="Times New Roman" w:cs="Times New Roman" w:eastAsia="Times New Roman" w:hAnsi="Times New Roman"/>
          <w:sz w:val="14"/>
          <w:szCs w:val="14"/>
          <w:i w:val="1"/>
          <w:iCs w:val="1"/>
          <w:color w:val="auto"/>
        </w:rPr>
        <w:t>Changes to the calculation of interest</w:t>
      </w:r>
      <w:r>
        <w:rPr>
          <w:rFonts w:ascii="Times New Roman" w:cs="Times New Roman" w:eastAsia="Times New Roman" w:hAnsi="Times New Roman"/>
          <w:sz w:val="14"/>
          <w:szCs w:val="14"/>
          <w:color w:val="auto"/>
        </w:rPr>
        <w:t>) shall be added:</w:t>
      </w:r>
    </w:p>
    <w:p>
      <w:pPr>
        <w:spacing w:after="0" w:line="21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16.  CHANGES TO THE CALCULATION OF INTEREST</w:t>
      </w:r>
    </w:p>
    <w:p>
      <w:pPr>
        <w:spacing w:after="0" w:line="21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16.1   Unavailability of Primary Term Rate (USD Term Rate Loans)</w:t>
      </w:r>
    </w:p>
    <w:p>
      <w:pPr>
        <w:spacing w:after="0" w:line="210" w:lineRule="exact"/>
        <w:rPr>
          <w:rFonts w:ascii="Times New Roman" w:cs="Times New Roman" w:eastAsia="Times New Roman" w:hAnsi="Times New Roman"/>
          <w:sz w:val="14"/>
          <w:szCs w:val="14"/>
          <w:color w:val="auto"/>
        </w:rPr>
      </w:pPr>
    </w:p>
    <w:p>
      <w:pPr>
        <w:ind w:left="1020" w:hanging="506"/>
        <w:spacing w:after="0" w:line="337" w:lineRule="auto"/>
        <w:tabs>
          <w:tab w:leader="none" w:pos="1018"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Interpolated Primary Term Rate</w:t>
      </w:r>
      <w:r>
        <w:rPr>
          <w:rFonts w:ascii="Times New Roman" w:cs="Times New Roman" w:eastAsia="Times New Roman" w:hAnsi="Times New Roman"/>
          <w:sz w:val="14"/>
          <w:szCs w:val="14"/>
          <w:color w:val="auto"/>
        </w:rPr>
        <w:t>: If no Primary Term Rate is available for the Interest Period of a Term Rate Loan denominated in Dollars, the Term Reference Rate shall be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Interpolated Primary Term Rate for a period equal in length to the Interest Period of that Loan.</w:t>
      </w:r>
    </w:p>
    <w:p>
      <w:pPr>
        <w:spacing w:after="0" w:line="120"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Central Bank Rate: </w:t>
      </w:r>
      <w:r>
        <w:rPr>
          <w:rFonts w:ascii="Times New Roman" w:cs="Times New Roman" w:eastAsia="Times New Roman" w:hAnsi="Times New Roman"/>
          <w:sz w:val="14"/>
          <w:szCs w:val="14"/>
          <w:color w:val="auto"/>
        </w:rPr>
        <w:t>If paragraph (a) above applies but it is not possible to calculate the Interpolated Primary Term Rate, the applicable Term Reference Rate shall be:</w:t>
      </w:r>
    </w:p>
    <w:p>
      <w:pPr>
        <w:spacing w:after="0" w:line="212" w:lineRule="exact"/>
        <w:rPr>
          <w:rFonts w:ascii="Times New Roman" w:cs="Times New Roman" w:eastAsia="Times New Roman" w:hAnsi="Times New Roman"/>
          <w:sz w:val="14"/>
          <w:szCs w:val="14"/>
          <w:color w:val="auto"/>
        </w:rPr>
      </w:pPr>
    </w:p>
    <w:p>
      <w:pPr>
        <w:ind w:left="1520" w:hanging="497"/>
        <w:spacing w:after="0"/>
        <w:tabs>
          <w:tab w:leader="none" w:pos="1520" w:val="left"/>
        </w:tabs>
        <w:numPr>
          <w:ilvl w:val="2"/>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rate per annum which is the aggregate of:</w:t>
      </w:r>
    </w:p>
    <w:p>
      <w:pPr>
        <w:spacing w:after="0" w:line="210" w:lineRule="exact"/>
        <w:rPr>
          <w:rFonts w:ascii="Times New Roman" w:cs="Times New Roman" w:eastAsia="Times New Roman" w:hAnsi="Times New Roman"/>
          <w:sz w:val="14"/>
          <w:szCs w:val="14"/>
          <w:color w:val="auto"/>
        </w:rPr>
      </w:pPr>
    </w:p>
    <w:p>
      <w:pPr>
        <w:ind w:left="2040" w:hanging="507"/>
        <w:spacing w:after="0"/>
        <w:tabs>
          <w:tab w:leader="none" w:pos="2040" w:val="left"/>
        </w:tabs>
        <w:numPr>
          <w:ilvl w:val="3"/>
          <w:numId w:val="16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Central Bank Rate for the Quotation Day; and</w:t>
      </w:r>
    </w:p>
    <w:p>
      <w:pPr>
        <w:spacing w:after="0" w:line="210" w:lineRule="exact"/>
        <w:rPr>
          <w:rFonts w:ascii="Times New Roman" w:cs="Times New Roman" w:eastAsia="Times New Roman" w:hAnsi="Times New Roman"/>
          <w:sz w:val="14"/>
          <w:szCs w:val="14"/>
          <w:color w:val="010000"/>
        </w:rPr>
      </w:pPr>
    </w:p>
    <w:p>
      <w:pPr>
        <w:ind w:left="2040" w:hanging="507"/>
        <w:spacing w:after="0"/>
        <w:tabs>
          <w:tab w:leader="none" w:pos="2040" w:val="left"/>
        </w:tabs>
        <w:numPr>
          <w:ilvl w:val="3"/>
          <w:numId w:val="16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applicable Central Bank Rate Adjustment; or</w:t>
      </w:r>
    </w:p>
    <w:p>
      <w:pPr>
        <w:spacing w:after="0" w:line="210" w:lineRule="exact"/>
        <w:rPr>
          <w:rFonts w:ascii="Times New Roman" w:cs="Times New Roman" w:eastAsia="Times New Roman" w:hAnsi="Times New Roman"/>
          <w:sz w:val="14"/>
          <w:szCs w:val="14"/>
          <w:color w:val="010000"/>
        </w:rPr>
      </w:pPr>
    </w:p>
    <w:p>
      <w:pPr>
        <w:ind w:left="1520" w:hanging="497"/>
        <w:spacing w:after="0"/>
        <w:tabs>
          <w:tab w:leader="none" w:pos="1520" w:val="left"/>
        </w:tabs>
        <w:numPr>
          <w:ilvl w:val="2"/>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Central Bank Rate for the Quotation Day is not available, the percentage rate per annum which is the aggregate of:</w:t>
      </w:r>
    </w:p>
    <w:p>
      <w:pPr>
        <w:spacing w:after="0" w:line="210" w:lineRule="exact"/>
        <w:rPr>
          <w:rFonts w:ascii="Times New Roman" w:cs="Times New Roman" w:eastAsia="Times New Roman" w:hAnsi="Times New Roman"/>
          <w:sz w:val="14"/>
          <w:szCs w:val="14"/>
          <w:color w:val="auto"/>
        </w:rPr>
      </w:pPr>
    </w:p>
    <w:p>
      <w:pPr>
        <w:ind w:left="2040" w:hanging="507"/>
        <w:spacing w:after="0"/>
        <w:tabs>
          <w:tab w:leader="none" w:pos="2040" w:val="left"/>
        </w:tabs>
        <w:numPr>
          <w:ilvl w:val="3"/>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most recent Central Bank Rate for a day which is no more than five (5) Additional Business Days before the Quotation Day; and</w:t>
      </w:r>
    </w:p>
    <w:p>
      <w:pPr>
        <w:spacing w:after="0" w:line="210" w:lineRule="exact"/>
        <w:rPr>
          <w:rFonts w:ascii="Times New Roman" w:cs="Times New Roman" w:eastAsia="Times New Roman" w:hAnsi="Times New Roman"/>
          <w:sz w:val="14"/>
          <w:szCs w:val="14"/>
          <w:color w:val="auto"/>
        </w:rPr>
      </w:pPr>
    </w:p>
    <w:p>
      <w:pPr>
        <w:ind w:left="2040" w:hanging="507"/>
        <w:spacing w:after="0"/>
        <w:tabs>
          <w:tab w:leader="none" w:pos="2040" w:val="left"/>
        </w:tabs>
        <w:numPr>
          <w:ilvl w:val="3"/>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Central Bank Rate Adjustment.</w:t>
      </w:r>
    </w:p>
    <w:p>
      <w:pPr>
        <w:spacing w:after="0" w:line="20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Cost of funds</w:t>
      </w:r>
      <w:r>
        <w:rPr>
          <w:rFonts w:ascii="Times New Roman" w:cs="Times New Roman" w:eastAsia="Times New Roman" w:hAnsi="Times New Roman"/>
          <w:sz w:val="14"/>
          <w:szCs w:val="14"/>
          <w:color w:val="auto"/>
        </w:rPr>
        <w:t>. If paragraph (b) above applies but there is no applicable Central Bank Rate, Clause 16.4 (</w:t>
      </w:r>
      <w:r>
        <w:rPr>
          <w:rFonts w:ascii="Times New Roman" w:cs="Times New Roman" w:eastAsia="Times New Roman" w:hAnsi="Times New Roman"/>
          <w:sz w:val="14"/>
          <w:szCs w:val="14"/>
          <w:i w:val="1"/>
          <w:iCs w:val="1"/>
          <w:color w:val="auto"/>
        </w:rPr>
        <w:t>Cost of funds</w:t>
      </w:r>
      <w:r>
        <w:rPr>
          <w:rFonts w:ascii="Times New Roman" w:cs="Times New Roman" w:eastAsia="Times New Roman" w:hAnsi="Times New Roman"/>
          <w:sz w:val="14"/>
          <w:szCs w:val="14"/>
          <w:color w:val="auto"/>
        </w:rPr>
        <w:t>) shall apply to that Loan for that Interest Period.</w:t>
      </w:r>
    </w:p>
    <w:p>
      <w:pPr>
        <w:spacing w:after="0" w:line="21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4"/>
          <w:szCs w:val="14"/>
          <w:b w:val="1"/>
          <w:bCs w:val="1"/>
          <w:color w:val="auto"/>
        </w:rPr>
        <w:t>16.1A</w:t>
      </w:r>
      <w:r>
        <w:rPr>
          <w:sz w:val="20"/>
          <w:szCs w:val="20"/>
          <w:color w:val="auto"/>
        </w:rPr>
        <w:tab/>
      </w:r>
      <w:r>
        <w:rPr>
          <w:rFonts w:ascii="Times New Roman" w:cs="Times New Roman" w:eastAsia="Times New Roman" w:hAnsi="Times New Roman"/>
          <w:sz w:val="13"/>
          <w:szCs w:val="13"/>
          <w:b w:val="1"/>
          <w:bCs w:val="1"/>
          <w:color w:val="auto"/>
        </w:rPr>
        <w:t>Unavailability of Primary Term Rate (Euro Term Rate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0"/>
          </w:cols>
          <w:pgMar w:left="300" w:top="1164" w:right="319" w:bottom="1440" w:gutter="0" w:footer="0" w:header="0"/>
        </w:sectPr>
      </w:pPr>
    </w:p>
    <w:bookmarkStart w:id="158" w:name="page159"/>
    <w:bookmarkEnd w:id="158"/>
    <w:p>
      <w:pPr>
        <w:ind w:left="1020" w:hanging="506"/>
        <w:spacing w:after="0" w:line="337" w:lineRule="auto"/>
        <w:tabs>
          <w:tab w:leader="none" w:pos="1018"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Interpolated Primary Term Rate</w:t>
      </w:r>
      <w:r>
        <w:rPr>
          <w:rFonts w:ascii="Times New Roman" w:cs="Times New Roman" w:eastAsia="Times New Roman" w:hAnsi="Times New Roman"/>
          <w:sz w:val="14"/>
          <w:szCs w:val="14"/>
          <w:color w:val="auto"/>
        </w:rPr>
        <w:t>: If no Primary Term Rate is available for the Interest Period of a Term Rate Loan denominated in Euro, the Term Reference Rate shall be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Interpolated Primary Term Rate for a period equal in length to the Interest Period of that Loan</w:t>
      </w:r>
    </w:p>
    <w:p>
      <w:pPr>
        <w:spacing w:after="0" w:line="120" w:lineRule="exact"/>
        <w:rPr>
          <w:rFonts w:ascii="Times New Roman" w:cs="Times New Roman" w:eastAsia="Times New Roman" w:hAnsi="Times New Roman"/>
          <w:sz w:val="14"/>
          <w:szCs w:val="14"/>
          <w:color w:val="auto"/>
        </w:rPr>
      </w:pPr>
    </w:p>
    <w:p>
      <w:pPr>
        <w:jc w:val="both"/>
        <w:ind w:left="1020" w:hanging="506"/>
        <w:spacing w:after="0" w:line="319" w:lineRule="auto"/>
        <w:tabs>
          <w:tab w:leader="none" w:pos="1015"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Shortened Interest Period</w:t>
      </w:r>
      <w:r>
        <w:rPr>
          <w:rFonts w:ascii="Times New Roman" w:cs="Times New Roman" w:eastAsia="Times New Roman" w:hAnsi="Times New Roman"/>
          <w:sz w:val="14"/>
          <w:szCs w:val="14"/>
          <w:color w:val="auto"/>
        </w:rPr>
        <w:t>: If paragraph (a) above applies but it is not possible to calculate the Interpolated Primary Term Rate, the Interest Period of the Loan the Interest Period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Loan shall (if it is longer than the applicable Fallback Interest Period) be shortened to the applicable Fallback Interest Period and the Term Reference Rate shall be determined pursuant to such definition.</w:t>
      </w:r>
    </w:p>
    <w:p>
      <w:pPr>
        <w:spacing w:after="0" w:line="132" w:lineRule="exact"/>
        <w:rPr>
          <w:rFonts w:ascii="Times New Roman" w:cs="Times New Roman" w:eastAsia="Times New Roman" w:hAnsi="Times New Roman"/>
          <w:sz w:val="14"/>
          <w:szCs w:val="14"/>
          <w:color w:val="auto"/>
        </w:rPr>
      </w:pPr>
    </w:p>
    <w:p>
      <w:pPr>
        <w:ind w:left="1020" w:hanging="506"/>
        <w:spacing w:after="0" w:line="337" w:lineRule="auto"/>
        <w:tabs>
          <w:tab w:leader="none" w:pos="1018"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Shortened Interest Period and Historic Primary Term Rate</w:t>
      </w:r>
      <w:r>
        <w:rPr>
          <w:rFonts w:ascii="Times New Roman" w:cs="Times New Roman" w:eastAsia="Times New Roman" w:hAnsi="Times New Roman"/>
          <w:sz w:val="14"/>
          <w:szCs w:val="14"/>
          <w:color w:val="auto"/>
        </w:rPr>
        <w:t>: If paragraph (b) above applies but no Primary Term Rate is available for the Interest Period of that Loan and it is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possible to calculate the Interpolated Primary Term Rate, the applicable Term Reference Rate shall be the Historic Primary Term Rate for that Loan.</w:t>
      </w:r>
    </w:p>
    <w:p>
      <w:pPr>
        <w:spacing w:after="0" w:line="120" w:lineRule="exact"/>
        <w:rPr>
          <w:rFonts w:ascii="Times New Roman" w:cs="Times New Roman" w:eastAsia="Times New Roman" w:hAnsi="Times New Roman"/>
          <w:sz w:val="14"/>
          <w:szCs w:val="14"/>
          <w:color w:val="auto"/>
        </w:rPr>
      </w:pPr>
    </w:p>
    <w:p>
      <w:pPr>
        <w:ind w:left="1020" w:hanging="506"/>
        <w:spacing w:after="0" w:line="353" w:lineRule="auto"/>
        <w:tabs>
          <w:tab w:leader="none" w:pos="1015"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Shortened Interest Period and Interpolated Historic Primary Term Rate</w:t>
      </w:r>
      <w:r>
        <w:rPr>
          <w:rFonts w:ascii="Times New Roman" w:cs="Times New Roman" w:eastAsia="Times New Roman" w:hAnsi="Times New Roman"/>
          <w:sz w:val="14"/>
          <w:szCs w:val="14"/>
          <w:color w:val="auto"/>
        </w:rPr>
        <w:t>: If paragraph (c) above applies but no Historic Primary Term Rate is available for the Interest Period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Loan, the applicable Term Reference Rate shall be the Interpolated Historic Primary Term Rate for a period equal in length to the Interest Period of that Loan.</w:t>
      </w:r>
    </w:p>
    <w:p>
      <w:pPr>
        <w:spacing w:after="0" w:line="109" w:lineRule="exact"/>
        <w:rPr>
          <w:rFonts w:ascii="Times New Roman" w:cs="Times New Roman" w:eastAsia="Times New Roman" w:hAnsi="Times New Roman"/>
          <w:sz w:val="14"/>
          <w:szCs w:val="14"/>
          <w:color w:val="auto"/>
        </w:rPr>
      </w:pPr>
    </w:p>
    <w:p>
      <w:pPr>
        <w:jc w:val="both"/>
        <w:ind w:left="1020" w:hanging="506"/>
        <w:spacing w:after="0" w:line="319" w:lineRule="auto"/>
        <w:tabs>
          <w:tab w:leader="none" w:pos="1018"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Reference Bank Rate</w:t>
      </w:r>
      <w:r>
        <w:rPr>
          <w:rFonts w:ascii="Times New Roman" w:cs="Times New Roman" w:eastAsia="Times New Roman" w:hAnsi="Times New Roman"/>
          <w:sz w:val="14"/>
          <w:szCs w:val="14"/>
          <w:color w:val="auto"/>
        </w:rPr>
        <w:t>: If paragraph (d) above applies but it is not possible to calculate the Interpolated Historic Primary Term Rate, the Interest Period of that Loan shall, if it has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been shortened pursuant to paragraph (b) above, revert to its previous length and the applicable Primary Term Rate shall be the Reference Bank Rate as of the Quotation Time for the currency of that Loan and for a period equal in length to the Interest Period of that Loan.</w:t>
      </w:r>
    </w:p>
    <w:p>
      <w:pPr>
        <w:spacing w:after="0" w:line="134" w:lineRule="exact"/>
        <w:rPr>
          <w:rFonts w:ascii="Times New Roman" w:cs="Times New Roman" w:eastAsia="Times New Roman" w:hAnsi="Times New Roman"/>
          <w:sz w:val="14"/>
          <w:szCs w:val="14"/>
          <w:color w:val="auto"/>
        </w:rPr>
      </w:pPr>
    </w:p>
    <w:p>
      <w:pPr>
        <w:jc w:val="both"/>
        <w:ind w:left="1020" w:hanging="506"/>
        <w:spacing w:after="0" w:line="317" w:lineRule="auto"/>
        <w:tabs>
          <w:tab w:leader="none" w:pos="1013"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applicable Term Reference Rate for Loans denominated in Euro is no longer available or in place of the applicable Term Reference Rate for Loans denominated in Euro the lending market has adopted a common alternative reference rate, then subject to consent from the Company, the Facility Agent may specify that such common alternative reference rate be used.</w:t>
      </w:r>
    </w:p>
    <w:p>
      <w:pPr>
        <w:spacing w:after="0" w:line="134" w:lineRule="exact"/>
        <w:rPr>
          <w:rFonts w:ascii="Times New Roman" w:cs="Times New Roman" w:eastAsia="Times New Roman" w:hAnsi="Times New Roman"/>
          <w:sz w:val="14"/>
          <w:szCs w:val="14"/>
          <w:color w:val="auto"/>
        </w:rPr>
      </w:pPr>
    </w:p>
    <w:p>
      <w:pPr>
        <w:ind w:left="1020" w:hanging="506"/>
        <w:spacing w:after="0" w:line="337" w:lineRule="auto"/>
        <w:tabs>
          <w:tab w:leader="none" w:pos="1015"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Cost of funds</w:t>
      </w:r>
      <w:r>
        <w:rPr>
          <w:rFonts w:ascii="Times New Roman" w:cs="Times New Roman" w:eastAsia="Times New Roman" w:hAnsi="Times New Roman"/>
          <w:sz w:val="14"/>
          <w:szCs w:val="14"/>
          <w:color w:val="auto"/>
        </w:rPr>
        <w:t>: If either (A) paragraph (e) above applies but no Reference Bank Rate is available for Euros for the relevant Interest Period or (B) paragraph (f) above is applicable,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Clause 16.4 (</w:t>
      </w:r>
      <w:r>
        <w:rPr>
          <w:rFonts w:ascii="Times New Roman" w:cs="Times New Roman" w:eastAsia="Times New Roman" w:hAnsi="Times New Roman"/>
          <w:sz w:val="14"/>
          <w:szCs w:val="14"/>
          <w:i w:val="1"/>
          <w:iCs w:val="1"/>
          <w:color w:val="auto"/>
        </w:rPr>
        <w:t>Cost of funds</w:t>
      </w:r>
      <w:r>
        <w:rPr>
          <w:rFonts w:ascii="Times New Roman" w:cs="Times New Roman" w:eastAsia="Times New Roman" w:hAnsi="Times New Roman"/>
          <w:sz w:val="14"/>
          <w:szCs w:val="14"/>
          <w:color w:val="auto"/>
        </w:rPr>
        <w:t>) shall apply to that Loan for that Interest Period.</w:t>
      </w:r>
    </w:p>
    <w:p>
      <w:pPr>
        <w:spacing w:after="0" w:line="12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4"/>
          <w:szCs w:val="14"/>
          <w:b w:val="1"/>
          <w:bCs w:val="1"/>
          <w:color w:val="auto"/>
        </w:rPr>
        <w:t>16.2</w:t>
        <w:tab/>
        <w:t>Calculation of Reference Bank Rate</w:t>
      </w:r>
    </w:p>
    <w:p>
      <w:pPr>
        <w:spacing w:after="0" w:line="212" w:lineRule="exact"/>
        <w:rPr>
          <w:sz w:val="20"/>
          <w:szCs w:val="20"/>
          <w:color w:val="auto"/>
        </w:rPr>
      </w:pPr>
    </w:p>
    <w:p>
      <w:pPr>
        <w:ind w:left="1020" w:hanging="506"/>
        <w:spacing w:after="0" w:line="334" w:lineRule="auto"/>
        <w:tabs>
          <w:tab w:leader="none" w:pos="1018"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paragraph (b) below, if a Term Reference Rate is to be determined on the basis of a Reference Bank Rate but a Reference Bank does not supply a quotation by the Specified Time, the Reference Bank Rate shall be calculated on the basis of the quotations of the remaining Reference Banks.</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or about noon on the Quotation Day, none or only one of the Reference Banks supplies a quotation, there shall be no Reference Bank Rate for the relevant Interest Period.</w:t>
      </w:r>
    </w:p>
    <w:p>
      <w:pPr>
        <w:spacing w:after="0" w:line="20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4"/>
          <w:szCs w:val="14"/>
          <w:b w:val="1"/>
          <w:bCs w:val="1"/>
          <w:color w:val="auto"/>
        </w:rPr>
        <w:t>16.3</w:t>
        <w:tab/>
        <w:t>Market Disruption</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before close of business in London (17:00 London time) on the Quotation Day for the relevant Interest Period, the Facility Agent receives notifications from a Lender or Lenders (whose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1162" w:right="319" w:bottom="1440" w:gutter="0" w:footer="0" w:header="0"/>
        </w:sectPr>
      </w:pPr>
    </w:p>
    <w:bookmarkStart w:id="159" w:name="page160"/>
    <w:bookmarkEnd w:id="159"/>
    <w:p>
      <w:pPr>
        <w:ind w:left="520"/>
        <w:spacing w:after="0"/>
        <w:rPr>
          <w:sz w:val="20"/>
          <w:szCs w:val="20"/>
          <w:color w:val="auto"/>
        </w:rPr>
      </w:pPr>
      <w:r>
        <w:rPr>
          <w:rFonts w:ascii="Times New Roman" w:cs="Times New Roman" w:eastAsia="Times New Roman" w:hAnsi="Times New Roman"/>
          <w:sz w:val="14"/>
          <w:szCs w:val="14"/>
          <w:color w:val="auto"/>
        </w:rPr>
        <w:t>participations in that Loan exceed fifty-one per cent. (51.0%) of that Loan) that the cost to it or them of funding its or their participations in that Loan:</w:t>
      </w:r>
    </w:p>
    <w:p>
      <w:pPr>
        <w:spacing w:after="0" w:line="210" w:lineRule="exact"/>
        <w:rPr>
          <w:sz w:val="20"/>
          <w:szCs w:val="20"/>
          <w:color w:val="auto"/>
        </w:rPr>
      </w:pPr>
    </w:p>
    <w:p>
      <w:pPr>
        <w:ind w:left="1020" w:hanging="506"/>
        <w:spacing w:after="0"/>
        <w:tabs>
          <w:tab w:leader="none" w:pos="102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a Loan in Dollars, from the wholesale market for Dollars would be in excess of the applicable Market Disruption Rate; and</w:t>
      </w:r>
    </w:p>
    <w:p>
      <w:pPr>
        <w:spacing w:after="0" w:line="210"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a Loan in Euro, from the wholesale market for Euros would be in excess of the applicable Market Disruption Rate;</w:t>
      </w:r>
    </w:p>
    <w:p>
      <w:pPr>
        <w:spacing w:after="0" w:line="210" w:lineRule="exact"/>
        <w:rPr>
          <w:rFonts w:ascii="Times New Roman" w:cs="Times New Roman" w:eastAsia="Times New Roman" w:hAnsi="Times New Roman"/>
          <w:sz w:val="14"/>
          <w:szCs w:val="14"/>
          <w:color w:val="auto"/>
        </w:rPr>
      </w:pPr>
    </w:p>
    <w:p>
      <w:pPr>
        <w:ind w:left="1020" w:hanging="506"/>
        <w:spacing w:after="0" w:line="334" w:lineRule="auto"/>
        <w:tabs>
          <w:tab w:leader="none" w:pos="1018"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a Loan in any other currency, from the wholesale market for that currency would be in excess of the rate agreed in respect of that currency pursuant to Clause 4.3 (</w:t>
      </w:r>
      <w:r>
        <w:rPr>
          <w:rFonts w:ascii="Times New Roman" w:cs="Times New Roman" w:eastAsia="Times New Roman" w:hAnsi="Times New Roman"/>
          <w:sz w:val="14"/>
          <w:szCs w:val="14"/>
          <w:i w:val="1"/>
          <w:iCs w:val="1"/>
          <w:color w:val="auto"/>
        </w:rPr>
        <w:t>Conditions relating to Optional Currencies</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then Clause 16.4 (</w:t>
      </w:r>
      <w:r>
        <w:rPr>
          <w:rFonts w:ascii="Times New Roman" w:cs="Times New Roman" w:eastAsia="Times New Roman" w:hAnsi="Times New Roman"/>
          <w:sz w:val="14"/>
          <w:szCs w:val="14"/>
          <w:i w:val="1"/>
          <w:iCs w:val="1"/>
          <w:color w:val="auto"/>
        </w:rPr>
        <w:t>Cost of funds</w:t>
      </w:r>
      <w:r>
        <w:rPr>
          <w:rFonts w:ascii="Times New Roman" w:cs="Times New Roman" w:eastAsia="Times New Roman" w:hAnsi="Times New Roman"/>
          <w:sz w:val="14"/>
          <w:szCs w:val="14"/>
          <w:color w:val="auto"/>
        </w:rPr>
        <w:t>) shall apply to that Loan for the relevant Interest Period.</w:t>
      </w:r>
    </w:p>
    <w:p>
      <w:pPr>
        <w:spacing w:after="0" w:line="21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4"/>
          <w:szCs w:val="14"/>
          <w:b w:val="1"/>
          <w:bCs w:val="1"/>
          <w:color w:val="auto"/>
        </w:rPr>
        <w:t>16.4</w:t>
        <w:tab/>
        <w:t>Cost of Funds</w:t>
      </w:r>
    </w:p>
    <w:p>
      <w:pPr>
        <w:spacing w:after="0" w:line="210" w:lineRule="exact"/>
        <w:rPr>
          <w:sz w:val="20"/>
          <w:szCs w:val="20"/>
          <w:color w:val="auto"/>
        </w:rPr>
      </w:pPr>
    </w:p>
    <w:p>
      <w:pPr>
        <w:ind w:left="1020" w:hanging="506"/>
        <w:spacing w:after="0"/>
        <w:tabs>
          <w:tab w:leader="none" w:pos="10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this Clause 16.4 applies, the rate of interest on each Lender’s share of the relevant Loan for the relevant Interest Period shall be the percentage rate </w:t>
      </w:r>
      <w:r>
        <w:rPr>
          <w:rFonts w:ascii="Times New Roman" w:cs="Times New Roman" w:eastAsia="Times New Roman" w:hAnsi="Times New Roman"/>
          <w:sz w:val="14"/>
          <w:szCs w:val="14"/>
          <w:i w:val="1"/>
          <w:iCs w:val="1"/>
          <w:color w:val="auto"/>
        </w:rPr>
        <w:t>per annum</w:t>
      </w:r>
      <w:r>
        <w:rPr>
          <w:rFonts w:ascii="Times New Roman" w:cs="Times New Roman" w:eastAsia="Times New Roman" w:hAnsi="Times New Roman"/>
          <w:sz w:val="14"/>
          <w:szCs w:val="14"/>
          <w:color w:val="auto"/>
        </w:rPr>
        <w:t xml:space="preserve"> which is the sum of:</w:t>
      </w:r>
    </w:p>
    <w:p>
      <w:pPr>
        <w:spacing w:after="0" w:line="222" w:lineRule="exact"/>
        <w:rPr>
          <w:rFonts w:ascii="Times New Roman" w:cs="Times New Roman" w:eastAsia="Times New Roman" w:hAnsi="Times New Roman"/>
          <w:sz w:val="14"/>
          <w:szCs w:val="14"/>
          <w:color w:val="auto"/>
        </w:rPr>
      </w:pPr>
    </w:p>
    <w:p>
      <w:pPr>
        <w:ind w:left="1520" w:hanging="497"/>
        <w:spacing w:after="0"/>
        <w:tabs>
          <w:tab w:leader="none" w:pos="1520"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Margin; and</w:t>
      </w:r>
    </w:p>
    <w:p>
      <w:pPr>
        <w:spacing w:after="0" w:line="210" w:lineRule="exact"/>
        <w:rPr>
          <w:rFonts w:ascii="Times New Roman" w:cs="Times New Roman" w:eastAsia="Times New Roman" w:hAnsi="Times New Roman"/>
          <w:sz w:val="14"/>
          <w:szCs w:val="14"/>
          <w:color w:val="auto"/>
        </w:rPr>
      </w:pPr>
    </w:p>
    <w:p>
      <w:pPr>
        <w:jc w:val="both"/>
        <w:ind w:left="1540" w:hanging="517"/>
        <w:spacing w:after="0" w:line="317" w:lineRule="auto"/>
        <w:tabs>
          <w:tab w:leader="none" w:pos="1532"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notified to the Facility Agent by that Lender as soon as practicable and in any event by the close of business on the date falling two (2) Business Days after the relevant Quotation Day (or, if earlier, on the date falling two (2) Business Days prior to the date on which interest is due to be paid in respect of that Interest Period), to be that which expresses as a percentage rate per annum the cost to that Lender of funding its participation in that Loan from whatever source it may reasonably select.</w:t>
      </w:r>
    </w:p>
    <w:p>
      <w:pPr>
        <w:spacing w:after="0" w:line="136" w:lineRule="exact"/>
        <w:rPr>
          <w:rFonts w:ascii="Times New Roman" w:cs="Times New Roman" w:eastAsia="Times New Roman" w:hAnsi="Times New Roman"/>
          <w:sz w:val="14"/>
          <w:szCs w:val="14"/>
          <w:color w:val="auto"/>
        </w:rPr>
      </w:pPr>
    </w:p>
    <w:p>
      <w:pPr>
        <w:ind w:left="1020" w:hanging="506"/>
        <w:spacing w:after="0" w:line="334" w:lineRule="auto"/>
        <w:tabs>
          <w:tab w:leader="none" w:pos="1015"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this Clause 16.4 applies and the Facility Agent or the Company so requires, the Facility Agent and the Company shall enter into negotiations (for a period of not more than sixty (60) calendar days) with a view to agreeing a substitute basis for determining the rate of interest.</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alternative basis agreed pursuant to paragraph (b) above shall, with the prior consent of all the Lenders and the Company, be binding on all Parties.</w:t>
      </w:r>
    </w:p>
    <w:p>
      <w:pPr>
        <w:spacing w:after="0" w:line="20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this Clause 16.4 applies pursuant to Clause 16.3 (</w:t>
      </w:r>
      <w:r>
        <w:rPr>
          <w:rFonts w:ascii="Times New Roman" w:cs="Times New Roman" w:eastAsia="Times New Roman" w:hAnsi="Times New Roman"/>
          <w:sz w:val="14"/>
          <w:szCs w:val="14"/>
          <w:i w:val="1"/>
          <w:iCs w:val="1"/>
          <w:color w:val="auto"/>
        </w:rPr>
        <w:t>Market disruption</w:t>
      </w:r>
      <w:r>
        <w:rPr>
          <w:rFonts w:ascii="Times New Roman" w:cs="Times New Roman" w:eastAsia="Times New Roman" w:hAnsi="Times New Roman"/>
          <w:sz w:val="14"/>
          <w:szCs w:val="14"/>
          <w:color w:val="auto"/>
        </w:rPr>
        <w:t>) and:</w:t>
      </w:r>
    </w:p>
    <w:p>
      <w:pPr>
        <w:spacing w:after="0" w:line="212" w:lineRule="exact"/>
        <w:rPr>
          <w:rFonts w:ascii="Times New Roman" w:cs="Times New Roman" w:eastAsia="Times New Roman" w:hAnsi="Times New Roman"/>
          <w:sz w:val="14"/>
          <w:szCs w:val="14"/>
          <w:color w:val="auto"/>
        </w:rPr>
      </w:pPr>
    </w:p>
    <w:p>
      <w:pPr>
        <w:ind w:left="1520" w:hanging="497"/>
        <w:spacing w:after="0"/>
        <w:tabs>
          <w:tab w:leader="none" w:pos="1520"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Lender’s Funding Rate is less than:</w:t>
      </w:r>
    </w:p>
    <w:p>
      <w:pPr>
        <w:spacing w:after="0" w:line="210" w:lineRule="exact"/>
        <w:rPr>
          <w:rFonts w:ascii="Times New Roman" w:cs="Times New Roman" w:eastAsia="Times New Roman" w:hAnsi="Times New Roman"/>
          <w:sz w:val="14"/>
          <w:szCs w:val="14"/>
          <w:color w:val="auto"/>
        </w:rPr>
      </w:pPr>
    </w:p>
    <w:p>
      <w:pPr>
        <w:ind w:left="2040" w:hanging="507"/>
        <w:spacing w:after="0"/>
        <w:tabs>
          <w:tab w:leader="none" w:pos="2040" w:val="left"/>
        </w:tabs>
        <w:numPr>
          <w:ilvl w:val="2"/>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any Loan in Dollars or Euro, the applicable Market Disruption Rate; or</w:t>
      </w:r>
    </w:p>
    <w:p>
      <w:pPr>
        <w:spacing w:after="0" w:line="208" w:lineRule="exact"/>
        <w:rPr>
          <w:rFonts w:ascii="Times New Roman" w:cs="Times New Roman" w:eastAsia="Times New Roman" w:hAnsi="Times New Roman"/>
          <w:sz w:val="14"/>
          <w:szCs w:val="14"/>
          <w:color w:val="auto"/>
        </w:rPr>
      </w:pPr>
    </w:p>
    <w:p>
      <w:pPr>
        <w:ind w:left="2040" w:hanging="507"/>
        <w:spacing w:after="0"/>
        <w:tabs>
          <w:tab w:leader="none" w:pos="2040" w:val="left"/>
        </w:tabs>
        <w:numPr>
          <w:ilvl w:val="2"/>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any other currency, the rate as agreed in respect of that currency pursuant to Clause 4.3 (</w:t>
      </w:r>
      <w:r>
        <w:rPr>
          <w:rFonts w:ascii="Times New Roman" w:cs="Times New Roman" w:eastAsia="Times New Roman" w:hAnsi="Times New Roman"/>
          <w:sz w:val="14"/>
          <w:szCs w:val="14"/>
          <w:i w:val="1"/>
          <w:iCs w:val="1"/>
          <w:color w:val="auto"/>
        </w:rPr>
        <w:t>Conditions relating to Optional Currencies</w:t>
      </w:r>
      <w:r>
        <w:rPr>
          <w:rFonts w:ascii="Times New Roman" w:cs="Times New Roman" w:eastAsia="Times New Roman" w:hAnsi="Times New Roman"/>
          <w:sz w:val="14"/>
          <w:szCs w:val="14"/>
          <w:color w:val="auto"/>
        </w:rPr>
        <w:t>); or</w:t>
      </w:r>
    </w:p>
    <w:p>
      <w:pPr>
        <w:spacing w:after="0" w:line="212" w:lineRule="exact"/>
        <w:rPr>
          <w:rFonts w:ascii="Times New Roman" w:cs="Times New Roman" w:eastAsia="Times New Roman" w:hAnsi="Times New Roman"/>
          <w:sz w:val="14"/>
          <w:szCs w:val="14"/>
          <w:color w:val="auto"/>
        </w:rPr>
      </w:pPr>
    </w:p>
    <w:p>
      <w:pPr>
        <w:ind w:left="1520" w:hanging="497"/>
        <w:spacing w:after="0"/>
        <w:tabs>
          <w:tab w:leader="none" w:pos="1520"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Lender does not supply a quotation by the time specified in paragraph (a)(ii) above,</w:t>
      </w:r>
    </w:p>
    <w:p>
      <w:pPr>
        <w:spacing w:after="0" w:line="210" w:lineRule="exact"/>
        <w:rPr>
          <w:sz w:val="20"/>
          <w:szCs w:val="20"/>
          <w:color w:val="auto"/>
        </w:rPr>
      </w:pPr>
    </w:p>
    <w:p>
      <w:pPr>
        <w:ind w:left="1020"/>
        <w:spacing w:after="0" w:line="334" w:lineRule="auto"/>
        <w:rPr>
          <w:sz w:val="20"/>
          <w:szCs w:val="20"/>
          <w:color w:val="auto"/>
        </w:rPr>
      </w:pPr>
      <w:r>
        <w:rPr>
          <w:rFonts w:ascii="Times New Roman" w:cs="Times New Roman" w:eastAsia="Times New Roman" w:hAnsi="Times New Roman"/>
          <w:sz w:val="14"/>
          <w:szCs w:val="14"/>
          <w:color w:val="auto"/>
        </w:rPr>
        <w:t>the cost to that Lender of funding its participation in that Loan for that Interest Period shall be deemed, for the purposes of paragraph (a) above, to be (1) in relation to a Loan in Dollars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80"/>
          </w:cols>
          <w:pgMar w:left="300" w:top="1165" w:right="319" w:bottom="1440" w:gutter="0" w:footer="0" w:header="0"/>
        </w:sectPr>
      </w:pPr>
    </w:p>
    <w:bookmarkStart w:id="160" w:name="page161"/>
    <w:bookmarkEnd w:id="160"/>
    <w:p>
      <w:pPr>
        <w:ind w:left="1020"/>
        <w:spacing w:after="0" w:line="337" w:lineRule="auto"/>
        <w:rPr>
          <w:sz w:val="20"/>
          <w:szCs w:val="20"/>
          <w:color w:val="auto"/>
        </w:rPr>
      </w:pPr>
      <w:r>
        <w:rPr>
          <w:rFonts w:ascii="Times New Roman" w:cs="Times New Roman" w:eastAsia="Times New Roman" w:hAnsi="Times New Roman"/>
          <w:sz w:val="14"/>
          <w:szCs w:val="14"/>
          <w:color w:val="auto"/>
        </w:rPr>
        <w:t>Euro, the applicable Market Disruption Rate or (2) in relation to another currency, the rate as agreed in respect of that currency pursuant to Clause 4.3 (</w:t>
      </w:r>
      <w:r>
        <w:rPr>
          <w:rFonts w:ascii="Times New Roman" w:cs="Times New Roman" w:eastAsia="Times New Roman" w:hAnsi="Times New Roman"/>
          <w:sz w:val="14"/>
          <w:szCs w:val="14"/>
          <w:i w:val="1"/>
          <w:iCs w:val="1"/>
          <w:color w:val="auto"/>
        </w:rPr>
        <w:t>Conditions relating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Optional Currencies</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4"/>
          <w:szCs w:val="14"/>
          <w:b w:val="1"/>
          <w:bCs w:val="1"/>
          <w:color w:val="auto"/>
        </w:rPr>
        <w:t>16.5</w:t>
        <w:tab/>
        <w:t>Notification to Company</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Clause 16.4 (</w:t>
      </w:r>
      <w:r>
        <w:rPr>
          <w:rFonts w:ascii="Times New Roman" w:cs="Times New Roman" w:eastAsia="Times New Roman" w:hAnsi="Times New Roman"/>
          <w:sz w:val="14"/>
          <w:szCs w:val="14"/>
          <w:i w:val="1"/>
          <w:iCs w:val="1"/>
          <w:color w:val="auto"/>
        </w:rPr>
        <w:t>Cost of funds</w:t>
      </w:r>
      <w:r>
        <w:rPr>
          <w:rFonts w:ascii="Times New Roman" w:cs="Times New Roman" w:eastAsia="Times New Roman" w:hAnsi="Times New Roman"/>
          <w:sz w:val="14"/>
          <w:szCs w:val="14"/>
          <w:color w:val="auto"/>
        </w:rPr>
        <w:t>) applies the Facility Agent shall, as soon as is practicable, notify the Company.</w:t>
      </w:r>
    </w:p>
    <w:p>
      <w:pPr>
        <w:spacing w:after="0" w:line="2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4"/>
          <w:szCs w:val="14"/>
          <w:b w:val="1"/>
          <w:bCs w:val="1"/>
          <w:color w:val="auto"/>
        </w:rPr>
        <w:t>16.6</w:t>
        <w:tab/>
        <w:t>Break Costs</w:t>
      </w:r>
    </w:p>
    <w:p>
      <w:pPr>
        <w:spacing w:after="0" w:line="212" w:lineRule="exact"/>
        <w:rPr>
          <w:sz w:val="20"/>
          <w:szCs w:val="20"/>
          <w:color w:val="auto"/>
        </w:rPr>
      </w:pPr>
    </w:p>
    <w:p>
      <w:pPr>
        <w:ind w:left="1020" w:hanging="506"/>
        <w:spacing w:after="0" w:line="334" w:lineRule="auto"/>
        <w:tabs>
          <w:tab w:leader="none" w:pos="1018" w:val="left"/>
        </w:tabs>
        <w:numPr>
          <w:ilvl w:val="1"/>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within three (3) Business Days of demand by a Finance Party, pay to that Finance Party its Break Costs attributable to all or any part of a Loan or Unpaid Sum being paid by that Borrower on a day other than the last day of an Interest Period for that Loan or Unpaid Sum.</w:t>
      </w:r>
    </w:p>
    <w:p>
      <w:pPr>
        <w:spacing w:after="0" w:line="124" w:lineRule="exact"/>
        <w:rPr>
          <w:rFonts w:ascii="Times New Roman" w:cs="Times New Roman" w:eastAsia="Times New Roman" w:hAnsi="Times New Roman"/>
          <w:sz w:val="14"/>
          <w:szCs w:val="14"/>
          <w:color w:val="auto"/>
        </w:rPr>
      </w:pPr>
    </w:p>
    <w:p>
      <w:pPr>
        <w:ind w:left="1020" w:hanging="506"/>
        <w:spacing w:after="0" w:line="350" w:lineRule="auto"/>
        <w:tabs>
          <w:tab w:leader="none" w:pos="1015" w:val="left"/>
        </w:tabs>
        <w:numPr>
          <w:ilvl w:val="1"/>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Lender shall, as soon as reasonably practicable after a demand by the Facility Agent, provide a certificate confirming the amount of its Break Costs for any Interest Period in which they accrue."</w:t>
      </w:r>
    </w:p>
    <w:p>
      <w:pPr>
        <w:spacing w:after="0" w:line="11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new Clause 42.5 (</w:t>
      </w:r>
      <w:r>
        <w:rPr>
          <w:rFonts w:ascii="Times New Roman" w:cs="Times New Roman" w:eastAsia="Times New Roman" w:hAnsi="Times New Roman"/>
          <w:sz w:val="14"/>
          <w:szCs w:val="14"/>
          <w:i w:val="1"/>
          <w:iCs w:val="1"/>
          <w:color w:val="auto"/>
        </w:rPr>
        <w:t>Replacement of Primary Term Rate</w:t>
      </w:r>
      <w:r>
        <w:rPr>
          <w:rFonts w:ascii="Times New Roman" w:cs="Times New Roman" w:eastAsia="Times New Roman" w:hAnsi="Times New Roman"/>
          <w:sz w:val="14"/>
          <w:szCs w:val="14"/>
          <w:color w:val="auto"/>
        </w:rPr>
        <w:t>) shall be added:</w:t>
      </w:r>
    </w:p>
    <w:p>
      <w:pPr>
        <w:spacing w:after="0" w:line="21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42.5</w:t>
      </w:r>
      <w:r>
        <w:rPr>
          <w:sz w:val="20"/>
          <w:szCs w:val="20"/>
          <w:color w:val="auto"/>
        </w:rPr>
        <w:tab/>
      </w:r>
      <w:r>
        <w:rPr>
          <w:rFonts w:ascii="Times New Roman" w:cs="Times New Roman" w:eastAsia="Times New Roman" w:hAnsi="Times New Roman"/>
          <w:sz w:val="14"/>
          <w:szCs w:val="14"/>
          <w:b w:val="1"/>
          <w:bCs w:val="1"/>
          <w:color w:val="auto"/>
        </w:rPr>
        <w:t>Replacement of Primary Term Rate</w:t>
      </w:r>
    </w:p>
    <w:p>
      <w:pPr>
        <w:spacing w:after="0" w:line="210" w:lineRule="exact"/>
        <w:rPr>
          <w:sz w:val="20"/>
          <w:szCs w:val="20"/>
          <w:color w:val="auto"/>
        </w:rPr>
      </w:pPr>
    </w:p>
    <w:p>
      <w:pPr>
        <w:ind w:left="1020" w:hanging="506"/>
        <w:spacing w:after="0"/>
        <w:tabs>
          <w:tab w:leader="none" w:pos="102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Clause 42.4 (</w:t>
      </w:r>
      <w:r>
        <w:rPr>
          <w:rFonts w:ascii="Times New Roman" w:cs="Times New Roman" w:eastAsia="Times New Roman" w:hAnsi="Times New Roman"/>
          <w:sz w:val="14"/>
          <w:szCs w:val="14"/>
          <w:i w:val="1"/>
          <w:iCs w:val="1"/>
          <w:color w:val="auto"/>
        </w:rPr>
        <w:t>Other exceptions</w:t>
      </w:r>
      <w:r>
        <w:rPr>
          <w:rFonts w:ascii="Times New Roman" w:cs="Times New Roman" w:eastAsia="Times New Roman" w:hAnsi="Times New Roman"/>
          <w:sz w:val="14"/>
          <w:szCs w:val="14"/>
          <w:color w:val="auto"/>
        </w:rPr>
        <w:t>), any amendment or waiver which relates to:</w:t>
      </w:r>
    </w:p>
    <w:p>
      <w:pPr>
        <w:spacing w:after="0" w:line="212" w:lineRule="exact"/>
        <w:rPr>
          <w:sz w:val="20"/>
          <w:szCs w:val="20"/>
          <w:color w:val="auto"/>
        </w:rPr>
      </w:pPr>
    </w:p>
    <w:p>
      <w:pPr>
        <w:ind w:left="1520" w:hanging="497"/>
        <w:spacing w:after="0"/>
        <w:tabs>
          <w:tab w:leader="none" w:pos="1520" w:val="left"/>
        </w:tabs>
        <w:numPr>
          <w:ilvl w:val="0"/>
          <w:numId w:val="17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providing for the use of a Replacement Reference Rate; and</w:t>
      </w:r>
    </w:p>
    <w:p>
      <w:pPr>
        <w:spacing w:after="0" w:line="189" w:lineRule="exact"/>
        <w:rPr>
          <w:rFonts w:ascii="Times New Roman" w:cs="Times New Roman" w:eastAsia="Times New Roman" w:hAnsi="Times New Roman"/>
          <w:sz w:val="14"/>
          <w:szCs w:val="14"/>
          <w:color w:val="010000"/>
        </w:rPr>
      </w:pPr>
    </w:p>
    <w:p>
      <w:pPr>
        <w:spacing w:after="0"/>
        <w:tabs>
          <w:tab w:leader="none" w:pos="0" w:val="left"/>
        </w:tabs>
        <w:numPr>
          <w:ilvl w:val="0"/>
          <w:numId w:val="175"/>
        </w:numPr>
        <w:rPr>
          <w:rFonts w:ascii="Times New Roman" w:cs="Times New Roman" w:eastAsia="Times New Roman" w:hAnsi="Times New Roman"/>
          <w:sz w:val="14"/>
          <w:szCs w:val="14"/>
          <w:color w:val="010000"/>
        </w:rPr>
      </w:pPr>
    </w:p>
    <w:p>
      <w:pPr>
        <w:spacing w:after="0" w:line="199" w:lineRule="exact"/>
        <w:rPr>
          <w:rFonts w:ascii="Times New Roman" w:cs="Times New Roman" w:eastAsia="Times New Roman" w:hAnsi="Times New Roman"/>
          <w:sz w:val="14"/>
          <w:szCs w:val="14"/>
          <w:color w:val="010000"/>
        </w:rPr>
      </w:pPr>
    </w:p>
    <w:p>
      <w:pPr>
        <w:ind w:left="2040" w:hanging="507"/>
        <w:spacing w:after="0"/>
        <w:tabs>
          <w:tab w:leader="none" w:pos="2040" w:val="left"/>
        </w:tabs>
        <w:numPr>
          <w:ilvl w:val="1"/>
          <w:numId w:val="17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aligning any provision of any Finance Document to the use of that Replacement Reference Rate;</w:t>
      </w:r>
    </w:p>
    <w:p>
      <w:pPr>
        <w:spacing w:after="0" w:line="210" w:lineRule="exact"/>
        <w:rPr>
          <w:rFonts w:ascii="Times New Roman" w:cs="Times New Roman" w:eastAsia="Times New Roman" w:hAnsi="Times New Roman"/>
          <w:sz w:val="14"/>
          <w:szCs w:val="14"/>
          <w:color w:val="010000"/>
        </w:rPr>
      </w:pPr>
    </w:p>
    <w:p>
      <w:pPr>
        <w:ind w:left="2040" w:hanging="507"/>
        <w:spacing w:after="0" w:line="334" w:lineRule="auto"/>
        <w:tabs>
          <w:tab w:leader="none" w:pos="2037" w:val="left"/>
        </w:tabs>
        <w:numPr>
          <w:ilvl w:val="1"/>
          <w:numId w:val="17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enabling that Replacement Reference Rate to be used for the calculation of interest under this Agreement (including, without limitation, any consequential changes required to enable that Replacement Reference Rate to be used for the purposes of this Agreement);</w:t>
      </w:r>
    </w:p>
    <w:p>
      <w:pPr>
        <w:spacing w:after="0" w:line="124" w:lineRule="exact"/>
        <w:rPr>
          <w:rFonts w:ascii="Times New Roman" w:cs="Times New Roman" w:eastAsia="Times New Roman" w:hAnsi="Times New Roman"/>
          <w:sz w:val="14"/>
          <w:szCs w:val="14"/>
          <w:color w:val="010000"/>
        </w:rPr>
      </w:pPr>
    </w:p>
    <w:p>
      <w:pPr>
        <w:ind w:left="2040" w:hanging="507"/>
        <w:spacing w:after="0"/>
        <w:tabs>
          <w:tab w:leader="none" w:pos="2040" w:val="left"/>
        </w:tabs>
        <w:numPr>
          <w:ilvl w:val="1"/>
          <w:numId w:val="17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implementing market conventions applicable to that Replacement Reference Rate;</w:t>
      </w:r>
    </w:p>
    <w:p>
      <w:pPr>
        <w:spacing w:after="0" w:line="210" w:lineRule="exact"/>
        <w:rPr>
          <w:rFonts w:ascii="Times New Roman" w:cs="Times New Roman" w:eastAsia="Times New Roman" w:hAnsi="Times New Roman"/>
          <w:sz w:val="14"/>
          <w:szCs w:val="14"/>
          <w:color w:val="010000"/>
        </w:rPr>
      </w:pPr>
    </w:p>
    <w:p>
      <w:pPr>
        <w:ind w:left="2040" w:hanging="507"/>
        <w:spacing w:after="0"/>
        <w:tabs>
          <w:tab w:leader="none" w:pos="2040" w:val="left"/>
        </w:tabs>
        <w:numPr>
          <w:ilvl w:val="1"/>
          <w:numId w:val="17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providing for appropriate fallback (and market disruption) provisions for that Replacement Reference Rate; or</w:t>
      </w:r>
    </w:p>
    <w:p>
      <w:pPr>
        <w:spacing w:after="0" w:line="220" w:lineRule="exact"/>
        <w:rPr>
          <w:rFonts w:ascii="Times New Roman" w:cs="Times New Roman" w:eastAsia="Times New Roman" w:hAnsi="Times New Roman"/>
          <w:sz w:val="14"/>
          <w:szCs w:val="14"/>
          <w:color w:val="010000"/>
        </w:rPr>
      </w:pPr>
    </w:p>
    <w:p>
      <w:pPr>
        <w:jc w:val="both"/>
        <w:ind w:left="2040" w:hanging="507"/>
        <w:spacing w:after="0" w:line="317" w:lineRule="auto"/>
        <w:tabs>
          <w:tab w:leader="none" w:pos="2030" w:val="left"/>
        </w:tabs>
        <w:numPr>
          <w:ilvl w:val="1"/>
          <w:numId w:val="17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adjusting the pricing to reduce or eliminate, to the extent reasonably practicable, any transfer of economic value from one Party to another as a result of the application of that Replacement Reference Rate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80"/>
          </w:cols>
          <w:pgMar w:left="300" w:top="1163" w:right="319" w:bottom="1440" w:gutter="0" w:footer="0" w:header="0"/>
        </w:sectPr>
      </w:pPr>
    </w:p>
    <w:bookmarkStart w:id="161" w:name="page162"/>
    <w:bookmarkEnd w:id="161"/>
    <w:p>
      <w:pPr>
        <w:ind w:left="1540"/>
        <w:spacing w:after="0"/>
        <w:rPr>
          <w:sz w:val="20"/>
          <w:szCs w:val="20"/>
          <w:color w:val="auto"/>
        </w:rPr>
      </w:pPr>
      <w:r>
        <w:rPr>
          <w:rFonts w:ascii="Times New Roman" w:cs="Times New Roman" w:eastAsia="Times New Roman" w:hAnsi="Times New Roman"/>
          <w:sz w:val="14"/>
          <w:szCs w:val="14"/>
          <w:color w:val="auto"/>
        </w:rPr>
        <w:t>may be made with the consent of the Facility Agent (acting on the instructions of the Majority Lenders) and the Company.</w:t>
      </w:r>
    </w:p>
    <w:p>
      <w:pPr>
        <w:spacing w:after="0" w:line="208" w:lineRule="exact"/>
        <w:rPr>
          <w:sz w:val="20"/>
          <w:szCs w:val="20"/>
          <w:color w:val="auto"/>
        </w:rPr>
      </w:pPr>
    </w:p>
    <w:p>
      <w:pPr>
        <w:ind w:left="520" w:right="7040" w:hanging="6"/>
        <w:spacing w:after="0" w:line="555" w:lineRule="auto"/>
        <w:tabs>
          <w:tab w:leader="none" w:pos="1024"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this Clause 42.5 (</w:t>
      </w:r>
      <w:r>
        <w:rPr>
          <w:rFonts w:ascii="Times New Roman" w:cs="Times New Roman" w:eastAsia="Times New Roman" w:hAnsi="Times New Roman"/>
          <w:sz w:val="14"/>
          <w:szCs w:val="14"/>
          <w:i w:val="1"/>
          <w:iCs w:val="1"/>
          <w:color w:val="auto"/>
        </w:rPr>
        <w:t>Replacement of Primary Term Rate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Published Rate</w:t>
      </w:r>
      <w:r>
        <w:rPr>
          <w:rFonts w:ascii="Times New Roman" w:cs="Times New Roman" w:eastAsia="Times New Roman" w:hAnsi="Times New Roman"/>
          <w:sz w:val="14"/>
          <w:szCs w:val="14"/>
          <w:color w:val="auto"/>
        </w:rPr>
        <w:t>" means:</w:t>
      </w:r>
    </w:p>
    <w:p>
      <w:pPr>
        <w:ind w:left="1020" w:hanging="506"/>
        <w:spacing w:after="0"/>
        <w:tabs>
          <w:tab w:leader="none" w:pos="102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Overnight Rate; or</w:t>
      </w:r>
    </w:p>
    <w:p>
      <w:pPr>
        <w:spacing w:after="0" w:line="210"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Primary Term Rate for any Quoted Tenor.</w:t>
      </w:r>
    </w:p>
    <w:p>
      <w:pPr>
        <w:spacing w:after="0" w:line="208" w:lineRule="exact"/>
        <w:rPr>
          <w:sz w:val="20"/>
          <w:szCs w:val="20"/>
          <w:color w:val="auto"/>
        </w:rPr>
      </w:pPr>
    </w:p>
    <w:p>
      <w:pPr>
        <w:ind w:left="520"/>
        <w:spacing w:after="0" w:line="33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Relevant Nominating Body</w:t>
      </w:r>
      <w:r>
        <w:rPr>
          <w:rFonts w:ascii="Times New Roman" w:cs="Times New Roman" w:eastAsia="Times New Roman" w:hAnsi="Times New Roman"/>
          <w:sz w:val="14"/>
          <w:szCs w:val="14"/>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Replacement Reference Rate</w:t>
      </w:r>
      <w:r>
        <w:rPr>
          <w:rFonts w:ascii="Times New Roman" w:cs="Times New Roman" w:eastAsia="Times New Roman" w:hAnsi="Times New Roman"/>
          <w:sz w:val="14"/>
          <w:szCs w:val="14"/>
          <w:color w:val="auto"/>
        </w:rPr>
        <w:t>" means a benchmark rate which is:</w:t>
      </w:r>
    </w:p>
    <w:p>
      <w:pPr>
        <w:spacing w:after="0" w:line="223" w:lineRule="exact"/>
        <w:rPr>
          <w:sz w:val="20"/>
          <w:szCs w:val="20"/>
          <w:color w:val="auto"/>
        </w:rPr>
      </w:pPr>
    </w:p>
    <w:p>
      <w:pPr>
        <w:ind w:left="820" w:hanging="306"/>
        <w:spacing w:after="0"/>
        <w:tabs>
          <w:tab w:leader="none" w:pos="82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formally designated, nominated or recommended as the replacement for a Published Rate by:</w:t>
      </w:r>
    </w:p>
    <w:p>
      <w:pPr>
        <w:spacing w:after="0" w:line="210" w:lineRule="exact"/>
        <w:rPr>
          <w:rFonts w:ascii="Times New Roman" w:cs="Times New Roman" w:eastAsia="Times New Roman" w:hAnsi="Times New Roman"/>
          <w:sz w:val="14"/>
          <w:szCs w:val="14"/>
          <w:color w:val="auto"/>
        </w:rPr>
      </w:pPr>
    </w:p>
    <w:p>
      <w:pPr>
        <w:ind w:left="1520" w:hanging="497"/>
        <w:spacing w:after="0"/>
        <w:tabs>
          <w:tab w:leader="none" w:pos="1520" w:val="left"/>
        </w:tabs>
        <w:numPr>
          <w:ilvl w:val="1"/>
          <w:numId w:val="17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administrator of that Published Rate; or</w:t>
      </w:r>
    </w:p>
    <w:p>
      <w:pPr>
        <w:spacing w:after="0" w:line="210" w:lineRule="exact"/>
        <w:rPr>
          <w:rFonts w:ascii="Times New Roman" w:cs="Times New Roman" w:eastAsia="Times New Roman" w:hAnsi="Times New Roman"/>
          <w:sz w:val="14"/>
          <w:szCs w:val="14"/>
          <w:color w:val="010000"/>
        </w:rPr>
      </w:pPr>
    </w:p>
    <w:p>
      <w:pPr>
        <w:ind w:left="1520" w:hanging="497"/>
        <w:spacing w:after="0"/>
        <w:tabs>
          <w:tab w:leader="none" w:pos="1520" w:val="left"/>
        </w:tabs>
        <w:numPr>
          <w:ilvl w:val="1"/>
          <w:numId w:val="17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Relevant Nominating Body,</w:t>
      </w:r>
    </w:p>
    <w:p>
      <w:pPr>
        <w:spacing w:after="0" w:line="210" w:lineRule="exact"/>
        <w:rPr>
          <w:sz w:val="20"/>
          <w:szCs w:val="20"/>
          <w:color w:val="auto"/>
        </w:rPr>
      </w:pPr>
    </w:p>
    <w:p>
      <w:pPr>
        <w:ind w:left="520"/>
        <w:spacing w:after="0" w:line="334" w:lineRule="auto"/>
        <w:rPr>
          <w:sz w:val="20"/>
          <w:szCs w:val="20"/>
          <w:color w:val="auto"/>
        </w:rPr>
      </w:pPr>
      <w:r>
        <w:rPr>
          <w:rFonts w:ascii="Times New Roman" w:cs="Times New Roman" w:eastAsia="Times New Roman" w:hAnsi="Times New Roman"/>
          <w:sz w:val="14"/>
          <w:szCs w:val="14"/>
          <w:color w:val="auto"/>
        </w:rPr>
        <w:t>and if replacements have, at the relevant time, been formally designated, nominated or recommended under both paragraphs, the "Replacement Reference Rate" will be the replacement under paragraph (ii) above;</w:t>
      </w:r>
    </w:p>
    <w:p>
      <w:pPr>
        <w:spacing w:after="0" w:line="125" w:lineRule="exact"/>
        <w:rPr>
          <w:sz w:val="20"/>
          <w:szCs w:val="20"/>
          <w:color w:val="auto"/>
        </w:rPr>
      </w:pPr>
    </w:p>
    <w:p>
      <w:pPr>
        <w:ind w:left="1020" w:hanging="506"/>
        <w:spacing w:after="0" w:line="334" w:lineRule="auto"/>
        <w:tabs>
          <w:tab w:leader="none" w:pos="1018" w:val="left"/>
        </w:tabs>
        <w:numPr>
          <w:ilvl w:val="1"/>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opinion of the Majority Lenders and the Company, generally accepted in the international or any relevant domestic syndicated loan markets as the appropriate successor to a Published Rate; or</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opinion of the Majority Lenders and the Company, an appropriate successor to a Published Rate."</w:t>
      </w:r>
    </w:p>
    <w:p>
      <w:pPr>
        <w:spacing w:after="0" w:line="20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III.  Part 1 (</w:t>
      </w:r>
      <w:r>
        <w:rPr>
          <w:rFonts w:ascii="Times New Roman" w:cs="Times New Roman" w:eastAsia="Times New Roman" w:hAnsi="Times New Roman"/>
          <w:sz w:val="14"/>
          <w:szCs w:val="14"/>
          <w:i w:val="1"/>
          <w:iCs w:val="1"/>
          <w:color w:val="auto"/>
        </w:rPr>
        <w:t>Loans</w:t>
      </w:r>
      <w:r>
        <w:rPr>
          <w:rFonts w:ascii="Times New Roman" w:cs="Times New Roman" w:eastAsia="Times New Roman" w:hAnsi="Times New Roman"/>
          <w:sz w:val="14"/>
          <w:szCs w:val="14"/>
          <w:color w:val="auto"/>
        </w:rPr>
        <w:t>) of Schedule 4 (</w:t>
      </w:r>
      <w:r>
        <w:rPr>
          <w:rFonts w:ascii="Times New Roman" w:cs="Times New Roman" w:eastAsia="Times New Roman" w:hAnsi="Times New Roman"/>
          <w:sz w:val="14"/>
          <w:szCs w:val="14"/>
          <w:i w:val="1"/>
          <w:iCs w:val="1"/>
          <w:color w:val="auto"/>
        </w:rPr>
        <w:t>Specified Times</w:t>
      </w:r>
      <w:r>
        <w:rPr>
          <w:rFonts w:ascii="Times New Roman" w:cs="Times New Roman" w:eastAsia="Times New Roman" w:hAnsi="Times New Roman"/>
          <w:sz w:val="14"/>
          <w:szCs w:val="14"/>
          <w:color w:val="auto"/>
        </w:rPr>
        <w:t>) shall be deleted and replaced with the following:</w:t>
      </w:r>
    </w:p>
    <w:p>
      <w:pPr>
        <w:sectPr>
          <w:pgSz w:w="11900" w:h="16838" w:orient="portrait"/>
          <w:cols w:equalWidth="0" w:num="1">
            <w:col w:w="11280"/>
          </w:cols>
          <w:pgMar w:left="300" w:top="1164" w:right="31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60" w:right="320"/>
        <w:spacing w:after="0" w:line="311" w:lineRule="auto"/>
        <w:rPr>
          <w:sz w:val="20"/>
          <w:szCs w:val="20"/>
          <w:color w:val="auto"/>
        </w:rPr>
      </w:pPr>
      <w:r>
        <w:rPr>
          <w:rFonts w:ascii="Times New Roman" w:cs="Times New Roman" w:eastAsia="Times New Roman" w:hAnsi="Times New Roman"/>
          <w:sz w:val="14"/>
          <w:szCs w:val="14"/>
          <w:color w:val="auto"/>
        </w:rPr>
        <w:t>Facility Agent notifies the Company if a currency is approved as an Optional Currency in accordance with Clause 4.3 (</w:t>
      </w:r>
      <w:r>
        <w:rPr>
          <w:rFonts w:ascii="Times New Roman" w:cs="Times New Roman" w:eastAsia="Times New Roman" w:hAnsi="Times New Roman"/>
          <w:sz w:val="14"/>
          <w:szCs w:val="14"/>
          <w:i w:val="1"/>
          <w:iCs w:val="1"/>
          <w:color w:val="auto"/>
        </w:rPr>
        <w:t>Conditions relating to Optional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Currencies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tabs>
          <w:tab w:leader="none" w:pos="2740" w:val="left"/>
          <w:tab w:leader="none" w:pos="5140" w:val="left"/>
        </w:tabs>
        <w:rPr>
          <w:sz w:val="20"/>
          <w:szCs w:val="20"/>
          <w:color w:val="auto"/>
        </w:rPr>
      </w:pPr>
      <w:r>
        <w:rPr>
          <w:rFonts w:ascii="Times New Roman" w:cs="Times New Roman" w:eastAsia="Times New Roman" w:hAnsi="Times New Roman"/>
          <w:sz w:val="14"/>
          <w:szCs w:val="14"/>
          <w:b w:val="1"/>
          <w:bCs w:val="1"/>
          <w:color w:val="auto"/>
        </w:rPr>
        <w:t>Loans in USD</w:t>
      </w:r>
      <w:r>
        <w:rPr>
          <w:sz w:val="20"/>
          <w:szCs w:val="20"/>
          <w:color w:val="auto"/>
        </w:rPr>
        <w:tab/>
      </w:r>
      <w:r>
        <w:rPr>
          <w:rFonts w:ascii="Times New Roman" w:cs="Times New Roman" w:eastAsia="Times New Roman" w:hAnsi="Times New Roman"/>
          <w:sz w:val="14"/>
          <w:szCs w:val="14"/>
          <w:b w:val="1"/>
          <w:bCs w:val="1"/>
          <w:color w:val="auto"/>
        </w:rPr>
        <w:t>Loans in EUR</w:t>
      </w:r>
      <w:r>
        <w:rPr>
          <w:sz w:val="20"/>
          <w:szCs w:val="20"/>
          <w:color w:val="auto"/>
        </w:rPr>
        <w:tab/>
      </w:r>
      <w:r>
        <w:rPr>
          <w:rFonts w:ascii="Times New Roman" w:cs="Times New Roman" w:eastAsia="Times New Roman" w:hAnsi="Times New Roman"/>
          <w:sz w:val="14"/>
          <w:szCs w:val="14"/>
          <w:b w:val="1"/>
          <w:bCs w:val="1"/>
          <w:color w:val="auto"/>
        </w:rPr>
        <w:t>Loans in other currencies</w:t>
      </w:r>
    </w:p>
    <w:p>
      <w:pPr>
        <w:spacing w:after="0" w:line="25" w:lineRule="exact"/>
        <w:rPr>
          <w:sz w:val="20"/>
          <w:szCs w:val="20"/>
          <w:color w:val="auto"/>
        </w:rPr>
      </w:pPr>
    </w:p>
    <w:p>
      <w:pPr>
        <w:ind w:left="400"/>
        <w:spacing w:after="0"/>
        <w:tabs>
          <w:tab w:leader="none" w:pos="3140" w:val="left"/>
          <w:tab w:leader="none" w:pos="52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U-4 as soon as possible</w:t>
      </w:r>
    </w:p>
    <w:p>
      <w:pPr>
        <w:spacing w:after="0" w:line="901" w:lineRule="exact"/>
        <w:rPr>
          <w:sz w:val="20"/>
          <w:szCs w:val="20"/>
          <w:color w:val="auto"/>
        </w:rPr>
      </w:pPr>
    </w:p>
    <w:p>
      <w:pPr>
        <w:sectPr>
          <w:pgSz w:w="11900" w:h="16838" w:orient="portrait"/>
          <w:cols w:equalWidth="0" w:num="2">
            <w:col w:w="3260" w:space="720"/>
            <w:col w:w="7300"/>
          </w:cols>
          <w:pgMar w:left="300" w:top="116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80"/>
          </w:cols>
          <w:pgMar w:left="300" w:top="1164" w:right="319" w:bottom="1440" w:gutter="0" w:footer="0" w:header="0"/>
          <w:type w:val="continuous"/>
        </w:sectPr>
      </w:pPr>
    </w:p>
    <w:bookmarkStart w:id="162" w:name="page163"/>
    <w:bookmarkEnd w:id="162"/>
    <w:p>
      <w:pPr>
        <w:ind w:left="60" w:right="40"/>
        <w:spacing w:after="0" w:line="317" w:lineRule="auto"/>
        <w:rPr>
          <w:sz w:val="20"/>
          <w:szCs w:val="20"/>
          <w:color w:val="auto"/>
        </w:rPr>
      </w:pPr>
      <w:r>
        <w:rPr>
          <w:rFonts w:ascii="Times New Roman" w:cs="Times New Roman" w:eastAsia="Times New Roman" w:hAnsi="Times New Roman"/>
          <w:sz w:val="14"/>
          <w:szCs w:val="14"/>
          <w:color w:val="auto"/>
        </w:rPr>
        <w:t>Delivery of a duly completed Utilisation Request in accordance with Clause 5.1 (</w:t>
      </w:r>
      <w:r>
        <w:rPr>
          <w:rFonts w:ascii="Times New Roman" w:cs="Times New Roman" w:eastAsia="Times New Roman" w:hAnsi="Times New Roman"/>
          <w:sz w:val="14"/>
          <w:szCs w:val="14"/>
          <w:i w:val="1"/>
          <w:iCs w:val="1"/>
          <w:color w:val="auto"/>
        </w:rPr>
        <w:t>Delivery of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Utilisation Request</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60" w:right="140"/>
        <w:spacing w:after="0" w:line="317" w:lineRule="auto"/>
        <w:rPr>
          <w:sz w:val="20"/>
          <w:szCs w:val="20"/>
          <w:color w:val="auto"/>
        </w:rPr>
      </w:pPr>
      <w:r>
        <w:rPr>
          <w:rFonts w:ascii="Times New Roman" w:cs="Times New Roman" w:eastAsia="Times New Roman" w:hAnsi="Times New Roman"/>
          <w:sz w:val="14"/>
          <w:szCs w:val="14"/>
          <w:color w:val="auto"/>
        </w:rPr>
        <w:t>Facility Agent notifies the relevant Lenders of the Loan in accordance with paragraph (e) of Clause 5.4 (</w:t>
      </w:r>
      <w:r>
        <w:rPr>
          <w:rFonts w:ascii="Times New Roman" w:cs="Times New Roman" w:eastAsia="Times New Roman" w:hAnsi="Times New Roman"/>
          <w:sz w:val="14"/>
          <w:szCs w:val="14"/>
          <w:i w:val="1"/>
          <w:iCs w:val="1"/>
          <w:color w:val="auto"/>
        </w:rPr>
        <w:t>Lenders' Participation</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left="60" w:right="260"/>
        <w:spacing w:after="0" w:line="317" w:lineRule="auto"/>
        <w:rPr>
          <w:sz w:val="20"/>
          <w:szCs w:val="20"/>
          <w:color w:val="auto"/>
        </w:rPr>
      </w:pPr>
      <w:r>
        <w:rPr>
          <w:rFonts w:ascii="Times New Roman" w:cs="Times New Roman" w:eastAsia="Times New Roman" w:hAnsi="Times New Roman"/>
          <w:sz w:val="14"/>
          <w:szCs w:val="14"/>
          <w:color w:val="auto"/>
        </w:rPr>
        <w:t>Reference Bank Rate calculated by reference to available quotations in accordance with Clause 16.2 (</w:t>
      </w:r>
      <w:r>
        <w:rPr>
          <w:rFonts w:ascii="Times New Roman" w:cs="Times New Roman" w:eastAsia="Times New Roman" w:hAnsi="Times New Roman"/>
          <w:sz w:val="14"/>
          <w:szCs w:val="14"/>
          <w:i w:val="1"/>
          <w:iCs w:val="1"/>
          <w:color w:val="auto"/>
        </w:rPr>
        <w:t>Calculation of Reference Bank Rate</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900" w:type="dxa"/>
            <w:vAlign w:val="bottom"/>
          </w:tcPr>
          <w:p>
            <w:pPr>
              <w:jc w:val="center"/>
              <w:ind w:right="489"/>
              <w:spacing w:after="0"/>
              <w:rPr>
                <w:sz w:val="20"/>
                <w:szCs w:val="20"/>
                <w:color w:val="auto"/>
              </w:rPr>
            </w:pPr>
            <w:r>
              <w:rPr>
                <w:rFonts w:ascii="Times New Roman" w:cs="Times New Roman" w:eastAsia="Times New Roman" w:hAnsi="Times New Roman"/>
                <w:sz w:val="14"/>
                <w:szCs w:val="14"/>
                <w:color w:val="auto"/>
              </w:rPr>
              <w:t>U-3</w:t>
            </w:r>
          </w:p>
        </w:tc>
        <w:tc>
          <w:tcPr>
            <w:tcW w:w="272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U-3</w:t>
            </w:r>
          </w:p>
        </w:tc>
        <w:tc>
          <w:tcPr>
            <w:tcW w:w="286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rPr>
              <w:t>U-3</w:t>
            </w:r>
          </w:p>
        </w:tc>
      </w:tr>
      <w:tr>
        <w:trPr>
          <w:trHeight w:val="371"/>
        </w:trPr>
        <w:tc>
          <w:tcPr>
            <w:tcW w:w="1900" w:type="dxa"/>
            <w:vAlign w:val="bottom"/>
          </w:tcPr>
          <w:p>
            <w:pPr>
              <w:jc w:val="center"/>
              <w:ind w:right="489"/>
              <w:spacing w:after="0"/>
              <w:rPr>
                <w:sz w:val="20"/>
                <w:szCs w:val="20"/>
                <w:color w:val="auto"/>
              </w:rPr>
            </w:pPr>
            <w:r>
              <w:rPr>
                <w:rFonts w:ascii="Times New Roman" w:cs="Times New Roman" w:eastAsia="Times New Roman" w:hAnsi="Times New Roman"/>
                <w:sz w:val="14"/>
                <w:szCs w:val="14"/>
                <w:color w:val="auto"/>
              </w:rPr>
              <w:t>10:00am London time</w:t>
            </w:r>
          </w:p>
        </w:tc>
        <w:tc>
          <w:tcPr>
            <w:tcW w:w="272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9"/>
              </w:rPr>
              <w:t>10:00am London time</w:t>
            </w:r>
          </w:p>
        </w:tc>
        <w:tc>
          <w:tcPr>
            <w:tcW w:w="286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rPr>
              <w:t>10:00am London time</w:t>
            </w:r>
          </w:p>
        </w:tc>
      </w:tr>
      <w:tr>
        <w:trPr>
          <w:trHeight w:val="382"/>
        </w:trPr>
        <w:tc>
          <w:tcPr>
            <w:tcW w:w="1900" w:type="dxa"/>
            <w:vAlign w:val="bottom"/>
          </w:tcPr>
          <w:p>
            <w:pPr>
              <w:jc w:val="center"/>
              <w:ind w:right="489"/>
              <w:spacing w:after="0"/>
              <w:rPr>
                <w:sz w:val="20"/>
                <w:szCs w:val="20"/>
                <w:color w:val="auto"/>
              </w:rPr>
            </w:pPr>
            <w:r>
              <w:rPr>
                <w:rFonts w:ascii="Times New Roman" w:cs="Times New Roman" w:eastAsia="Times New Roman" w:hAnsi="Times New Roman"/>
                <w:sz w:val="14"/>
                <w:szCs w:val="14"/>
                <w:color w:val="auto"/>
              </w:rPr>
              <w:t>U-3 as soon as possible</w:t>
            </w:r>
          </w:p>
        </w:tc>
        <w:tc>
          <w:tcPr>
            <w:tcW w:w="272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U-3 as soon as possible</w:t>
            </w:r>
          </w:p>
        </w:tc>
        <w:tc>
          <w:tcPr>
            <w:tcW w:w="286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U-3 as soon as possible</w:t>
            </w:r>
          </w:p>
        </w:tc>
      </w:tr>
      <w:tr>
        <w:trPr>
          <w:trHeight w:val="849"/>
        </w:trPr>
        <w:tc>
          <w:tcPr>
            <w:tcW w:w="1900" w:type="dxa"/>
            <w:vAlign w:val="bottom"/>
          </w:tcPr>
          <w:p>
            <w:pPr>
              <w:jc w:val="center"/>
              <w:ind w:right="489"/>
              <w:spacing w:after="0"/>
              <w:rPr>
                <w:sz w:val="20"/>
                <w:szCs w:val="20"/>
                <w:color w:val="auto"/>
              </w:rPr>
            </w:pPr>
            <w:r>
              <w:rPr>
                <w:rFonts w:ascii="Times New Roman" w:cs="Times New Roman" w:eastAsia="Times New Roman" w:hAnsi="Times New Roman"/>
                <w:sz w:val="14"/>
                <w:szCs w:val="14"/>
                <w:color w:val="auto"/>
                <w:w w:val="99"/>
              </w:rPr>
              <w:t>Not applicable</w:t>
            </w:r>
          </w:p>
        </w:tc>
        <w:tc>
          <w:tcPr>
            <w:tcW w:w="272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Quotation Day as soon as possible</w:t>
            </w:r>
          </w:p>
        </w:tc>
        <w:tc>
          <w:tcPr>
            <w:tcW w:w="286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rPr>
              <w:t>As (and to the extent) agreed in respect of that</w:t>
            </w:r>
          </w:p>
        </w:tc>
      </w:tr>
      <w:tr>
        <w:trPr>
          <w:trHeight w:val="202"/>
        </w:trPr>
        <w:tc>
          <w:tcPr>
            <w:tcW w:w="19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86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rPr>
              <w:t>currency pursuant to Clause 4.3 (</w:t>
            </w:r>
            <w:r>
              <w:rPr>
                <w:rFonts w:ascii="Times New Roman" w:cs="Times New Roman" w:eastAsia="Times New Roman" w:hAnsi="Times New Roman"/>
                <w:sz w:val="14"/>
                <w:szCs w:val="14"/>
                <w:i w:val="1"/>
                <w:iCs w:val="1"/>
                <w:color w:val="auto"/>
              </w:rPr>
              <w:t>Conditions</w:t>
            </w:r>
          </w:p>
        </w:tc>
      </w:tr>
      <w:tr>
        <w:trPr>
          <w:trHeight w:val="202"/>
        </w:trPr>
        <w:tc>
          <w:tcPr>
            <w:tcW w:w="19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860" w:type="dxa"/>
            <w:vAlign w:val="bottom"/>
          </w:tcPr>
          <w:p>
            <w:pPr>
              <w:jc w:val="center"/>
              <w:ind w:left="189"/>
              <w:spacing w:after="0"/>
              <w:rPr>
                <w:sz w:val="20"/>
                <w:szCs w:val="20"/>
                <w:color w:val="auto"/>
              </w:rPr>
            </w:pPr>
            <w:r>
              <w:rPr>
                <w:rFonts w:ascii="Times New Roman" w:cs="Times New Roman" w:eastAsia="Times New Roman" w:hAnsi="Times New Roman"/>
                <w:sz w:val="14"/>
                <w:szCs w:val="14"/>
                <w:i w:val="1"/>
                <w:iCs w:val="1"/>
                <w:color w:val="auto"/>
              </w:rPr>
              <w:t>relating to Optional Currencies</w:t>
            </w:r>
            <w:r>
              <w:rPr>
                <w:rFonts w:ascii="Times New Roman" w:cs="Times New Roman" w:eastAsia="Times New Roman" w:hAnsi="Times New Roman"/>
                <w:sz w:val="14"/>
                <w:szCs w:val="14"/>
                <w:color w:val="auto"/>
              </w:rPr>
              <w:t>)</w:t>
            </w:r>
          </w:p>
        </w:tc>
      </w:tr>
    </w:tbl>
    <w:p>
      <w:pPr>
        <w:spacing w:after="0" w:line="250" w:lineRule="exact"/>
        <w:rPr>
          <w:sz w:val="20"/>
          <w:szCs w:val="20"/>
          <w:color w:val="auto"/>
        </w:rPr>
      </w:pPr>
    </w:p>
    <w:p>
      <w:pPr>
        <w:sectPr>
          <w:pgSz w:w="11900" w:h="16838" w:orient="portrait"/>
          <w:cols w:equalWidth="0" w:num="2">
            <w:col w:w="3020" w:space="720"/>
            <w:col w:w="7480"/>
          </w:cols>
          <w:pgMar w:left="300" w:top="1207" w:right="379" w:bottom="1440" w:gutter="0" w:footer="0" w:header="0"/>
        </w:sectPr>
      </w:pPr>
    </w:p>
    <w:p>
      <w:pPr>
        <w:spacing w:after="0" w:line="20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"U" =</w:t>
        <w:tab/>
        <w:t>date of utilisation or, if applicable, in the case of a Loan that has already been borrowed, the first day of the relevant Interest Period for that Loan.</w:t>
      </w:r>
    </w:p>
    <w:p>
      <w:pPr>
        <w:spacing w:after="0" w:line="21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"U – X" =</w:t>
        <w:tab/>
        <w:t>X Business Days prior to the proposed date of utilisation or, if applicable, in the case of a Loan that has already been borrowed, the first day of the relevant Interest Period for that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20"/>
          </w:cols>
          <w:pgMar w:left="300" w:top="1207" w:right="379" w:bottom="1440" w:gutter="0" w:footer="0" w:header="0"/>
          <w:type w:val="continuous"/>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019"/>
          </w:cols>
          <w:pgMar w:left="440" w:top="1440" w:right="1440" w:bottom="1440" w:gutter="0" w:footer="0" w:header="0"/>
        </w:sectPr>
      </w:pPr>
    </w:p>
    <w:bookmarkStart w:id="164" w:name="page165"/>
    <w:bookmarkEnd w:id="164"/>
    <w:p>
      <w:pPr>
        <w:ind w:left="5160"/>
        <w:spacing w:after="0"/>
        <w:rPr>
          <w:sz w:val="20"/>
          <w:szCs w:val="20"/>
          <w:color w:val="auto"/>
        </w:rPr>
      </w:pPr>
      <w:r>
        <w:rPr>
          <w:rFonts w:ascii="Times New Roman" w:cs="Times New Roman" w:eastAsia="Times New Roman" w:hAnsi="Times New Roman"/>
          <w:sz w:val="14"/>
          <w:szCs w:val="14"/>
          <w:b w:val="1"/>
          <w:bCs w:val="1"/>
          <w:color w:val="auto"/>
        </w:rPr>
        <w:t>SIGNATORIES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SIGNED </w:t>
      </w:r>
      <w:r>
        <w:rPr>
          <w:rFonts w:ascii="Times New Roman" w:cs="Times New Roman" w:eastAsia="Times New Roman" w:hAnsi="Times New Roman"/>
          <w:sz w:val="14"/>
          <w:szCs w:val="14"/>
          <w:color w:val="auto"/>
        </w:rPr>
        <w:t>by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GLOBALFOUNDRIES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and on behalf of itself and the other Obligors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acting by an authorised signatory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By:…/s/ Samak L. Azar</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Name: Samak L. Azar</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Amendment Agreement – 2019 RCF</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1163"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u w:val="single" w:color="auto"/>
          <w:color w:val="auto"/>
        </w:rPr>
        <w:t>THE FACILITY AGENT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SIGNED </w:t>
      </w:r>
      <w:r>
        <w:rPr>
          <w:rFonts w:ascii="Times New Roman" w:cs="Times New Roman" w:eastAsia="Times New Roman" w:hAnsi="Times New Roman"/>
          <w:sz w:val="14"/>
          <w:szCs w:val="14"/>
          <w:color w:val="auto"/>
        </w:rPr>
        <w:t>by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CITIBANK EUROPE PLC, UK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acting by an authorised signatory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By: /s/ Henrik S. Slotsaa</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Name: Henrik S. Slotsaa</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Amendment Agreement – 2019 RCF</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1163" w:right="1440"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7"/>
          <w:szCs w:val="17"/>
          <w:b w:val="1"/>
          <w:bCs w:val="1"/>
          <w:color w:val="auto"/>
        </w:rPr>
        <w:t>Exhibit 4.19</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INDEMNIFICATION AGREEMENT</w:t>
      </w:r>
    </w:p>
    <w:p>
      <w:pPr>
        <w:spacing w:after="0" w:line="17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This INDEMNIFICATION AGREEMENT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dated as of [DATE], is by and between GLOBALFOUNDRIES Inc., an exempted company incorporated in the Cayman Islands with limited liability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NAME OF INDEMNITEE] (the “</w:t>
      </w:r>
      <w:r>
        <w:rPr>
          <w:rFonts w:ascii="Times New Roman" w:cs="Times New Roman" w:eastAsia="Times New Roman" w:hAnsi="Times New Roman"/>
          <w:sz w:val="17"/>
          <w:szCs w:val="17"/>
          <w:b w:val="1"/>
          <w:bCs w:val="1"/>
          <w:color w:val="auto"/>
        </w:rPr>
        <w:t>Indemnitee</w:t>
      </w:r>
      <w:r>
        <w:rPr>
          <w:rFonts w:ascii="Times New Roman" w:cs="Times New Roman" w:eastAsia="Times New Roman" w:hAnsi="Times New Roman"/>
          <w:sz w:val="17"/>
          <w:szCs w:val="17"/>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WHEREAS, Indemnitee is [a director/an officer/an employee with certain managerial responsibilities] of the Company;</w:t>
      </w:r>
    </w:p>
    <w:p>
      <w:pPr>
        <w:spacing w:after="0" w:line="91"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7"/>
          <w:szCs w:val="17"/>
          <w:color w:val="auto"/>
        </w:rPr>
        <w:t>WHEREAS, both the Company and Indemnitee recognize the increased risk of litigation and other claims being asserted against directors and officers of public companies;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WHEREAS, the Amended and Restated Memorandum and Articles of Association of the Company (as they may be further amended and restated, the</w:t>
      </w:r>
    </w:p>
    <w:p>
      <w:pPr>
        <w:spacing w:after="0" w:line="2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Memorandum and Articles of Association</w:t>
      </w:r>
      <w:r>
        <w:rPr>
          <w:rFonts w:ascii="Times New Roman" w:cs="Times New Roman" w:eastAsia="Times New Roman" w:hAnsi="Times New Roman"/>
          <w:sz w:val="17"/>
          <w:szCs w:val="17"/>
          <w:color w:val="auto"/>
        </w:rPr>
        <w:t>”), require the Company to indemnify its directors, officers and employees with certain managerial responsibilities against any liability, action, proceeding, claim, demand, costs, damages or expenses, including legal expenses, whatsoever which they or any of them may incur as a result of any act or failure to act in carrying out their functions in connection with the Company other than such liability (if any) that they may incur by reason of their own actual fraud, dishonesty, wilful neglect or wilful default and Indemnitee serves as a director or officer of the Company in part in reliance on such Memorandum and Articles of Association;</w:t>
      </w:r>
    </w:p>
    <w:p>
      <w:pPr>
        <w:spacing w:after="0" w:line="5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7"/>
          <w:szCs w:val="17"/>
          <w:color w:val="auto"/>
        </w:rPr>
        <w:t>WHEREAS, the board of directors of the Company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has determined that enhancing the ability of the Company to retain and attract as directors, officers and management employees the most capable persons is in the best interests of the Company and that the Company therefore should seek to assure such persons that indemnification and insurance coverage is available; and</w:t>
      </w:r>
    </w:p>
    <w:p>
      <w:pPr>
        <w:spacing w:after="0" w:line="4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7"/>
          <w:szCs w:val="17"/>
          <w:color w:val="auto"/>
        </w:rPr>
        <w:t>WHEREAS, in recognition of the need to provide Indemnitee with substantial protection against personal liability in connection with Indemnitee's service as [a director/an officer/ an employee with certain managerial responsibilities]of the Company and to enhance Indemnitee's ability to serve the Company in an effective manner, in recognition of Indemnitee’s reliance on the aforesaid Memorandum and Articles of Association and to provide assurance that such protections as expressed in the Memorandum and Articles of Association will be available to Indemnitee (regardless of, among other things, any amendment to or revocation of such Memorandum and Articles of Association or any change in the composition of the Board or any change in control or business combination transaction relating to the Company), the Company wishes to provide in this Agreement for the indemnification of, and the advancement of Expenses (as defined in Section 1(j) below) to, Indemnitee to the fullest extent (whether partial or complete) permitted by law and as set forth in this Agreement and to the extent insurance is maintained, for the continued coverage of Indemnitee under the Company's directors' and officers' liability insurance policies.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NOW, THEREFORE, in consideration of the foregoing and the Indemnitee's agreement to continue to provide services to the Company, the parties agree as follows:</w:t>
      </w:r>
    </w:p>
    <w:p>
      <w:pPr>
        <w:spacing w:after="0" w:line="186" w:lineRule="exact"/>
        <w:rPr>
          <w:sz w:val="20"/>
          <w:szCs w:val="20"/>
          <w:color w:val="auto"/>
        </w:rPr>
      </w:pPr>
    </w:p>
    <w:p>
      <w:pPr>
        <w:ind w:left="520" w:hanging="516"/>
        <w:spacing w:after="0"/>
        <w:tabs>
          <w:tab w:leader="none" w:pos="52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purposes of this Agreement, the following terms shall have the following meanings:</w:t>
      </w:r>
    </w:p>
    <w:p>
      <w:pPr>
        <w:spacing w:after="0" w:line="172" w:lineRule="exact"/>
        <w:rPr>
          <w:sz w:val="20"/>
          <w:szCs w:val="20"/>
          <w:color w:val="auto"/>
        </w:rPr>
      </w:pPr>
    </w:p>
    <w:p>
      <w:pPr>
        <w:ind w:left="520" w:hanging="516"/>
        <w:spacing w:after="0"/>
        <w:tabs>
          <w:tab w:leader="none" w:pos="52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has the meaning set forth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[EMEA_ACTIVE 301757657_10]</w:t>
      </w:r>
    </w:p>
    <w:p>
      <w:pPr>
        <w:sectPr>
          <w:pgSz w:w="11900" w:h="16838" w:orient="portrait"/>
          <w:cols w:equalWidth="0" w:num="1">
            <w:col w:w="11280"/>
          </w:cols>
          <w:pgMar w:left="300" w:top="125" w:right="319" w:bottom="1440" w:gutter="0" w:footer="0" w:header="0"/>
        </w:sectPr>
      </w:pPr>
    </w:p>
    <w:bookmarkStart w:id="167" w:name="page168"/>
    <w:bookmarkEnd w:id="167"/>
    <w:p>
      <w:pPr>
        <w:ind w:right="560" w:firstLine="4"/>
        <w:spacing w:after="0" w:line="281" w:lineRule="auto"/>
        <w:tabs>
          <w:tab w:leader="none" w:pos="504"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color w:val="auto"/>
        </w:rPr>
        <w:t>” has the meaning given to the term “beneficial owner” in Rule 13d-3 under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Beneficial Ownership</w:t>
      </w:r>
      <w:r>
        <w:rPr>
          <w:rFonts w:ascii="Times New Roman" w:cs="Times New Roman" w:eastAsia="Times New Roman" w:hAnsi="Times New Roman"/>
          <w:sz w:val="17"/>
          <w:szCs w:val="17"/>
          <w:color w:val="auto"/>
        </w:rPr>
        <w:t>” shall have correlative meaning.</w:t>
      </w:r>
    </w:p>
    <w:p>
      <w:pPr>
        <w:spacing w:after="0" w:line="115" w:lineRule="exact"/>
        <w:rPr>
          <w:rFonts w:ascii="Times New Roman" w:cs="Times New Roman" w:eastAsia="Times New Roman" w:hAnsi="Times New Roman"/>
          <w:sz w:val="17"/>
          <w:szCs w:val="17"/>
          <w:color w:val="auto"/>
        </w:rPr>
      </w:pPr>
    </w:p>
    <w:p>
      <w:pPr>
        <w:ind w:left="520" w:hanging="516"/>
        <w:spacing w:after="0"/>
        <w:tabs>
          <w:tab w:leader="none" w:pos="520"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has the meaning set forth in the preamble.</w:t>
      </w:r>
    </w:p>
    <w:p>
      <w:pPr>
        <w:spacing w:after="0" w:line="186" w:lineRule="exact"/>
        <w:rPr>
          <w:rFonts w:ascii="Times New Roman" w:cs="Times New Roman" w:eastAsia="Times New Roman" w:hAnsi="Times New Roman"/>
          <w:sz w:val="17"/>
          <w:szCs w:val="17"/>
          <w:color w:val="auto"/>
        </w:rPr>
      </w:pPr>
    </w:p>
    <w:p>
      <w:pPr>
        <w:ind w:left="500" w:hanging="496"/>
        <w:spacing w:after="0"/>
        <w:tabs>
          <w:tab w:leader="none" w:pos="500"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means the occurrence after the date of this Agreement of any of the following events:</w:t>
      </w:r>
    </w:p>
    <w:p>
      <w:pPr>
        <w:spacing w:after="0" w:line="180" w:lineRule="exact"/>
        <w:rPr>
          <w:sz w:val="20"/>
          <w:szCs w:val="20"/>
          <w:color w:val="auto"/>
        </w:rPr>
      </w:pPr>
    </w:p>
    <w:p>
      <w:pPr>
        <w:ind w:left="520" w:hanging="516"/>
        <w:spacing w:after="0"/>
        <w:tabs>
          <w:tab w:leader="none" w:pos="52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directly or indirectly, by a Person (other than a Person that at the time of the acquisition is a party to the Shareholder's Agreement) of</w:t>
      </w:r>
    </w:p>
    <w:p>
      <w:pPr>
        <w:spacing w:after="0" w:line="23" w:lineRule="exact"/>
        <w:rPr>
          <w:rFonts w:ascii="Times New Roman" w:cs="Times New Roman" w:eastAsia="Times New Roman" w:hAnsi="Times New Roman"/>
          <w:sz w:val="17"/>
          <w:szCs w:val="17"/>
          <w:color w:val="auto"/>
        </w:rPr>
      </w:pPr>
    </w:p>
    <w:p>
      <w:pPr>
        <w:ind w:right="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 Ownership of more than 50% of the combined voting power of the Voting Securities of the Company; provided, however, that the following acquisitions of Voting Securities of the Company shall not constitute a Change in Control: (A) any acquisition by or from the Company or any of its Subsidiaries, or by any employee benefit plan (or related trust) sponsored or maintained by the Company or any of its Subsidiaries, (B) any acquisition by any underwriter in any firm commitment underwriting of securities to be issued by the Company, or (C) any acquisition by any Person if, immediately following such acquisition, 50% or more of the then outstanding shares of ordinary shares (or other equity unit) of such Person and the combined voting power of the then outstanding voting securities of such Person, are Beneficially Owned by all or substantially all of the individuals or entities who, immediately prior to such acquisition, were the beneficial owners of the then outstanding Voting Securities of the Company in substantially the same proportions, respectively, as their ownership immediately prior to the acquisition of such Voting Securities; or</w:t>
      </w:r>
    </w:p>
    <w:p>
      <w:pPr>
        <w:spacing w:after="0" w:line="146" w:lineRule="exact"/>
        <w:rPr>
          <w:rFonts w:ascii="Times New Roman" w:cs="Times New Roman" w:eastAsia="Times New Roman" w:hAnsi="Times New Roman"/>
          <w:sz w:val="17"/>
          <w:szCs w:val="17"/>
          <w:color w:val="auto"/>
        </w:rPr>
      </w:pPr>
    </w:p>
    <w:p>
      <w:pPr>
        <w:ind w:right="280" w:firstLine="4"/>
        <w:spacing w:after="0" w:line="289" w:lineRule="auto"/>
        <w:tabs>
          <w:tab w:leader="none" w:pos="503"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the sale or other disposition of all or substantially all of the assets of the Company, other than to a Subsidiary of the Company or to a holding company of which the Company is a direct or indirect wholly owned subsidiary prior to such transaction; or</w:t>
      </w:r>
    </w:p>
    <w:p>
      <w:pPr>
        <w:spacing w:after="0" w:line="112" w:lineRule="exact"/>
        <w:rPr>
          <w:rFonts w:ascii="Times New Roman" w:cs="Times New Roman" w:eastAsia="Times New Roman" w:hAnsi="Times New Roman"/>
          <w:sz w:val="17"/>
          <w:szCs w:val="17"/>
          <w:color w:val="auto"/>
        </w:rPr>
      </w:pPr>
    </w:p>
    <w:p>
      <w:pPr>
        <w:ind w:right="80" w:firstLine="4"/>
        <w:spacing w:after="0" w:line="257" w:lineRule="auto"/>
        <w:tabs>
          <w:tab w:leader="none" w:pos="508"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reorganization, scheme of arrangement, merger or consolidation of the Company, other than a reorganization, scheme of arrangement, merger or consolidation, which would result in the Voting Securities of the Company outstanding immediately prior to the transaction continuing to represent (whether by remaining outstanding or by being converted to voting securities of the surviving entity) 50% or more of the Voting Securities of the Company or the voting power of the voting securities of such surviving entity outstanding immediately after such transaction; or</w:t>
      </w:r>
    </w:p>
    <w:p>
      <w:pPr>
        <w:spacing w:after="0" w:line="149" w:lineRule="exact"/>
        <w:rPr>
          <w:rFonts w:ascii="Times New Roman" w:cs="Times New Roman" w:eastAsia="Times New Roman" w:hAnsi="Times New Roman"/>
          <w:sz w:val="17"/>
          <w:szCs w:val="17"/>
          <w:color w:val="auto"/>
        </w:rPr>
      </w:pPr>
    </w:p>
    <w:p>
      <w:pPr>
        <w:ind w:left="520" w:hanging="516"/>
        <w:spacing w:after="0"/>
        <w:tabs>
          <w:tab w:leader="none" w:pos="52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plan of complete liquidation of the Company; or</w:t>
      </w:r>
    </w:p>
    <w:p>
      <w:pPr>
        <w:spacing w:after="0" w:line="175" w:lineRule="exact"/>
        <w:rPr>
          <w:rFonts w:ascii="Times New Roman" w:cs="Times New Roman" w:eastAsia="Times New Roman" w:hAnsi="Times New Roman"/>
          <w:sz w:val="17"/>
          <w:szCs w:val="17"/>
          <w:color w:val="auto"/>
        </w:rPr>
      </w:pPr>
    </w:p>
    <w:p>
      <w:pPr>
        <w:ind w:firstLine="4"/>
        <w:spacing w:after="0" w:line="258" w:lineRule="auto"/>
        <w:tabs>
          <w:tab w:leader="none" w:pos="504"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individuals cease for any reason to constitute a majority of the Board: (A) individuals who, as of the date hereof,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of the directors then still in office who either were directors on the date of this Agreement or whose</w:t>
      </w:r>
    </w:p>
    <w:p>
      <w:pPr>
        <w:sectPr>
          <w:pgSz w:w="11900" w:h="16838" w:orient="portrait"/>
          <w:cols w:equalWidth="0" w:num="1">
            <w:col w:w="11280"/>
          </w:cols>
          <w:pgMar w:left="300" w:top="1314" w:right="319" w:bottom="1440" w:gutter="0" w:footer="0" w:header="0"/>
        </w:sectPr>
      </w:pPr>
    </w:p>
    <w:bookmarkStart w:id="168" w:name="page169"/>
    <w:bookmarkEnd w:id="168"/>
    <w:p>
      <w:pPr>
        <w:ind w:right="480"/>
        <w:spacing w:after="0" w:line="276" w:lineRule="auto"/>
        <w:rPr>
          <w:sz w:val="20"/>
          <w:szCs w:val="20"/>
          <w:color w:val="auto"/>
        </w:rPr>
      </w:pPr>
      <w:r>
        <w:rPr>
          <w:rFonts w:ascii="Times New Roman" w:cs="Times New Roman" w:eastAsia="Times New Roman" w:hAnsi="Times New Roman"/>
          <w:sz w:val="17"/>
          <w:szCs w:val="17"/>
          <w:color w:val="auto"/>
        </w:rPr>
        <w:t>appointment, election or nomination for election was previously so approved or recommended; and (B) any directors nominated pursuant to the Shareholder’s Agreement.</w:t>
      </w:r>
    </w:p>
    <w:p>
      <w:pPr>
        <w:spacing w:after="0" w:line="119" w:lineRule="exact"/>
        <w:rPr>
          <w:sz w:val="20"/>
          <w:szCs w:val="20"/>
          <w:color w:val="auto"/>
        </w:rPr>
      </w:pPr>
    </w:p>
    <w:p>
      <w:pPr>
        <w:ind w:left="520" w:hanging="516"/>
        <w:spacing w:after="0"/>
        <w:tabs>
          <w:tab w:leader="none" w:pos="520"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Claim</w:t>
      </w:r>
      <w:r>
        <w:rPr>
          <w:rFonts w:ascii="Times New Roman" w:cs="Times New Roman" w:eastAsia="Times New Roman" w:hAnsi="Times New Roman"/>
          <w:sz w:val="17"/>
          <w:szCs w:val="17"/>
          <w:color w:val="auto"/>
        </w:rPr>
        <w:t>” means:</w:t>
      </w:r>
    </w:p>
    <w:p>
      <w:pPr>
        <w:spacing w:after="0" w:line="190" w:lineRule="exact"/>
        <w:rPr>
          <w:sz w:val="20"/>
          <w:szCs w:val="20"/>
          <w:color w:val="auto"/>
        </w:rPr>
      </w:pPr>
    </w:p>
    <w:p>
      <w:pPr>
        <w:ind w:firstLine="4"/>
        <w:spacing w:after="0" w:line="276" w:lineRule="auto"/>
        <w:tabs>
          <w:tab w:leader="none" w:pos="509"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threatened, pending or completed action, suit, proceeding or alternative dispute resolution mechanism, whether civil, criminal, administrative, arbitrative, investigative or other, and whether made pursuant to federal, state or other law; or</w:t>
      </w:r>
    </w:p>
    <w:p>
      <w:pPr>
        <w:spacing w:after="0" w:line="123" w:lineRule="exact"/>
        <w:rPr>
          <w:rFonts w:ascii="Times New Roman" w:cs="Times New Roman" w:eastAsia="Times New Roman" w:hAnsi="Times New Roman"/>
          <w:sz w:val="17"/>
          <w:szCs w:val="17"/>
          <w:color w:val="auto"/>
        </w:rPr>
      </w:pPr>
    </w:p>
    <w:p>
      <w:pPr>
        <w:ind w:right="80" w:firstLine="4"/>
        <w:spacing w:after="0" w:line="276" w:lineRule="auto"/>
        <w:tabs>
          <w:tab w:leader="none" w:pos="503"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inquiry, hearing or investigation that the Indemnitee in good faith believes might lead to the institution of any such action, suit, proceeding or alternative dispute resolution mechanism.</w:t>
      </w:r>
    </w:p>
    <w:p>
      <w:pPr>
        <w:spacing w:after="0" w:line="119" w:lineRule="exact"/>
        <w:rPr>
          <w:sz w:val="20"/>
          <w:szCs w:val="20"/>
          <w:color w:val="auto"/>
        </w:rPr>
      </w:pPr>
    </w:p>
    <w:p>
      <w:pPr>
        <w:ind w:left="520" w:hanging="516"/>
        <w:spacing w:after="0"/>
        <w:tabs>
          <w:tab w:leader="none" w:pos="520"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has the meaning set forth in the preamble.</w:t>
      </w:r>
    </w:p>
    <w:p>
      <w:pPr>
        <w:spacing w:after="0" w:line="186" w:lineRule="exact"/>
        <w:rPr>
          <w:rFonts w:ascii="Times New Roman" w:cs="Times New Roman" w:eastAsia="Times New Roman" w:hAnsi="Times New Roman"/>
          <w:sz w:val="17"/>
          <w:szCs w:val="17"/>
          <w:color w:val="auto"/>
        </w:rPr>
      </w:pPr>
    </w:p>
    <w:p>
      <w:pPr>
        <w:ind w:left="500" w:hanging="496"/>
        <w:spacing w:after="0"/>
        <w:tabs>
          <w:tab w:leader="none" w:pos="500"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Delaware Court</w:t>
      </w:r>
      <w:r>
        <w:rPr>
          <w:rFonts w:ascii="Times New Roman" w:cs="Times New Roman" w:eastAsia="Times New Roman" w:hAnsi="Times New Roman"/>
          <w:sz w:val="17"/>
          <w:szCs w:val="17"/>
          <w:color w:val="auto"/>
        </w:rPr>
        <w:t>” has the meaning set forth in Section 9(e) below.</w:t>
      </w:r>
    </w:p>
    <w:p>
      <w:pPr>
        <w:spacing w:after="0" w:line="175" w:lineRule="exact"/>
        <w:rPr>
          <w:rFonts w:ascii="Times New Roman" w:cs="Times New Roman" w:eastAsia="Times New Roman" w:hAnsi="Times New Roman"/>
          <w:sz w:val="17"/>
          <w:szCs w:val="17"/>
          <w:color w:val="auto"/>
        </w:rPr>
      </w:pPr>
    </w:p>
    <w:p>
      <w:pPr>
        <w:ind w:right="340" w:firstLine="4"/>
        <w:spacing w:after="0" w:line="281" w:lineRule="auto"/>
        <w:tabs>
          <w:tab w:leader="none" w:pos="504"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“Disinterested Director</w:t>
      </w:r>
      <w:r>
        <w:rPr>
          <w:rFonts w:ascii="Times New Roman" w:cs="Times New Roman" w:eastAsia="Times New Roman" w:hAnsi="Times New Roman"/>
          <w:sz w:val="17"/>
          <w:szCs w:val="17"/>
          <w:color w:val="auto"/>
        </w:rPr>
        <w:t>” means a director of the Company who is not and was not a party to the Claim in respect of which indemnification is sought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Indemnitee.</w:t>
      </w:r>
    </w:p>
    <w:p>
      <w:pPr>
        <w:spacing w:after="0" w:line="115" w:lineRule="exact"/>
        <w:rPr>
          <w:rFonts w:ascii="Times New Roman" w:cs="Times New Roman" w:eastAsia="Times New Roman" w:hAnsi="Times New Roman"/>
          <w:sz w:val="17"/>
          <w:szCs w:val="17"/>
          <w:color w:val="auto"/>
        </w:rPr>
      </w:pPr>
    </w:p>
    <w:p>
      <w:pPr>
        <w:ind w:left="520" w:hanging="516"/>
        <w:spacing w:after="0"/>
        <w:tabs>
          <w:tab w:leader="none" w:pos="520"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Enterprise</w:t>
      </w:r>
      <w:r>
        <w:rPr>
          <w:rFonts w:ascii="Times New Roman" w:cs="Times New Roman" w:eastAsia="Times New Roman" w:hAnsi="Times New Roman"/>
          <w:sz w:val="17"/>
          <w:szCs w:val="17"/>
          <w:color w:val="auto"/>
        </w:rPr>
        <w:t>” has the meaning set forth in Section 1(m) below.</w:t>
      </w:r>
    </w:p>
    <w:p>
      <w:pPr>
        <w:spacing w:after="0" w:line="175" w:lineRule="exact"/>
        <w:rPr>
          <w:rFonts w:ascii="Times New Roman" w:cs="Times New Roman" w:eastAsia="Times New Roman" w:hAnsi="Times New Roman"/>
          <w:sz w:val="17"/>
          <w:szCs w:val="17"/>
          <w:color w:val="auto"/>
        </w:rPr>
      </w:pPr>
    </w:p>
    <w:p>
      <w:pPr>
        <w:ind w:left="520" w:hanging="516"/>
        <w:spacing w:after="0"/>
        <w:tabs>
          <w:tab w:leader="none" w:pos="520"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ERISA</w:t>
      </w:r>
      <w:r>
        <w:rPr>
          <w:rFonts w:ascii="Times New Roman" w:cs="Times New Roman" w:eastAsia="Times New Roman" w:hAnsi="Times New Roman"/>
          <w:sz w:val="17"/>
          <w:szCs w:val="17"/>
          <w:color w:val="auto"/>
        </w:rPr>
        <w:t>” means the Employee Retirement Income Security Act of 1974, as amended.</w:t>
      </w:r>
    </w:p>
    <w:p>
      <w:pPr>
        <w:spacing w:after="0" w:line="175" w:lineRule="exact"/>
        <w:rPr>
          <w:rFonts w:ascii="Times New Roman" w:cs="Times New Roman" w:eastAsia="Times New Roman" w:hAnsi="Times New Roman"/>
          <w:sz w:val="17"/>
          <w:szCs w:val="17"/>
          <w:color w:val="auto"/>
        </w:rPr>
      </w:pPr>
    </w:p>
    <w:p>
      <w:pPr>
        <w:ind w:right="20" w:firstLine="4"/>
        <w:spacing w:after="0" w:line="257" w:lineRule="auto"/>
        <w:tabs>
          <w:tab w:leader="none" w:pos="504"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Expenses</w:t>
      </w:r>
      <w:r>
        <w:rPr>
          <w:rFonts w:ascii="Times New Roman" w:cs="Times New Roman" w:eastAsia="Times New Roman" w:hAnsi="Times New Roman"/>
          <w:sz w:val="17"/>
          <w:szCs w:val="17"/>
          <w:color w:val="auto"/>
        </w:rPr>
        <w:t>” means any and all expenses, including attorneys' and experts' fees, court costs, transcript costs, travel expenses, duplicating, printing and binding costs, telephone charges, and all other costs and expenses incurred in connection with investigating, defending, being a witness in or participating in (including on appeal), or preparing to defend, be a witness or participate in, any Claim. Expenses also shall include (i) Expenses incurred in connection with any appeal resulting from any Claim, including without limitation the premium, security for, and other costs relating to any cost bond, supersedeas bond, or other appeal bond or its equivalent, and (ii) for purposes of Section 5 only, Expenses incurred by Indemnitee in connection with the interpretation, enforcement or defense of Indemnitee's rights under this Agreement, by litigation or otherwise. Expenses, however, shall not include amounts paid in settlement by Indemnitee or the amount of judgments or fines against Indemnitee.</w:t>
      </w:r>
    </w:p>
    <w:p>
      <w:pPr>
        <w:spacing w:after="0" w:line="136" w:lineRule="exact"/>
        <w:rPr>
          <w:rFonts w:ascii="Times New Roman" w:cs="Times New Roman" w:eastAsia="Times New Roman" w:hAnsi="Times New Roman"/>
          <w:sz w:val="17"/>
          <w:szCs w:val="17"/>
          <w:color w:val="auto"/>
        </w:rPr>
      </w:pPr>
    </w:p>
    <w:p>
      <w:pPr>
        <w:ind w:left="520" w:hanging="516"/>
        <w:spacing w:after="0"/>
        <w:tabs>
          <w:tab w:leader="none" w:pos="520"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Expense Advance</w:t>
      </w:r>
      <w:r>
        <w:rPr>
          <w:rFonts w:ascii="Times New Roman" w:cs="Times New Roman" w:eastAsia="Times New Roman" w:hAnsi="Times New Roman"/>
          <w:sz w:val="17"/>
          <w:szCs w:val="17"/>
          <w:color w:val="auto"/>
        </w:rPr>
        <w:t>” means any payment of Expenses advanced to Indemnitee by the Company pursuant to Sections 4 or 5 hereof.</w:t>
      </w:r>
    </w:p>
    <w:p>
      <w:pPr>
        <w:spacing w:after="0" w:line="175" w:lineRule="exact"/>
        <w:rPr>
          <w:rFonts w:ascii="Times New Roman" w:cs="Times New Roman" w:eastAsia="Times New Roman" w:hAnsi="Times New Roman"/>
          <w:sz w:val="17"/>
          <w:szCs w:val="17"/>
          <w:color w:val="auto"/>
        </w:rPr>
      </w:pPr>
    </w:p>
    <w:p>
      <w:pPr>
        <w:ind w:firstLine="4"/>
        <w:spacing w:after="0" w:line="259" w:lineRule="auto"/>
        <w:tabs>
          <w:tab w:leader="none" w:pos="509"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Indemnifiable Event</w:t>
      </w:r>
      <w:r>
        <w:rPr>
          <w:rFonts w:ascii="Times New Roman" w:cs="Times New Roman" w:eastAsia="Times New Roman" w:hAnsi="Times New Roman"/>
          <w:sz w:val="17"/>
          <w:szCs w:val="17"/>
          <w:color w:val="auto"/>
        </w:rPr>
        <w:t>” means any event or occurrence, whether occurring on or after the date of this Agreement, related to the fact that Indemnitee is or was a director, officer, employee or agent of the Company or any subsidiary of the Company, or is or was serving at the request of the Company as a director, officer, employee, member, manager, trustee or agent of any other corporation, limited liability company, partnership, joint venture, trust or other entity or enterprise (collectively with the Company, “</w:t>
      </w:r>
      <w:r>
        <w:rPr>
          <w:rFonts w:ascii="Times New Roman" w:cs="Times New Roman" w:eastAsia="Times New Roman" w:hAnsi="Times New Roman"/>
          <w:sz w:val="17"/>
          <w:szCs w:val="17"/>
          <w:b w:val="1"/>
          <w:bCs w:val="1"/>
          <w:color w:val="auto"/>
        </w:rPr>
        <w:t>Enterprise</w:t>
      </w:r>
      <w:r>
        <w:rPr>
          <w:rFonts w:ascii="Times New Roman" w:cs="Times New Roman" w:eastAsia="Times New Roman" w:hAnsi="Times New Roman"/>
          <w:sz w:val="17"/>
          <w:szCs w:val="17"/>
          <w:color w:val="auto"/>
        </w:rPr>
        <w:t>”) or by reason of an action or inaction by Indemnitee in any such capacity (whether or not serving in such capacity at the time any Loss is incurred for which indemnification can be provided under this Agreement).</w:t>
      </w:r>
    </w:p>
    <w:p>
      <w:pPr>
        <w:sectPr>
          <w:pgSz w:w="11900" w:h="16838" w:orient="portrait"/>
          <w:cols w:equalWidth="0" w:num="1">
            <w:col w:w="11220"/>
          </w:cols>
          <w:pgMar w:left="300" w:top="1318" w:right="379" w:bottom="1440" w:gutter="0" w:footer="0" w:header="0"/>
        </w:sectPr>
      </w:pPr>
    </w:p>
    <w:bookmarkStart w:id="169" w:name="page170"/>
    <w:bookmarkEnd w:id="169"/>
    <w:p>
      <w:pPr>
        <w:ind w:left="496" w:hanging="496"/>
        <w:spacing w:after="0"/>
        <w:tabs>
          <w:tab w:leader="none" w:pos="496"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Indemnitee</w:t>
      </w:r>
      <w:r>
        <w:rPr>
          <w:rFonts w:ascii="Times New Roman" w:cs="Times New Roman" w:eastAsia="Times New Roman" w:hAnsi="Times New Roman"/>
          <w:sz w:val="17"/>
          <w:szCs w:val="17"/>
          <w:color w:val="auto"/>
        </w:rPr>
        <w:t>” has the meaning set forth in the preamble.</w:t>
      </w:r>
    </w:p>
    <w:p>
      <w:pPr>
        <w:spacing w:after="0" w:line="175" w:lineRule="exact"/>
        <w:rPr>
          <w:rFonts w:ascii="Times New Roman" w:cs="Times New Roman" w:eastAsia="Times New Roman" w:hAnsi="Times New Roman"/>
          <w:sz w:val="17"/>
          <w:szCs w:val="17"/>
          <w:color w:val="auto"/>
        </w:rPr>
      </w:pPr>
    </w:p>
    <w:p>
      <w:pPr>
        <w:ind w:left="-4" w:right="140" w:firstLine="4"/>
        <w:spacing w:after="0" w:line="259" w:lineRule="auto"/>
        <w:tabs>
          <w:tab w:leader="none" w:pos="501"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Independent Counsel</w:t>
      </w:r>
      <w:r>
        <w:rPr>
          <w:rFonts w:ascii="Times New Roman" w:cs="Times New Roman" w:eastAsia="Times New Roman" w:hAnsi="Times New Roman"/>
          <w:sz w:val="17"/>
          <w:szCs w:val="17"/>
          <w:color w:val="auto"/>
        </w:rPr>
        <w:t>” means a law firm, or a member of a law firm, that is experienced in matters of company law and neither presently performs, nor in the past three (3) years has performed, services for either: (i) the Company or Indemnitee (other than in connection with matters concerning Indemnitee under this Agreement or of other indemnitees under similar agreements) or (ii) any other party to the Claim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33" w:lineRule="exact"/>
        <w:rPr>
          <w:rFonts w:ascii="Times New Roman" w:cs="Times New Roman" w:eastAsia="Times New Roman" w:hAnsi="Times New Roman"/>
          <w:sz w:val="17"/>
          <w:szCs w:val="17"/>
          <w:color w:val="auto"/>
        </w:rPr>
      </w:pPr>
    </w:p>
    <w:p>
      <w:pPr>
        <w:ind w:left="-4" w:firstLine="4"/>
        <w:spacing w:after="0" w:line="263" w:lineRule="auto"/>
        <w:tabs>
          <w:tab w:leader="none" w:pos="501"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Losses</w:t>
      </w:r>
      <w:r>
        <w:rPr>
          <w:rFonts w:ascii="Times New Roman" w:cs="Times New Roman" w:eastAsia="Times New Roman" w:hAnsi="Times New Roman"/>
          <w:sz w:val="17"/>
          <w:szCs w:val="17"/>
          <w:color w:val="auto"/>
        </w:rPr>
        <w:t>” means any and all Expenses, damages, losses, liabilities, judgments, fines, penalties (whether civil, criminal or other), ERISA excise taxes, amounts paid or payable in settlement, including any interest, assessments, together with any federal, state, local or foreign taxes imposed as a result of the actual or deemed receipt of any payments under this Agreement and all other charges paid or payable in connection with investigating, defending, being a witness in or participating in (including on appeal), or preparing to defend, be a witness or participate in, any Claim.</w:t>
      </w:r>
    </w:p>
    <w:p>
      <w:pPr>
        <w:spacing w:after="0" w:line="129" w:lineRule="exact"/>
        <w:rPr>
          <w:rFonts w:ascii="Times New Roman" w:cs="Times New Roman" w:eastAsia="Times New Roman" w:hAnsi="Times New Roman"/>
          <w:sz w:val="17"/>
          <w:szCs w:val="17"/>
          <w:color w:val="auto"/>
        </w:rPr>
      </w:pPr>
    </w:p>
    <w:p>
      <w:pPr>
        <w:ind w:left="496" w:hanging="496"/>
        <w:spacing w:after="0"/>
        <w:tabs>
          <w:tab w:leader="none" w:pos="496"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Memorandum and Articles of Association</w:t>
      </w:r>
      <w:r>
        <w:rPr>
          <w:rFonts w:ascii="Times New Roman" w:cs="Times New Roman" w:eastAsia="Times New Roman" w:hAnsi="Times New Roman"/>
          <w:sz w:val="17"/>
          <w:szCs w:val="17"/>
          <w:color w:val="auto"/>
        </w:rPr>
        <w:t>” has the meaning set forth in the preamble.</w:t>
      </w:r>
    </w:p>
    <w:p>
      <w:pPr>
        <w:spacing w:after="0" w:line="175" w:lineRule="exact"/>
        <w:rPr>
          <w:rFonts w:ascii="Times New Roman" w:cs="Times New Roman" w:eastAsia="Times New Roman" w:hAnsi="Times New Roman"/>
          <w:sz w:val="17"/>
          <w:szCs w:val="17"/>
          <w:color w:val="auto"/>
        </w:rPr>
      </w:pPr>
    </w:p>
    <w:p>
      <w:pPr>
        <w:ind w:left="516" w:hanging="516"/>
        <w:spacing w:after="0"/>
        <w:tabs>
          <w:tab w:leader="none" w:pos="516"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Notification Date</w:t>
      </w:r>
      <w:r>
        <w:rPr>
          <w:rFonts w:ascii="Times New Roman" w:cs="Times New Roman" w:eastAsia="Times New Roman" w:hAnsi="Times New Roman"/>
          <w:sz w:val="17"/>
          <w:szCs w:val="17"/>
          <w:color w:val="auto"/>
        </w:rPr>
        <w:t>” has the meaning set forth in Section 9(c) below.</w:t>
      </w:r>
    </w:p>
    <w:p>
      <w:pPr>
        <w:spacing w:after="0" w:line="175" w:lineRule="exact"/>
        <w:rPr>
          <w:rFonts w:ascii="Times New Roman" w:cs="Times New Roman" w:eastAsia="Times New Roman" w:hAnsi="Times New Roman"/>
          <w:sz w:val="17"/>
          <w:szCs w:val="17"/>
          <w:color w:val="auto"/>
        </w:rPr>
      </w:pPr>
    </w:p>
    <w:p>
      <w:pPr>
        <w:ind w:left="-4" w:right="20" w:firstLine="4"/>
        <w:spacing w:after="0" w:line="263" w:lineRule="auto"/>
        <w:tabs>
          <w:tab w:leader="none" w:pos="503"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any individual, company, exempted company, partnership, exempted limited partnership, corporation, limited liability company, association, joint stock company, trust, joint venture, unincorporated organization, or other form of business organization, whether or not regarded as a legal entity under applicable Law, or any governmental authority or any department, agency or political subdivision thereof and includes the meaning set forth in Sections 13(d) and 14(d) of the Exchange Act.</w:t>
      </w:r>
    </w:p>
    <w:p>
      <w:pPr>
        <w:spacing w:after="0" w:line="129" w:lineRule="exact"/>
        <w:rPr>
          <w:rFonts w:ascii="Times New Roman" w:cs="Times New Roman" w:eastAsia="Times New Roman" w:hAnsi="Times New Roman"/>
          <w:sz w:val="17"/>
          <w:szCs w:val="17"/>
          <w:color w:val="auto"/>
        </w:rPr>
      </w:pPr>
    </w:p>
    <w:p>
      <w:pPr>
        <w:ind w:left="-4" w:right="60" w:firstLine="4"/>
        <w:spacing w:after="0" w:line="281" w:lineRule="auto"/>
        <w:tabs>
          <w:tab w:leader="none" w:pos="505"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Shareholder’s Agreement</w:t>
      </w:r>
      <w:r>
        <w:rPr>
          <w:rFonts w:ascii="Times New Roman" w:cs="Times New Roman" w:eastAsia="Times New Roman" w:hAnsi="Times New Roman"/>
          <w:sz w:val="17"/>
          <w:szCs w:val="17"/>
          <w:color w:val="auto"/>
        </w:rPr>
        <w:t>” means the Shareholder’s Agreement, dated November 1, 2021, by and among the Company, Mubadala Technology Investment Company and MTI International Investment Company LLC, as amended or restated from time to time.</w:t>
      </w:r>
    </w:p>
    <w:p>
      <w:pPr>
        <w:spacing w:after="0" w:line="115" w:lineRule="exact"/>
        <w:rPr>
          <w:rFonts w:ascii="Times New Roman" w:cs="Times New Roman" w:eastAsia="Times New Roman" w:hAnsi="Times New Roman"/>
          <w:sz w:val="17"/>
          <w:szCs w:val="17"/>
          <w:color w:val="auto"/>
        </w:rPr>
      </w:pPr>
    </w:p>
    <w:p>
      <w:pPr>
        <w:ind w:left="496" w:hanging="496"/>
        <w:spacing w:after="0"/>
        <w:tabs>
          <w:tab w:leader="none" w:pos="496"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Standard of Conduct Determination</w:t>
      </w:r>
      <w:r>
        <w:rPr>
          <w:rFonts w:ascii="Times New Roman" w:cs="Times New Roman" w:eastAsia="Times New Roman" w:hAnsi="Times New Roman"/>
          <w:sz w:val="17"/>
          <w:szCs w:val="17"/>
          <w:color w:val="auto"/>
        </w:rPr>
        <w:t>” has the meaning set forth in Section 9(b) below.</w:t>
      </w:r>
    </w:p>
    <w:p>
      <w:pPr>
        <w:spacing w:after="0" w:line="186" w:lineRule="exact"/>
        <w:rPr>
          <w:rFonts w:ascii="Times New Roman" w:cs="Times New Roman" w:eastAsia="Times New Roman" w:hAnsi="Times New Roman"/>
          <w:sz w:val="17"/>
          <w:szCs w:val="17"/>
          <w:color w:val="auto"/>
        </w:rPr>
      </w:pPr>
    </w:p>
    <w:p>
      <w:pPr>
        <w:ind w:left="-4" w:right="60" w:firstLine="4"/>
        <w:spacing w:after="0" w:line="281" w:lineRule="auto"/>
        <w:tabs>
          <w:tab w:leader="none" w:pos="501"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Subsidiaries</w:t>
      </w:r>
      <w:r>
        <w:rPr>
          <w:rFonts w:ascii="Times New Roman" w:cs="Times New Roman" w:eastAsia="Times New Roman" w:hAnsi="Times New Roman"/>
          <w:sz w:val="17"/>
          <w:szCs w:val="17"/>
          <w:color w:val="auto"/>
        </w:rPr>
        <w:t>” shall mean a Person of which 50% or more of the Voting Securities or 50% or more of the equity interests is owned, directly or indirectly, by the Company.</w:t>
      </w:r>
    </w:p>
    <w:p>
      <w:pPr>
        <w:spacing w:after="0" w:line="115" w:lineRule="exact"/>
        <w:rPr>
          <w:rFonts w:ascii="Times New Roman" w:cs="Times New Roman" w:eastAsia="Times New Roman" w:hAnsi="Times New Roman"/>
          <w:sz w:val="17"/>
          <w:szCs w:val="17"/>
          <w:color w:val="auto"/>
        </w:rPr>
      </w:pPr>
    </w:p>
    <w:p>
      <w:pPr>
        <w:ind w:left="496" w:hanging="496"/>
        <w:spacing w:after="0"/>
        <w:tabs>
          <w:tab w:leader="none" w:pos="496"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Voting Securities</w:t>
      </w:r>
      <w:r>
        <w:rPr>
          <w:rFonts w:ascii="Times New Roman" w:cs="Times New Roman" w:eastAsia="Times New Roman" w:hAnsi="Times New Roman"/>
          <w:sz w:val="17"/>
          <w:szCs w:val="17"/>
          <w:color w:val="auto"/>
        </w:rPr>
        <w:t>” means, with respect to a Person, voting securities of such Person entitled to vote generally in the election of directors.</w:t>
      </w:r>
    </w:p>
    <w:p>
      <w:pPr>
        <w:spacing w:after="0" w:line="180" w:lineRule="exact"/>
        <w:rPr>
          <w:sz w:val="20"/>
          <w:szCs w:val="20"/>
          <w:color w:val="auto"/>
        </w:rPr>
      </w:pPr>
    </w:p>
    <w:p>
      <w:pPr>
        <w:ind w:left="-4" w:right="460" w:firstLine="4"/>
        <w:spacing w:after="0" w:line="276" w:lineRule="auto"/>
        <w:tabs>
          <w:tab w:leader="none" w:pos="504"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Services to the Company</w:t>
      </w:r>
      <w:r>
        <w:rPr>
          <w:rFonts w:ascii="Times New Roman" w:cs="Times New Roman" w:eastAsia="Times New Roman" w:hAnsi="Times New Roman"/>
          <w:sz w:val="17"/>
          <w:szCs w:val="17"/>
          <w:color w:val="auto"/>
        </w:rPr>
        <w:t>. Indemnitee agrees to continue to serve as a director, officer or in a certain managerial position of the Company for so long as Indemnitee is duly elected or</w:t>
      </w:r>
    </w:p>
    <w:p>
      <w:pPr>
        <w:sectPr>
          <w:pgSz w:w="11900" w:h="16838" w:orient="portrait"/>
          <w:cols w:equalWidth="0" w:num="1">
            <w:col w:w="11236"/>
          </w:cols>
          <w:pgMar w:left="304" w:top="1314" w:right="359" w:bottom="1440" w:gutter="0" w:footer="0" w:header="0"/>
        </w:sectPr>
      </w:pPr>
    </w:p>
    <w:bookmarkStart w:id="170" w:name="page171"/>
    <w:bookmarkEnd w:id="170"/>
    <w:p>
      <w:pPr>
        <w:spacing w:after="0" w:line="258" w:lineRule="auto"/>
        <w:rPr>
          <w:sz w:val="20"/>
          <w:szCs w:val="20"/>
          <w:color w:val="auto"/>
        </w:rPr>
      </w:pPr>
      <w:r>
        <w:rPr>
          <w:rFonts w:ascii="Times New Roman" w:cs="Times New Roman" w:eastAsia="Times New Roman" w:hAnsi="Times New Roman"/>
          <w:sz w:val="17"/>
          <w:szCs w:val="17"/>
          <w:color w:val="auto"/>
        </w:rPr>
        <w:t>appointed or until Indemnitee tenders his/her resignation or is otherwise no longer serving in such capacity. This Agreement shall not be deemed an employment agreement between the Company (or any of its subsidiaries or Enterprise) and Indemnitee. Indemnitee may be discharged at any time for any reason, with or without cause, except as may be otherwise provided in any written agreement between Indemnitee and the Company (or any of its subsidiaries or Enterprise), other applicable formal severance policies duly adopted by the Board or, with respect to service as a director [or officer/or employees in certain managerial positions] of the Company, by the Company's Memorandum and Articles, or Cayman law.</w:t>
      </w:r>
    </w:p>
    <w:p>
      <w:pPr>
        <w:spacing w:after="0" w:line="138" w:lineRule="exact"/>
        <w:rPr>
          <w:sz w:val="20"/>
          <w:szCs w:val="20"/>
          <w:color w:val="auto"/>
        </w:rPr>
      </w:pPr>
    </w:p>
    <w:p>
      <w:pPr>
        <w:ind w:right="40" w:firstLine="4"/>
        <w:spacing w:after="0" w:line="258" w:lineRule="auto"/>
        <w:tabs>
          <w:tab w:leader="none" w:pos="508"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Subject to Section 9 and Section 10 of this Agreement, the Company shall indemnify and hold harmless Indemnitee, to the fullest extent permitted by applicable law, against any and all Losses if Indemnitee was or is or becomes a party to or participant in, or is threatened to be made a party to or participant in, any Claim by reason of or arising in part out of an Indemnifiable Event, including, without limitation, Claims brought by or in the right of the Company, Claims brought by third parties, and Claims in which Indemnitee is solely a witness, provided that the Company shall have no obligation to indemnify and hold harmless Indemnitee for any Losses arising by reason of the Indemnitee’s actual fraud, dishonesty, wilful neglect or wilful default.</w:t>
      </w:r>
    </w:p>
    <w:p>
      <w:pPr>
        <w:spacing w:after="0" w:line="137" w:lineRule="exact"/>
        <w:rPr>
          <w:rFonts w:ascii="Times New Roman" w:cs="Times New Roman" w:eastAsia="Times New Roman" w:hAnsi="Times New Roman"/>
          <w:sz w:val="17"/>
          <w:szCs w:val="17"/>
          <w:color w:val="auto"/>
        </w:rPr>
      </w:pPr>
    </w:p>
    <w:p>
      <w:pPr>
        <w:ind w:right="60" w:firstLine="4"/>
        <w:spacing w:after="0" w:line="252" w:lineRule="auto"/>
        <w:tabs>
          <w:tab w:leader="none" w:pos="508"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Advancement of Expenses</w:t>
      </w:r>
      <w:r>
        <w:rPr>
          <w:rFonts w:ascii="Times New Roman" w:cs="Times New Roman" w:eastAsia="Times New Roman" w:hAnsi="Times New Roman"/>
          <w:sz w:val="17"/>
          <w:szCs w:val="17"/>
          <w:color w:val="auto"/>
        </w:rPr>
        <w:t>. Indemnitee shall have the right to advancement by the Company, prior to the final disposition of any Claim by final adjudication to which there are no further rights of appeal, of any and all Expenses actually and reasonably paid or incurred by Indemnitee in connection with any Claim arising out of an Indemnifiable Event. Indemnitee's right to such advancement is not subject to the satisfaction of any standard of conduct. Without limiting the generality or effect of the foregoing, as soon as practicable, but in any event not later than thirty (30) days after any request by Indemnitee, the Company shall, in accordance with such request, (a) pay such Expenses on behalf of Indemnitee, (b) advance to Indemnitee funds in an amount sufficient to pay such Expenses, or (c) reimburse Indemnitee for such Expenses. In connection with any request for Expense Advances, Indemnitee shall provide any vouchers, invoices or similar evidence documenting in reasonable detail the Expenses incurred or to be incurred by Indemnitee but shall not be required to provide any documentation or information to the extent that the provision thereof would undermine or otherwise jeopardize attorney-client privilege. In connection with any request for Expense Advances, Indemnitee shall execute and deliver to the Company an undertaking (which shall be accepted without reference to Indemnitee’s ability to repay the Expense Advances), to repay any amounts paid, advanced, or reimbursed by the Company for such Expenses to the extent that it is ultimately determined, following the final disposition of such Claim, that Indemnitee is not entitled to indemnification hereunder. Indemnitee’s obligation to reimburse the Company for Expense Advances shall be unsecured.</w:t>
      </w:r>
    </w:p>
    <w:p>
      <w:pPr>
        <w:spacing w:after="0" w:line="146" w:lineRule="exact"/>
        <w:rPr>
          <w:rFonts w:ascii="Times New Roman" w:cs="Times New Roman" w:eastAsia="Times New Roman" w:hAnsi="Times New Roman"/>
          <w:sz w:val="17"/>
          <w:szCs w:val="17"/>
          <w:color w:val="auto"/>
        </w:rPr>
      </w:pPr>
    </w:p>
    <w:p>
      <w:pPr>
        <w:ind w:right="200" w:firstLine="4"/>
        <w:spacing w:after="0" w:line="292" w:lineRule="auto"/>
        <w:tabs>
          <w:tab w:leader="none" w:pos="508"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for Expenses in Enforcing Rights</w:t>
      </w:r>
      <w:r>
        <w:rPr>
          <w:rFonts w:ascii="Times New Roman" w:cs="Times New Roman" w:eastAsia="Times New Roman" w:hAnsi="Times New Roman"/>
          <w:sz w:val="16"/>
          <w:szCs w:val="16"/>
          <w:color w:val="auto"/>
        </w:rPr>
        <w:t>. To the fullest extent allowable under applicable law and this Agreement, the Company shall also indemnify against, and, if requested by Indemnitee, shall advance to Indemnitee subject to and in accordance with Section 4, any Expenses actually and reasonably paid or incurred by Indemnitee in connection with any action or proceeding by Indemnitee for (a) indemnification or reimbursement or advance payment of</w:t>
      </w:r>
    </w:p>
    <w:p>
      <w:pPr>
        <w:sectPr>
          <w:pgSz w:w="11900" w:h="16838" w:orient="portrait"/>
          <w:cols w:equalWidth="0" w:num="1">
            <w:col w:w="11280"/>
          </w:cols>
          <w:pgMar w:left="300" w:top="1403" w:right="319" w:bottom="1440" w:gutter="0" w:footer="0" w:header="0"/>
        </w:sectPr>
      </w:pPr>
    </w:p>
    <w:bookmarkStart w:id="171" w:name="page172"/>
    <w:bookmarkEnd w:id="171"/>
    <w:p>
      <w:pPr>
        <w:spacing w:after="0" w:line="258" w:lineRule="auto"/>
        <w:rPr>
          <w:sz w:val="20"/>
          <w:szCs w:val="20"/>
          <w:color w:val="auto"/>
        </w:rPr>
      </w:pPr>
      <w:r>
        <w:rPr>
          <w:rFonts w:ascii="Times New Roman" w:cs="Times New Roman" w:eastAsia="Times New Roman" w:hAnsi="Times New Roman"/>
          <w:sz w:val="17"/>
          <w:szCs w:val="17"/>
          <w:color w:val="auto"/>
        </w:rPr>
        <w:t>Expenses by the Company under any provision of this Agreement, or under any other agreement or provision of the Memorandum and Articles of Association now or hereafter in effect relating to Claims relating to Indemnifiable Events, and/or (b) recovery under any directors' and officers' liability insurance policies maintained by the Company. However, in the event that Indemnitee is ultimately determined not to be entitled to such indemnification or insurance recovery, as the case may be, then all amounts advanced under this Section 5 shall be repaid. Indemnitee shall also be required to reimburse the Company in the event that a final judicial determination is made that such action brought by Indemnitee was frivolous or not made in good faith.</w:t>
      </w:r>
    </w:p>
    <w:p>
      <w:pPr>
        <w:spacing w:after="0" w:line="138" w:lineRule="exact"/>
        <w:rPr>
          <w:sz w:val="20"/>
          <w:szCs w:val="20"/>
          <w:color w:val="auto"/>
        </w:rPr>
      </w:pPr>
    </w:p>
    <w:p>
      <w:pPr>
        <w:jc w:val="both"/>
        <w:ind w:firstLine="4"/>
        <w:spacing w:after="0" w:line="262" w:lineRule="auto"/>
        <w:tabs>
          <w:tab w:leader="none" w:pos="508"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Partial Indemnity</w:t>
      </w:r>
      <w:r>
        <w:rPr>
          <w:rFonts w:ascii="Times New Roman" w:cs="Times New Roman" w:eastAsia="Times New Roman" w:hAnsi="Times New Roman"/>
          <w:sz w:val="17"/>
          <w:szCs w:val="17"/>
          <w:color w:val="auto"/>
        </w:rPr>
        <w:t>. If Indemnitee is entitled under any provision of this Agreement to indemnification by the Company for a portion of any Losses in respect of a Claim related to an Indemnifiable Event but not for the total amount thereof, the Company shall nevertheless indemnify Indemnitee for the portion thereof to which Indemnitee is entitled.</w:t>
      </w:r>
    </w:p>
    <w:p>
      <w:pPr>
        <w:spacing w:after="0" w:line="144" w:lineRule="exact"/>
        <w:rPr>
          <w:rFonts w:ascii="Times New Roman" w:cs="Times New Roman" w:eastAsia="Times New Roman" w:hAnsi="Times New Roman"/>
          <w:sz w:val="17"/>
          <w:szCs w:val="17"/>
          <w:color w:val="auto"/>
        </w:rPr>
      </w:pPr>
    </w:p>
    <w:p>
      <w:pPr>
        <w:ind w:left="520" w:hanging="516"/>
        <w:spacing w:after="0"/>
        <w:tabs>
          <w:tab w:leader="none" w:pos="520"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Notification and Defense of Claims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right="40" w:firstLine="4"/>
        <w:spacing w:after="0" w:line="254" w:lineRule="auto"/>
        <w:tabs>
          <w:tab w:leader="none" w:pos="505"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Notification of Claims</w:t>
      </w:r>
      <w:r>
        <w:rPr>
          <w:rFonts w:ascii="Times New Roman" w:cs="Times New Roman" w:eastAsia="Times New Roman" w:hAnsi="Times New Roman"/>
          <w:sz w:val="17"/>
          <w:szCs w:val="17"/>
          <w:color w:val="auto"/>
        </w:rPr>
        <w:t>. Indemnitee shall notify the Company in writing as soon as practicable of any Claim which could relate to an Indemnifiable Event or for which Indemnitee could seek Expense Advances, including a brief description (based upon information then available to Indemnitee) of the nature of, and the facts underlying, such Claim. The failure of Indemnitee to timely notify the Company hereunder shall not relieve the Company from any liability hereunder except that the Company shall not be liable to indemnify Indemnitee under this Agreement with respect to any judicial award in a Claim related to an Indemnifiable Event if the Company was not given a reasonable and timely opportunity to participate at its expense in the defense of such action.</w:t>
      </w:r>
    </w:p>
    <w:p>
      <w:pPr>
        <w:spacing w:after="0" w:line="153" w:lineRule="exact"/>
        <w:rPr>
          <w:rFonts w:ascii="Times New Roman" w:cs="Times New Roman" w:eastAsia="Times New Roman" w:hAnsi="Times New Roman"/>
          <w:sz w:val="17"/>
          <w:szCs w:val="17"/>
          <w:color w:val="auto"/>
        </w:rPr>
      </w:pPr>
    </w:p>
    <w:p>
      <w:pPr>
        <w:jc w:val="both"/>
        <w:ind w:right="160" w:firstLine="4"/>
        <w:spacing w:after="0" w:line="257" w:lineRule="auto"/>
        <w:tabs>
          <w:tab w:leader="none" w:pos="504"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Insurers</w:t>
      </w:r>
      <w:r>
        <w:rPr>
          <w:rFonts w:ascii="Times New Roman" w:cs="Times New Roman" w:eastAsia="Times New Roman" w:hAnsi="Times New Roman"/>
          <w:sz w:val="17"/>
          <w:szCs w:val="17"/>
          <w:color w:val="auto"/>
        </w:rPr>
        <w:t>. If at the time of the receipt of such notice, the Company has directors' and officers' liability insurance in effect under which coverage for Claims related to Indemnifiable Events is potentially available, the Company shall give prompt written notice to the applicable insurers (with a copy to Indemnitee) in accordance with the procedures set forth in the applicable policies. The Company shall promptly upon receipt or delivery provide to Indemnitee a copy of any subsequent correspondence between the Company and such insurers regarding the Claim.</w:t>
      </w:r>
    </w:p>
    <w:p>
      <w:pPr>
        <w:spacing w:after="0" w:line="138" w:lineRule="exact"/>
        <w:rPr>
          <w:rFonts w:ascii="Times New Roman" w:cs="Times New Roman" w:eastAsia="Times New Roman" w:hAnsi="Times New Roman"/>
          <w:sz w:val="17"/>
          <w:szCs w:val="17"/>
          <w:color w:val="auto"/>
        </w:rPr>
      </w:pPr>
    </w:p>
    <w:p>
      <w:pPr>
        <w:ind w:right="60" w:firstLine="4"/>
        <w:spacing w:after="0" w:line="256" w:lineRule="auto"/>
        <w:tabs>
          <w:tab w:leader="none" w:pos="505"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Defense of Claims</w:t>
      </w:r>
      <w:r>
        <w:rPr>
          <w:rFonts w:ascii="Times New Roman" w:cs="Times New Roman" w:eastAsia="Times New Roman" w:hAnsi="Times New Roman"/>
          <w:sz w:val="17"/>
          <w:szCs w:val="17"/>
          <w:color w:val="auto"/>
        </w:rPr>
        <w:t xml:space="preserve">. To the extent the Company so wishes, the Company shall be entitled to participate in the defense of any Claim relating to an Indemnifiable Event at its own expense and, except as otherwise provided below, it may select counsel and assume the defense thereof. Where the Company decides to assume the defense, notice of such decisions should be provided to Indemnitee in writing. Following delivery of such notice to the Indemnitee, the Company shall not be liable to Indemnitee under this Agreement or otherwise for any Expenses subsequently directly incurred by Indemnitee in connection with Indemnitee's defense of such Claim other than reasonable costs of investigation or as otherwise provided below. Indemnitee shall have the right to employ its own legal counsel in such Claim, but all Expenses related to such counsel incurred after notice from the Company of its assumption of the defense shall be at Indemnitee's own expense;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(i) Indemnitee's employment of its own legal counsel has been authorized by the Company and such authorization has not been</w:t>
      </w:r>
    </w:p>
    <w:p>
      <w:pPr>
        <w:sectPr>
          <w:pgSz w:w="11900" w:h="16838" w:orient="portrait"/>
          <w:cols w:equalWidth="0" w:num="1">
            <w:col w:w="11280"/>
          </w:cols>
          <w:pgMar w:left="300" w:top="1402" w:right="319" w:bottom="1440" w:gutter="0" w:footer="0" w:header="0"/>
        </w:sectPr>
      </w:pPr>
    </w:p>
    <w:bookmarkStart w:id="172" w:name="page173"/>
    <w:bookmarkEnd w:id="172"/>
    <w:p>
      <w:pPr>
        <w:jc w:val="both"/>
        <w:ind w:right="140"/>
        <w:spacing w:after="0" w:line="258" w:lineRule="auto"/>
        <w:rPr>
          <w:sz w:val="20"/>
          <w:szCs w:val="20"/>
          <w:color w:val="auto"/>
        </w:rPr>
      </w:pPr>
      <w:r>
        <w:rPr>
          <w:rFonts w:ascii="Times New Roman" w:cs="Times New Roman" w:eastAsia="Times New Roman" w:hAnsi="Times New Roman"/>
          <w:sz w:val="17"/>
          <w:szCs w:val="17"/>
          <w:color w:val="auto"/>
        </w:rPr>
        <w:t>withdrawn, (ii) counsel for Indemnitee shall have provided the Company with a written legal opinion that there is, or there is reasonably likely to be, a conflict of interest between the Company and Indemnitee in the defense of such Claim, (iii) after a Change in Control, Indemnitee's employment of its own counsel has been approved by the Independent Counsel, or (iv) the Company shall not in fact have employed counsel to assume the defense of such Claim, then Indemnitee shall be entitled to retain its own separate counsel (but not more than one law firm plus, if applicable and deemed reasonable by the Company or, after a Change in Control, the Independent Counsel, local counsel in respect of any such Claim) and all Expenses related to such separate counsel shall be borne by the Company.</w:t>
      </w:r>
    </w:p>
    <w:p>
      <w:pPr>
        <w:spacing w:after="0" w:line="138" w:lineRule="exact"/>
        <w:rPr>
          <w:sz w:val="20"/>
          <w:szCs w:val="20"/>
          <w:color w:val="auto"/>
        </w:rPr>
      </w:pPr>
    </w:p>
    <w:p>
      <w:pPr>
        <w:ind w:right="200" w:firstLine="4"/>
        <w:spacing w:after="0" w:line="258" w:lineRule="auto"/>
        <w:tabs>
          <w:tab w:leader="none" w:pos="508"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Procedure upon Application for Indemnification</w:t>
      </w:r>
      <w:r>
        <w:rPr>
          <w:rFonts w:ascii="Times New Roman" w:cs="Times New Roman" w:eastAsia="Times New Roman" w:hAnsi="Times New Roman"/>
          <w:sz w:val="17"/>
          <w:szCs w:val="17"/>
          <w:color w:val="auto"/>
        </w:rPr>
        <w:t>. In order to obtain indemnification pursuant to this Agreement, Indemnitee shall submit to the Company a written request therefor pursuant to Section 20, including in such request such documentation and information as is reasonably available to Indemnitee and is reasonably necessary to determine whether and to what extent Indemnitee is entitled to indemnification following the final disposition of the Claim, provided that documentation and information need not be so provided to the extent that the provision thereof would undermine or otherwise jeopardize attorney-client privilege. Indemnification shall be made insofar as the Company determines Indemnitee is entitled to indemnification in accordance with 9 below.</w:t>
      </w:r>
    </w:p>
    <w:p>
      <w:pPr>
        <w:spacing w:after="0" w:line="137" w:lineRule="exact"/>
        <w:rPr>
          <w:rFonts w:ascii="Times New Roman" w:cs="Times New Roman" w:eastAsia="Times New Roman" w:hAnsi="Times New Roman"/>
          <w:sz w:val="17"/>
          <w:szCs w:val="17"/>
          <w:color w:val="auto"/>
        </w:rPr>
      </w:pPr>
    </w:p>
    <w:p>
      <w:pPr>
        <w:ind w:left="520" w:hanging="516"/>
        <w:spacing w:after="0"/>
        <w:tabs>
          <w:tab w:leader="none" w:pos="520"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Determination of Right to Indemnification</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520" w:hanging="516"/>
        <w:spacing w:after="0"/>
        <w:tabs>
          <w:tab w:leader="none" w:pos="520"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Indemnification; Indemnification as a Witness.</w:t>
      </w:r>
    </w:p>
    <w:p>
      <w:pPr>
        <w:spacing w:after="0" w:line="176" w:lineRule="exact"/>
        <w:rPr>
          <w:sz w:val="20"/>
          <w:szCs w:val="20"/>
          <w:color w:val="auto"/>
        </w:rPr>
      </w:pPr>
    </w:p>
    <w:p>
      <w:pPr>
        <w:ind w:right="60" w:firstLine="4"/>
        <w:spacing w:after="0" w:line="268" w:lineRule="auto"/>
        <w:tabs>
          <w:tab w:leader="none" w:pos="509"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Indemnitee shall have been successful on the merits or otherwise in defense of any Claim relating to an Indemnifiable Event or any portion thereof or in defense of any issue or matter therein, including without limitation dismissal without prejudice, Indemnitee shall be indemnified against all Losses relating to such Claim in accordance with Section 3 to the fullest extent allowable by law, and no Standard of Conduct Determination shall be required.</w:t>
      </w:r>
    </w:p>
    <w:p>
      <w:pPr>
        <w:spacing w:after="0" w:line="130" w:lineRule="exact"/>
        <w:rPr>
          <w:rFonts w:ascii="Times New Roman" w:cs="Times New Roman" w:eastAsia="Times New Roman" w:hAnsi="Times New Roman"/>
          <w:sz w:val="17"/>
          <w:szCs w:val="17"/>
          <w:color w:val="auto"/>
        </w:rPr>
      </w:pPr>
    </w:p>
    <w:p>
      <w:pPr>
        <w:ind w:firstLine="4"/>
        <w:spacing w:after="0" w:line="262" w:lineRule="auto"/>
        <w:tabs>
          <w:tab w:leader="none" w:pos="503"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Indemnitee's involvement in a Claim relating to an Indemnifiable Event is to prepare to serve and serve as a witness, and not as a party, the Indemnitee shall be indemnified against all Losses incurred in connection therewith to the fullest extent allowable by law, and no Standard of Conduct Determination shall be required.</w:t>
      </w:r>
    </w:p>
    <w:p>
      <w:pPr>
        <w:spacing w:after="0" w:line="134" w:lineRule="exact"/>
        <w:rPr>
          <w:sz w:val="20"/>
          <w:szCs w:val="20"/>
          <w:color w:val="auto"/>
        </w:rPr>
      </w:pPr>
    </w:p>
    <w:p>
      <w:pPr>
        <w:jc w:val="both"/>
        <w:ind w:right="140" w:firstLine="4"/>
        <w:spacing w:after="0" w:line="261" w:lineRule="auto"/>
        <w:tabs>
          <w:tab w:leader="none" w:pos="504"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Standard of Conduct</w:t>
      </w:r>
      <w:r>
        <w:rPr>
          <w:rFonts w:ascii="Times New Roman" w:cs="Times New Roman" w:eastAsia="Times New Roman" w:hAnsi="Times New Roman"/>
          <w:sz w:val="17"/>
          <w:szCs w:val="17"/>
          <w:color w:val="auto"/>
        </w:rPr>
        <w:t>. To the extent that the provisions of Section 9(a) are inapplicable to a Claim related to an Indemnifiable Event that shall have been finally disposed of, any determination of whether Indemnitee has satisfied any applicable standard of conduct under applicable law and this Agreement that is a legally required condition to indemnification of Indemnitee hereunder against Losses relating to such Claim and any determination that Expense Advances must be repaid to the Company (a "</w:t>
      </w:r>
      <w:r>
        <w:rPr>
          <w:rFonts w:ascii="Times New Roman" w:cs="Times New Roman" w:eastAsia="Times New Roman" w:hAnsi="Times New Roman"/>
          <w:sz w:val="17"/>
          <w:szCs w:val="17"/>
          <w:b w:val="1"/>
          <w:bCs w:val="1"/>
          <w:color w:val="auto"/>
        </w:rPr>
        <w:t>Standard of Conduct Determination</w:t>
      </w:r>
      <w:r>
        <w:rPr>
          <w:rFonts w:ascii="Times New Roman" w:cs="Times New Roman" w:eastAsia="Times New Roman" w:hAnsi="Times New Roman"/>
          <w:sz w:val="17"/>
          <w:szCs w:val="17"/>
          <w:color w:val="auto"/>
        </w:rPr>
        <w:t>") shall be made as follows:</w:t>
      </w:r>
    </w:p>
    <w:p>
      <w:pPr>
        <w:spacing w:after="0" w:line="136" w:lineRule="exact"/>
        <w:rPr>
          <w:sz w:val="20"/>
          <w:szCs w:val="20"/>
          <w:color w:val="auto"/>
        </w:rPr>
      </w:pPr>
    </w:p>
    <w:p>
      <w:pPr>
        <w:ind w:right="220" w:firstLine="4"/>
        <w:spacing w:after="0" w:line="276" w:lineRule="auto"/>
        <w:tabs>
          <w:tab w:leader="none" w:pos="509"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Change in Control has occurred, (A) by a majority vote of the Disinterested Directors, even if less than a quorum of the Board, (B) by a committee of Disinterested Directors designated by a majority vote of the Disinterested Directors, even though less than a quorum or</w:t>
      </w:r>
    </w:p>
    <w:p>
      <w:pPr>
        <w:sectPr>
          <w:pgSz w:w="11900" w:h="16838" w:orient="portrait"/>
          <w:cols w:equalWidth="0" w:num="1">
            <w:col w:w="11240"/>
          </w:cols>
          <w:pgMar w:left="300" w:top="1318" w:right="359" w:bottom="1440" w:gutter="0" w:footer="0" w:header="0"/>
        </w:sectPr>
      </w:pPr>
    </w:p>
    <w:bookmarkStart w:id="173" w:name="page174"/>
    <w:bookmarkEnd w:id="173"/>
    <w:p>
      <w:pPr>
        <w:ind w:right="800" w:firstLine="5"/>
        <w:spacing w:after="0" w:line="276" w:lineRule="auto"/>
        <w:tabs>
          <w:tab w:leader="none" w:pos="269"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are no such Disinterested Directors, by Independent Counsel in a written opinion addressed to the Board, a copy of which shall be delivered to Indemnitee; and</w:t>
      </w:r>
    </w:p>
    <w:p>
      <w:pPr>
        <w:spacing w:after="0" w:line="123" w:lineRule="exact"/>
        <w:rPr>
          <w:rFonts w:ascii="Times New Roman" w:cs="Times New Roman" w:eastAsia="Times New Roman" w:hAnsi="Times New Roman"/>
          <w:sz w:val="17"/>
          <w:szCs w:val="17"/>
          <w:color w:val="auto"/>
        </w:rPr>
      </w:pPr>
    </w:p>
    <w:p>
      <w:pPr>
        <w:ind w:right="200" w:firstLine="4"/>
        <w:spacing w:after="0" w:line="289" w:lineRule="auto"/>
        <w:tabs>
          <w:tab w:leader="none" w:pos="503"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Change in Control shall have occurred, (A) if the Indemnitee so requests in writing, by a majority vote of the Disinterested Directors, even if less than a quorum of the Board or (B) otherwise, by Independent Counsel in a written opinion addressed to the Board, a copy of which shall be delivered to Indemnitee.</w:t>
      </w:r>
    </w:p>
    <w:p>
      <w:pPr>
        <w:spacing w:after="0" w:line="113"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17"/>
          <w:szCs w:val="17"/>
          <w:color w:val="auto"/>
        </w:rPr>
        <w:t>The Company shall indemnify and hold harmless Indemnitee against and, if requested by Indemnitee, shall reimburse Indemnitee for, or advance to Indemnitee, within thirty (30) days of such request, any and all Expenses incurred by Indemnitee in cooperating with the person or persons making such Standard of Conduct Determination.</w:t>
      </w:r>
    </w:p>
    <w:p>
      <w:pPr>
        <w:spacing w:after="0" w:line="134" w:lineRule="exact"/>
        <w:rPr>
          <w:sz w:val="20"/>
          <w:szCs w:val="20"/>
          <w:color w:val="auto"/>
        </w:rPr>
      </w:pPr>
    </w:p>
    <w:p>
      <w:pPr>
        <w:ind w:firstLine="4"/>
        <w:spacing w:after="0" w:line="253" w:lineRule="auto"/>
        <w:tabs>
          <w:tab w:leader="none" w:pos="505"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Making the Standard of Conduct Determination</w:t>
      </w:r>
      <w:r>
        <w:rPr>
          <w:rFonts w:ascii="Times New Roman" w:cs="Times New Roman" w:eastAsia="Times New Roman" w:hAnsi="Times New Roman"/>
          <w:sz w:val="17"/>
          <w:szCs w:val="17"/>
          <w:color w:val="auto"/>
        </w:rPr>
        <w:t>. The Company shall use its reasonable best efforts to cause any Standard of Conduct Determination required under Section 9(b) to be made as promptly as practicable. If the person or persons designated to make the Standard of Conduct Determination under Section 9(b) shall not have made a determination within thirty (30) days after the later of (A) receipt by the Company of a written request from Indemnitee for indemnification pursuant to Section 8 (the date of such receipt being the “</w:t>
      </w:r>
      <w:r>
        <w:rPr>
          <w:rFonts w:ascii="Times New Roman" w:cs="Times New Roman" w:eastAsia="Times New Roman" w:hAnsi="Times New Roman"/>
          <w:sz w:val="17"/>
          <w:szCs w:val="17"/>
          <w:b w:val="1"/>
          <w:bCs w:val="1"/>
          <w:color w:val="auto"/>
        </w:rPr>
        <w:t>Notification Date</w:t>
      </w:r>
      <w:r>
        <w:rPr>
          <w:rFonts w:ascii="Times New Roman" w:cs="Times New Roman" w:eastAsia="Times New Roman" w:hAnsi="Times New Roman"/>
          <w:sz w:val="17"/>
          <w:szCs w:val="17"/>
          <w:color w:val="auto"/>
        </w:rPr>
        <w:t xml:space="preserve">”) and (B) the selection of an Independent Counsel, if such determination is to be made by Independent Counsel, then Indemnitee shall be deemed to have satisfied the applicable standard of conduct,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thirty (30)-day period may be extended for a reasonable time, not to exceed an additional thirty (30)-days, if the person or persons making such determination in good faith requires such additional time to obtain or evaluate information relating thereto. Notwithstanding anything in this Agreement to the contrary, no determination as to entitlement of Indemnitee to indemnification under this Agreement shall be required to be made prior to the final disposition of any Claim.</w:t>
      </w:r>
    </w:p>
    <w:p>
      <w:pPr>
        <w:spacing w:after="0" w:line="146" w:lineRule="exact"/>
        <w:rPr>
          <w:rFonts w:ascii="Times New Roman" w:cs="Times New Roman" w:eastAsia="Times New Roman" w:hAnsi="Times New Roman"/>
          <w:sz w:val="17"/>
          <w:szCs w:val="17"/>
          <w:color w:val="auto"/>
        </w:rPr>
      </w:pPr>
    </w:p>
    <w:p>
      <w:pPr>
        <w:ind w:left="500" w:hanging="496"/>
        <w:spacing w:after="0"/>
        <w:tabs>
          <w:tab w:leader="none" w:pos="500"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Indemnification</w:t>
      </w:r>
      <w:r>
        <w:rPr>
          <w:rFonts w:ascii="Times New Roman" w:cs="Times New Roman" w:eastAsia="Times New Roman" w:hAnsi="Times New Roman"/>
          <w:sz w:val="17"/>
          <w:szCs w:val="17"/>
          <w:color w:val="auto"/>
        </w:rPr>
        <w:t>. If, in regard to any Losses:</w:t>
      </w:r>
    </w:p>
    <w:p>
      <w:pPr>
        <w:spacing w:after="0" w:line="176" w:lineRule="exact"/>
        <w:rPr>
          <w:sz w:val="20"/>
          <w:szCs w:val="20"/>
          <w:color w:val="auto"/>
        </w:rPr>
      </w:pPr>
    </w:p>
    <w:p>
      <w:pPr>
        <w:ind w:left="520" w:hanging="516"/>
        <w:spacing w:after="0"/>
        <w:tabs>
          <w:tab w:leader="none" w:pos="52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Indemnitee shall be entitled to indemnification pursuant to Section 9(a);</w:t>
      </w:r>
    </w:p>
    <w:p>
      <w:pPr>
        <w:spacing w:after="0" w:line="186" w:lineRule="exact"/>
        <w:rPr>
          <w:rFonts w:ascii="Times New Roman" w:cs="Times New Roman" w:eastAsia="Times New Roman" w:hAnsi="Times New Roman"/>
          <w:sz w:val="17"/>
          <w:szCs w:val="17"/>
          <w:color w:val="auto"/>
        </w:rPr>
      </w:pPr>
    </w:p>
    <w:p>
      <w:pPr>
        <w:ind w:left="500" w:hanging="496"/>
        <w:spacing w:after="0"/>
        <w:tabs>
          <w:tab w:leader="none" w:pos="50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Standard Conduct Determination is legally required as a condition to indemnification of Indemnitee hereunder; or</w:t>
      </w:r>
    </w:p>
    <w:p>
      <w:pPr>
        <w:spacing w:after="0" w:line="175" w:lineRule="exact"/>
        <w:rPr>
          <w:rFonts w:ascii="Times New Roman" w:cs="Times New Roman" w:eastAsia="Times New Roman" w:hAnsi="Times New Roman"/>
          <w:sz w:val="17"/>
          <w:szCs w:val="17"/>
          <w:color w:val="auto"/>
        </w:rPr>
      </w:pPr>
    </w:p>
    <w:p>
      <w:pPr>
        <w:ind w:left="520" w:hanging="516"/>
        <w:spacing w:after="0"/>
        <w:tabs>
          <w:tab w:leader="none" w:pos="52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Indemnitee has been determined or deemed pursuant to Section 9(b) or Section 9(c) to have satisfied the Standard of Conduct Determination,</w:t>
      </w:r>
    </w:p>
    <w:p>
      <w:pPr>
        <w:spacing w:after="0" w:line="176"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then the Company shall pay to Indemnitee, within ten (10) days after the later of (A) the Notification Date or (B) the earliest date on which the applicable criterion specified in Section 9(d)(i), 9(d)(ii) or 9(d)(iii) is satisfied, an amount equal to such Losses.</w:t>
      </w:r>
    </w:p>
    <w:p>
      <w:pPr>
        <w:sectPr>
          <w:pgSz w:w="11900" w:h="16838" w:orient="portrait"/>
          <w:cols w:equalWidth="0" w:num="1">
            <w:col w:w="11280"/>
          </w:cols>
          <w:pgMar w:left="300" w:top="1318" w:right="319" w:bottom="1440" w:gutter="0" w:footer="0" w:header="0"/>
        </w:sectPr>
      </w:pPr>
    </w:p>
    <w:bookmarkStart w:id="174" w:name="page175"/>
    <w:bookmarkEnd w:id="174"/>
    <w:p>
      <w:pPr>
        <w:ind w:left="-4" w:firstLine="4"/>
        <w:spacing w:after="0" w:line="266" w:lineRule="auto"/>
        <w:tabs>
          <w:tab w:leader="none" w:pos="502"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Selection of Independent Counsel for Standard of Conduct Determination</w:t>
      </w:r>
      <w:r>
        <w:rPr>
          <w:rFonts w:ascii="Times New Roman" w:cs="Times New Roman" w:eastAsia="Times New Roman" w:hAnsi="Times New Roman"/>
          <w:sz w:val="16"/>
          <w:szCs w:val="16"/>
          <w:color w:val="auto"/>
        </w:rPr>
        <w:t>. If a Standard of Conduct Determination is to be made by Independent Counsel pursuant to Section 9(b)(i), the Independent Counsel shall be selected by the Board of Directors, and the Company shall give written notice to Indemnitee advising [him/her] of the identity of the Independent Counsel so selected. If a Standard of Conduct Determination is to be made by Independent Counsel pursuant to Section 9(b)(ii), the Independent Counsel shall be selected by Indemnitee, and Indemnitee shall give written notice to the Company advising it of the identity of the Independent Counsel so selected. In either case, Indemnitee or the Company, as applicable, may, within five (5) days after receiving written notice of selection from the other, deliver to the other a written objection to such selection; provided, however, that such objection may be asserted only on the ground that the Independent Counsel so selected does not satisfy the criteria set forth in the definition of “Independent Counsel” in Section 1(o), and the objection shall set forth with particularity the factual basis of such assertion. Absent a proper and timely objection, the person or firm so selected shall act as Independent Counsel. If such written objection is properly and timely made and substantiated, (i) the Independent Counsel so selected may not serve as Independent Counsel unless and until such objection is withdrawn or a court has determined that such objection is without merit; and (ii) the non-objecting party may, at its option, select an alternative Independent Counsel and give written notice to the other party advising such other party of the identity of the alternative Independent Counsel so selected, in which case the provisions of the two immediately preceding sentences, the introductory clause of this sentence and numbered clause (i) of this sentence shall apply to such subsequent selection and notice. If applicable, the provisions of clause (ii) of the immediately preceding sentence shall apply to successive alternative selections. If no Independent Counsel that is permitted under the foregoing provisions of this Section 9(e) to make the Standard of Conduct Determination shall have been selected within twenty</w:t>
      </w:r>
    </w:p>
    <w:p>
      <w:pPr>
        <w:spacing w:after="0" w:line="6" w:lineRule="exact"/>
        <w:rPr>
          <w:rFonts w:ascii="Times New Roman" w:cs="Times New Roman" w:eastAsia="Times New Roman" w:hAnsi="Times New Roman"/>
          <w:sz w:val="16"/>
          <w:szCs w:val="16"/>
          <w:color w:val="auto"/>
        </w:rPr>
      </w:pPr>
    </w:p>
    <w:p>
      <w:pPr>
        <w:ind w:left="-4" w:right="20" w:firstLine="5"/>
        <w:spacing w:after="0" w:line="254" w:lineRule="auto"/>
        <w:tabs>
          <w:tab w:leader="none" w:pos="322"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the Company gives its initial notice pursuant to the first sentence of this Section 9(e) or Indemnitee gives its initial notice pursuant to the second sentence of this Section 9(e), as the case may be, either the Company or Indemnitee may petition the Court of Chancery of the State of Delaware (“</w:t>
      </w:r>
      <w:r>
        <w:rPr>
          <w:rFonts w:ascii="Times New Roman" w:cs="Times New Roman" w:eastAsia="Times New Roman" w:hAnsi="Times New Roman"/>
          <w:sz w:val="17"/>
          <w:szCs w:val="17"/>
          <w:b w:val="1"/>
          <w:bCs w:val="1"/>
          <w:color w:val="auto"/>
        </w:rPr>
        <w:t>Delaware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Court</w:t>
      </w:r>
      <w:r>
        <w:rPr>
          <w:rFonts w:ascii="Times New Roman" w:cs="Times New Roman" w:eastAsia="Times New Roman" w:hAnsi="Times New Roman"/>
          <w:sz w:val="17"/>
          <w:szCs w:val="17"/>
          <w:color w:val="auto"/>
        </w:rPr>
        <w:t>”) to resolve any objection which shall have been made by the Company or Indemnitee to the other's selection of Independent Counsel and/or to appoint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Independent Counsel a person to be selected by the Delaware Court or such other person as the Delaware Court shall designate, and the person or firm with respect to whom all objections are so resolved or the person or firm so appointed will act as Independent Counsel. In all events, the Company shall pay all of the reasonable fees and expenses of the Independent Counsel incurred in connection with the Independent Counsel's determination pursuant to Section 9(b).</w:t>
      </w:r>
    </w:p>
    <w:p>
      <w:pPr>
        <w:spacing w:after="0" w:line="141" w:lineRule="exact"/>
        <w:rPr>
          <w:rFonts w:ascii="Times New Roman" w:cs="Times New Roman" w:eastAsia="Times New Roman" w:hAnsi="Times New Roman"/>
          <w:sz w:val="17"/>
          <w:szCs w:val="17"/>
          <w:color w:val="auto"/>
        </w:rPr>
      </w:pPr>
    </w:p>
    <w:p>
      <w:pPr>
        <w:ind w:left="516" w:hanging="516"/>
        <w:spacing w:after="0"/>
        <w:tabs>
          <w:tab w:leader="none" w:pos="516"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Presumptions and Defenses.</w:t>
      </w:r>
    </w:p>
    <w:p>
      <w:pPr>
        <w:spacing w:after="0" w:line="176" w:lineRule="exact"/>
        <w:rPr>
          <w:sz w:val="20"/>
          <w:szCs w:val="20"/>
          <w:color w:val="auto"/>
        </w:rPr>
      </w:pPr>
    </w:p>
    <w:p>
      <w:pPr>
        <w:ind w:left="-4" w:right="20" w:firstLine="4"/>
        <w:spacing w:after="0" w:line="282" w:lineRule="auto"/>
        <w:tabs>
          <w:tab w:leader="none" w:pos="505"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Indemnitee's Entitlement to Indemnification</w:t>
      </w:r>
      <w:r>
        <w:rPr>
          <w:rFonts w:ascii="Times New Roman" w:cs="Times New Roman" w:eastAsia="Times New Roman" w:hAnsi="Times New Roman"/>
          <w:sz w:val="16"/>
          <w:szCs w:val="16"/>
          <w:color w:val="auto"/>
        </w:rPr>
        <w:t>. In making any Standard of Conduct Determination, the person or persons making such determination shall presume that Indemnitee has satisfied the applicable standard of conduct and is entitled to indemnification, and the Company shall have the burden of proof to overcome that presumption and establish that Indemnitee is not so entitled. Any Standard of Conduct Determination that is adverse to Indemnitee, may be challenged by the Indemnitee in the Delaware Court. No determination by the Company (including by its directors or any Independent Counsel) that Indemnitee has not</w:t>
      </w:r>
    </w:p>
    <w:p>
      <w:pPr>
        <w:sectPr>
          <w:pgSz w:w="11900" w:h="16838" w:orient="portrait"/>
          <w:cols w:equalWidth="0" w:num="1">
            <w:col w:w="11276"/>
          </w:cols>
          <w:pgMar w:left="304" w:top="1318" w:right="319" w:bottom="1440" w:gutter="0" w:footer="0" w:header="0"/>
        </w:sectPr>
      </w:pPr>
    </w:p>
    <w:bookmarkStart w:id="175" w:name="page176"/>
    <w:bookmarkEnd w:id="175"/>
    <w:p>
      <w:pPr>
        <w:ind w:right="40"/>
        <w:spacing w:after="0" w:line="276" w:lineRule="auto"/>
        <w:rPr>
          <w:sz w:val="20"/>
          <w:szCs w:val="20"/>
          <w:color w:val="auto"/>
        </w:rPr>
      </w:pPr>
      <w:r>
        <w:rPr>
          <w:rFonts w:ascii="Times New Roman" w:cs="Times New Roman" w:eastAsia="Times New Roman" w:hAnsi="Times New Roman"/>
          <w:sz w:val="17"/>
          <w:szCs w:val="17"/>
          <w:color w:val="auto"/>
        </w:rPr>
        <w:t>satisfied any applicable standard of conduct may be used as a defense to any legal proceedings brought by Indemnitee to secure indemnification or reimbursement or advance payment of Expenses by the Company hereunder or create a presumption that Indemnitee has not met any applicable standard of conduct.</w:t>
      </w:r>
    </w:p>
    <w:p>
      <w:pPr>
        <w:spacing w:after="0" w:line="123" w:lineRule="exact"/>
        <w:rPr>
          <w:sz w:val="20"/>
          <w:szCs w:val="20"/>
          <w:color w:val="auto"/>
        </w:rPr>
      </w:pPr>
    </w:p>
    <w:p>
      <w:pPr>
        <w:ind w:right="20" w:firstLine="4"/>
        <w:spacing w:after="0" w:line="255" w:lineRule="auto"/>
        <w:tabs>
          <w:tab w:leader="none" w:pos="503"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Reliance as a Safe Harbor</w:t>
      </w:r>
      <w:r>
        <w:rPr>
          <w:rFonts w:ascii="Times New Roman" w:cs="Times New Roman" w:eastAsia="Times New Roman" w:hAnsi="Times New Roman"/>
          <w:sz w:val="17"/>
          <w:szCs w:val="17"/>
          <w:color w:val="auto"/>
        </w:rPr>
        <w:t>. For purposes of this Agreement, and without creating any presumption as to a lack of good faith if the following circumstances do not exist,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or any of its subsidiaries in the course of their duties, or by committees of the Board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(other than the Indemnitee) shall not be imputed to Indemnitee for purposes of determining the right to indemnity hereunder.</w:t>
      </w:r>
    </w:p>
    <w:p>
      <w:pPr>
        <w:spacing w:after="0" w:line="142" w:lineRule="exact"/>
        <w:rPr>
          <w:rFonts w:ascii="Times New Roman" w:cs="Times New Roman" w:eastAsia="Times New Roman" w:hAnsi="Times New Roman"/>
          <w:sz w:val="17"/>
          <w:szCs w:val="17"/>
          <w:color w:val="auto"/>
        </w:rPr>
      </w:pPr>
    </w:p>
    <w:p>
      <w:pPr>
        <w:ind w:firstLine="4"/>
        <w:spacing w:after="0" w:line="262" w:lineRule="auto"/>
        <w:tabs>
          <w:tab w:leader="none" w:pos="508"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Defense to Indemnification and Burden of Proof</w:t>
      </w:r>
      <w:r>
        <w:rPr>
          <w:rFonts w:ascii="Times New Roman" w:cs="Times New Roman" w:eastAsia="Times New Roman" w:hAnsi="Times New Roman"/>
          <w:sz w:val="17"/>
          <w:szCs w:val="17"/>
          <w:color w:val="auto"/>
        </w:rPr>
        <w:t>. It shall be a defense to any action brought by Indemnitee against the Company to enforce this Agreement (other than an action brought to enforce a claim for Losses incurred in defending against a Claim related to an Indemnifiable Event in advance of its final disposition) that it is not permissible under applicable law for the Company to indemnify Indemnitee for the amount claimed.</w:t>
      </w:r>
    </w:p>
    <w:p>
      <w:pPr>
        <w:spacing w:after="0" w:line="134" w:lineRule="exact"/>
        <w:rPr>
          <w:sz w:val="20"/>
          <w:szCs w:val="20"/>
          <w:color w:val="auto"/>
        </w:rPr>
      </w:pPr>
    </w:p>
    <w:p>
      <w:pPr>
        <w:ind w:left="520" w:hanging="516"/>
        <w:spacing w:after="0"/>
        <w:tabs>
          <w:tab w:leader="none" w:pos="52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Exclusions from Indemnification</w:t>
      </w:r>
      <w:r>
        <w:rPr>
          <w:rFonts w:ascii="Times New Roman" w:cs="Times New Roman" w:eastAsia="Times New Roman" w:hAnsi="Times New Roman"/>
          <w:sz w:val="17"/>
          <w:szCs w:val="17"/>
          <w:color w:val="auto"/>
        </w:rPr>
        <w:t>. Notwithstanding anything in this Agreement to the contrary, the Company shall not be obligated to:</w:t>
      </w:r>
    </w:p>
    <w:p>
      <w:pPr>
        <w:spacing w:after="0" w:line="186" w:lineRule="exact"/>
        <w:rPr>
          <w:sz w:val="20"/>
          <w:szCs w:val="20"/>
          <w:color w:val="auto"/>
        </w:rPr>
      </w:pPr>
    </w:p>
    <w:p>
      <w:pPr>
        <w:ind w:right="80" w:firstLine="4"/>
        <w:spacing w:after="0" w:line="276" w:lineRule="auto"/>
        <w:tabs>
          <w:tab w:leader="none" w:pos="505"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indemnify or advance funds to Indemnitee for Expenses or Losses with respect to proceedings initiated by Indemnitee, including any proceedings against the Company or its directors, officers, employees or other indemnitees and not by way of defense, except:</w:t>
      </w:r>
    </w:p>
    <w:p>
      <w:pPr>
        <w:spacing w:after="0" w:line="123" w:lineRule="exact"/>
        <w:rPr>
          <w:sz w:val="20"/>
          <w:szCs w:val="20"/>
          <w:color w:val="auto"/>
        </w:rPr>
      </w:pPr>
    </w:p>
    <w:p>
      <w:pPr>
        <w:ind w:right="300" w:firstLine="4"/>
        <w:spacing w:after="0" w:line="276" w:lineRule="auto"/>
        <w:tabs>
          <w:tab w:leader="none" w:pos="509"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proceedings referenced in Section 5 above (unless a court of competent jurisdiction determines that each of the material assertions made by Indemnitee in such proceeding was not made in good faith or was frivolous); or</w:t>
      </w:r>
    </w:p>
    <w:p>
      <w:pPr>
        <w:spacing w:after="0" w:line="123" w:lineRule="exact"/>
        <w:rPr>
          <w:rFonts w:ascii="Times New Roman" w:cs="Times New Roman" w:eastAsia="Times New Roman" w:hAnsi="Times New Roman"/>
          <w:sz w:val="17"/>
          <w:szCs w:val="17"/>
          <w:color w:val="auto"/>
        </w:rPr>
      </w:pPr>
    </w:p>
    <w:p>
      <w:pPr>
        <w:ind w:left="500" w:hanging="496"/>
        <w:spacing w:after="0"/>
        <w:tabs>
          <w:tab w:leader="none" w:pos="50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Company has joined in or the Board has consented to the initiation of such proceedings.</w:t>
      </w:r>
    </w:p>
    <w:p>
      <w:pPr>
        <w:spacing w:after="0" w:line="186" w:lineRule="exact"/>
        <w:rPr>
          <w:sz w:val="20"/>
          <w:szCs w:val="20"/>
          <w:color w:val="auto"/>
        </w:rPr>
      </w:pPr>
    </w:p>
    <w:p>
      <w:pPr>
        <w:ind w:left="500" w:hanging="496"/>
        <w:spacing w:after="0"/>
        <w:tabs>
          <w:tab w:leader="none" w:pos="500"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indemnify Indemnitee if a final decision by a court of competent jurisdiction determines that such indemnification is prohibited by applicable law.</w:t>
      </w:r>
    </w:p>
    <w:p>
      <w:pPr>
        <w:spacing w:after="0" w:line="175" w:lineRule="exact"/>
        <w:rPr>
          <w:rFonts w:ascii="Times New Roman" w:cs="Times New Roman" w:eastAsia="Times New Roman" w:hAnsi="Times New Roman"/>
          <w:sz w:val="17"/>
          <w:szCs w:val="17"/>
          <w:color w:val="auto"/>
        </w:rPr>
      </w:pPr>
    </w:p>
    <w:p>
      <w:pPr>
        <w:ind w:right="280" w:firstLine="4"/>
        <w:spacing w:after="0" w:line="276" w:lineRule="auto"/>
        <w:tabs>
          <w:tab w:leader="none" w:pos="505"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indemnify Indemnitee for the disgorgement of profits arising from the purchase or sale by Indemnitee of securities of the Company in violation of Section 16(b) of the Exchange Act, or any similar successor statute (if applicable).</w:t>
      </w:r>
    </w:p>
    <w:p>
      <w:pPr>
        <w:sectPr>
          <w:pgSz w:w="11900" w:h="16838" w:orient="portrait"/>
          <w:cols w:equalWidth="0" w:num="1">
            <w:col w:w="11260"/>
          </w:cols>
          <w:pgMar w:left="300" w:top="1318" w:right="339" w:bottom="1440" w:gutter="0" w:footer="0" w:header="0"/>
        </w:sectPr>
      </w:pPr>
    </w:p>
    <w:bookmarkStart w:id="176" w:name="page177"/>
    <w:bookmarkEnd w:id="176"/>
    <w:p>
      <w:pPr>
        <w:ind w:right="40" w:firstLine="4"/>
        <w:spacing w:after="0" w:line="258" w:lineRule="auto"/>
        <w:tabs>
          <w:tab w:leader="none" w:pos="504"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indemnify or advance funds to Indemnitee for Indemnitee's reimbursement to the Company of any bonus or other incentive-based or equity-based compensation previously received by Indemnitee or payment of any profits realized by Indemnitee from the sale of securities of the Company, as required in each case under the Exchange Act (including any such reimbursements under Section 304 of the Sarbanes-Oxley Act of 2002 in connection with an accounting restatement of the Company or the payment to the Company of profits arising from the purchase or sale by Indemnitee of securities in violation of Section 306 of the Sarbanes-Oxley Act).</w:t>
      </w:r>
    </w:p>
    <w:p>
      <w:pPr>
        <w:spacing w:after="0" w:line="137" w:lineRule="exact"/>
        <w:rPr>
          <w:rFonts w:ascii="Times New Roman" w:cs="Times New Roman" w:eastAsia="Times New Roman" w:hAnsi="Times New Roman"/>
          <w:sz w:val="17"/>
          <w:szCs w:val="17"/>
          <w:color w:val="auto"/>
        </w:rPr>
      </w:pPr>
    </w:p>
    <w:p>
      <w:pPr>
        <w:ind w:left="520" w:hanging="516"/>
        <w:spacing w:after="0"/>
        <w:tabs>
          <w:tab w:leader="none" w:pos="520"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indemnify or advance funds to Indemnitee for Expenses or Losses arising from the Indemnitee’s actual fraud, dishonesty, wilful neglect or wilful default.</w:t>
      </w:r>
    </w:p>
    <w:p>
      <w:pPr>
        <w:spacing w:after="0" w:line="175" w:lineRule="exact"/>
        <w:rPr>
          <w:rFonts w:ascii="Times New Roman" w:cs="Times New Roman" w:eastAsia="Times New Roman" w:hAnsi="Times New Roman"/>
          <w:sz w:val="17"/>
          <w:szCs w:val="17"/>
          <w:color w:val="auto"/>
        </w:rPr>
      </w:pPr>
    </w:p>
    <w:p>
      <w:pPr>
        <w:ind w:right="320" w:firstLine="4"/>
        <w:spacing w:after="0" w:line="276" w:lineRule="auto"/>
        <w:tabs>
          <w:tab w:leader="none" w:pos="508"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indemnify or advance funds to Indemnitee for Indemnitee’s reimbursement to the Company for any amounts that the Company is entitled to recover from Indemnitee under the Company’s Compensation Recoupment Policy.</w:t>
      </w:r>
    </w:p>
    <w:p>
      <w:pPr>
        <w:spacing w:after="0" w:line="134" w:lineRule="exact"/>
        <w:rPr>
          <w:sz w:val="20"/>
          <w:szCs w:val="20"/>
          <w:color w:val="auto"/>
        </w:rPr>
      </w:pPr>
    </w:p>
    <w:p>
      <w:pPr>
        <w:ind w:right="140" w:firstLine="4"/>
        <w:spacing w:after="0" w:line="254" w:lineRule="auto"/>
        <w:tabs>
          <w:tab w:leader="none" w:pos="502"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Contribution</w:t>
      </w:r>
      <w:r>
        <w:rPr>
          <w:rFonts w:ascii="Times New Roman" w:cs="Times New Roman" w:eastAsia="Times New Roman" w:hAnsi="Times New Roman"/>
          <w:sz w:val="17"/>
          <w:szCs w:val="17"/>
          <w:color w:val="auto"/>
        </w:rPr>
        <w:t>. To the fullest extent permissible under applicable law, if the indemnification and/or hold harmless rights provided for in this Agreement are unavailable to the Indemnitee in whole or in part for any reason whatsoever, the Company, in lieu of indemnifying or holding harmless the Indemnitee, shall pay, in the first instance, the entire amount of Losses incurred by the Indemnitee in respect of which the indemnification and/or hold harmless rights provided for in this Agreement are unavailable, without requiring the Indemnitee to contribute to such payment, and the Company hereby waives and relinquishes any right of contribution it may have at any time against the Indemnitee.</w:t>
      </w:r>
    </w:p>
    <w:p>
      <w:pPr>
        <w:spacing w:after="0" w:line="143" w:lineRule="exact"/>
        <w:rPr>
          <w:rFonts w:ascii="Times New Roman" w:cs="Times New Roman" w:eastAsia="Times New Roman" w:hAnsi="Times New Roman"/>
          <w:sz w:val="17"/>
          <w:szCs w:val="17"/>
          <w:color w:val="auto"/>
        </w:rPr>
      </w:pPr>
    </w:p>
    <w:p>
      <w:pPr>
        <w:ind w:firstLine="4"/>
        <w:spacing w:after="0" w:line="258" w:lineRule="auto"/>
        <w:tabs>
          <w:tab w:leader="none" w:pos="508"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 of Claims</w:t>
      </w:r>
      <w:r>
        <w:rPr>
          <w:rFonts w:ascii="Times New Roman" w:cs="Times New Roman" w:eastAsia="Times New Roman" w:hAnsi="Times New Roman"/>
          <w:sz w:val="17"/>
          <w:szCs w:val="17"/>
          <w:color w:val="auto"/>
        </w:rPr>
        <w:t>. The Company shall not be liable to Indemnitee under this Agreement for any amounts paid in settlement of any threatened or pending Claim related to an Indemnifiable Event effected without the Company's prior written consent, which shall not be unreasonably withheld; provided, however, that if a Change in Control has occurred, the Company shall be liable for indemnification of the Indemnitee for amounts paid in settlement if an Independent Counsel has approved the settlement. The Company shall not settle any Claim related to an Indemnifiable Event in any manner that would impose any Losses on the Indemnitee without the Indemnitee's prior written consent.</w:t>
      </w:r>
    </w:p>
    <w:p>
      <w:pPr>
        <w:spacing w:after="0" w:line="137" w:lineRule="exact"/>
        <w:rPr>
          <w:rFonts w:ascii="Times New Roman" w:cs="Times New Roman" w:eastAsia="Times New Roman" w:hAnsi="Times New Roman"/>
          <w:sz w:val="17"/>
          <w:szCs w:val="17"/>
          <w:color w:val="auto"/>
        </w:rPr>
      </w:pPr>
    </w:p>
    <w:p>
      <w:pPr>
        <w:ind w:right="160" w:firstLine="4"/>
        <w:spacing w:after="0" w:line="281" w:lineRule="auto"/>
        <w:tabs>
          <w:tab w:leader="none" w:pos="508"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Duration</w:t>
      </w:r>
      <w:r>
        <w:rPr>
          <w:rFonts w:ascii="Times New Roman" w:cs="Times New Roman" w:eastAsia="Times New Roman" w:hAnsi="Times New Roman"/>
          <w:sz w:val="16"/>
          <w:szCs w:val="16"/>
          <w:color w:val="auto"/>
        </w:rPr>
        <w:t>. All agreements and obligations of the Company contained herein shall continue during the period that Indemnitee is a director or officer of the Company (or is serving at the request of the Company as a director, officer, employee, member, trustee or agent of another Enterprise) and shall continue thereafter</w:t>
      </w:r>
    </w:p>
    <w:p>
      <w:pPr>
        <w:ind w:right="20"/>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(i) so long as Indemnitee may be subject to any possible Claim relating to an Indemnifiable Event (including any rights of appeal thereto) and (ii) throughout the pendency of any proceeding (including any rights of appeal thereto) commenced by Indemnitee to enforce or interpret his or her rights under this Agreement, even if, in either case, he or she may have ceased to serve in such capacity at the time of any such Claim or proceeding.</w:t>
      </w:r>
    </w:p>
    <w:p>
      <w:pPr>
        <w:spacing w:after="0" w:line="143" w:lineRule="exact"/>
        <w:rPr>
          <w:rFonts w:ascii="Times New Roman" w:cs="Times New Roman" w:eastAsia="Times New Roman" w:hAnsi="Times New Roman"/>
          <w:sz w:val="16"/>
          <w:szCs w:val="16"/>
          <w:color w:val="auto"/>
        </w:rPr>
      </w:pPr>
    </w:p>
    <w:p>
      <w:pPr>
        <w:ind w:right="340" w:firstLine="4"/>
        <w:spacing w:after="0" w:line="289" w:lineRule="auto"/>
        <w:tabs>
          <w:tab w:leader="none" w:pos="508"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Non-Exclusivity</w:t>
      </w:r>
      <w:r>
        <w:rPr>
          <w:rFonts w:ascii="Times New Roman" w:cs="Times New Roman" w:eastAsia="Times New Roman" w:hAnsi="Times New Roman"/>
          <w:sz w:val="17"/>
          <w:szCs w:val="17"/>
          <w:color w:val="auto"/>
        </w:rPr>
        <w:t>. The rights of Indemnitee hereunder will be in addition to any other rights Indemnitee may have under the Memorandum and Articles of Association, the Cayman</w:t>
      </w:r>
    </w:p>
    <w:p>
      <w:pPr>
        <w:sectPr>
          <w:pgSz w:w="11900" w:h="16838" w:orient="portrait"/>
          <w:cols w:equalWidth="0" w:num="1">
            <w:col w:w="11260"/>
          </w:cols>
          <w:pgMar w:left="300" w:top="1317" w:right="339" w:bottom="1440" w:gutter="0" w:footer="0" w:header="0"/>
        </w:sectPr>
      </w:pPr>
    </w:p>
    <w:bookmarkStart w:id="177" w:name="page178"/>
    <w:bookmarkEnd w:id="177"/>
    <w:p>
      <w:pPr>
        <w:spacing w:after="0" w:line="264" w:lineRule="auto"/>
        <w:rPr>
          <w:sz w:val="20"/>
          <w:szCs w:val="20"/>
          <w:color w:val="auto"/>
        </w:rPr>
      </w:pPr>
      <w:r>
        <w:rPr>
          <w:rFonts w:ascii="Times New Roman" w:cs="Times New Roman" w:eastAsia="Times New Roman" w:hAnsi="Times New Roman"/>
          <w:sz w:val="17"/>
          <w:szCs w:val="17"/>
          <w:color w:val="auto"/>
        </w:rPr>
        <w:t>Islands Companies Act (as amended), any other contract or otherwise (collectively, “</w:t>
      </w:r>
      <w:r>
        <w:rPr>
          <w:rFonts w:ascii="Times New Roman" w:cs="Times New Roman" w:eastAsia="Times New Roman" w:hAnsi="Times New Roman"/>
          <w:sz w:val="17"/>
          <w:szCs w:val="17"/>
          <w:b w:val="1"/>
          <w:bCs w:val="1"/>
          <w:color w:val="auto"/>
        </w:rPr>
        <w:t>Other Indemnity Provisions”</w:t>
      </w:r>
      <w:r>
        <w:rPr>
          <w:rFonts w:ascii="Times New Roman" w:cs="Times New Roman" w:eastAsia="Times New Roman" w:hAnsi="Times New Roman"/>
          <w:sz w:val="17"/>
          <w:szCs w:val="17"/>
          <w:color w:val="auto"/>
        </w:rPr>
        <w:t>). The Company will not adopt any amendment to the Memorandum and Articles of Association, the effect of which would be to deny, diminish or encumber Indemnitee's right to indemnification under this Agreement.</w:t>
      </w:r>
    </w:p>
    <w:p>
      <w:pPr>
        <w:spacing w:after="0" w:line="144" w:lineRule="exact"/>
        <w:rPr>
          <w:sz w:val="20"/>
          <w:szCs w:val="20"/>
          <w:color w:val="auto"/>
        </w:rPr>
      </w:pPr>
    </w:p>
    <w:p>
      <w:pPr>
        <w:ind w:right="20" w:firstLine="4"/>
        <w:spacing w:after="0" w:line="253" w:lineRule="auto"/>
        <w:tabs>
          <w:tab w:leader="none" w:pos="508"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Liability Insurance</w:t>
      </w:r>
      <w:r>
        <w:rPr>
          <w:rFonts w:ascii="Times New Roman" w:cs="Times New Roman" w:eastAsia="Times New Roman" w:hAnsi="Times New Roman"/>
          <w:sz w:val="17"/>
          <w:szCs w:val="17"/>
          <w:color w:val="auto"/>
        </w:rPr>
        <w:t>. For the duration of Indemnitee's service as [a director/an officer/an employee holding certain managerial position] [of/at] the Company, and thereafter for so long as Indemnitee shall be subject to any pending Claim relating to an Indemnifiable Event, the Company shall use commercially reasonable efforts (taking into account the scope and amount of coverage available relative to the cost thereof) to continue to maintain in effect policies of directors' and officers' liability insurance providing coverage in commercially reasonable amounts from established and reputable insurers (taking into consideration the scope and amount of coverage available relative to the cost thereof). In all policies of directors' and officers' liability insurance maintained by the Company, Indemnitee shall be named as an insured in such a manner as to provide Indemnitee the same rights and benefits as are provided to the Company's similarly situated directors, if Indemnitee is a director, or of the Company's similarly situated officers or employee in certain mangerial positions, if Indemnitee is an officer or employee in certain managerial positions (and not a director) by such policy.</w:t>
      </w:r>
    </w:p>
    <w:p>
      <w:pPr>
        <w:spacing w:after="0" w:line="144" w:lineRule="exact"/>
        <w:rPr>
          <w:rFonts w:ascii="Times New Roman" w:cs="Times New Roman" w:eastAsia="Times New Roman" w:hAnsi="Times New Roman"/>
          <w:sz w:val="17"/>
          <w:szCs w:val="17"/>
          <w:color w:val="auto"/>
        </w:rPr>
      </w:pPr>
    </w:p>
    <w:p>
      <w:pPr>
        <w:ind w:right="420" w:firstLine="4"/>
        <w:spacing w:after="0" w:line="262" w:lineRule="auto"/>
        <w:tabs>
          <w:tab w:leader="none" w:pos="508"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Duplication of Payments</w:t>
      </w:r>
      <w:r>
        <w:rPr>
          <w:rFonts w:ascii="Times New Roman" w:cs="Times New Roman" w:eastAsia="Times New Roman" w:hAnsi="Times New Roman"/>
          <w:sz w:val="17"/>
          <w:szCs w:val="17"/>
          <w:color w:val="auto"/>
        </w:rPr>
        <w:t>. The Company shall not be liable under this Agreement to make any payment to Indemnitee in respect of any Losses to the extent Indemnitee has otherwise received payment under any insurance policy, the Memorandum and Articles of Association, Other Indemnity Provisions or otherwise of the amounts otherwise indemnifiable by the Company hereunder.</w:t>
      </w:r>
    </w:p>
    <w:p>
      <w:pPr>
        <w:spacing w:after="0" w:line="144" w:lineRule="exact"/>
        <w:rPr>
          <w:rFonts w:ascii="Times New Roman" w:cs="Times New Roman" w:eastAsia="Times New Roman" w:hAnsi="Times New Roman"/>
          <w:sz w:val="17"/>
          <w:szCs w:val="17"/>
          <w:color w:val="auto"/>
        </w:rPr>
      </w:pPr>
    </w:p>
    <w:p>
      <w:pPr>
        <w:jc w:val="both"/>
        <w:ind w:right="80" w:firstLine="4"/>
        <w:spacing w:after="0" w:line="262" w:lineRule="auto"/>
        <w:tabs>
          <w:tab w:leader="none" w:pos="508"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Subrogation</w:t>
      </w:r>
      <w:r>
        <w:rPr>
          <w:rFonts w:ascii="Times New Roman" w:cs="Times New Roman" w:eastAsia="Times New Roman" w:hAnsi="Times New Roman"/>
          <w:sz w:val="17"/>
          <w:szCs w:val="17"/>
          <w:color w:val="auto"/>
        </w:rPr>
        <w:t>. In the event of payment to Indemnitee under this Agreement, the Company shall be subrogated to the extent of such payment to all of the rights of recovery of Indemnitee. Indemnitee shall execute all papers required and shall do everything that may be necessary to secure such rights, including the execution of such documents necessary to enable the Company effectively to bring suit to enforce such rights.</w:t>
      </w:r>
    </w:p>
    <w:p>
      <w:pPr>
        <w:spacing w:after="0" w:line="134" w:lineRule="exact"/>
        <w:rPr>
          <w:rFonts w:ascii="Times New Roman" w:cs="Times New Roman" w:eastAsia="Times New Roman" w:hAnsi="Times New Roman"/>
          <w:sz w:val="17"/>
          <w:szCs w:val="17"/>
          <w:color w:val="auto"/>
        </w:rPr>
      </w:pPr>
    </w:p>
    <w:p>
      <w:pPr>
        <w:jc w:val="both"/>
        <w:ind w:right="280" w:firstLine="4"/>
        <w:spacing w:after="0" w:line="261" w:lineRule="auto"/>
        <w:tabs>
          <w:tab w:leader="none" w:pos="508"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136" w:lineRule="exact"/>
        <w:rPr>
          <w:rFonts w:ascii="Times New Roman" w:cs="Times New Roman" w:eastAsia="Times New Roman" w:hAnsi="Times New Roman"/>
          <w:sz w:val="17"/>
          <w:szCs w:val="17"/>
          <w:color w:val="auto"/>
        </w:rPr>
      </w:pPr>
    </w:p>
    <w:p>
      <w:pPr>
        <w:ind w:right="220" w:firstLine="4"/>
        <w:spacing w:after="0" w:line="282" w:lineRule="auto"/>
        <w:tabs>
          <w:tab w:leader="none" w:pos="508"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substances</w:t>
      </w:r>
    </w:p>
    <w:p>
      <w:pPr>
        <w:sectPr>
          <w:pgSz w:w="11900" w:h="16838" w:orient="portrait"/>
          <w:cols w:equalWidth="0" w:num="1">
            <w:col w:w="11260"/>
          </w:cols>
          <w:pgMar w:left="300" w:top="1399" w:right="339" w:bottom="1440" w:gutter="0" w:footer="0" w:header="0"/>
        </w:sectPr>
      </w:pPr>
    </w:p>
    <w:bookmarkStart w:id="178" w:name="page179"/>
    <w:bookmarkEnd w:id="178"/>
    <w:p>
      <w:pPr>
        <w:ind w:right="60"/>
        <w:spacing w:after="0" w:line="276" w:lineRule="auto"/>
        <w:rPr>
          <w:sz w:val="20"/>
          <w:szCs w:val="20"/>
          <w:color w:val="auto"/>
        </w:rPr>
      </w:pPr>
      <w:r>
        <w:rPr>
          <w:rFonts w:ascii="Times New Roman" w:cs="Times New Roman" w:eastAsia="Times New Roman" w:hAnsi="Times New Roman"/>
          <w:sz w:val="17"/>
          <w:szCs w:val="17"/>
          <w:color w:val="auto"/>
        </w:rPr>
        <w:t>satisfactory to Indemnitee, expressly to assume and agree to perform this Agreement in the same manner and to the same extent that the Company would be required to perform if no such succession had taken place.</w:t>
      </w:r>
    </w:p>
    <w:p>
      <w:pPr>
        <w:spacing w:after="0" w:line="123" w:lineRule="exact"/>
        <w:rPr>
          <w:sz w:val="20"/>
          <w:szCs w:val="20"/>
          <w:color w:val="auto"/>
        </w:rPr>
      </w:pPr>
    </w:p>
    <w:p>
      <w:pPr>
        <w:ind w:right="200" w:firstLine="4"/>
        <w:spacing w:after="0" w:line="258" w:lineRule="auto"/>
        <w:tabs>
          <w:tab w:leader="none" w:pos="508"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The provisions of this Agreement shall be severable in the event that any of the provisions hereof (including any portion thereof) are held by a court of competent jurisdiction to be invalid, illegal, void or otherwise unenforceable, and the remaining provisions shall remain enforceable to the fullest extent permitted by law.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37" w:lineRule="exact"/>
        <w:rPr>
          <w:rFonts w:ascii="Times New Roman" w:cs="Times New Roman" w:eastAsia="Times New Roman" w:hAnsi="Times New Roman"/>
          <w:sz w:val="17"/>
          <w:szCs w:val="17"/>
          <w:color w:val="auto"/>
        </w:rPr>
      </w:pPr>
    </w:p>
    <w:p>
      <w:pPr>
        <w:ind w:right="140" w:firstLine="4"/>
        <w:spacing w:after="0" w:line="292" w:lineRule="auto"/>
        <w:tabs>
          <w:tab w:leader="none" w:pos="508"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requests, demands and other communications hereunder shall be in writing and shall be deemed to have been duly given (i) if delivered by hand, against receipt, (ii) if delivered by reputable overnight or international courier, upon actual delivery, or (iii) if delivered by electronic mail, provided no message is received by sender indicating that the electronic mail was not delivered to its intended recipient, and, in the case of clauses (ii) and (iii), delivered:</w:t>
      </w:r>
    </w:p>
    <w:p>
      <w:pPr>
        <w:spacing w:after="0" w:line="114" w:lineRule="exact"/>
        <w:rPr>
          <w:sz w:val="20"/>
          <w:szCs w:val="20"/>
          <w:color w:val="auto"/>
        </w:rPr>
      </w:pPr>
    </w:p>
    <w:p>
      <w:pPr>
        <w:ind w:left="520" w:hanging="516"/>
        <w:spacing w:after="0"/>
        <w:tabs>
          <w:tab w:leader="none" w:pos="520"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Indemnitee, to the address set forth on the signature page hereto.</w:t>
      </w:r>
    </w:p>
    <w:p>
      <w:pPr>
        <w:spacing w:after="0" w:line="175" w:lineRule="exact"/>
        <w:rPr>
          <w:rFonts w:ascii="Times New Roman" w:cs="Times New Roman" w:eastAsia="Times New Roman" w:hAnsi="Times New Roman"/>
          <w:sz w:val="17"/>
          <w:szCs w:val="17"/>
          <w:color w:val="auto"/>
        </w:rPr>
      </w:pPr>
    </w:p>
    <w:p>
      <w:pPr>
        <w:ind w:left="500" w:hanging="496"/>
        <w:spacing w:after="0"/>
        <w:tabs>
          <w:tab w:leader="none" w:pos="500"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Company, 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400 Stonebreak Road Extension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Malta, NY 12020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States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General Counsel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legal.notices@gf.com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 of change of address shall be effective only when given in accordance with this Section.</w:t>
      </w:r>
    </w:p>
    <w:p>
      <w:pPr>
        <w:spacing w:after="0" w:line="176" w:lineRule="exact"/>
        <w:rPr>
          <w:sz w:val="20"/>
          <w:szCs w:val="20"/>
          <w:color w:val="auto"/>
        </w:rPr>
      </w:pPr>
    </w:p>
    <w:p>
      <w:pPr>
        <w:ind w:firstLine="4"/>
        <w:spacing w:after="0" w:line="255" w:lineRule="auto"/>
        <w:tabs>
          <w:tab w:leader="none" w:pos="508"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 and Forum</w:t>
      </w:r>
      <w:r>
        <w:rPr>
          <w:rFonts w:ascii="Times New Roman" w:cs="Times New Roman" w:eastAsia="Times New Roman" w:hAnsi="Times New Roman"/>
          <w:sz w:val="17"/>
          <w:szCs w:val="17"/>
          <w:color w:val="auto"/>
        </w:rPr>
        <w:t>. This Agreement shall be governed by and construed and enforced in accordance with the laws of the State of Delaware applicable to contracts made and to be performed in such state without giving effect to its principles of conflicts of laws. The Company and Indemnitee hereby irrevocably and unconditionally: (a) agree that any action or proceeding arising out of or in connection with this Agreement shall be brought only in the Delaware Court and not in any other state or federal court in the United States, (b) consent to submit to the exclusive jurisdiction of the Delaware Court for purposes of any action or proceeding arising out of or in connection with this Agreement and (c) waive, and agree not to plead or make, any claim that the Delaware Court lacks venue or that any such action or proceeding brought in the Delaware Court has been brought in an improper or inconvenient forum.THE COMPANY AND INDEMNITEE HEREBY IRREVOCABLY WAIVE ANY AND ALL RIGHTS TO TRIAL BY JURY IN ANY LEGAL PROCEEDING ARISING OUT OF OR RELATED TO THIS AGREEMENT.</w:t>
      </w:r>
    </w:p>
    <w:p>
      <w:pPr>
        <w:sectPr>
          <w:pgSz w:w="11900" w:h="16838" w:orient="portrait"/>
          <w:cols w:equalWidth="0" w:num="1">
            <w:col w:w="11280"/>
          </w:cols>
          <w:pgMar w:left="300" w:top="1403" w:right="319" w:bottom="1440" w:gutter="0" w:footer="0" w:header="0"/>
        </w:sectPr>
      </w:pPr>
    </w:p>
    <w:bookmarkStart w:id="179" w:name="page180"/>
    <w:bookmarkEnd w:id="179"/>
    <w:p>
      <w:pPr>
        <w:ind w:left="-4" w:right="100" w:firstLine="4"/>
        <w:spacing w:after="0" w:line="276" w:lineRule="auto"/>
        <w:tabs>
          <w:tab w:leader="none" w:pos="504"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of the sections and paragraphs of this Agreement are inserted for convenience only and shall not be deemed to constitute part of this Agreement or to affect the construction or interpretation thereof.</w:t>
      </w:r>
    </w:p>
    <w:p>
      <w:pPr>
        <w:spacing w:after="0" w:line="123" w:lineRule="exact"/>
        <w:rPr>
          <w:rFonts w:ascii="Times New Roman" w:cs="Times New Roman" w:eastAsia="Times New Roman" w:hAnsi="Times New Roman"/>
          <w:sz w:val="17"/>
          <w:szCs w:val="17"/>
          <w:color w:val="auto"/>
        </w:rPr>
      </w:pPr>
    </w:p>
    <w:p>
      <w:pPr>
        <w:ind w:left="-4" w:firstLine="4"/>
        <w:spacing w:after="0" w:line="289" w:lineRule="auto"/>
        <w:tabs>
          <w:tab w:leader="none" w:pos="504"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one or more counterparts, each of which shall for all purposes be deemed to be an original, but all of which together shall constitute one and the same Agreement.</w:t>
      </w:r>
    </w:p>
    <w:p>
      <w:pPr>
        <w:spacing w:after="0" w:line="104"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6"/>
          <w:szCs w:val="16"/>
          <w:color w:val="auto"/>
        </w:rPr>
        <w:t>[SIGNATURE PAGE FOLLOWS]</w:t>
      </w:r>
    </w:p>
    <w:p>
      <w:pPr>
        <w:sectPr>
          <w:pgSz w:w="11900" w:h="16838" w:orient="portrait"/>
          <w:cols w:equalWidth="0" w:num="1">
            <w:col w:w="11256"/>
          </w:cols>
          <w:pgMar w:left="304" w:top="1402"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date first above written.</w:t>
      </w:r>
    </w:p>
    <w:p>
      <w:pPr>
        <w:spacing w:after="0" w:line="21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GLOBALFOUNDRIES Inc.</w:t>
      </w:r>
    </w:p>
    <w:p>
      <w:pPr>
        <w:spacing w:after="0" w:line="14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3910330</wp:posOffset>
            </wp:positionH>
            <wp:positionV relativeFrom="paragraph">
              <wp:posOffset>-9525</wp:posOffset>
            </wp:positionV>
            <wp:extent cx="10795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7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4041775</wp:posOffset>
            </wp:positionH>
            <wp:positionV relativeFrom="paragraph">
              <wp:posOffset>-9525</wp:posOffset>
            </wp:positionV>
            <wp:extent cx="10795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8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-9525</wp:posOffset>
            </wp:positionV>
            <wp:extent cx="10795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Indemnification Agreement</w:t>
      </w:r>
      <w:r>
        <w:rPr>
          <w:rFonts w:ascii="Times New Roman" w:cs="Times New Roman" w:eastAsia="Times New Roman" w:hAnsi="Times New Roman"/>
          <w:sz w:val="17"/>
          <w:szCs w:val="17"/>
          <w:color w:val="auto"/>
        </w:rPr>
        <w:t>]</w:t>
      </w:r>
    </w:p>
    <w:p>
      <w:pPr>
        <w:sectPr>
          <w:pgSz w:w="11900" w:h="16838" w:orient="portrait"/>
          <w:cols w:equalWidth="0" w:num="1">
            <w:col w:w="10159"/>
          </w:cols>
          <w:pgMar w:left="300" w:top="1318" w:right="1440" w:bottom="1440" w:gutter="0" w:footer="0" w:header="0"/>
        </w:sectPr>
      </w:pPr>
    </w:p>
    <w:bookmarkStart w:id="181" w:name="page182"/>
    <w:bookmarkEnd w:id="181"/>
    <w:p>
      <w:pPr>
        <w:spacing w:after="0" w:line="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INDEMNITEE</w:t>
      </w:r>
    </w:p>
    <w:p>
      <w:pPr>
        <w:spacing w:after="0" w:line="13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-9525</wp:posOffset>
            </wp:positionV>
            <wp:extent cx="10795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7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-9525</wp:posOffset>
            </wp:positionV>
            <wp:extent cx="10795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7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3413760</wp:posOffset>
            </wp:positionH>
            <wp:positionV relativeFrom="paragraph">
              <wp:posOffset>-9525</wp:posOffset>
            </wp:positionV>
            <wp:extent cx="10795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8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-9525</wp:posOffset>
            </wp:positionV>
            <wp:extent cx="10795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Indemnification Agreement</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1440" w:right="1440" w:bottom="1440" w:gutter="0" w:footer="0" w:header="0"/>
        </w:sectPr>
      </w:pPr>
    </w:p>
    <w:bookmarkStart w:id="182" w:name="page183"/>
    <w:bookmarkEnd w:id="182"/>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EXHIBIT 8</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Subsidiaries of GLOBALFOUNDRIES Inc.</w:t>
      </w:r>
    </w:p>
    <w:p>
      <w:pPr>
        <w:sectPr>
          <w:pgSz w:w="11900" w:h="16838" w:orient="portrait"/>
          <w:cols w:equalWidth="0" w:num="1">
            <w:col w:w="11260"/>
          </w:cols>
          <w:pgMar w:left="320" w:top="114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Name of Subsidiary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GF Asia Investments Pte. Ltd.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GF Asia Sales Pte. Ltd.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GlobalFoundries Borrower LLC</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GlobalFoundries Investments LLC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GlobalFoundries Netherlands Cooperatief U.A.</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GlobalFoundries Singapore Pte. Ltd.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GlobalFoundries Finance Inc.</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Name of Subsidiary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 (Chengdu) Technology Co. Ltd.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Name of Subsidiary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GlobalFoundries Netherlands Cooperatief U.A.</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Name of Subsidiary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GlobalFoundries Netherlands Holding B.V.</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GlobalFoundries U.S. Inc.</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Name of Subsidiary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GlobalFoundries Engineering Private Limited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GlobalFoundries Innovation LLC</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GlobalFoundries U.S. 2 LLC</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Name of Subsidiary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GF Power LLC</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Name of Subsidiary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GlobalFoundries Bulgaria EAD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GlobalFoundries Dresden Module One LLC</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GlobalFoundries Dresden Module Two LLC</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GlobalFoundries Engineering Private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340" w:type="dxa"/>
            <w:vAlign w:val="bottom"/>
            <w:gridSpan w:val="2"/>
          </w:tcPr>
          <w:p>
            <w:pPr>
              <w:jc w:val="center"/>
              <w:ind w:right="960"/>
              <w:spacing w:after="0"/>
              <w:rPr>
                <w:sz w:val="20"/>
                <w:szCs w:val="20"/>
                <w:color w:val="auto"/>
              </w:rPr>
            </w:pPr>
            <w:r>
              <w:rPr>
                <w:rFonts w:ascii="Times New Roman" w:cs="Times New Roman" w:eastAsia="Times New Roman" w:hAnsi="Times New Roman"/>
                <w:sz w:val="11"/>
                <w:szCs w:val="11"/>
                <w:b w:val="1"/>
                <w:bCs w:val="1"/>
                <w:color w:val="auto"/>
              </w:rPr>
              <w:t>Jurisdiction of</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Ownership by</w:t>
            </w:r>
          </w:p>
        </w:tc>
      </w:tr>
      <w:tr>
        <w:trPr>
          <w:trHeight w:val="149"/>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1"/>
                <w:szCs w:val="11"/>
                <w:b w:val="1"/>
                <w:bCs w:val="1"/>
                <w:color w:val="auto"/>
              </w:rPr>
              <w:t>Incorporation</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GlobalFoundries Inc.</w:t>
            </w:r>
          </w:p>
        </w:tc>
      </w:tr>
      <w:tr>
        <w:trPr>
          <w:trHeight w:val="40"/>
        </w:trPr>
        <w:tc>
          <w:tcPr>
            <w:tcW w:w="1360" w:type="dxa"/>
            <w:vAlign w:val="bottom"/>
            <w:tcBorders>
              <w:bottom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r>
      <w:tr>
        <w:trPr>
          <w:trHeight w:val="234"/>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w w:val="98"/>
              </w:rPr>
              <w:t>Singapore</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r>
      <w:tr>
        <w:trPr>
          <w:trHeight w:val="255"/>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w w:val="98"/>
              </w:rPr>
              <w:t>Singapore</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r>
      <w:tr>
        <w:trPr>
          <w:trHeight w:val="255"/>
        </w:trPr>
        <w:tc>
          <w:tcPr>
            <w:tcW w:w="234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r>
      <w:tr>
        <w:trPr>
          <w:trHeight w:val="286"/>
        </w:trPr>
        <w:tc>
          <w:tcPr>
            <w:tcW w:w="234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r>
      <w:tr>
        <w:trPr>
          <w:trHeight w:val="255"/>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rPr>
              <w:t>Netherlands</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w:t>
            </w:r>
          </w:p>
        </w:tc>
      </w:tr>
      <w:tr>
        <w:trPr>
          <w:trHeight w:val="255"/>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w w:val="98"/>
              </w:rPr>
              <w:t>Singapore</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r>
      <w:tr>
        <w:trPr>
          <w:trHeight w:val="255"/>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rPr>
              <w:t>Cayman</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r>
      <w:tr>
        <w:trPr>
          <w:trHeight w:val="289"/>
        </w:trPr>
        <w:tc>
          <w:tcPr>
            <w:tcW w:w="2340" w:type="dxa"/>
            <w:vAlign w:val="bottom"/>
            <w:gridSpan w:val="2"/>
          </w:tcPr>
          <w:p>
            <w:pPr>
              <w:jc w:val="center"/>
              <w:ind w:right="960"/>
              <w:spacing w:after="0"/>
              <w:rPr>
                <w:sz w:val="20"/>
                <w:szCs w:val="20"/>
                <w:color w:val="auto"/>
              </w:rPr>
            </w:pPr>
            <w:r>
              <w:rPr>
                <w:rFonts w:ascii="Times New Roman" w:cs="Times New Roman" w:eastAsia="Times New Roman" w:hAnsi="Times New Roman"/>
                <w:sz w:val="11"/>
                <w:szCs w:val="11"/>
                <w:b w:val="1"/>
                <w:bCs w:val="1"/>
                <w:color w:val="auto"/>
              </w:rPr>
              <w:t>Jurisdiction of</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Ownership by</w:t>
            </w:r>
          </w:p>
        </w:tc>
      </w:tr>
      <w:tr>
        <w:trPr>
          <w:trHeight w:val="149"/>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1"/>
                <w:szCs w:val="11"/>
                <w:b w:val="1"/>
                <w:bCs w:val="1"/>
                <w:color w:val="auto"/>
              </w:rPr>
              <w:t>Incorporation</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GF Asia Investments Pte. Ltd.</w:t>
            </w:r>
          </w:p>
        </w:tc>
      </w:tr>
      <w:tr>
        <w:trPr>
          <w:trHeight w:val="40"/>
        </w:trPr>
        <w:tc>
          <w:tcPr>
            <w:tcW w:w="2340" w:type="dxa"/>
            <w:vAlign w:val="bottom"/>
            <w:gridSpan w:val="2"/>
          </w:tcPr>
          <w:p>
            <w:pPr>
              <w:spacing w:after="0"/>
              <w:rPr>
                <w:sz w:val="3"/>
                <w:szCs w:val="3"/>
                <w:color w:val="auto"/>
              </w:rPr>
            </w:pPr>
          </w:p>
        </w:tc>
        <w:tc>
          <w:tcPr>
            <w:tcW w:w="3160" w:type="dxa"/>
            <w:vAlign w:val="bottom"/>
          </w:tcPr>
          <w:p>
            <w:pPr>
              <w:spacing w:after="0"/>
              <w:rPr>
                <w:sz w:val="3"/>
                <w:szCs w:val="3"/>
                <w:color w:val="auto"/>
              </w:rPr>
            </w:pPr>
          </w:p>
        </w:tc>
      </w:tr>
      <w:tr>
        <w:trPr>
          <w:trHeight w:val="175"/>
        </w:trPr>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China</w:t>
            </w:r>
          </w:p>
        </w:tc>
        <w:tc>
          <w:tcPr>
            <w:tcW w:w="980" w:type="dxa"/>
            <w:vAlign w:val="bottom"/>
          </w:tcPr>
          <w:p>
            <w:pPr>
              <w:spacing w:after="0"/>
              <w:rPr>
                <w:sz w:val="15"/>
                <w:szCs w:val="15"/>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r>
      <w:tr>
        <w:trPr>
          <w:trHeight w:val="285"/>
        </w:trPr>
        <w:tc>
          <w:tcPr>
            <w:tcW w:w="2340" w:type="dxa"/>
            <w:vAlign w:val="bottom"/>
            <w:gridSpan w:val="2"/>
          </w:tcPr>
          <w:p>
            <w:pPr>
              <w:jc w:val="center"/>
              <w:ind w:right="960"/>
              <w:spacing w:after="0"/>
              <w:rPr>
                <w:sz w:val="20"/>
                <w:szCs w:val="20"/>
                <w:color w:val="auto"/>
              </w:rPr>
            </w:pPr>
            <w:r>
              <w:rPr>
                <w:rFonts w:ascii="Times New Roman" w:cs="Times New Roman" w:eastAsia="Times New Roman" w:hAnsi="Times New Roman"/>
                <w:sz w:val="11"/>
                <w:szCs w:val="11"/>
                <w:b w:val="1"/>
                <w:bCs w:val="1"/>
                <w:color w:val="auto"/>
              </w:rPr>
              <w:t>Jurisdiction of</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Ownership by</w:t>
            </w:r>
          </w:p>
        </w:tc>
      </w:tr>
      <w:tr>
        <w:trPr>
          <w:trHeight w:val="149"/>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1"/>
                <w:szCs w:val="11"/>
                <w:b w:val="1"/>
                <w:bCs w:val="1"/>
                <w:color w:val="auto"/>
              </w:rPr>
              <w:t>Incorporation</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GlobalFoundries Investments LLC</w:t>
            </w:r>
          </w:p>
        </w:tc>
      </w:tr>
      <w:tr>
        <w:trPr>
          <w:trHeight w:val="40"/>
        </w:trPr>
        <w:tc>
          <w:tcPr>
            <w:tcW w:w="1360" w:type="dxa"/>
            <w:vAlign w:val="bottom"/>
            <w:tcBorders>
              <w:bottom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r>
      <w:tr>
        <w:trPr>
          <w:trHeight w:val="234"/>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rPr>
              <w:t>Netherlands</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289"/>
        </w:trPr>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Ownership by</w:t>
            </w:r>
          </w:p>
        </w:tc>
      </w:tr>
      <w:tr>
        <w:trPr>
          <w:trHeight w:val="138"/>
        </w:trPr>
        <w:tc>
          <w:tcPr>
            <w:tcW w:w="2340" w:type="dxa"/>
            <w:vAlign w:val="bottom"/>
            <w:gridSpan w:val="2"/>
          </w:tcPr>
          <w:p>
            <w:pPr>
              <w:jc w:val="center"/>
              <w:ind w:right="960"/>
              <w:spacing w:after="0"/>
              <w:rPr>
                <w:sz w:val="20"/>
                <w:szCs w:val="20"/>
                <w:color w:val="auto"/>
              </w:rPr>
            </w:pPr>
            <w:r>
              <w:rPr>
                <w:rFonts w:ascii="Times New Roman" w:cs="Times New Roman" w:eastAsia="Times New Roman" w:hAnsi="Times New Roman"/>
                <w:sz w:val="11"/>
                <w:szCs w:val="11"/>
                <w:b w:val="1"/>
                <w:bCs w:val="1"/>
                <w:color w:val="auto"/>
              </w:rPr>
              <w:t>Jurisdiction of</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GlobalFoundries Netherlands</w:t>
            </w:r>
          </w:p>
        </w:tc>
      </w:tr>
      <w:tr>
        <w:trPr>
          <w:trHeight w:val="149"/>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1"/>
                <w:szCs w:val="11"/>
                <w:b w:val="1"/>
                <w:bCs w:val="1"/>
                <w:color w:val="auto"/>
              </w:rPr>
              <w:t>Incorporation</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Cooperatief U.A.</w:t>
            </w:r>
          </w:p>
        </w:tc>
      </w:tr>
      <w:tr>
        <w:trPr>
          <w:trHeight w:val="40"/>
        </w:trPr>
        <w:tc>
          <w:tcPr>
            <w:tcW w:w="1360" w:type="dxa"/>
            <w:vAlign w:val="bottom"/>
            <w:tcBorders>
              <w:bottom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r>
      <w:tr>
        <w:trPr>
          <w:trHeight w:val="234"/>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rPr>
              <w:t>Netherlands</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r>
      <w:tr>
        <w:trPr>
          <w:trHeight w:val="255"/>
        </w:trPr>
        <w:tc>
          <w:tcPr>
            <w:tcW w:w="234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r>
      <w:tr>
        <w:trPr>
          <w:trHeight w:val="289"/>
        </w:trPr>
        <w:tc>
          <w:tcPr>
            <w:tcW w:w="2340" w:type="dxa"/>
            <w:vAlign w:val="bottom"/>
            <w:gridSpan w:val="2"/>
          </w:tcPr>
          <w:p>
            <w:pPr>
              <w:jc w:val="center"/>
              <w:ind w:right="960"/>
              <w:spacing w:after="0"/>
              <w:rPr>
                <w:sz w:val="20"/>
                <w:szCs w:val="20"/>
                <w:color w:val="auto"/>
              </w:rPr>
            </w:pPr>
            <w:r>
              <w:rPr>
                <w:rFonts w:ascii="Times New Roman" w:cs="Times New Roman" w:eastAsia="Times New Roman" w:hAnsi="Times New Roman"/>
                <w:sz w:val="11"/>
                <w:szCs w:val="11"/>
                <w:b w:val="1"/>
                <w:bCs w:val="1"/>
                <w:color w:val="auto"/>
              </w:rPr>
              <w:t>Jurisdiction of</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Ownership by</w:t>
            </w:r>
          </w:p>
        </w:tc>
      </w:tr>
      <w:tr>
        <w:trPr>
          <w:trHeight w:val="149"/>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1"/>
                <w:szCs w:val="11"/>
                <w:b w:val="1"/>
                <w:bCs w:val="1"/>
                <w:color w:val="auto"/>
              </w:rPr>
              <w:t>Incorporation</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GlobalFoundries U.S. Inc.</w:t>
            </w:r>
          </w:p>
        </w:tc>
      </w:tr>
      <w:tr>
        <w:trPr>
          <w:trHeight w:val="40"/>
        </w:trPr>
        <w:tc>
          <w:tcPr>
            <w:tcW w:w="1360" w:type="dxa"/>
            <w:vAlign w:val="bottom"/>
            <w:tcBorders>
              <w:bottom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r>
      <w:tr>
        <w:trPr>
          <w:trHeight w:val="234"/>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w w:val="97"/>
              </w:rPr>
              <w:t>India</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0.01%</w:t>
            </w:r>
          </w:p>
        </w:tc>
      </w:tr>
      <w:tr>
        <w:trPr>
          <w:trHeight w:val="255"/>
        </w:trPr>
        <w:tc>
          <w:tcPr>
            <w:tcW w:w="234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r>
      <w:tr>
        <w:trPr>
          <w:trHeight w:val="255"/>
        </w:trPr>
        <w:tc>
          <w:tcPr>
            <w:tcW w:w="234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r>
      <w:tr>
        <w:trPr>
          <w:trHeight w:val="289"/>
        </w:trPr>
        <w:tc>
          <w:tcPr>
            <w:tcW w:w="2340" w:type="dxa"/>
            <w:vAlign w:val="bottom"/>
            <w:gridSpan w:val="2"/>
          </w:tcPr>
          <w:p>
            <w:pPr>
              <w:jc w:val="center"/>
              <w:ind w:right="960"/>
              <w:spacing w:after="0"/>
              <w:rPr>
                <w:sz w:val="20"/>
                <w:szCs w:val="20"/>
                <w:color w:val="auto"/>
              </w:rPr>
            </w:pPr>
            <w:r>
              <w:rPr>
                <w:rFonts w:ascii="Times New Roman" w:cs="Times New Roman" w:eastAsia="Times New Roman" w:hAnsi="Times New Roman"/>
                <w:sz w:val="11"/>
                <w:szCs w:val="11"/>
                <w:b w:val="1"/>
                <w:bCs w:val="1"/>
                <w:color w:val="auto"/>
              </w:rPr>
              <w:t>Jurisdiction of</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Ownership by</w:t>
            </w:r>
          </w:p>
        </w:tc>
      </w:tr>
      <w:tr>
        <w:trPr>
          <w:trHeight w:val="149"/>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1"/>
                <w:szCs w:val="11"/>
                <w:b w:val="1"/>
                <w:bCs w:val="1"/>
                <w:color w:val="auto"/>
              </w:rPr>
              <w:t>Incorporation</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GlobalFoundries U.S. 2 LLC</w:t>
            </w:r>
          </w:p>
        </w:tc>
      </w:tr>
      <w:tr>
        <w:trPr>
          <w:trHeight w:val="40"/>
        </w:trPr>
        <w:tc>
          <w:tcPr>
            <w:tcW w:w="1360" w:type="dxa"/>
            <w:vAlign w:val="bottom"/>
            <w:tcBorders>
              <w:bottom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r>
      <w:tr>
        <w:trPr>
          <w:trHeight w:val="234"/>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w w:val="96"/>
              </w:rPr>
              <w:t>Vermont</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r>
      <w:tr>
        <w:trPr>
          <w:trHeight w:val="289"/>
        </w:trPr>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Ownership by</w:t>
            </w:r>
          </w:p>
        </w:tc>
      </w:tr>
      <w:tr>
        <w:trPr>
          <w:trHeight w:val="159"/>
        </w:trPr>
        <w:tc>
          <w:tcPr>
            <w:tcW w:w="2340" w:type="dxa"/>
            <w:vAlign w:val="bottom"/>
            <w:gridSpan w:val="2"/>
          </w:tcPr>
          <w:p>
            <w:pPr>
              <w:jc w:val="center"/>
              <w:ind w:right="960"/>
              <w:spacing w:after="0"/>
              <w:rPr>
                <w:sz w:val="20"/>
                <w:szCs w:val="20"/>
                <w:color w:val="auto"/>
              </w:rPr>
            </w:pPr>
            <w:r>
              <w:rPr>
                <w:rFonts w:ascii="Times New Roman" w:cs="Times New Roman" w:eastAsia="Times New Roman" w:hAnsi="Times New Roman"/>
                <w:sz w:val="11"/>
                <w:szCs w:val="11"/>
                <w:b w:val="1"/>
                <w:bCs w:val="1"/>
                <w:color w:val="auto"/>
              </w:rPr>
              <w:t>Jurisdiction of</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GlobalFoundries Netherlands</w:t>
            </w:r>
          </w:p>
        </w:tc>
      </w:tr>
      <w:tr>
        <w:trPr>
          <w:trHeight w:val="149"/>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1"/>
                <w:szCs w:val="11"/>
                <w:b w:val="1"/>
                <w:bCs w:val="1"/>
                <w:color w:val="auto"/>
              </w:rPr>
              <w:t>Incorporation</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Holding B.V.</w:t>
            </w:r>
          </w:p>
        </w:tc>
      </w:tr>
      <w:tr>
        <w:trPr>
          <w:trHeight w:val="40"/>
        </w:trPr>
        <w:tc>
          <w:tcPr>
            <w:tcW w:w="1360" w:type="dxa"/>
            <w:vAlign w:val="bottom"/>
            <w:tcBorders>
              <w:bottom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r>
      <w:tr>
        <w:trPr>
          <w:trHeight w:val="234"/>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w w:val="99"/>
              </w:rPr>
              <w:t>Bulgaria</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r>
      <w:tr>
        <w:trPr>
          <w:trHeight w:val="255"/>
        </w:trPr>
        <w:tc>
          <w:tcPr>
            <w:tcW w:w="234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r>
      <w:tr>
        <w:trPr>
          <w:trHeight w:val="255"/>
        </w:trPr>
        <w:tc>
          <w:tcPr>
            <w:tcW w:w="234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r>
      <w:tr>
        <w:trPr>
          <w:trHeight w:val="255"/>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w w:val="97"/>
              </w:rPr>
              <w:t>India</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-4735195</wp:posOffset>
            </wp:positionV>
            <wp:extent cx="7161530" cy="1619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7161530" cy="16192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-4391660</wp:posOffset>
            </wp:positionV>
            <wp:extent cx="7161530" cy="1619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7161530" cy="16192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-4068445</wp:posOffset>
            </wp:positionV>
            <wp:extent cx="7161530" cy="1619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7161530" cy="16192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-1676400</wp:posOffset>
            </wp:positionV>
            <wp:extent cx="7161530" cy="1619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7161530" cy="16192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-322580</wp:posOffset>
            </wp:positionV>
            <wp:extent cx="7161530" cy="1619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7161530" cy="16192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-645795</wp:posOffset>
            </wp:positionV>
            <wp:extent cx="7161530" cy="1619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7161530" cy="16192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-1211580</wp:posOffset>
            </wp:positionV>
            <wp:extent cx="7161530" cy="1619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7161530" cy="16192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-2000250</wp:posOffset>
            </wp:positionV>
            <wp:extent cx="7161530" cy="1619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7161530" cy="16192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-2626360</wp:posOffset>
            </wp:positionV>
            <wp:extent cx="7161530" cy="1619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7161530" cy="16192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-3178810</wp:posOffset>
            </wp:positionV>
            <wp:extent cx="7161530" cy="1619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7161530" cy="16192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-3603625</wp:posOffset>
            </wp:positionV>
            <wp:extent cx="7161530" cy="1212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-5059045</wp:posOffset>
            </wp:positionV>
            <wp:extent cx="7161530" cy="1619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7161530" cy="161925"/>
                    </a:xfrm>
                    <a:prstGeom prst="rect">
                      <a:avLst/>
                    </a:prstGeom>
                    <a:noFill/>
                  </pic:spPr>
                </pic:pic>
              </a:graphicData>
            </a:graphic>
          </wp:anchor>
        </w:drawing>
      </w:r>
    </w:p>
    <w:p>
      <w:pPr>
        <w:sectPr>
          <w:pgSz w:w="11900" w:h="16838" w:orient="portrait"/>
          <w:cols w:equalWidth="0" w:num="2">
            <w:col w:w="5040" w:space="720"/>
            <w:col w:w="5500"/>
          </w:cols>
          <w:pgMar w:left="320" w:top="1141" w:right="319" w:bottom="1440" w:gutter="0" w:footer="0" w:header="0"/>
          <w:type w:val="continuous"/>
        </w:sectPr>
      </w:pPr>
    </w:p>
    <w:bookmarkStart w:id="183" w:name="page184"/>
    <w:bookmarkEnd w:id="183"/>
    <w:p>
      <w:pPr>
        <w:ind w:right="1880"/>
        <w:spacing w:after="0" w:line="396" w:lineRule="auto"/>
        <w:rPr>
          <w:sz w:val="20"/>
          <w:szCs w:val="20"/>
          <w:color w:val="auto"/>
        </w:rPr>
      </w:pPr>
      <w:r>
        <w:rPr>
          <w:rFonts w:ascii="Times New Roman" w:cs="Times New Roman" w:eastAsia="Times New Roman" w:hAnsi="Times New Roman"/>
          <w:sz w:val="14"/>
          <w:szCs w:val="14"/>
          <w:color w:val="auto"/>
        </w:rPr>
        <w:t>GlobalFoundries Europe Sales &amp; Support GmbH GlobalFoundries Management Services LLC &amp; Co. KG GlobalFoundries France SAS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Name of Subsidiary</w:t>
      </w:r>
    </w:p>
    <w:p>
      <w:pPr>
        <w:spacing w:after="0" w:line="80" w:lineRule="exact"/>
        <w:rPr>
          <w:sz w:val="20"/>
          <w:szCs w:val="20"/>
          <w:color w:val="auto"/>
        </w:rPr>
      </w:pPr>
    </w:p>
    <w:p>
      <w:pPr>
        <w:ind w:right="1900"/>
        <w:spacing w:after="0" w:line="388" w:lineRule="auto"/>
        <w:rPr>
          <w:sz w:val="20"/>
          <w:szCs w:val="20"/>
          <w:color w:val="auto"/>
        </w:rPr>
      </w:pPr>
      <w:r>
        <w:rPr>
          <w:rFonts w:ascii="Times New Roman" w:cs="Times New Roman" w:eastAsia="Times New Roman" w:hAnsi="Times New Roman"/>
          <w:sz w:val="14"/>
          <w:szCs w:val="14"/>
          <w:color w:val="auto"/>
        </w:rPr>
        <w:t>Advanced Mask Technology Center GmbH &amp; Co. KG GlobalFoundries Dresden Module One LLC GlobalFoundries Dresden Module One Holding GmbH GlobalFoundries Dresden Module Two Holding GmbH Maskhouse Building Administration GmbH &amp; Co. KG</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Name of Subsidiary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Advanced Mask Technology Center Verwaltungs GmbH</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Name of Subsidiary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Maskhouse Building Administration Verwaltungs GmbH</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Name of Subsidiary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GlobalFoundries Dresden Module One LLC &amp; Co. KG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GlobalFoundries Management Services LLC &amp; Co. KG</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Name of Subsidiary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GlobalFoundries Dresden Module Two LLC &amp; Co. KG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GlobalFoundries Management Services LLC &amp; Co. KG</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Name of Subsidiary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GlobalFoundries China (Beijing) Co., Limited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GlobalFoundries China (Shanghai) Co., Limited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GlobalFoundries Europe Ltd.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w w:val="99"/>
              </w:rPr>
              <w:t>Germany</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0" w:type="dxa"/>
            <w:vAlign w:val="bottom"/>
          </w:tcPr>
          <w:p>
            <w:pPr>
              <w:spacing w:after="0"/>
              <w:rPr>
                <w:sz w:val="1"/>
                <w:szCs w:val="1"/>
                <w:color w:val="auto"/>
              </w:rPr>
            </w:pPr>
          </w:p>
        </w:tc>
      </w:tr>
      <w:tr>
        <w:trPr>
          <w:trHeight w:val="255"/>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w w:val="99"/>
              </w:rPr>
              <w:t>Germany</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89.8%</w:t>
            </w:r>
          </w:p>
        </w:tc>
        <w:tc>
          <w:tcPr>
            <w:tcW w:w="0" w:type="dxa"/>
            <w:vAlign w:val="bottom"/>
          </w:tcPr>
          <w:p>
            <w:pPr>
              <w:spacing w:after="0"/>
              <w:rPr>
                <w:sz w:val="1"/>
                <w:szCs w:val="1"/>
                <w:color w:val="auto"/>
              </w:rPr>
            </w:pPr>
          </w:p>
        </w:tc>
      </w:tr>
      <w:tr>
        <w:trPr>
          <w:trHeight w:val="255"/>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rPr>
              <w:t>France</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0" w:type="dxa"/>
            <w:vAlign w:val="bottom"/>
          </w:tcPr>
          <w:p>
            <w:pPr>
              <w:spacing w:after="0"/>
              <w:rPr>
                <w:sz w:val="1"/>
                <w:szCs w:val="1"/>
                <w:color w:val="auto"/>
              </w:rPr>
            </w:pPr>
          </w:p>
        </w:tc>
      </w:tr>
      <w:tr>
        <w:trPr>
          <w:trHeight w:val="289"/>
        </w:trPr>
        <w:tc>
          <w:tcPr>
            <w:tcW w:w="234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3"/>
                <w:szCs w:val="13"/>
                <w:b w:val="1"/>
                <w:bCs w:val="1"/>
                <w:color w:val="auto"/>
              </w:rPr>
              <w:t>J</w:t>
            </w:r>
            <w:r>
              <w:rPr>
                <w:rFonts w:ascii="Times New Roman" w:cs="Times New Roman" w:eastAsia="Times New Roman" w:hAnsi="Times New Roman"/>
                <w:sz w:val="11"/>
                <w:szCs w:val="11"/>
                <w:b w:val="1"/>
                <w:bCs w:val="1"/>
                <w:color w:val="auto"/>
              </w:rPr>
              <w:t>urisdiction of</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Ownership by</w:t>
            </w:r>
          </w:p>
        </w:tc>
        <w:tc>
          <w:tcPr>
            <w:tcW w:w="0" w:type="dxa"/>
            <w:vAlign w:val="bottom"/>
          </w:tcPr>
          <w:p>
            <w:pPr>
              <w:spacing w:after="0"/>
              <w:rPr>
                <w:sz w:val="1"/>
                <w:szCs w:val="1"/>
                <w:color w:val="auto"/>
              </w:rPr>
            </w:pPr>
          </w:p>
        </w:tc>
      </w:tr>
      <w:tr>
        <w:trPr>
          <w:trHeight w:val="138"/>
        </w:trPr>
        <w:tc>
          <w:tcPr>
            <w:tcW w:w="2340" w:type="dxa"/>
            <w:vAlign w:val="bottom"/>
            <w:gridSpan w:val="2"/>
            <w:vMerge w:val="continue"/>
          </w:tcPr>
          <w:p>
            <w:pPr>
              <w:spacing w:after="0"/>
              <w:rPr>
                <w:sz w:val="11"/>
                <w:szCs w:val="11"/>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GlobalFoundries Management</w:t>
            </w:r>
          </w:p>
        </w:tc>
        <w:tc>
          <w:tcPr>
            <w:tcW w:w="0" w:type="dxa"/>
            <w:vAlign w:val="bottom"/>
          </w:tcPr>
          <w:p>
            <w:pPr>
              <w:spacing w:after="0"/>
              <w:rPr>
                <w:sz w:val="1"/>
                <w:szCs w:val="1"/>
                <w:color w:val="auto"/>
              </w:rPr>
            </w:pPr>
          </w:p>
        </w:tc>
      </w:tr>
      <w:tr>
        <w:trPr>
          <w:trHeight w:val="149"/>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1"/>
                <w:szCs w:val="11"/>
                <w:b w:val="1"/>
                <w:bCs w:val="1"/>
                <w:color w:val="auto"/>
              </w:rPr>
              <w:t>Incorporation</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Services LLC &amp; Co. KG</w:t>
            </w:r>
          </w:p>
        </w:tc>
        <w:tc>
          <w:tcPr>
            <w:tcW w:w="0" w:type="dxa"/>
            <w:vAlign w:val="bottom"/>
          </w:tcPr>
          <w:p>
            <w:pPr>
              <w:spacing w:after="0"/>
              <w:rPr>
                <w:sz w:val="1"/>
                <w:szCs w:val="1"/>
                <w:color w:val="auto"/>
              </w:rPr>
            </w:pPr>
          </w:p>
        </w:tc>
      </w:tr>
      <w:tr>
        <w:trPr>
          <w:trHeight w:val="40"/>
        </w:trPr>
        <w:tc>
          <w:tcPr>
            <w:tcW w:w="1360" w:type="dxa"/>
            <w:vAlign w:val="bottom"/>
            <w:tcBorders>
              <w:bottom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w w:val="99"/>
              </w:rPr>
              <w:t>Germany</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50%(a)</w:t>
            </w:r>
          </w:p>
        </w:tc>
        <w:tc>
          <w:tcPr>
            <w:tcW w:w="0" w:type="dxa"/>
            <w:vAlign w:val="bottom"/>
          </w:tcPr>
          <w:p>
            <w:pPr>
              <w:spacing w:after="0"/>
              <w:rPr>
                <w:sz w:val="1"/>
                <w:szCs w:val="1"/>
                <w:color w:val="auto"/>
              </w:rPr>
            </w:pPr>
          </w:p>
        </w:tc>
      </w:tr>
      <w:tr>
        <w:trPr>
          <w:trHeight w:val="255"/>
        </w:trPr>
        <w:tc>
          <w:tcPr>
            <w:tcW w:w="234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55"/>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w w:val="99"/>
              </w:rPr>
              <w:t>Germany</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0" w:type="dxa"/>
            <w:vAlign w:val="bottom"/>
          </w:tcPr>
          <w:p>
            <w:pPr>
              <w:spacing w:after="0"/>
              <w:rPr>
                <w:sz w:val="1"/>
                <w:szCs w:val="1"/>
                <w:color w:val="auto"/>
              </w:rPr>
            </w:pPr>
          </w:p>
        </w:tc>
      </w:tr>
      <w:tr>
        <w:trPr>
          <w:trHeight w:val="255"/>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w w:val="99"/>
              </w:rPr>
              <w:t>Germany</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0" w:type="dxa"/>
            <w:vAlign w:val="bottom"/>
          </w:tcPr>
          <w:p>
            <w:pPr>
              <w:spacing w:after="0"/>
              <w:rPr>
                <w:sz w:val="1"/>
                <w:szCs w:val="1"/>
                <w:color w:val="auto"/>
              </w:rPr>
            </w:pPr>
          </w:p>
        </w:tc>
      </w:tr>
      <w:tr>
        <w:trPr>
          <w:trHeight w:val="255"/>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w w:val="99"/>
              </w:rPr>
              <w:t>Germany</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50%(b)</w:t>
            </w:r>
          </w:p>
        </w:tc>
        <w:tc>
          <w:tcPr>
            <w:tcW w:w="0" w:type="dxa"/>
            <w:vAlign w:val="bottom"/>
          </w:tcPr>
          <w:p>
            <w:pPr>
              <w:spacing w:after="0"/>
              <w:rPr>
                <w:sz w:val="1"/>
                <w:szCs w:val="1"/>
                <w:color w:val="auto"/>
              </w:rPr>
            </w:pPr>
          </w:p>
        </w:tc>
      </w:tr>
      <w:tr>
        <w:trPr>
          <w:trHeight w:val="289"/>
        </w:trPr>
        <w:tc>
          <w:tcPr>
            <w:tcW w:w="2340" w:type="dxa"/>
            <w:vAlign w:val="bottom"/>
            <w:gridSpan w:val="2"/>
          </w:tcPr>
          <w:p>
            <w:pPr>
              <w:jc w:val="center"/>
              <w:ind w:right="1000"/>
              <w:spacing w:after="0"/>
              <w:rPr>
                <w:sz w:val="20"/>
                <w:szCs w:val="20"/>
                <w:color w:val="auto"/>
              </w:rPr>
            </w:pPr>
            <w:r>
              <w:rPr>
                <w:rFonts w:ascii="Times New Roman" w:cs="Times New Roman" w:eastAsia="Times New Roman" w:hAnsi="Times New Roman"/>
                <w:sz w:val="11"/>
                <w:szCs w:val="11"/>
                <w:b w:val="1"/>
                <w:bCs w:val="1"/>
                <w:color w:val="auto"/>
              </w:rPr>
              <w:t>Jurisdiction</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Ownership by</w:t>
            </w:r>
          </w:p>
        </w:tc>
        <w:tc>
          <w:tcPr>
            <w:tcW w:w="0" w:type="dxa"/>
            <w:vAlign w:val="bottom"/>
          </w:tcPr>
          <w:p>
            <w:pPr>
              <w:spacing w:after="0"/>
              <w:rPr>
                <w:sz w:val="1"/>
                <w:szCs w:val="1"/>
                <w:color w:val="auto"/>
              </w:rPr>
            </w:pPr>
          </w:p>
        </w:tc>
      </w:tr>
      <w:tr>
        <w:trPr>
          <w:trHeight w:val="138"/>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1"/>
                <w:szCs w:val="11"/>
                <w:b w:val="1"/>
                <w:bCs w:val="1"/>
                <w:color w:val="auto"/>
                <w:w w:val="86"/>
              </w:rPr>
              <w:t>of</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Advanced Mask Technology Center</w:t>
            </w:r>
          </w:p>
        </w:tc>
        <w:tc>
          <w:tcPr>
            <w:tcW w:w="0" w:type="dxa"/>
            <w:vAlign w:val="bottom"/>
          </w:tcPr>
          <w:p>
            <w:pPr>
              <w:spacing w:after="0"/>
              <w:rPr>
                <w:sz w:val="1"/>
                <w:szCs w:val="1"/>
                <w:color w:val="auto"/>
              </w:rPr>
            </w:pPr>
          </w:p>
        </w:tc>
      </w:tr>
      <w:tr>
        <w:trPr>
          <w:trHeight w:val="149"/>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1"/>
                <w:szCs w:val="11"/>
                <w:b w:val="1"/>
                <w:bCs w:val="1"/>
                <w:color w:val="auto"/>
              </w:rPr>
              <w:t>Incorporation</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GmbH &amp; Co. KG</w:t>
            </w:r>
          </w:p>
        </w:tc>
        <w:tc>
          <w:tcPr>
            <w:tcW w:w="0" w:type="dxa"/>
            <w:vAlign w:val="bottom"/>
          </w:tcPr>
          <w:p>
            <w:pPr>
              <w:spacing w:after="0"/>
              <w:rPr>
                <w:sz w:val="1"/>
                <w:szCs w:val="1"/>
                <w:color w:val="auto"/>
              </w:rPr>
            </w:pPr>
          </w:p>
        </w:tc>
      </w:tr>
      <w:tr>
        <w:trPr>
          <w:trHeight w:val="40"/>
        </w:trPr>
        <w:tc>
          <w:tcPr>
            <w:tcW w:w="1360" w:type="dxa"/>
            <w:vAlign w:val="bottom"/>
            <w:tcBorders>
              <w:bottom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w w:val="99"/>
              </w:rPr>
              <w:t>Germany</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0" w:type="dxa"/>
            <w:vAlign w:val="bottom"/>
          </w:tcPr>
          <w:p>
            <w:pPr>
              <w:spacing w:after="0"/>
              <w:rPr>
                <w:sz w:val="1"/>
                <w:szCs w:val="1"/>
                <w:color w:val="auto"/>
              </w:rPr>
            </w:pPr>
          </w:p>
        </w:tc>
      </w:tr>
      <w:tr>
        <w:trPr>
          <w:trHeight w:val="289"/>
        </w:trPr>
        <w:tc>
          <w:tcPr>
            <w:tcW w:w="2340" w:type="dxa"/>
            <w:vAlign w:val="bottom"/>
            <w:gridSpan w:val="2"/>
          </w:tcPr>
          <w:p>
            <w:pPr>
              <w:jc w:val="center"/>
              <w:ind w:right="1000"/>
              <w:spacing w:after="0"/>
              <w:rPr>
                <w:sz w:val="20"/>
                <w:szCs w:val="20"/>
                <w:color w:val="auto"/>
              </w:rPr>
            </w:pPr>
            <w:r>
              <w:rPr>
                <w:rFonts w:ascii="Times New Roman" w:cs="Times New Roman" w:eastAsia="Times New Roman" w:hAnsi="Times New Roman"/>
                <w:sz w:val="11"/>
                <w:szCs w:val="11"/>
                <w:b w:val="1"/>
                <w:bCs w:val="1"/>
                <w:color w:val="auto"/>
              </w:rPr>
              <w:t>Jurisdiction</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Ownership by</w:t>
            </w:r>
          </w:p>
        </w:tc>
        <w:tc>
          <w:tcPr>
            <w:tcW w:w="0" w:type="dxa"/>
            <w:vAlign w:val="bottom"/>
          </w:tcPr>
          <w:p>
            <w:pPr>
              <w:spacing w:after="0"/>
              <w:rPr>
                <w:sz w:val="1"/>
                <w:szCs w:val="1"/>
                <w:color w:val="auto"/>
              </w:rPr>
            </w:pPr>
          </w:p>
        </w:tc>
      </w:tr>
      <w:tr>
        <w:trPr>
          <w:trHeight w:val="138"/>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1"/>
                <w:szCs w:val="11"/>
                <w:b w:val="1"/>
                <w:bCs w:val="1"/>
                <w:color w:val="auto"/>
                <w:w w:val="86"/>
              </w:rPr>
              <w:t>of</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Maskhouse Building Administration</w:t>
            </w:r>
          </w:p>
        </w:tc>
        <w:tc>
          <w:tcPr>
            <w:tcW w:w="0" w:type="dxa"/>
            <w:vAlign w:val="bottom"/>
          </w:tcPr>
          <w:p>
            <w:pPr>
              <w:spacing w:after="0"/>
              <w:rPr>
                <w:sz w:val="1"/>
                <w:szCs w:val="1"/>
                <w:color w:val="auto"/>
              </w:rPr>
            </w:pPr>
          </w:p>
        </w:tc>
      </w:tr>
      <w:tr>
        <w:trPr>
          <w:trHeight w:val="149"/>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1"/>
                <w:szCs w:val="11"/>
                <w:b w:val="1"/>
                <w:bCs w:val="1"/>
                <w:color w:val="auto"/>
              </w:rPr>
              <w:t>Incorporation</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GmbH &amp; Co. KG</w:t>
            </w:r>
          </w:p>
        </w:tc>
        <w:tc>
          <w:tcPr>
            <w:tcW w:w="0" w:type="dxa"/>
            <w:vAlign w:val="bottom"/>
          </w:tcPr>
          <w:p>
            <w:pPr>
              <w:spacing w:after="0"/>
              <w:rPr>
                <w:sz w:val="1"/>
                <w:szCs w:val="1"/>
                <w:color w:val="auto"/>
              </w:rPr>
            </w:pPr>
          </w:p>
        </w:tc>
      </w:tr>
      <w:tr>
        <w:trPr>
          <w:trHeight w:val="40"/>
        </w:trPr>
        <w:tc>
          <w:tcPr>
            <w:tcW w:w="1360" w:type="dxa"/>
            <w:vAlign w:val="bottom"/>
            <w:tcBorders>
              <w:bottom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w w:val="99"/>
              </w:rPr>
              <w:t>Germany</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0" w:type="dxa"/>
            <w:vAlign w:val="bottom"/>
          </w:tcPr>
          <w:p>
            <w:pPr>
              <w:spacing w:after="0"/>
              <w:rPr>
                <w:sz w:val="1"/>
                <w:szCs w:val="1"/>
                <w:color w:val="auto"/>
              </w:rPr>
            </w:pPr>
          </w:p>
        </w:tc>
      </w:tr>
      <w:tr>
        <w:trPr>
          <w:trHeight w:val="300"/>
        </w:trPr>
        <w:tc>
          <w:tcPr>
            <w:tcW w:w="2340" w:type="dxa"/>
            <w:vAlign w:val="bottom"/>
            <w:gridSpan w:val="2"/>
          </w:tcPr>
          <w:p>
            <w:pPr>
              <w:jc w:val="center"/>
              <w:ind w:right="1000"/>
              <w:spacing w:after="0"/>
              <w:rPr>
                <w:sz w:val="20"/>
                <w:szCs w:val="20"/>
                <w:color w:val="auto"/>
              </w:rPr>
            </w:pPr>
            <w:r>
              <w:rPr>
                <w:rFonts w:ascii="Times New Roman" w:cs="Times New Roman" w:eastAsia="Times New Roman" w:hAnsi="Times New Roman"/>
                <w:sz w:val="11"/>
                <w:szCs w:val="11"/>
                <w:b w:val="1"/>
                <w:bCs w:val="1"/>
                <w:color w:val="auto"/>
              </w:rPr>
              <w:t>Jurisdiction</w:t>
            </w:r>
          </w:p>
        </w:tc>
        <w:tc>
          <w:tcPr>
            <w:tcW w:w="31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Ownership by</w:t>
            </w:r>
          </w:p>
        </w:tc>
        <w:tc>
          <w:tcPr>
            <w:tcW w:w="0" w:type="dxa"/>
            <w:vAlign w:val="bottom"/>
          </w:tcPr>
          <w:p>
            <w:pPr>
              <w:spacing w:after="0"/>
              <w:rPr>
                <w:sz w:val="1"/>
                <w:szCs w:val="1"/>
                <w:color w:val="auto"/>
              </w:rPr>
            </w:pPr>
          </w:p>
        </w:tc>
      </w:tr>
      <w:tr>
        <w:trPr>
          <w:trHeight w:val="42"/>
        </w:trPr>
        <w:tc>
          <w:tcPr>
            <w:tcW w:w="234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1"/>
                <w:szCs w:val="11"/>
                <w:b w:val="1"/>
                <w:bCs w:val="1"/>
                <w:color w:val="auto"/>
                <w:w w:val="86"/>
              </w:rPr>
              <w:t>of</w:t>
            </w:r>
          </w:p>
        </w:tc>
        <w:tc>
          <w:tcPr>
            <w:tcW w:w="3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2340" w:type="dxa"/>
            <w:vAlign w:val="bottom"/>
            <w:gridSpan w:val="2"/>
            <w:vMerge w:val="continue"/>
          </w:tcPr>
          <w:p>
            <w:pPr>
              <w:spacing w:after="0"/>
              <w:rPr>
                <w:sz w:val="11"/>
                <w:szCs w:val="11"/>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GlobalFoundries Dresden Module One</w:t>
            </w:r>
          </w:p>
        </w:tc>
        <w:tc>
          <w:tcPr>
            <w:tcW w:w="0" w:type="dxa"/>
            <w:vAlign w:val="bottom"/>
          </w:tcPr>
          <w:p>
            <w:pPr>
              <w:spacing w:after="0"/>
              <w:rPr>
                <w:sz w:val="1"/>
                <w:szCs w:val="1"/>
                <w:color w:val="auto"/>
              </w:rPr>
            </w:pPr>
          </w:p>
        </w:tc>
      </w:tr>
      <w:tr>
        <w:trPr>
          <w:trHeight w:val="159"/>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1"/>
                <w:szCs w:val="11"/>
                <w:b w:val="1"/>
                <w:bCs w:val="1"/>
                <w:color w:val="auto"/>
              </w:rPr>
              <w:t>Incorporation</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Holding GmbH</w:t>
            </w:r>
          </w:p>
        </w:tc>
        <w:tc>
          <w:tcPr>
            <w:tcW w:w="0" w:type="dxa"/>
            <w:vAlign w:val="bottom"/>
          </w:tcPr>
          <w:p>
            <w:pPr>
              <w:spacing w:after="0"/>
              <w:rPr>
                <w:sz w:val="1"/>
                <w:szCs w:val="1"/>
                <w:color w:val="auto"/>
              </w:rPr>
            </w:pPr>
          </w:p>
        </w:tc>
      </w:tr>
      <w:tr>
        <w:trPr>
          <w:trHeight w:val="40"/>
        </w:trPr>
        <w:tc>
          <w:tcPr>
            <w:tcW w:w="1360" w:type="dxa"/>
            <w:vAlign w:val="bottom"/>
            <w:tcBorders>
              <w:bottom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w w:val="99"/>
              </w:rPr>
              <w:t>Germany</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0" w:type="dxa"/>
            <w:vAlign w:val="bottom"/>
          </w:tcPr>
          <w:p>
            <w:pPr>
              <w:spacing w:after="0"/>
              <w:rPr>
                <w:sz w:val="1"/>
                <w:szCs w:val="1"/>
                <w:color w:val="auto"/>
              </w:rPr>
            </w:pPr>
          </w:p>
        </w:tc>
      </w:tr>
      <w:tr>
        <w:trPr>
          <w:trHeight w:val="255"/>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w w:val="99"/>
              </w:rPr>
              <w:t>Germany</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5.1%</w:t>
            </w:r>
          </w:p>
        </w:tc>
        <w:tc>
          <w:tcPr>
            <w:tcW w:w="0" w:type="dxa"/>
            <w:vAlign w:val="bottom"/>
          </w:tcPr>
          <w:p>
            <w:pPr>
              <w:spacing w:after="0"/>
              <w:rPr>
                <w:sz w:val="1"/>
                <w:szCs w:val="1"/>
                <w:color w:val="auto"/>
              </w:rPr>
            </w:pPr>
          </w:p>
        </w:tc>
      </w:tr>
      <w:tr>
        <w:trPr>
          <w:trHeight w:val="300"/>
        </w:trPr>
        <w:tc>
          <w:tcPr>
            <w:tcW w:w="2340" w:type="dxa"/>
            <w:vAlign w:val="bottom"/>
            <w:gridSpan w:val="2"/>
          </w:tcPr>
          <w:p>
            <w:pPr>
              <w:jc w:val="center"/>
              <w:ind w:right="1000"/>
              <w:spacing w:after="0"/>
              <w:rPr>
                <w:sz w:val="20"/>
                <w:szCs w:val="20"/>
                <w:color w:val="auto"/>
              </w:rPr>
            </w:pPr>
            <w:r>
              <w:rPr>
                <w:rFonts w:ascii="Times New Roman" w:cs="Times New Roman" w:eastAsia="Times New Roman" w:hAnsi="Times New Roman"/>
                <w:sz w:val="11"/>
                <w:szCs w:val="11"/>
                <w:b w:val="1"/>
                <w:bCs w:val="1"/>
                <w:color w:val="auto"/>
              </w:rPr>
              <w:t>Jurisdiction</w:t>
            </w:r>
          </w:p>
        </w:tc>
        <w:tc>
          <w:tcPr>
            <w:tcW w:w="31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Ownership by</w:t>
            </w:r>
          </w:p>
        </w:tc>
        <w:tc>
          <w:tcPr>
            <w:tcW w:w="0" w:type="dxa"/>
            <w:vAlign w:val="bottom"/>
          </w:tcPr>
          <w:p>
            <w:pPr>
              <w:spacing w:after="0"/>
              <w:rPr>
                <w:sz w:val="1"/>
                <w:szCs w:val="1"/>
                <w:color w:val="auto"/>
              </w:rPr>
            </w:pPr>
          </w:p>
        </w:tc>
      </w:tr>
      <w:tr>
        <w:trPr>
          <w:trHeight w:val="42"/>
        </w:trPr>
        <w:tc>
          <w:tcPr>
            <w:tcW w:w="234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1"/>
                <w:szCs w:val="11"/>
                <w:b w:val="1"/>
                <w:bCs w:val="1"/>
                <w:color w:val="auto"/>
                <w:w w:val="86"/>
              </w:rPr>
              <w:t>of</w:t>
            </w:r>
          </w:p>
        </w:tc>
        <w:tc>
          <w:tcPr>
            <w:tcW w:w="3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2340" w:type="dxa"/>
            <w:vAlign w:val="bottom"/>
            <w:gridSpan w:val="2"/>
            <w:vMerge w:val="continue"/>
          </w:tcPr>
          <w:p>
            <w:pPr>
              <w:spacing w:after="0"/>
              <w:rPr>
                <w:sz w:val="11"/>
                <w:szCs w:val="11"/>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GlobalFoundries Dresden Module</w:t>
            </w:r>
          </w:p>
        </w:tc>
        <w:tc>
          <w:tcPr>
            <w:tcW w:w="0" w:type="dxa"/>
            <w:vAlign w:val="bottom"/>
          </w:tcPr>
          <w:p>
            <w:pPr>
              <w:spacing w:after="0"/>
              <w:rPr>
                <w:sz w:val="1"/>
                <w:szCs w:val="1"/>
                <w:color w:val="auto"/>
              </w:rPr>
            </w:pPr>
          </w:p>
        </w:tc>
      </w:tr>
      <w:tr>
        <w:trPr>
          <w:trHeight w:val="159"/>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1"/>
                <w:szCs w:val="11"/>
                <w:b w:val="1"/>
                <w:bCs w:val="1"/>
                <w:color w:val="auto"/>
              </w:rPr>
              <w:t>Incorporation</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Two Holding GmbH</w:t>
            </w:r>
          </w:p>
        </w:tc>
        <w:tc>
          <w:tcPr>
            <w:tcW w:w="0" w:type="dxa"/>
            <w:vAlign w:val="bottom"/>
          </w:tcPr>
          <w:p>
            <w:pPr>
              <w:spacing w:after="0"/>
              <w:rPr>
                <w:sz w:val="1"/>
                <w:szCs w:val="1"/>
                <w:color w:val="auto"/>
              </w:rPr>
            </w:pPr>
          </w:p>
        </w:tc>
      </w:tr>
      <w:tr>
        <w:trPr>
          <w:trHeight w:val="40"/>
        </w:trPr>
        <w:tc>
          <w:tcPr>
            <w:tcW w:w="1360" w:type="dxa"/>
            <w:vAlign w:val="bottom"/>
            <w:tcBorders>
              <w:bottom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w w:val="99"/>
              </w:rPr>
              <w:t>Germany</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0" w:type="dxa"/>
            <w:vAlign w:val="bottom"/>
          </w:tcPr>
          <w:p>
            <w:pPr>
              <w:spacing w:after="0"/>
              <w:rPr>
                <w:sz w:val="1"/>
                <w:szCs w:val="1"/>
                <w:color w:val="auto"/>
              </w:rPr>
            </w:pPr>
          </w:p>
        </w:tc>
      </w:tr>
      <w:tr>
        <w:trPr>
          <w:trHeight w:val="255"/>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w w:val="99"/>
              </w:rPr>
              <w:t>Germany</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5.1%</w:t>
            </w:r>
          </w:p>
        </w:tc>
        <w:tc>
          <w:tcPr>
            <w:tcW w:w="0" w:type="dxa"/>
            <w:vAlign w:val="bottom"/>
          </w:tcPr>
          <w:p>
            <w:pPr>
              <w:spacing w:after="0"/>
              <w:rPr>
                <w:sz w:val="1"/>
                <w:szCs w:val="1"/>
                <w:color w:val="auto"/>
              </w:rPr>
            </w:pPr>
          </w:p>
        </w:tc>
      </w:tr>
      <w:tr>
        <w:trPr>
          <w:trHeight w:val="300"/>
        </w:trPr>
        <w:tc>
          <w:tcPr>
            <w:tcW w:w="2340" w:type="dxa"/>
            <w:vAlign w:val="bottom"/>
            <w:gridSpan w:val="2"/>
          </w:tcPr>
          <w:p>
            <w:pPr>
              <w:jc w:val="center"/>
              <w:ind w:right="1000"/>
              <w:spacing w:after="0"/>
              <w:rPr>
                <w:sz w:val="20"/>
                <w:szCs w:val="20"/>
                <w:color w:val="auto"/>
              </w:rPr>
            </w:pPr>
            <w:r>
              <w:rPr>
                <w:rFonts w:ascii="Times New Roman" w:cs="Times New Roman" w:eastAsia="Times New Roman" w:hAnsi="Times New Roman"/>
                <w:sz w:val="11"/>
                <w:szCs w:val="11"/>
                <w:b w:val="1"/>
                <w:bCs w:val="1"/>
                <w:color w:val="auto"/>
              </w:rPr>
              <w:t>Jurisdiction</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1"/>
                <w:szCs w:val="11"/>
                <w:b w:val="1"/>
                <w:bCs w:val="1"/>
                <w:color w:val="auto"/>
                <w:w w:val="86"/>
              </w:rPr>
              <w:t>of</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Ownership by</w:t>
            </w:r>
          </w:p>
        </w:tc>
        <w:tc>
          <w:tcPr>
            <w:tcW w:w="0" w:type="dxa"/>
            <w:vAlign w:val="bottom"/>
          </w:tcPr>
          <w:p>
            <w:pPr>
              <w:spacing w:after="0"/>
              <w:rPr>
                <w:sz w:val="1"/>
                <w:szCs w:val="1"/>
                <w:color w:val="auto"/>
              </w:rPr>
            </w:pPr>
          </w:p>
        </w:tc>
      </w:tr>
      <w:tr>
        <w:trPr>
          <w:trHeight w:val="159"/>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1"/>
                <w:szCs w:val="11"/>
                <w:b w:val="1"/>
                <w:bCs w:val="1"/>
                <w:color w:val="auto"/>
              </w:rPr>
              <w:t>Incorporation</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GlobalFoundries Singapore Pte. Ltd.</w:t>
            </w:r>
          </w:p>
        </w:tc>
        <w:tc>
          <w:tcPr>
            <w:tcW w:w="0" w:type="dxa"/>
            <w:vAlign w:val="bottom"/>
          </w:tcPr>
          <w:p>
            <w:pPr>
              <w:spacing w:after="0"/>
              <w:rPr>
                <w:sz w:val="1"/>
                <w:szCs w:val="1"/>
                <w:color w:val="auto"/>
              </w:rPr>
            </w:pPr>
          </w:p>
        </w:tc>
      </w:tr>
      <w:tr>
        <w:trPr>
          <w:trHeight w:val="40"/>
        </w:trPr>
        <w:tc>
          <w:tcPr>
            <w:tcW w:w="1360" w:type="dxa"/>
            <w:vAlign w:val="bottom"/>
            <w:tcBorders>
              <w:bottom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w w:val="95"/>
              </w:rPr>
              <w:t>China</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0" w:type="dxa"/>
            <w:vAlign w:val="bottom"/>
          </w:tcPr>
          <w:p>
            <w:pPr>
              <w:spacing w:after="0"/>
              <w:rPr>
                <w:sz w:val="1"/>
                <w:szCs w:val="1"/>
                <w:color w:val="auto"/>
              </w:rPr>
            </w:pPr>
          </w:p>
        </w:tc>
      </w:tr>
      <w:tr>
        <w:trPr>
          <w:trHeight w:val="255"/>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w w:val="95"/>
              </w:rPr>
              <w:t>China</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0" w:type="dxa"/>
            <w:vAlign w:val="bottom"/>
          </w:tcPr>
          <w:p>
            <w:pPr>
              <w:spacing w:after="0"/>
              <w:rPr>
                <w:sz w:val="1"/>
                <w:szCs w:val="1"/>
                <w:color w:val="auto"/>
              </w:rPr>
            </w:pPr>
          </w:p>
        </w:tc>
      </w:tr>
      <w:tr>
        <w:trPr>
          <w:trHeight w:val="255"/>
        </w:trPr>
        <w:tc>
          <w:tcPr>
            <w:tcW w:w="23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rPr>
              <w:t>U.K.</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-5193665</wp:posOffset>
            </wp:positionV>
            <wp:extent cx="7161530" cy="1619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7161530" cy="16192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-4869815</wp:posOffset>
            </wp:positionV>
            <wp:extent cx="7161530" cy="1619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7161530" cy="16192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-3994150</wp:posOffset>
            </wp:positionV>
            <wp:extent cx="7161530" cy="1619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7161530" cy="16192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-3670935</wp:posOffset>
            </wp:positionV>
            <wp:extent cx="7161530" cy="1619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7161530" cy="16192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-160655</wp:posOffset>
            </wp:positionV>
            <wp:extent cx="7161530" cy="1619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7161530" cy="16192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-483870</wp:posOffset>
            </wp:positionV>
            <wp:extent cx="7161530" cy="1619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7161530" cy="16192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-1231900</wp:posOffset>
            </wp:positionV>
            <wp:extent cx="7161530" cy="1619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7161530" cy="16192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-1979930</wp:posOffset>
            </wp:positionV>
            <wp:extent cx="7161530" cy="1619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7161530" cy="16192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-2566035</wp:posOffset>
            </wp:positionV>
            <wp:extent cx="7161530" cy="1619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7161530" cy="16192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-3118485</wp:posOffset>
            </wp:positionV>
            <wp:extent cx="7161530" cy="1619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7161530" cy="16192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-4317365</wp:posOffset>
            </wp:positionV>
            <wp:extent cx="7161530" cy="1619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7161530" cy="161925"/>
                    </a:xfrm>
                    <a:prstGeom prst="rect">
                      <a:avLst/>
                    </a:prstGeom>
                    <a:noFill/>
                  </pic:spPr>
                </pic:pic>
              </a:graphicData>
            </a:graphic>
          </wp:anchor>
        </w:drawing>
      </w:r>
    </w:p>
    <w:p>
      <w:pPr>
        <w:sectPr>
          <w:pgSz w:w="11900" w:h="16838" w:orient="portrait"/>
          <w:cols w:equalWidth="0" w:num="2">
            <w:col w:w="5040" w:space="720"/>
            <w:col w:w="5500"/>
          </w:cols>
          <w:pgMar w:left="320" w:top="1218" w:right="31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GlobalFoundries Japan Ltd.</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Japan</w:t>
            </w:r>
          </w:p>
        </w:tc>
        <w:tc>
          <w:tcPr>
            <w:tcW w:w="3160" w:type="dxa"/>
            <w:vAlign w:val="bottom"/>
          </w:tcPr>
          <w:p>
            <w:pPr>
              <w:jc w:val="right"/>
              <w:ind w:right="1349"/>
              <w:spacing w:after="0"/>
              <w:rPr>
                <w:sz w:val="20"/>
                <w:szCs w:val="20"/>
                <w:color w:val="auto"/>
              </w:rPr>
            </w:pPr>
            <w:r>
              <w:rPr>
                <w:rFonts w:ascii="Times New Roman" w:cs="Times New Roman" w:eastAsia="Times New Roman" w:hAnsi="Times New Roman"/>
                <w:sz w:val="14"/>
                <w:szCs w:val="14"/>
                <w:color w:val="auto"/>
              </w:rPr>
              <w:t>100%</w:t>
            </w:r>
          </w:p>
        </w:tc>
      </w:tr>
      <w:tr>
        <w:trPr>
          <w:trHeight w:val="255"/>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GlobalFoundries Taiwan Ltd.</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Taiwan</w:t>
            </w:r>
          </w:p>
        </w:tc>
        <w:tc>
          <w:tcPr>
            <w:tcW w:w="3160" w:type="dxa"/>
            <w:vAlign w:val="bottom"/>
            <w:shd w:val="clear" w:color="auto" w:fill="CCEEFF"/>
          </w:tcPr>
          <w:p>
            <w:pPr>
              <w:jc w:val="right"/>
              <w:ind w:right="1349"/>
              <w:spacing w:after="0"/>
              <w:rPr>
                <w:sz w:val="20"/>
                <w:szCs w:val="20"/>
                <w:color w:val="auto"/>
              </w:rPr>
            </w:pPr>
            <w:r>
              <w:rPr>
                <w:rFonts w:ascii="Times New Roman" w:cs="Times New Roman" w:eastAsia="Times New Roman" w:hAnsi="Times New Roman"/>
                <w:sz w:val="14"/>
                <w:szCs w:val="14"/>
                <w:color w:val="auto"/>
              </w:rPr>
              <w:t>100%</w:t>
            </w:r>
          </w:p>
        </w:tc>
      </w:tr>
      <w:tr>
        <w:trPr>
          <w:trHeight w:val="254"/>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GlobalFoundries Malaysia Sdn. Bhd. (Malaysia)</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Malaysia</w:t>
            </w:r>
          </w:p>
        </w:tc>
        <w:tc>
          <w:tcPr>
            <w:tcW w:w="3160" w:type="dxa"/>
            <w:vAlign w:val="bottom"/>
          </w:tcPr>
          <w:p>
            <w:pPr>
              <w:jc w:val="right"/>
              <w:ind w:right="1349"/>
              <w:spacing w:after="0"/>
              <w:rPr>
                <w:sz w:val="20"/>
                <w:szCs w:val="20"/>
                <w:color w:val="auto"/>
              </w:rPr>
            </w:pPr>
            <w:r>
              <w:rPr>
                <w:rFonts w:ascii="Times New Roman" w:cs="Times New Roman" w:eastAsia="Times New Roman" w:hAnsi="Times New Roman"/>
                <w:sz w:val="14"/>
                <w:szCs w:val="14"/>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438150</wp:posOffset>
            </wp:positionV>
            <wp:extent cx="716153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80" w:hanging="461"/>
        <w:spacing w:after="0"/>
        <w:tabs>
          <w:tab w:leader="none" w:pos="48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held by Toppan Photomasks, Inc.</w:t>
      </w:r>
    </w:p>
    <w:p>
      <w:pPr>
        <w:spacing w:after="0" w:line="114" w:lineRule="exact"/>
        <w:rPr>
          <w:rFonts w:ascii="Times New Roman" w:cs="Times New Roman" w:eastAsia="Times New Roman" w:hAnsi="Times New Roman"/>
          <w:sz w:val="14"/>
          <w:szCs w:val="14"/>
          <w:color w:val="auto"/>
        </w:rPr>
      </w:pPr>
    </w:p>
    <w:p>
      <w:pPr>
        <w:ind w:left="480" w:hanging="461"/>
        <w:spacing w:after="0"/>
        <w:tabs>
          <w:tab w:leader="none" w:pos="48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held by Toppan Photomasks, Inc.</w:t>
      </w:r>
    </w:p>
    <w:p>
      <w:pPr>
        <w:sectPr>
          <w:pgSz w:w="11900" w:h="16838" w:orient="portrait"/>
          <w:cols w:equalWidth="0" w:num="1">
            <w:col w:w="11280"/>
          </w:cols>
          <w:pgMar w:left="300" w:top="1218" w:right="319" w:bottom="1440" w:gutter="0" w:footer="0" w:header="0"/>
        </w:sectPr>
      </w:pPr>
    </w:p>
    <w:bookmarkStart w:id="185" w:name="page186"/>
    <w:bookmarkEnd w:id="185"/>
    <w:p>
      <w:pPr>
        <w:jc w:val="right"/>
        <w:spacing w:after="0"/>
        <w:rPr>
          <w:sz w:val="20"/>
          <w:szCs w:val="20"/>
          <w:color w:val="auto"/>
        </w:rPr>
      </w:pPr>
      <w:r>
        <w:rPr>
          <w:rFonts w:ascii="Arial" w:cs="Arial" w:eastAsia="Arial" w:hAnsi="Arial"/>
          <w:sz w:val="16"/>
          <w:szCs w:val="16"/>
          <w:b w:val="1"/>
          <w:bCs w:val="1"/>
          <w:color w:val="auto"/>
        </w:rPr>
        <w:t>Exhibit 12.1</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 Dr. Thomas Caulfield, certify that:</w:t>
      </w:r>
    </w:p>
    <w:p>
      <w:pPr>
        <w:spacing w:after="0" w:line="198" w:lineRule="exact"/>
        <w:rPr>
          <w:sz w:val="20"/>
          <w:szCs w:val="20"/>
          <w:color w:val="auto"/>
        </w:rPr>
      </w:pPr>
    </w:p>
    <w:p>
      <w:pPr>
        <w:ind w:left="260" w:hanging="255"/>
        <w:spacing w:after="0"/>
        <w:tabs>
          <w:tab w:leader="none" w:pos="2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GLOBALFOUNDRIES Inc.;</w:t>
      </w:r>
    </w:p>
    <w:p>
      <w:pPr>
        <w:spacing w:after="0" w:line="187" w:lineRule="exact"/>
        <w:rPr>
          <w:rFonts w:ascii="Arial" w:cs="Arial" w:eastAsia="Arial" w:hAnsi="Arial"/>
          <w:sz w:val="16"/>
          <w:szCs w:val="16"/>
          <w:color w:val="auto"/>
        </w:rPr>
      </w:pPr>
    </w:p>
    <w:p>
      <w:pPr>
        <w:ind w:firstLine="5"/>
        <w:spacing w:after="0" w:line="303" w:lineRule="auto"/>
        <w:tabs>
          <w:tab w:leader="none" w:pos="31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Arial" w:cs="Arial" w:eastAsia="Arial" w:hAnsi="Arial"/>
          <w:sz w:val="16"/>
          <w:szCs w:val="16"/>
          <w:color w:val="auto"/>
        </w:rPr>
      </w:pPr>
    </w:p>
    <w:p>
      <w:pPr>
        <w:ind w:firstLine="5"/>
        <w:spacing w:after="0" w:line="303" w:lineRule="auto"/>
        <w:tabs>
          <w:tab w:leader="none" w:pos="36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8" w:lineRule="exact"/>
        <w:rPr>
          <w:rFonts w:ascii="Arial" w:cs="Arial" w:eastAsia="Arial" w:hAnsi="Arial"/>
          <w:sz w:val="16"/>
          <w:szCs w:val="16"/>
          <w:color w:val="auto"/>
        </w:rPr>
      </w:pPr>
    </w:p>
    <w:p>
      <w:pPr>
        <w:ind w:firstLine="5"/>
        <w:spacing w:after="0" w:line="381" w:lineRule="auto"/>
        <w:tabs>
          <w:tab w:leader="none" w:pos="337" w:val="left"/>
        </w:tabs>
        <w:numPr>
          <w:ilvl w:val="0"/>
          <w:numId w:val="216"/>
        </w:numPr>
        <w:rPr>
          <w:rFonts w:ascii="Arial" w:cs="Arial" w:eastAsia="Arial" w:hAnsi="Arial"/>
          <w:sz w:val="14"/>
          <w:szCs w:val="14"/>
          <w:color w:val="auto"/>
        </w:rPr>
      </w:pPr>
      <w:r>
        <w:rPr>
          <w:rFonts w:ascii="Arial" w:cs="Arial" w:eastAsia="Arial" w:hAnsi="Arial"/>
          <w:sz w:val="14"/>
          <w:szCs w:val="14"/>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2" w:lineRule="exact"/>
        <w:rPr>
          <w:rFonts w:ascii="Arial" w:cs="Arial" w:eastAsia="Arial" w:hAnsi="Arial"/>
          <w:sz w:val="14"/>
          <w:szCs w:val="14"/>
          <w:color w:val="auto"/>
        </w:rPr>
      </w:pPr>
    </w:p>
    <w:p>
      <w:pPr>
        <w:jc w:val="both"/>
        <w:ind w:left="320" w:firstLine="3"/>
        <w:spacing w:after="0" w:line="283" w:lineRule="auto"/>
        <w:tabs>
          <w:tab w:leader="none" w:pos="713" w:val="left"/>
        </w:tabs>
        <w:numPr>
          <w:ilvl w:val="1"/>
          <w:numId w:val="2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jc w:val="both"/>
        <w:ind w:left="320" w:firstLine="3"/>
        <w:spacing w:after="0" w:line="283" w:lineRule="auto"/>
        <w:tabs>
          <w:tab w:leader="none" w:pos="722" w:val="left"/>
        </w:tabs>
        <w:numPr>
          <w:ilvl w:val="1"/>
          <w:numId w:val="2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6"/>
          <w:szCs w:val="16"/>
          <w:color w:val="auto"/>
        </w:rPr>
      </w:pPr>
    </w:p>
    <w:p>
      <w:pPr>
        <w:ind w:left="320" w:firstLine="3"/>
        <w:spacing w:after="0" w:line="303" w:lineRule="auto"/>
        <w:tabs>
          <w:tab w:leader="none" w:pos="701" w:val="left"/>
        </w:tabs>
        <w:numPr>
          <w:ilvl w:val="1"/>
          <w:numId w:val="21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6"/>
          <w:szCs w:val="16"/>
          <w:color w:val="auto"/>
        </w:rPr>
      </w:pPr>
    </w:p>
    <w:p>
      <w:pPr>
        <w:ind w:left="320" w:firstLine="3"/>
        <w:spacing w:after="0" w:line="303" w:lineRule="auto"/>
        <w:tabs>
          <w:tab w:leader="none" w:pos="699" w:val="left"/>
        </w:tabs>
        <w:numPr>
          <w:ilvl w:val="1"/>
          <w:numId w:val="216"/>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ectPr>
          <w:pgSz w:w="11900" w:h="16838" w:orient="portrait"/>
          <w:cols w:equalWidth="0" w:num="1">
            <w:col w:w="11280"/>
          </w:cols>
          <w:pgMar w:left="300" w:top="1128" w:right="319" w:bottom="1440" w:gutter="0" w:footer="0" w:header="0"/>
        </w:sectPr>
      </w:pPr>
    </w:p>
    <w:bookmarkStart w:id="186" w:name="page187"/>
    <w:bookmarkEnd w:id="186"/>
    <w:p>
      <w:pPr>
        <w:ind w:firstLine="5"/>
        <w:spacing w:after="0" w:line="303" w:lineRule="auto"/>
        <w:tabs>
          <w:tab w:leader="none" w:pos="333"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8" w:lineRule="exact"/>
        <w:rPr>
          <w:rFonts w:ascii="Arial" w:cs="Arial" w:eastAsia="Arial" w:hAnsi="Arial"/>
          <w:sz w:val="16"/>
          <w:szCs w:val="16"/>
          <w:color w:val="auto"/>
        </w:rPr>
      </w:pPr>
    </w:p>
    <w:p>
      <w:pPr>
        <w:ind w:left="320" w:firstLine="3"/>
        <w:spacing w:after="0" w:line="303" w:lineRule="auto"/>
        <w:tabs>
          <w:tab w:leader="none" w:pos="725" w:val="left"/>
        </w:tabs>
        <w:numPr>
          <w:ilvl w:val="1"/>
          <w:numId w:val="2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8" w:lineRule="exact"/>
        <w:rPr>
          <w:rFonts w:ascii="Arial" w:cs="Arial" w:eastAsia="Arial" w:hAnsi="Arial"/>
          <w:sz w:val="16"/>
          <w:szCs w:val="16"/>
          <w:color w:val="auto"/>
        </w:rPr>
      </w:pPr>
    </w:p>
    <w:p>
      <w:pPr>
        <w:ind w:left="320" w:firstLine="3"/>
        <w:spacing w:after="0" w:line="303" w:lineRule="auto"/>
        <w:tabs>
          <w:tab w:leader="none" w:pos="749" w:val="left"/>
        </w:tabs>
        <w:numPr>
          <w:ilvl w:val="1"/>
          <w:numId w:val="2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Date: April 29, 2024</w:t>
      </w:r>
    </w:p>
    <w:p>
      <w:pPr>
        <w:spacing w:after="0" w:line="325" w:lineRule="exact"/>
        <w:rPr>
          <w:sz w:val="20"/>
          <w:szCs w:val="20"/>
          <w:color w:val="auto"/>
        </w:rPr>
      </w:pPr>
    </w:p>
    <w:tbl>
      <w:tblPr>
        <w:tblLayout w:type="fixed"/>
        <w:tblInd w:w="3460" w:type="dxa"/>
        <w:tblCellMar>
          <w:top w:w="0" w:type="dxa"/>
          <w:left w:w="0" w:type="dxa"/>
          <w:bottom w:w="0" w:type="dxa"/>
          <w:right w:w="0" w:type="dxa"/>
        </w:tblCellMar>
      </w:tblPr>
      <w:tr>
        <w:trPr>
          <w:trHeight w:val="205"/>
        </w:trPr>
        <w:tc>
          <w:tcPr>
            <w:tcW w:w="1020" w:type="dxa"/>
            <w:vAlign w:val="bottom"/>
          </w:tcPr>
          <w:p>
            <w:pPr>
              <w:spacing w:after="0"/>
              <w:rPr>
                <w:sz w:val="20"/>
                <w:szCs w:val="20"/>
                <w:color w:val="auto"/>
              </w:rPr>
            </w:pPr>
            <w:r>
              <w:rPr>
                <w:rFonts w:ascii="Arial" w:cs="Arial" w:eastAsia="Arial" w:hAnsi="Arial"/>
                <w:sz w:val="16"/>
                <w:szCs w:val="16"/>
                <w:color w:val="auto"/>
              </w:rPr>
              <w:t>By:</w:t>
            </w:r>
          </w:p>
        </w:tc>
        <w:tc>
          <w:tcPr>
            <w:tcW w:w="2780" w:type="dxa"/>
            <w:vAlign w:val="bottom"/>
          </w:tcPr>
          <w:p>
            <w:pPr>
              <w:ind w:left="40"/>
              <w:spacing w:after="0"/>
              <w:rPr>
                <w:sz w:val="20"/>
                <w:szCs w:val="20"/>
                <w:color w:val="auto"/>
              </w:rPr>
            </w:pPr>
            <w:r>
              <w:rPr>
                <w:rFonts w:ascii="Arial" w:cs="Arial" w:eastAsia="Arial" w:hAnsi="Arial"/>
                <w:sz w:val="16"/>
                <w:szCs w:val="16"/>
                <w:color w:val="auto"/>
              </w:rPr>
              <w:t>/s/ Thomas Caulfield</w:t>
            </w:r>
          </w:p>
        </w:tc>
        <w:tc>
          <w:tcPr>
            <w:tcW w:w="0" w:type="dxa"/>
            <w:vAlign w:val="bottom"/>
          </w:tcPr>
          <w:p>
            <w:pPr>
              <w:spacing w:after="0"/>
              <w:rPr>
                <w:sz w:val="1"/>
                <w:szCs w:val="1"/>
                <w:color w:val="auto"/>
              </w:rPr>
            </w:pPr>
          </w:p>
        </w:tc>
      </w:tr>
      <w:tr>
        <w:trPr>
          <w:trHeight w:val="35"/>
        </w:trPr>
        <w:tc>
          <w:tcPr>
            <w:tcW w:w="102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2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1020" w:type="dxa"/>
            <w:vAlign w:val="bottom"/>
            <w:vMerge w:val="continue"/>
          </w:tcPr>
          <w:p>
            <w:pPr>
              <w:spacing w:after="0"/>
              <w:rPr>
                <w:sz w:val="16"/>
                <w:szCs w:val="16"/>
                <w:color w:val="auto"/>
              </w:rPr>
            </w:pPr>
          </w:p>
        </w:tc>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Dr. Thomas Caulfield</w:t>
            </w:r>
          </w:p>
        </w:tc>
        <w:tc>
          <w:tcPr>
            <w:tcW w:w="0" w:type="dxa"/>
            <w:vAlign w:val="bottom"/>
          </w:tcPr>
          <w:p>
            <w:pPr>
              <w:spacing w:after="0"/>
              <w:rPr>
                <w:sz w:val="1"/>
                <w:szCs w:val="1"/>
                <w:color w:val="auto"/>
              </w:rPr>
            </w:pPr>
          </w:p>
        </w:tc>
      </w:tr>
      <w:tr>
        <w:trPr>
          <w:trHeight w:val="195"/>
        </w:trPr>
        <w:tc>
          <w:tcPr>
            <w:tcW w:w="1020" w:type="dxa"/>
            <w:vAlign w:val="bottom"/>
          </w:tcPr>
          <w:p>
            <w:pPr>
              <w:spacing w:after="0"/>
              <w:rPr>
                <w:sz w:val="20"/>
                <w:szCs w:val="20"/>
                <w:color w:val="auto"/>
              </w:rPr>
            </w:pPr>
            <w:r>
              <w:rPr>
                <w:rFonts w:ascii="Arial" w:cs="Arial" w:eastAsia="Arial" w:hAnsi="Arial"/>
                <w:sz w:val="16"/>
                <w:szCs w:val="16"/>
                <w:color w:val="auto"/>
              </w:rPr>
              <w:t>Title:</w:t>
            </w:r>
          </w:p>
        </w:tc>
        <w:tc>
          <w:tcPr>
            <w:tcW w:w="2780" w:type="dxa"/>
            <w:vAlign w:val="bottom"/>
          </w:tcPr>
          <w:p>
            <w:pPr>
              <w:ind w:left="40"/>
              <w:spacing w:after="0"/>
              <w:rPr>
                <w:sz w:val="20"/>
                <w:szCs w:val="20"/>
                <w:color w:val="auto"/>
              </w:rPr>
            </w:pPr>
            <w:r>
              <w:rPr>
                <w:rFonts w:ascii="Arial" w:cs="Arial" w:eastAsia="Arial" w:hAnsi="Arial"/>
                <w:sz w:val="16"/>
                <w:szCs w:val="16"/>
                <w:color w:val="auto"/>
              </w:rPr>
              <w:t>President &amp; Chief Executive Officer</w:t>
            </w:r>
          </w:p>
        </w:tc>
        <w:tc>
          <w:tcPr>
            <w:tcW w:w="0" w:type="dxa"/>
            <w:vAlign w:val="bottom"/>
          </w:tcPr>
          <w:p>
            <w:pPr>
              <w:spacing w:after="0"/>
              <w:rPr>
                <w:sz w:val="1"/>
                <w:szCs w:val="1"/>
                <w:color w:val="auto"/>
              </w:rPr>
            </w:pPr>
          </w:p>
        </w:tc>
      </w:tr>
    </w:tbl>
    <w:p>
      <w:pPr>
        <w:sectPr>
          <w:pgSz w:w="11900" w:h="16838" w:orient="portrait"/>
          <w:cols w:equalWidth="0" w:num="1">
            <w:col w:w="11280"/>
          </w:cols>
          <w:pgMar w:left="300" w:top="1152" w:right="319" w:bottom="1440" w:gutter="0" w:footer="0" w:header="0"/>
        </w:sectPr>
      </w:pPr>
    </w:p>
    <w:bookmarkStart w:id="187" w:name="page188"/>
    <w:bookmarkEnd w:id="187"/>
    <w:p>
      <w:pPr>
        <w:jc w:val="right"/>
        <w:spacing w:after="0"/>
        <w:rPr>
          <w:sz w:val="20"/>
          <w:szCs w:val="20"/>
          <w:color w:val="auto"/>
        </w:rPr>
      </w:pPr>
      <w:r>
        <w:rPr>
          <w:rFonts w:ascii="Arial" w:cs="Arial" w:eastAsia="Arial" w:hAnsi="Arial"/>
          <w:sz w:val="16"/>
          <w:szCs w:val="16"/>
          <w:b w:val="1"/>
          <w:bCs w:val="1"/>
          <w:color w:val="auto"/>
        </w:rPr>
        <w:t>Exhibit 12.2</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 John Hollister, certify that:</w:t>
      </w:r>
    </w:p>
    <w:p>
      <w:pPr>
        <w:spacing w:after="0" w:line="198" w:lineRule="exact"/>
        <w:rPr>
          <w:sz w:val="20"/>
          <w:szCs w:val="20"/>
          <w:color w:val="auto"/>
        </w:rPr>
      </w:pPr>
    </w:p>
    <w:p>
      <w:pPr>
        <w:ind w:left="260" w:hanging="255"/>
        <w:spacing w:after="0"/>
        <w:tabs>
          <w:tab w:leader="none" w:pos="2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GLOBALFOUNDRIES Inc.;</w:t>
      </w:r>
    </w:p>
    <w:p>
      <w:pPr>
        <w:spacing w:after="0" w:line="187" w:lineRule="exact"/>
        <w:rPr>
          <w:rFonts w:ascii="Arial" w:cs="Arial" w:eastAsia="Arial" w:hAnsi="Arial"/>
          <w:sz w:val="16"/>
          <w:szCs w:val="16"/>
          <w:color w:val="auto"/>
        </w:rPr>
      </w:pPr>
    </w:p>
    <w:p>
      <w:pPr>
        <w:ind w:firstLine="5"/>
        <w:spacing w:after="0" w:line="303" w:lineRule="auto"/>
        <w:tabs>
          <w:tab w:leader="none" w:pos="318" w:val="left"/>
        </w:tabs>
        <w:numPr>
          <w:ilvl w:val="0"/>
          <w:numId w:val="2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Arial" w:cs="Arial" w:eastAsia="Arial" w:hAnsi="Arial"/>
          <w:sz w:val="16"/>
          <w:szCs w:val="16"/>
          <w:color w:val="auto"/>
        </w:rPr>
      </w:pPr>
    </w:p>
    <w:p>
      <w:pPr>
        <w:ind w:firstLine="5"/>
        <w:spacing w:after="0" w:line="303" w:lineRule="auto"/>
        <w:tabs>
          <w:tab w:leader="none" w:pos="368" w:val="left"/>
        </w:tabs>
        <w:numPr>
          <w:ilvl w:val="0"/>
          <w:numId w:val="2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8" w:lineRule="exact"/>
        <w:rPr>
          <w:rFonts w:ascii="Arial" w:cs="Arial" w:eastAsia="Arial" w:hAnsi="Arial"/>
          <w:sz w:val="16"/>
          <w:szCs w:val="16"/>
          <w:color w:val="auto"/>
        </w:rPr>
      </w:pPr>
    </w:p>
    <w:p>
      <w:pPr>
        <w:ind w:firstLine="5"/>
        <w:spacing w:after="0" w:line="381" w:lineRule="auto"/>
        <w:tabs>
          <w:tab w:leader="none" w:pos="337" w:val="left"/>
        </w:tabs>
        <w:numPr>
          <w:ilvl w:val="0"/>
          <w:numId w:val="218"/>
        </w:numPr>
        <w:rPr>
          <w:rFonts w:ascii="Arial" w:cs="Arial" w:eastAsia="Arial" w:hAnsi="Arial"/>
          <w:sz w:val="14"/>
          <w:szCs w:val="14"/>
          <w:color w:val="auto"/>
        </w:rPr>
      </w:pPr>
      <w:r>
        <w:rPr>
          <w:rFonts w:ascii="Arial" w:cs="Arial" w:eastAsia="Arial" w:hAnsi="Arial"/>
          <w:sz w:val="14"/>
          <w:szCs w:val="14"/>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2" w:lineRule="exact"/>
        <w:rPr>
          <w:rFonts w:ascii="Arial" w:cs="Arial" w:eastAsia="Arial" w:hAnsi="Arial"/>
          <w:sz w:val="14"/>
          <w:szCs w:val="14"/>
          <w:color w:val="auto"/>
        </w:rPr>
      </w:pPr>
    </w:p>
    <w:p>
      <w:pPr>
        <w:jc w:val="both"/>
        <w:ind w:left="320" w:firstLine="3"/>
        <w:spacing w:after="0" w:line="283" w:lineRule="auto"/>
        <w:tabs>
          <w:tab w:leader="none" w:pos="713" w:val="left"/>
        </w:tabs>
        <w:numPr>
          <w:ilvl w:val="1"/>
          <w:numId w:val="2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jc w:val="both"/>
        <w:ind w:left="320" w:firstLine="3"/>
        <w:spacing w:after="0" w:line="283" w:lineRule="auto"/>
        <w:tabs>
          <w:tab w:leader="none" w:pos="722" w:val="left"/>
        </w:tabs>
        <w:numPr>
          <w:ilvl w:val="1"/>
          <w:numId w:val="2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6"/>
          <w:szCs w:val="16"/>
          <w:color w:val="auto"/>
        </w:rPr>
      </w:pPr>
    </w:p>
    <w:p>
      <w:pPr>
        <w:ind w:left="320" w:firstLine="3"/>
        <w:spacing w:after="0" w:line="303" w:lineRule="auto"/>
        <w:tabs>
          <w:tab w:leader="none" w:pos="701" w:val="left"/>
        </w:tabs>
        <w:numPr>
          <w:ilvl w:val="1"/>
          <w:numId w:val="21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6"/>
          <w:szCs w:val="16"/>
          <w:color w:val="auto"/>
        </w:rPr>
      </w:pPr>
    </w:p>
    <w:p>
      <w:pPr>
        <w:ind w:left="320" w:firstLine="3"/>
        <w:spacing w:after="0" w:line="303" w:lineRule="auto"/>
        <w:tabs>
          <w:tab w:leader="none" w:pos="699" w:val="left"/>
        </w:tabs>
        <w:numPr>
          <w:ilvl w:val="1"/>
          <w:numId w:val="218"/>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ectPr>
          <w:pgSz w:w="11900" w:h="16838" w:orient="portrait"/>
          <w:cols w:equalWidth="0" w:num="1">
            <w:col w:w="11280"/>
          </w:cols>
          <w:pgMar w:left="300" w:top="1129" w:right="319" w:bottom="1440" w:gutter="0" w:footer="0" w:header="0"/>
        </w:sectPr>
      </w:pPr>
    </w:p>
    <w:bookmarkStart w:id="188" w:name="page189"/>
    <w:bookmarkEnd w:id="188"/>
    <w:p>
      <w:pPr>
        <w:ind w:firstLine="5"/>
        <w:spacing w:after="0" w:line="303" w:lineRule="auto"/>
        <w:tabs>
          <w:tab w:leader="none" w:pos="333"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8" w:lineRule="exact"/>
        <w:rPr>
          <w:rFonts w:ascii="Arial" w:cs="Arial" w:eastAsia="Arial" w:hAnsi="Arial"/>
          <w:sz w:val="16"/>
          <w:szCs w:val="16"/>
          <w:color w:val="auto"/>
        </w:rPr>
      </w:pPr>
    </w:p>
    <w:p>
      <w:pPr>
        <w:ind w:left="320" w:firstLine="3"/>
        <w:spacing w:after="0" w:line="303" w:lineRule="auto"/>
        <w:tabs>
          <w:tab w:leader="none" w:pos="725" w:val="left"/>
        </w:tabs>
        <w:numPr>
          <w:ilvl w:val="1"/>
          <w:numId w:val="2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8" w:lineRule="exact"/>
        <w:rPr>
          <w:rFonts w:ascii="Arial" w:cs="Arial" w:eastAsia="Arial" w:hAnsi="Arial"/>
          <w:sz w:val="16"/>
          <w:szCs w:val="16"/>
          <w:color w:val="auto"/>
        </w:rPr>
      </w:pPr>
    </w:p>
    <w:p>
      <w:pPr>
        <w:ind w:left="320" w:firstLine="3"/>
        <w:spacing w:after="0" w:line="303" w:lineRule="auto"/>
        <w:tabs>
          <w:tab w:leader="none" w:pos="749" w:val="left"/>
        </w:tabs>
        <w:numPr>
          <w:ilvl w:val="1"/>
          <w:numId w:val="2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Date: April 29, 2024</w:t>
      </w:r>
    </w:p>
    <w:p>
      <w:pPr>
        <w:spacing w:after="0" w:line="325" w:lineRule="exact"/>
        <w:rPr>
          <w:sz w:val="20"/>
          <w:szCs w:val="20"/>
          <w:color w:val="auto"/>
        </w:rPr>
      </w:pPr>
    </w:p>
    <w:tbl>
      <w:tblPr>
        <w:tblLayout w:type="fixed"/>
        <w:tblInd w:w="3460" w:type="dxa"/>
        <w:tblCellMar>
          <w:top w:w="0" w:type="dxa"/>
          <w:left w:w="0" w:type="dxa"/>
          <w:bottom w:w="0" w:type="dxa"/>
          <w:right w:w="0" w:type="dxa"/>
        </w:tblCellMar>
      </w:tblPr>
      <w:tr>
        <w:trPr>
          <w:trHeight w:val="205"/>
        </w:trPr>
        <w:tc>
          <w:tcPr>
            <w:tcW w:w="1020" w:type="dxa"/>
            <w:vAlign w:val="bottom"/>
          </w:tcPr>
          <w:p>
            <w:pPr>
              <w:spacing w:after="0"/>
              <w:rPr>
                <w:sz w:val="20"/>
                <w:szCs w:val="20"/>
                <w:color w:val="auto"/>
              </w:rPr>
            </w:pPr>
            <w:r>
              <w:rPr>
                <w:rFonts w:ascii="Arial" w:cs="Arial" w:eastAsia="Arial" w:hAnsi="Arial"/>
                <w:sz w:val="16"/>
                <w:szCs w:val="16"/>
                <w:color w:val="auto"/>
              </w:rPr>
              <w:t>By:</w:t>
            </w:r>
          </w:p>
        </w:tc>
        <w:tc>
          <w:tcPr>
            <w:tcW w:w="2780" w:type="dxa"/>
            <w:vAlign w:val="bottom"/>
          </w:tcPr>
          <w:p>
            <w:pPr>
              <w:ind w:left="40"/>
              <w:spacing w:after="0"/>
              <w:rPr>
                <w:sz w:val="20"/>
                <w:szCs w:val="20"/>
                <w:color w:val="auto"/>
              </w:rPr>
            </w:pPr>
            <w:r>
              <w:rPr>
                <w:rFonts w:ascii="Arial" w:cs="Arial" w:eastAsia="Arial" w:hAnsi="Arial"/>
                <w:sz w:val="16"/>
                <w:szCs w:val="16"/>
                <w:color w:val="auto"/>
              </w:rPr>
              <w:t>/s/ John Hollister</w:t>
            </w:r>
          </w:p>
        </w:tc>
        <w:tc>
          <w:tcPr>
            <w:tcW w:w="0" w:type="dxa"/>
            <w:vAlign w:val="bottom"/>
          </w:tcPr>
          <w:p>
            <w:pPr>
              <w:spacing w:after="0"/>
              <w:rPr>
                <w:sz w:val="1"/>
                <w:szCs w:val="1"/>
                <w:color w:val="auto"/>
              </w:rPr>
            </w:pPr>
          </w:p>
        </w:tc>
      </w:tr>
      <w:tr>
        <w:trPr>
          <w:trHeight w:val="35"/>
        </w:trPr>
        <w:tc>
          <w:tcPr>
            <w:tcW w:w="102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2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1020" w:type="dxa"/>
            <w:vAlign w:val="bottom"/>
            <w:vMerge w:val="continue"/>
          </w:tcPr>
          <w:p>
            <w:pPr>
              <w:spacing w:after="0"/>
              <w:rPr>
                <w:sz w:val="16"/>
                <w:szCs w:val="16"/>
                <w:color w:val="auto"/>
              </w:rPr>
            </w:pPr>
          </w:p>
        </w:tc>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John Hollister</w:t>
            </w:r>
          </w:p>
        </w:tc>
        <w:tc>
          <w:tcPr>
            <w:tcW w:w="0" w:type="dxa"/>
            <w:vAlign w:val="bottom"/>
          </w:tcPr>
          <w:p>
            <w:pPr>
              <w:spacing w:after="0"/>
              <w:rPr>
                <w:sz w:val="1"/>
                <w:szCs w:val="1"/>
                <w:color w:val="auto"/>
              </w:rPr>
            </w:pPr>
          </w:p>
        </w:tc>
      </w:tr>
      <w:tr>
        <w:trPr>
          <w:trHeight w:val="195"/>
        </w:trPr>
        <w:tc>
          <w:tcPr>
            <w:tcW w:w="1020" w:type="dxa"/>
            <w:vAlign w:val="bottom"/>
          </w:tcPr>
          <w:p>
            <w:pPr>
              <w:spacing w:after="0"/>
              <w:rPr>
                <w:sz w:val="20"/>
                <w:szCs w:val="20"/>
                <w:color w:val="auto"/>
              </w:rPr>
            </w:pPr>
            <w:r>
              <w:rPr>
                <w:rFonts w:ascii="Arial" w:cs="Arial" w:eastAsia="Arial" w:hAnsi="Arial"/>
                <w:sz w:val="16"/>
                <w:szCs w:val="16"/>
                <w:color w:val="auto"/>
              </w:rPr>
              <w:t>Title:</w:t>
            </w:r>
          </w:p>
        </w:tc>
        <w:tc>
          <w:tcPr>
            <w:tcW w:w="278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80"/>
          </w:cols>
          <w:pgMar w:left="300" w:top="1152" w:right="3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6"/>
          <w:szCs w:val="16"/>
          <w:b w:val="1"/>
          <w:bCs w:val="1"/>
          <w:color w:val="auto"/>
        </w:rPr>
        <w:t>Exhibit 13.1</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(Subsections (a) and (b) of Section 1350, Chapter 63 of Title 18, United States Code)</w:t>
      </w:r>
    </w:p>
    <w:p>
      <w:pPr>
        <w:spacing w:after="0" w:line="208"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GLOBALFOUNDRIES Inc. (the “Company”), does hereby certify, to such officer’s knowledge, that:</w:t>
      </w:r>
    </w:p>
    <w:p>
      <w:pPr>
        <w:spacing w:after="0" w:line="119" w:lineRule="exact"/>
        <w:rPr>
          <w:sz w:val="20"/>
          <w:szCs w:val="20"/>
          <w:color w:val="auto"/>
        </w:rPr>
      </w:pPr>
    </w:p>
    <w:p>
      <w:pPr>
        <w:ind w:left="520" w:hanging="260"/>
        <w:spacing w:after="0" w:line="303" w:lineRule="auto"/>
        <w:tabs>
          <w:tab w:leader="none" w:pos="512"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Annual Report on Form 20-F for the year ended December 31, 2023 (the “Form 20-F”) of the Company fully complies with the requirements of section 13(a) or 15(d) of the Securities Exchange Act of 1934; and</w:t>
      </w:r>
    </w:p>
    <w:p>
      <w:pPr>
        <w:spacing w:after="0" w:line="140" w:lineRule="exact"/>
        <w:rPr>
          <w:rFonts w:ascii="Arial" w:cs="Arial" w:eastAsia="Arial" w:hAnsi="Arial"/>
          <w:sz w:val="16"/>
          <w:szCs w:val="16"/>
          <w:color w:val="auto"/>
        </w:rPr>
      </w:pPr>
    </w:p>
    <w:p>
      <w:pPr>
        <w:ind w:left="500" w:hanging="240"/>
        <w:spacing w:after="0"/>
        <w:tabs>
          <w:tab w:leader="none" w:pos="50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information contained in the Form 20-F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Date: April 29, 2024</w:t>
      </w:r>
    </w:p>
    <w:p>
      <w:pPr>
        <w:spacing w:after="0" w:line="209" w:lineRule="exact"/>
        <w:rPr>
          <w:sz w:val="20"/>
          <w:szCs w:val="20"/>
          <w:color w:val="auto"/>
        </w:rPr>
      </w:pPr>
    </w:p>
    <w:tbl>
      <w:tblPr>
        <w:tblLayout w:type="fixed"/>
        <w:tblInd w:w="3440" w:type="dxa"/>
        <w:tblCellMar>
          <w:top w:w="0" w:type="dxa"/>
          <w:left w:w="0" w:type="dxa"/>
          <w:bottom w:w="0" w:type="dxa"/>
          <w:right w:w="0" w:type="dxa"/>
        </w:tblCellMar>
      </w:tblPr>
      <w:tr>
        <w:trPr>
          <w:trHeight w:val="205"/>
        </w:trPr>
        <w:tc>
          <w:tcPr>
            <w:tcW w:w="1040" w:type="dxa"/>
            <w:vAlign w:val="bottom"/>
          </w:tcPr>
          <w:p>
            <w:pPr>
              <w:spacing w:after="0"/>
              <w:rPr>
                <w:sz w:val="20"/>
                <w:szCs w:val="20"/>
                <w:color w:val="auto"/>
              </w:rPr>
            </w:pPr>
            <w:r>
              <w:rPr>
                <w:rFonts w:ascii="Arial" w:cs="Arial" w:eastAsia="Arial" w:hAnsi="Arial"/>
                <w:sz w:val="16"/>
                <w:szCs w:val="16"/>
                <w:color w:val="auto"/>
              </w:rPr>
              <w:t>By:</w:t>
            </w:r>
          </w:p>
        </w:tc>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Thomas Caulfield</w:t>
            </w:r>
          </w:p>
        </w:tc>
      </w:tr>
      <w:tr>
        <w:trPr>
          <w:trHeight w:val="195"/>
        </w:trPr>
        <w:tc>
          <w:tcPr>
            <w:tcW w:w="1040" w:type="dxa"/>
            <w:vAlign w:val="bottom"/>
          </w:tcPr>
          <w:p>
            <w:pPr>
              <w:spacing w:after="0"/>
              <w:rPr>
                <w:sz w:val="20"/>
                <w:szCs w:val="20"/>
                <w:color w:val="auto"/>
              </w:rPr>
            </w:pPr>
            <w:r>
              <w:rPr>
                <w:rFonts w:ascii="Arial" w:cs="Arial" w:eastAsia="Arial" w:hAnsi="Arial"/>
                <w:sz w:val="16"/>
                <w:szCs w:val="16"/>
                <w:color w:val="auto"/>
              </w:rPr>
              <w:t>Name:</w:t>
            </w:r>
          </w:p>
        </w:tc>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Dr. Thomas Caulfield</w:t>
            </w:r>
          </w:p>
        </w:tc>
      </w:tr>
      <w:tr>
        <w:trPr>
          <w:trHeight w:val="195"/>
        </w:trPr>
        <w:tc>
          <w:tcPr>
            <w:tcW w:w="1040" w:type="dxa"/>
            <w:vAlign w:val="bottom"/>
          </w:tcPr>
          <w:p>
            <w:pPr>
              <w:spacing w:after="0"/>
              <w:rPr>
                <w:sz w:val="20"/>
                <w:szCs w:val="20"/>
                <w:color w:val="auto"/>
              </w:rPr>
            </w:pPr>
            <w:r>
              <w:rPr>
                <w:rFonts w:ascii="Arial" w:cs="Arial" w:eastAsia="Arial" w:hAnsi="Arial"/>
                <w:sz w:val="16"/>
                <w:szCs w:val="16"/>
                <w:color w:val="auto"/>
              </w:rPr>
              <w:t>Title:</w:t>
            </w:r>
          </w:p>
        </w:tc>
        <w:tc>
          <w:tcPr>
            <w:tcW w:w="2780" w:type="dxa"/>
            <w:vAlign w:val="bottom"/>
          </w:tcPr>
          <w:p>
            <w:pPr>
              <w:ind w:left="40"/>
              <w:spacing w:after="0"/>
              <w:rPr>
                <w:sz w:val="20"/>
                <w:szCs w:val="20"/>
                <w:color w:val="auto"/>
              </w:rPr>
            </w:pPr>
            <w:r>
              <w:rPr>
                <w:rFonts w:ascii="Arial" w:cs="Arial" w:eastAsia="Arial" w:hAnsi="Arial"/>
                <w:sz w:val="16"/>
                <w:szCs w:val="16"/>
                <w:color w:val="auto"/>
              </w:rPr>
              <w:t>President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Date: April 29, 2024</w:t>
      </w:r>
    </w:p>
    <w:p>
      <w:pPr>
        <w:spacing w:after="0" w:line="200" w:lineRule="exact"/>
        <w:rPr>
          <w:sz w:val="20"/>
          <w:szCs w:val="20"/>
          <w:color w:val="auto"/>
        </w:rPr>
      </w:pPr>
    </w:p>
    <w:p>
      <w:pPr>
        <w:spacing w:after="0" w:line="295" w:lineRule="exact"/>
        <w:rPr>
          <w:sz w:val="20"/>
          <w:szCs w:val="20"/>
          <w:color w:val="auto"/>
        </w:rPr>
      </w:pPr>
    </w:p>
    <w:tbl>
      <w:tblPr>
        <w:tblLayout w:type="fixed"/>
        <w:tblInd w:w="3460" w:type="dxa"/>
        <w:tblCellMar>
          <w:top w:w="0" w:type="dxa"/>
          <w:left w:w="0" w:type="dxa"/>
          <w:bottom w:w="0" w:type="dxa"/>
          <w:right w:w="0" w:type="dxa"/>
        </w:tblCellMar>
      </w:tblPr>
      <w:tr>
        <w:trPr>
          <w:trHeight w:val="205"/>
        </w:trPr>
        <w:tc>
          <w:tcPr>
            <w:tcW w:w="1020" w:type="dxa"/>
            <w:vAlign w:val="bottom"/>
          </w:tcPr>
          <w:p>
            <w:pPr>
              <w:spacing w:after="0"/>
              <w:rPr>
                <w:sz w:val="20"/>
                <w:szCs w:val="20"/>
                <w:color w:val="auto"/>
              </w:rPr>
            </w:pPr>
            <w:r>
              <w:rPr>
                <w:rFonts w:ascii="Arial" w:cs="Arial" w:eastAsia="Arial" w:hAnsi="Arial"/>
                <w:sz w:val="16"/>
                <w:szCs w:val="16"/>
                <w:color w:val="auto"/>
              </w:rPr>
              <w:t>By:</w:t>
            </w:r>
          </w:p>
        </w:tc>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John Hollister</w:t>
            </w:r>
          </w:p>
        </w:tc>
      </w:tr>
      <w:tr>
        <w:trPr>
          <w:trHeight w:val="195"/>
        </w:trPr>
        <w:tc>
          <w:tcPr>
            <w:tcW w:w="1020" w:type="dxa"/>
            <w:vAlign w:val="bottom"/>
          </w:tcPr>
          <w:p>
            <w:pPr>
              <w:spacing w:after="0"/>
              <w:rPr>
                <w:sz w:val="20"/>
                <w:szCs w:val="20"/>
                <w:color w:val="auto"/>
              </w:rPr>
            </w:pPr>
            <w:r>
              <w:rPr>
                <w:rFonts w:ascii="Arial" w:cs="Arial" w:eastAsia="Arial" w:hAnsi="Arial"/>
                <w:sz w:val="16"/>
                <w:szCs w:val="16"/>
                <w:color w:val="auto"/>
              </w:rPr>
              <w:t>Name:</w:t>
            </w:r>
          </w:p>
        </w:tc>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John Hollister</w:t>
            </w:r>
          </w:p>
        </w:tc>
      </w:tr>
      <w:tr>
        <w:trPr>
          <w:trHeight w:val="195"/>
        </w:trPr>
        <w:tc>
          <w:tcPr>
            <w:tcW w:w="1020" w:type="dxa"/>
            <w:vAlign w:val="bottom"/>
          </w:tcPr>
          <w:p>
            <w:pPr>
              <w:spacing w:after="0"/>
              <w:rPr>
                <w:sz w:val="20"/>
                <w:szCs w:val="20"/>
                <w:color w:val="auto"/>
              </w:rPr>
            </w:pPr>
            <w:r>
              <w:rPr>
                <w:rFonts w:ascii="Arial" w:cs="Arial" w:eastAsia="Arial" w:hAnsi="Arial"/>
                <w:sz w:val="16"/>
                <w:szCs w:val="16"/>
                <w:color w:val="auto"/>
              </w:rPr>
              <w:t>Title:</w:t>
            </w:r>
          </w:p>
        </w:tc>
        <w:tc>
          <w:tcPr>
            <w:tcW w:w="2780" w:type="dxa"/>
            <w:vAlign w:val="bottom"/>
          </w:tcPr>
          <w:p>
            <w:pPr>
              <w:ind w:left="4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80"/>
          </w:cols>
          <w:pgMar w:left="300" w:top="1160" w:right="319" w:bottom="1440" w:gutter="0" w:footer="0" w:header="0"/>
        </w:sectPr>
      </w:pPr>
    </w:p>
    <w:bookmarkStart w:id="190" w:name="page191"/>
    <w:bookmarkEnd w:id="1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69" w:lineRule="exact"/>
        <w:rPr>
          <w:sz w:val="20"/>
          <w:szCs w:val="20"/>
          <w:color w:val="auto"/>
        </w:rPr>
      </w:pPr>
    </w:p>
    <w:p>
      <w:pPr>
        <w:spacing w:after="0" w:line="352" w:lineRule="auto"/>
        <w:rPr>
          <w:sz w:val="20"/>
          <w:szCs w:val="20"/>
          <w:color w:val="auto"/>
        </w:rPr>
      </w:pPr>
      <w:r>
        <w:rPr>
          <w:rFonts w:ascii="Arial" w:cs="Arial" w:eastAsia="Arial" w:hAnsi="Arial"/>
          <w:sz w:val="13"/>
          <w:szCs w:val="13"/>
          <w:color w:val="auto"/>
        </w:rPr>
        <w:t>We consent to the incorporation by reference in the registration statement (No. 333-260674) on Form S-8 of our reports dated April 29, 2024, with respect to the consolidated financial statements of GLOBALFOUNDRIES Inc. and subsidiaries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color w:val="auto"/>
        </w:rPr>
        <w:t>/s/ KPMG LLP</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Singapore</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April 29, 2024</w:t>
      </w:r>
    </w:p>
    <w:p>
      <w:pPr>
        <w:sectPr>
          <w:pgSz w:w="11900" w:h="16838" w:orient="portrait"/>
          <w:cols w:equalWidth="0" w:num="1">
            <w:col w:w="11040"/>
          </w:cols>
          <w:pgMar w:left="300" w:top="1440" w:right="559" w:bottom="1440"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6"/>
          <w:szCs w:val="16"/>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Compensation Recoupment Policy of</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8"/>
          <w:szCs w:val="28"/>
          <w:color w:val="auto"/>
        </w:rPr>
        <w:t>GlobalFoundries Inc.</w:t>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October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0"/>
          <w:szCs w:val="10"/>
          <w:color w:val="auto"/>
        </w:rPr>
        <w:t>DB1/ 137062232.10</w:t>
      </w:r>
    </w:p>
    <w:p>
      <w:pPr>
        <w:sectPr>
          <w:pgSz w:w="11900" w:h="16838" w:orient="portrait"/>
          <w:cols w:equalWidth="0" w:num="1">
            <w:col w:w="11260"/>
          </w:cols>
          <w:pgMar w:left="320" w:top="122" w:right="319" w:bottom="1440" w:gutter="0" w:footer="0" w:header="0"/>
        </w:sectPr>
      </w:pPr>
    </w:p>
    <w:bookmarkStart w:id="194" w:name="page195"/>
    <w:bookmarkEnd w:id="194"/>
    <w:p>
      <w:pPr>
        <w:jc w:val="center"/>
        <w:ind w:right="-19"/>
        <w:spacing w:after="0"/>
        <w:tabs>
          <w:tab w:leader="none" w:pos="300" w:val="left"/>
        </w:tabs>
        <w:rPr>
          <w:sz w:val="20"/>
          <w:szCs w:val="20"/>
          <w:color w:val="auto"/>
        </w:rPr>
      </w:pPr>
      <w:r>
        <w:rPr>
          <w:rFonts w:ascii="Times New Roman" w:cs="Times New Roman" w:eastAsia="Times New Roman" w:hAnsi="Times New Roman"/>
          <w:sz w:val="17"/>
          <w:szCs w:val="17"/>
          <w:b w:val="1"/>
          <w:bCs w:val="1"/>
          <w:u w:val="single" w:color="auto"/>
          <w:color w:val="auto"/>
        </w:rPr>
        <w:t>Article A.</w:t>
      </w:r>
      <w:r>
        <w:rPr>
          <w:sz w:val="20"/>
          <w:szCs w:val="20"/>
          <w:color w:val="auto"/>
        </w:rPr>
        <w:tab/>
      </w:r>
      <w:r>
        <w:rPr>
          <w:rFonts w:ascii="Times New Roman" w:cs="Times New Roman" w:eastAsia="Times New Roman" w:hAnsi="Times New Roman"/>
          <w:sz w:val="16"/>
          <w:szCs w:val="16"/>
          <w:color w:val="auto"/>
        </w:rPr>
        <w:t>Purpose and General Terms</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Section A-1.</w:t>
      </w:r>
      <w:r>
        <w:rPr>
          <w:sz w:val="20"/>
          <w:szCs w:val="20"/>
          <w:color w:val="auto"/>
        </w:rPr>
        <w:tab/>
      </w:r>
      <w:r>
        <w:rPr>
          <w:rFonts w:ascii="Times New Roman" w:cs="Times New Roman" w:eastAsia="Times New Roman" w:hAnsi="Times New Roman"/>
          <w:sz w:val="16"/>
          <w:szCs w:val="16"/>
          <w:u w:val="single" w:color="auto"/>
          <w:color w:val="auto"/>
        </w:rPr>
        <w:t>Purpose</w:t>
      </w:r>
      <w:r>
        <w:rPr>
          <w:rFonts w:ascii="Times New Roman" w:cs="Times New Roman" w:eastAsia="Times New Roman" w:hAnsi="Times New Roman"/>
          <w:sz w:val="16"/>
          <w:szCs w:val="16"/>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GlobalFoundries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adopted this Compensation Recoupment Policy (this “</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to:</w:t>
      </w:r>
    </w:p>
    <w:p>
      <w:pPr>
        <w:spacing w:after="0" w:line="186" w:lineRule="exact"/>
        <w:rPr>
          <w:sz w:val="20"/>
          <w:szCs w:val="20"/>
          <w:color w:val="auto"/>
        </w:rPr>
      </w:pPr>
    </w:p>
    <w:p>
      <w:pPr>
        <w:ind w:left="520" w:right="340" w:hanging="260"/>
        <w:spacing w:after="0" w:line="281" w:lineRule="auto"/>
        <w:tabs>
          <w:tab w:leader="none" w:pos="517"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a mandatory Clawback Policy in the event of a Restatement in compliance with the applicable rules of the Nasdaq Global Market (“</w:t>
      </w:r>
      <w:r>
        <w:rPr>
          <w:rFonts w:ascii="Times New Roman" w:cs="Times New Roman" w:eastAsia="Times New Roman" w:hAnsi="Times New Roman"/>
          <w:sz w:val="17"/>
          <w:szCs w:val="17"/>
          <w:b w:val="1"/>
          <w:bCs w:val="1"/>
          <w:i w:val="1"/>
          <w:iCs w:val="1"/>
          <w:color w:val="auto"/>
        </w:rPr>
        <w:t>Nasdaq</w:t>
      </w:r>
      <w:r>
        <w:rPr>
          <w:rFonts w:ascii="Times New Roman" w:cs="Times New Roman" w:eastAsia="Times New Roman" w:hAnsi="Times New Roman"/>
          <w:sz w:val="17"/>
          <w:szCs w:val="17"/>
          <w:color w:val="auto"/>
        </w:rPr>
        <w:t xml:space="preserve">”), which is set forth in </w:t>
      </w:r>
      <w:r>
        <w:rPr>
          <w:rFonts w:ascii="Times New Roman" w:cs="Times New Roman" w:eastAsia="Times New Roman" w:hAnsi="Times New Roman"/>
          <w:sz w:val="17"/>
          <w:szCs w:val="17"/>
          <w:u w:val="single" w:color="auto"/>
          <w:color w:val="auto"/>
        </w:rPr>
        <w:t>Article B</w:t>
      </w:r>
      <w:r>
        <w:rPr>
          <w:rFonts w:ascii="Times New Roman" w:cs="Times New Roman" w:eastAsia="Times New Roman" w:hAnsi="Times New Roman"/>
          <w:sz w:val="17"/>
          <w:szCs w:val="17"/>
          <w:color w:val="auto"/>
        </w:rPr>
        <w:t xml:space="preserve"> of this Policy; and</w:t>
      </w:r>
    </w:p>
    <w:p>
      <w:pPr>
        <w:spacing w:after="0" w:line="119" w:lineRule="exact"/>
        <w:rPr>
          <w:rFonts w:ascii="Times New Roman" w:cs="Times New Roman" w:eastAsia="Times New Roman" w:hAnsi="Times New Roman"/>
          <w:sz w:val="17"/>
          <w:szCs w:val="17"/>
          <w:color w:val="auto"/>
        </w:rPr>
      </w:pPr>
    </w:p>
    <w:p>
      <w:pPr>
        <w:ind w:left="520" w:right="80" w:hanging="260"/>
        <w:spacing w:after="0" w:line="276" w:lineRule="auto"/>
        <w:tabs>
          <w:tab w:leader="none" w:pos="516"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implement a discretionary Clawback Policy to recoup certain compensation in circumstances involving misconduct, as determined advisable in the discretion of the Committee, which is set forth in </w:t>
      </w:r>
      <w:r>
        <w:rPr>
          <w:rFonts w:ascii="Times New Roman" w:cs="Times New Roman" w:eastAsia="Times New Roman" w:hAnsi="Times New Roman"/>
          <w:sz w:val="17"/>
          <w:szCs w:val="17"/>
          <w:u w:val="single" w:color="auto"/>
          <w:color w:val="auto"/>
        </w:rPr>
        <w:t>Article C</w:t>
      </w:r>
      <w:r>
        <w:rPr>
          <w:rFonts w:ascii="Times New Roman" w:cs="Times New Roman" w:eastAsia="Times New Roman" w:hAnsi="Times New Roman"/>
          <w:sz w:val="17"/>
          <w:szCs w:val="17"/>
          <w:color w:val="auto"/>
        </w:rPr>
        <w:t xml:space="preserve"> of this Policy.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capitalized terms used, but not immediately defined, in this Policy have the meanings set forth in Section A-6, Section B-1 or Section C-1, as applicable.</w:t>
      </w:r>
    </w:p>
    <w:p>
      <w:pPr>
        <w:spacing w:after="0" w:line="172"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7"/>
          <w:szCs w:val="17"/>
          <w:b w:val="1"/>
          <w:bCs w:val="1"/>
          <w:color w:val="auto"/>
        </w:rPr>
        <w:t>Section A-2.</w:t>
      </w:r>
      <w:r>
        <w:rPr>
          <w:sz w:val="20"/>
          <w:szCs w:val="20"/>
          <w:color w:val="auto"/>
        </w:rPr>
        <w:tab/>
      </w:r>
      <w:r>
        <w:rPr>
          <w:rFonts w:ascii="Times New Roman" w:cs="Times New Roman" w:eastAsia="Times New Roman" w:hAnsi="Times New Roman"/>
          <w:sz w:val="16"/>
          <w:szCs w:val="16"/>
          <w:u w:val="single" w:color="auto"/>
          <w:color w:val="auto"/>
        </w:rPr>
        <w:t>Administration</w:t>
      </w:r>
      <w:r>
        <w:rPr>
          <w:rFonts w:ascii="Times New Roman" w:cs="Times New Roman" w:eastAsia="Times New Roman" w:hAnsi="Times New Roman"/>
          <w:sz w:val="16"/>
          <w:szCs w:val="16"/>
          <w:color w:val="auto"/>
        </w:rPr>
        <w:t>.</w:t>
      </w:r>
    </w:p>
    <w:p>
      <w:pPr>
        <w:spacing w:after="0" w:line="19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This Policy shall be administered in the sole discretion of the Committee. The Committee shall have the discretion to interpret the Policy and make all determinations with respect to this Policy, consistent with applicable law and this Policy. Without limiting the foregoing:</w:t>
      </w:r>
    </w:p>
    <w:p>
      <w:pPr>
        <w:spacing w:after="0" w:line="144" w:lineRule="exact"/>
        <w:rPr>
          <w:sz w:val="20"/>
          <w:szCs w:val="20"/>
          <w:color w:val="auto"/>
        </w:rPr>
      </w:pPr>
    </w:p>
    <w:p>
      <w:pPr>
        <w:ind w:left="520" w:right="40" w:hanging="260"/>
        <w:spacing w:after="0" w:line="276" w:lineRule="auto"/>
        <w:tabs>
          <w:tab w:leader="none" w:pos="517"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Article B</w:t>
      </w:r>
      <w:r>
        <w:rPr>
          <w:rFonts w:ascii="Times New Roman" w:cs="Times New Roman" w:eastAsia="Times New Roman" w:hAnsi="Times New Roman"/>
          <w:sz w:val="17"/>
          <w:szCs w:val="17"/>
          <w:color w:val="auto"/>
        </w:rPr>
        <w:t xml:space="preserve"> of this Policy shall be interpreted in a manner that is consistent with the requirements of the Applicable Rules, and compliance with this Policy shall not be waived by the Committee, the Board or the Company in any respect; and</w:t>
      </w:r>
    </w:p>
    <w:p>
      <w:pPr>
        <w:spacing w:after="0" w:line="119" w:lineRule="exact"/>
        <w:rPr>
          <w:rFonts w:ascii="Times New Roman" w:cs="Times New Roman" w:eastAsia="Times New Roman" w:hAnsi="Times New Roman"/>
          <w:sz w:val="17"/>
          <w:szCs w:val="17"/>
          <w:color w:val="auto"/>
        </w:rPr>
      </w:pPr>
    </w:p>
    <w:p>
      <w:pPr>
        <w:ind w:left="520" w:right="320" w:hanging="260"/>
        <w:spacing w:after="0" w:line="314" w:lineRule="auto"/>
        <w:tabs>
          <w:tab w:leader="none" w:pos="516"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Article C</w:t>
      </w:r>
      <w:r>
        <w:rPr>
          <w:rFonts w:ascii="Times New Roman" w:cs="Times New Roman" w:eastAsia="Times New Roman" w:hAnsi="Times New Roman"/>
          <w:sz w:val="16"/>
          <w:szCs w:val="16"/>
          <w:color w:val="auto"/>
        </w:rPr>
        <w:t xml:space="preserve"> of this Policy shall be interpreted in the Committee’s sole discretion;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Board may assume any or all powers and authority of the Committee with respect to administration of </w:t>
      </w:r>
      <w:r>
        <w:rPr>
          <w:rFonts w:ascii="Times New Roman" w:cs="Times New Roman" w:eastAsia="Times New Roman" w:hAnsi="Times New Roman"/>
          <w:sz w:val="16"/>
          <w:szCs w:val="16"/>
          <w:u w:val="single" w:color="auto"/>
          <w:color w:val="auto"/>
        </w:rPr>
        <w:t>Article C</w:t>
      </w:r>
      <w:r>
        <w:rPr>
          <w:rFonts w:ascii="Times New Roman" w:cs="Times New Roman" w:eastAsia="Times New Roman" w:hAnsi="Times New Roman"/>
          <w:sz w:val="16"/>
          <w:szCs w:val="16"/>
          <w:color w:val="auto"/>
        </w:rPr>
        <w:t>, in which case references to the Committee shall be deemed to include the Board, as applicable.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interpretations and determinations made by the Committee shall be final and binding on all affected individuals.</w:t>
      </w:r>
    </w:p>
    <w:p>
      <w:pPr>
        <w:spacing w:after="0" w:line="17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Section A-3.</w:t>
      </w:r>
      <w:r>
        <w:rPr>
          <w:sz w:val="20"/>
          <w:szCs w:val="20"/>
          <w:color w:val="auto"/>
        </w:rPr>
        <w:tab/>
      </w:r>
      <w:r>
        <w:rPr>
          <w:rFonts w:ascii="Times New Roman" w:cs="Times New Roman" w:eastAsia="Times New Roman" w:hAnsi="Times New Roman"/>
          <w:sz w:val="16"/>
          <w:szCs w:val="16"/>
          <w:u w:val="single" w:color="auto"/>
          <w:color w:val="auto"/>
        </w:rPr>
        <w:t>Effective Date; Term</w:t>
      </w:r>
      <w:r>
        <w:rPr>
          <w:rFonts w:ascii="Times New Roman" w:cs="Times New Roman" w:eastAsia="Times New Roman" w:hAnsi="Times New Roman"/>
          <w:sz w:val="16"/>
          <w:szCs w:val="16"/>
          <w:color w:val="auto"/>
        </w:rPr>
        <w:t>.</w:t>
      </w:r>
    </w:p>
    <w:p>
      <w:pPr>
        <w:spacing w:after="0" w:line="186"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7"/>
          <w:szCs w:val="17"/>
          <w:color w:val="auto"/>
        </w:rPr>
        <w:t>This Policy is effective as of October 2, 2023 (the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Article B of this Policy applies to Incentive-Based Compensation that is Received by any Executive Officer on or after the Effective Date as described in Section B-3 below.</w:t>
      </w:r>
    </w:p>
    <w:p>
      <w:pPr>
        <w:spacing w:after="0" w:line="11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Section A-4.</w:t>
      </w:r>
      <w:r>
        <w:rPr>
          <w:sz w:val="20"/>
          <w:szCs w:val="20"/>
          <w:color w:val="auto"/>
        </w:rPr>
        <w:tab/>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w:t>
      </w:r>
    </w:p>
    <w:p>
      <w:pPr>
        <w:spacing w:after="0" w:line="19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 xml:space="preserve">The Committee may amend this Policy from time to time in its discretion, subject to any limitations under applicable law or listing standards, including, in the case of </w:t>
      </w:r>
      <w:r>
        <w:rPr>
          <w:rFonts w:ascii="Times New Roman" w:cs="Times New Roman" w:eastAsia="Times New Roman" w:hAnsi="Times New Roman"/>
          <w:sz w:val="17"/>
          <w:szCs w:val="17"/>
          <w:u w:val="single" w:color="auto"/>
          <w:color w:val="auto"/>
        </w:rPr>
        <w:t>Article B</w:t>
      </w:r>
      <w:r>
        <w:rPr>
          <w:rFonts w:ascii="Times New Roman" w:cs="Times New Roman" w:eastAsia="Times New Roman" w:hAnsi="Times New Roman"/>
          <w:sz w:val="17"/>
          <w:szCs w:val="17"/>
          <w:color w:val="auto"/>
        </w:rPr>
        <w:t>, the Applicable Rules.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0"/>
          <w:szCs w:val="10"/>
          <w:color w:val="auto"/>
        </w:rPr>
        <w:t>DB1/ 137062232.10</w:t>
      </w:r>
    </w:p>
    <w:p>
      <w:pPr>
        <w:sectPr>
          <w:pgSz w:w="11900" w:h="16838" w:orient="portrait"/>
          <w:cols w:equalWidth="0" w:num="1">
            <w:col w:w="11280"/>
          </w:cols>
          <w:pgMar w:left="300" w:top="1144" w:right="319" w:bottom="1440" w:gutter="0" w:footer="0" w:header="0"/>
        </w:sectPr>
      </w:pPr>
    </w:p>
    <w:bookmarkStart w:id="195" w:name="page196"/>
    <w:bookmarkEnd w:id="195"/>
    <w:p>
      <w:pPr>
        <w:ind w:right="420"/>
        <w:spacing w:after="0" w:line="263" w:lineRule="auto"/>
        <w:rPr>
          <w:sz w:val="20"/>
          <w:szCs w:val="20"/>
          <w:color w:val="auto"/>
        </w:rPr>
      </w:pPr>
      <w:r>
        <w:rPr>
          <w:rFonts w:ascii="Times New Roman" w:cs="Times New Roman" w:eastAsia="Times New Roman" w:hAnsi="Times New Roman"/>
          <w:sz w:val="17"/>
          <w:szCs w:val="17"/>
          <w:color w:val="auto"/>
        </w:rPr>
        <w:t>Without limiting the foregoing, the Committee may amend this Policy as it deems necessary to reflect any amendment of the Applicable Rules or regulations or guidance issued under the Applicable Rules.</w:t>
      </w:r>
    </w:p>
    <w:p>
      <w:pPr>
        <w:spacing w:after="0" w:line="14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Section A-5.</w:t>
      </w:r>
      <w:r>
        <w:rPr>
          <w:sz w:val="20"/>
          <w:szCs w:val="20"/>
          <w:color w:val="auto"/>
        </w:rPr>
        <w:tab/>
      </w:r>
      <w:r>
        <w:rPr>
          <w:rFonts w:ascii="Times New Roman" w:cs="Times New Roman" w:eastAsia="Times New Roman" w:hAnsi="Times New Roman"/>
          <w:sz w:val="16"/>
          <w:szCs w:val="16"/>
          <w:u w:val="single" w:color="auto"/>
          <w:color w:val="auto"/>
        </w:rPr>
        <w:t>No Substitution of Rights; Non-Exhaustive Rights</w:t>
      </w:r>
      <w:r>
        <w:rPr>
          <w:rFonts w:ascii="Times New Roman" w:cs="Times New Roman" w:eastAsia="Times New Roman" w:hAnsi="Times New Roman"/>
          <w:sz w:val="16"/>
          <w:szCs w:val="16"/>
          <w:color w:val="auto"/>
        </w:rPr>
        <w:t>.</w:t>
      </w:r>
    </w:p>
    <w:p>
      <w:pPr>
        <w:spacing w:after="0" w:line="19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Any right of recoupment under this Policy is in addition to, and not in lieu of, any other remedies or rights that may be available to the Company pursuant to (a) the GlobalFoundries Inc. 2018 Omnibus Stock Incentive Plan, as amended, or any successor plan thereto, the GlobalFoundries Inc. 2021 Equity Compensation Plan, as amended, or any successor plan thereto, the Company’s annual bonus plan or any other incentive plan of the Company or any of its subsidiaries, (b) the terms of any recoupment policy or provision in any employment agreement, compensation agreement or arrangement, or other agreement, or (c) any other legal remedies available to the Company under applicable law.</w:t>
      </w:r>
    </w:p>
    <w:p>
      <w:pPr>
        <w:spacing w:after="0" w:line="136" w:lineRule="exact"/>
        <w:rPr>
          <w:sz w:val="20"/>
          <w:szCs w:val="20"/>
          <w:color w:val="auto"/>
        </w:rPr>
      </w:pPr>
    </w:p>
    <w:p>
      <w:pPr>
        <w:jc w:val="both"/>
        <w:ind w:right="140"/>
        <w:spacing w:after="0" w:line="279" w:lineRule="auto"/>
        <w:rPr>
          <w:sz w:val="20"/>
          <w:szCs w:val="20"/>
          <w:color w:val="auto"/>
        </w:rPr>
      </w:pPr>
      <w:r>
        <w:rPr>
          <w:rFonts w:ascii="Times New Roman" w:cs="Times New Roman" w:eastAsia="Times New Roman" w:hAnsi="Times New Roman"/>
          <w:sz w:val="16"/>
          <w:szCs w:val="16"/>
          <w:color w:val="auto"/>
        </w:rPr>
        <w:t>In addition to recovery of compensation as provided for in this Policy, the Company may take any and all other actions as it deems necessary, appropriate and in the Company’s best interest in connection with the Committee determining that this Policy should apply, including termination of the employment of, or initiating legal action against, an Executive Officer or Covered Person (as applicable), and nothing in this Policy limits the Company’s rights to take any such appropriate actions.</w:t>
      </w:r>
    </w:p>
    <w:p>
      <w:pPr>
        <w:spacing w:after="0" w:line="11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Section A-6.</w:t>
      </w:r>
      <w:r>
        <w:rPr>
          <w:sz w:val="20"/>
          <w:szCs w:val="20"/>
          <w:color w:val="auto"/>
        </w:rPr>
        <w:tab/>
      </w:r>
      <w:r>
        <w:rPr>
          <w:rFonts w:ascii="Times New Roman" w:cs="Times New Roman" w:eastAsia="Times New Roman" w:hAnsi="Times New Roman"/>
          <w:sz w:val="16"/>
          <w:szCs w:val="16"/>
          <w:u w:val="single" w:color="auto"/>
          <w:color w:val="auto"/>
        </w:rPr>
        <w:t>Defined Terms</w:t>
      </w:r>
      <w:r>
        <w:rPr>
          <w:rFonts w:ascii="Times New Roman" w:cs="Times New Roman" w:eastAsia="Times New Roman" w:hAnsi="Times New Roman"/>
          <w:sz w:val="16"/>
          <w:szCs w:val="16"/>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capitalized terms used in this Policy have the following meanings:</w:t>
      </w:r>
    </w:p>
    <w:p>
      <w:pPr>
        <w:spacing w:after="0" w:line="193" w:lineRule="exact"/>
        <w:rPr>
          <w:sz w:val="20"/>
          <w:szCs w:val="20"/>
          <w:color w:val="auto"/>
        </w:rPr>
      </w:pPr>
    </w:p>
    <w:p>
      <w:pPr>
        <w:ind w:left="520" w:right="400" w:hanging="260"/>
        <w:spacing w:after="0" w:line="294" w:lineRule="auto"/>
        <w:tabs>
          <w:tab w:leader="none" w:pos="517"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Applicable Rules</w:t>
      </w:r>
      <w:r>
        <w:rPr>
          <w:rFonts w:ascii="Times New Roman" w:cs="Times New Roman" w:eastAsia="Times New Roman" w:hAnsi="Times New Roman"/>
          <w:sz w:val="17"/>
          <w:szCs w:val="17"/>
          <w:color w:val="auto"/>
        </w:rPr>
        <w:t>” means Section 10D of the Exchange Act and Rule 10D-1 promulgated thereunder and Listing Rule 5608 of the Listing Rules of The Nasdaq Stock Market.</w:t>
      </w:r>
    </w:p>
    <w:p>
      <w:pPr>
        <w:spacing w:after="0" w:line="104"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175" w:lineRule="exact"/>
        <w:rPr>
          <w:rFonts w:ascii="Times New Roman" w:cs="Times New Roman" w:eastAsia="Times New Roman" w:hAnsi="Times New Roman"/>
          <w:sz w:val="17"/>
          <w:szCs w:val="17"/>
          <w:color w:val="auto"/>
        </w:rPr>
      </w:pPr>
    </w:p>
    <w:p>
      <w:pPr>
        <w:ind w:left="520" w:right="120" w:hanging="260"/>
        <w:spacing w:after="0" w:line="281" w:lineRule="auto"/>
        <w:tabs>
          <w:tab w:leader="none" w:pos="517"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Clawback Compensation</w:t>
      </w:r>
      <w:r>
        <w:rPr>
          <w:rFonts w:ascii="Times New Roman" w:cs="Times New Roman" w:eastAsia="Times New Roman" w:hAnsi="Times New Roman"/>
          <w:sz w:val="17"/>
          <w:szCs w:val="17"/>
          <w:color w:val="auto"/>
        </w:rPr>
        <w:t xml:space="preserve">” means, for the purposes of </w:t>
      </w:r>
      <w:r>
        <w:rPr>
          <w:rFonts w:ascii="Times New Roman" w:cs="Times New Roman" w:eastAsia="Times New Roman" w:hAnsi="Times New Roman"/>
          <w:sz w:val="17"/>
          <w:szCs w:val="17"/>
          <w:u w:val="single" w:color="auto"/>
          <w:color w:val="auto"/>
        </w:rPr>
        <w:t>Article B</w:t>
      </w:r>
      <w:r>
        <w:rPr>
          <w:rFonts w:ascii="Times New Roman" w:cs="Times New Roman" w:eastAsia="Times New Roman" w:hAnsi="Times New Roman"/>
          <w:sz w:val="17"/>
          <w:szCs w:val="17"/>
          <w:color w:val="auto"/>
        </w:rPr>
        <w:t xml:space="preserve">, Incentive-Based Compensation and, for the purposes of </w:t>
      </w:r>
      <w:r>
        <w:rPr>
          <w:rFonts w:ascii="Times New Roman" w:cs="Times New Roman" w:eastAsia="Times New Roman" w:hAnsi="Times New Roman"/>
          <w:sz w:val="17"/>
          <w:szCs w:val="17"/>
          <w:u w:val="single" w:color="auto"/>
          <w:color w:val="auto"/>
        </w:rPr>
        <w:t>Article C</w:t>
      </w:r>
      <w:r>
        <w:rPr>
          <w:rFonts w:ascii="Times New Roman" w:cs="Times New Roman" w:eastAsia="Times New Roman" w:hAnsi="Times New Roman"/>
          <w:sz w:val="17"/>
          <w:szCs w:val="17"/>
          <w:color w:val="auto"/>
        </w:rPr>
        <w:t>, Covered Compensation, in each case as determined to be subject to repayment pursuant to this Policy.</w:t>
      </w:r>
    </w:p>
    <w:p>
      <w:pPr>
        <w:spacing w:after="0" w:line="115" w:lineRule="exact"/>
        <w:rPr>
          <w:rFonts w:ascii="Times New Roman" w:cs="Times New Roman" w:eastAsia="Times New Roman" w:hAnsi="Times New Roman"/>
          <w:sz w:val="17"/>
          <w:szCs w:val="17"/>
          <w:color w:val="auto"/>
        </w:rPr>
      </w:pPr>
    </w:p>
    <w:p>
      <w:pPr>
        <w:ind w:left="520" w:right="360" w:hanging="260"/>
        <w:spacing w:after="0" w:line="294" w:lineRule="auto"/>
        <w:tabs>
          <w:tab w:leader="none" w:pos="516"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means the People and Compensation Committee of the Company, or, in the absence of such committee, a majority of independent directors serving on the Board.</w:t>
      </w:r>
    </w:p>
    <w:p>
      <w:pPr>
        <w:spacing w:after="0" w:line="104"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175"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Regulators</w:t>
      </w:r>
      <w:r>
        <w:rPr>
          <w:rFonts w:ascii="Times New Roman" w:cs="Times New Roman" w:eastAsia="Times New Roman" w:hAnsi="Times New Roman"/>
          <w:sz w:val="17"/>
          <w:szCs w:val="17"/>
          <w:color w:val="auto"/>
        </w:rPr>
        <w:t>” means, as applicable, the Securities and Exchange Commission and Nasdaq.</w:t>
      </w:r>
    </w:p>
    <w:p>
      <w:pPr>
        <w:spacing w:after="0" w:line="367" w:lineRule="exact"/>
        <w:rPr>
          <w:sz w:val="20"/>
          <w:szCs w:val="20"/>
          <w:color w:val="auto"/>
        </w:rPr>
      </w:pPr>
    </w:p>
    <w:p>
      <w:pPr>
        <w:jc w:val="center"/>
        <w:ind w:right="20"/>
        <w:spacing w:after="0"/>
        <w:tabs>
          <w:tab w:leader="none" w:pos="300" w:val="left"/>
        </w:tabs>
        <w:rPr>
          <w:sz w:val="20"/>
          <w:szCs w:val="20"/>
          <w:color w:val="auto"/>
        </w:rPr>
      </w:pPr>
      <w:r>
        <w:rPr>
          <w:rFonts w:ascii="Times New Roman" w:cs="Times New Roman" w:eastAsia="Times New Roman" w:hAnsi="Times New Roman"/>
          <w:sz w:val="17"/>
          <w:szCs w:val="17"/>
          <w:b w:val="1"/>
          <w:bCs w:val="1"/>
          <w:u w:val="single" w:color="auto"/>
          <w:color w:val="auto"/>
        </w:rPr>
        <w:t>Article B.</w:t>
      </w:r>
      <w:r>
        <w:rPr>
          <w:sz w:val="20"/>
          <w:szCs w:val="20"/>
          <w:color w:val="auto"/>
        </w:rPr>
        <w:tab/>
      </w:r>
      <w:r>
        <w:rPr>
          <w:rFonts w:ascii="Times New Roman" w:cs="Times New Roman" w:eastAsia="Times New Roman" w:hAnsi="Times New Roman"/>
          <w:sz w:val="17"/>
          <w:szCs w:val="17"/>
          <w:color w:val="auto"/>
        </w:rPr>
        <w:t>Dodd-Frank Recoupment Policy for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Executive Officers</w:t>
      </w:r>
    </w:p>
    <w:p>
      <w:pPr>
        <w:spacing w:after="0" w:line="16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Section B-1. </w:t>
      </w:r>
      <w:r>
        <w:rPr>
          <w:rFonts w:ascii="Times New Roman" w:cs="Times New Roman" w:eastAsia="Times New Roman" w:hAnsi="Times New Roman"/>
          <w:sz w:val="17"/>
          <w:szCs w:val="17"/>
          <w:u w:val="single" w:color="auto"/>
          <w:color w:val="auto"/>
        </w:rPr>
        <w:t>Specific Defined Terms</w:t>
      </w:r>
      <w:r>
        <w:rPr>
          <w:rFonts w:ascii="Times New Roman" w:cs="Times New Roman" w:eastAsia="Times New Roman" w:hAnsi="Times New Roman"/>
          <w:sz w:val="17"/>
          <w:szCs w:val="17"/>
          <w:color w:val="auto"/>
        </w:rPr>
        <w:t>. For the purposes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Article B</w:t>
      </w:r>
      <w:r>
        <w:rPr>
          <w:rFonts w:ascii="Times New Roman" w:cs="Times New Roman" w:eastAsia="Times New Roman" w:hAnsi="Times New Roman"/>
          <w:sz w:val="17"/>
          <w:szCs w:val="17"/>
          <w:color w:val="auto"/>
        </w:rPr>
        <w:t>, the following terms have the following meanings, which will be interpreted to comply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Applicable Rules: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0"/>
          <w:szCs w:val="10"/>
          <w:color w:val="auto"/>
        </w:rPr>
        <w:t>DB1/ 137062232.10</w:t>
      </w:r>
    </w:p>
    <w:p>
      <w:pPr>
        <w:sectPr>
          <w:pgSz w:w="11900" w:h="16838" w:orient="portrait"/>
          <w:cols w:equalWidth="0" w:num="1">
            <w:col w:w="11280"/>
          </w:cols>
          <w:pgMar w:left="300" w:top="1137" w:right="319" w:bottom="1440" w:gutter="0" w:footer="0" w:header="0"/>
        </w:sectPr>
      </w:pPr>
    </w:p>
    <w:bookmarkStart w:id="196" w:name="page197"/>
    <w:bookmarkEnd w:id="196"/>
    <w:p>
      <w:pPr>
        <w:ind w:left="520" w:right="40" w:hanging="254"/>
        <w:spacing w:after="0" w:line="264"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Executive Officer</w:t>
      </w:r>
      <w:r>
        <w:rPr>
          <w:rFonts w:ascii="Times New Roman" w:cs="Times New Roman" w:eastAsia="Times New Roman" w:hAnsi="Times New Roman"/>
          <w:sz w:val="17"/>
          <w:szCs w:val="17"/>
          <w:color w:val="auto"/>
        </w:rPr>
        <w:t xml:space="preserve">” means each officer of the Company who serves as the Company’s president, principal financial officer, principal accounting officer (or if there is no such accounting officer, the controller), any vice president of the Company in charge of a principal business unit, division or function (such as sales, administration, or finance), any other officer who performs a policy-making function, or any other person who performs similar significant policy-making functions for the Company, as determined pursuant to 17 CFR </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 xml:space="preserve"> 229.401(b).</w:t>
      </w:r>
      <w:r>
        <w:rPr>
          <w:rFonts w:ascii="Times New Roman" w:cs="Times New Roman" w:eastAsia="Times New Roman" w:hAnsi="Times New Roman"/>
          <w:sz w:val="22"/>
          <w:szCs w:val="22"/>
          <w:color w:val="auto"/>
          <w:vertAlign w:val="superscript"/>
        </w:rPr>
        <w:t>1</w:t>
      </w:r>
    </w:p>
    <w:p>
      <w:pPr>
        <w:spacing w:after="0" w:line="85" w:lineRule="exact"/>
        <w:rPr>
          <w:sz w:val="20"/>
          <w:szCs w:val="20"/>
          <w:color w:val="auto"/>
        </w:rPr>
      </w:pPr>
    </w:p>
    <w:p>
      <w:pPr>
        <w:ind w:left="520" w:right="140" w:hanging="254"/>
        <w:spacing w:after="0" w:line="263"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b w:val="1"/>
          <w:bCs w:val="1"/>
          <w:i w:val="1"/>
          <w:iCs w:val="1"/>
          <w:color w:val="auto"/>
        </w:rPr>
        <w:t>Financial Reporting Measures</w:t>
      </w:r>
      <w:r>
        <w:rPr>
          <w:rFonts w:ascii="Times New Roman" w:cs="Times New Roman" w:eastAsia="Times New Roman" w:hAnsi="Times New Roman"/>
          <w:sz w:val="17"/>
          <w:szCs w:val="17"/>
          <w:color w:val="auto"/>
        </w:rPr>
        <w:t>” means (i) measures that are determined and presented in accordance with the accounting principles used in preparing the Company’s financial statements, and any measures that are derived wholly or in part from such measures, (ii) the Company’s stock price, and (iii) total shareholder return in respect of the Company. A “Financial Reporting Measure” need not be presented within the financial statements or included in a filing with the SEC.</w:t>
      </w:r>
    </w:p>
    <w:p>
      <w:pPr>
        <w:spacing w:after="0" w:line="130" w:lineRule="exact"/>
        <w:rPr>
          <w:sz w:val="20"/>
          <w:szCs w:val="20"/>
          <w:color w:val="auto"/>
        </w:rPr>
      </w:pPr>
    </w:p>
    <w:p>
      <w:pPr>
        <w:ind w:left="520" w:right="260" w:hanging="254"/>
        <w:spacing w:after="0" w:line="258"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b w:val="1"/>
          <w:bCs w:val="1"/>
          <w:i w:val="1"/>
          <w:iCs w:val="1"/>
          <w:color w:val="auto"/>
        </w:rPr>
        <w:t>Incentive-Based Compensation</w:t>
      </w:r>
      <w:r>
        <w:rPr>
          <w:rFonts w:ascii="Times New Roman" w:cs="Times New Roman" w:eastAsia="Times New Roman" w:hAnsi="Times New Roman"/>
          <w:sz w:val="17"/>
          <w:szCs w:val="17"/>
          <w:color w:val="auto"/>
        </w:rPr>
        <w:t>” means any compensation that is granted, earned, or vested, based wholly or in part upon the attainment of a Financial Reporting Measure. Incentive-Based Compensation does not include, among other forms of compensation, equity awards that vest exclusively upon completion of a specified employment period, without any performance condition, and bonus awards that are discretionary or based on subjective goals or goals unrelated to Financial Reporting Measures.</w:t>
      </w:r>
    </w:p>
    <w:p>
      <w:pPr>
        <w:spacing w:after="0" w:line="14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b w:val="1"/>
          <w:bCs w:val="1"/>
          <w:i w:val="1"/>
          <w:iCs w:val="1"/>
          <w:color w:val="auto"/>
        </w:rPr>
        <w:t>Received</w:t>
      </w:r>
      <w:r>
        <w:rPr>
          <w:rFonts w:ascii="Times New Roman" w:cs="Times New Roman" w:eastAsia="Times New Roman" w:hAnsi="Times New Roman"/>
          <w:sz w:val="17"/>
          <w:szCs w:val="17"/>
          <w:color w:val="auto"/>
        </w:rPr>
        <w:t>” – Incentive-Based Compensation is deemed “Received” for the purposes of this Policy in the Company’s fiscal period during which the Financial</w:t>
      </w:r>
    </w:p>
    <w:p>
      <w:pPr>
        <w:spacing w:after="0" w:line="28" w:lineRule="exact"/>
        <w:rPr>
          <w:sz w:val="20"/>
          <w:szCs w:val="20"/>
          <w:color w:val="auto"/>
        </w:rPr>
      </w:pPr>
    </w:p>
    <w:p>
      <w:pPr>
        <w:ind w:left="520" w:right="300"/>
        <w:spacing w:after="0" w:line="254" w:lineRule="auto"/>
        <w:rPr>
          <w:sz w:val="20"/>
          <w:szCs w:val="20"/>
          <w:color w:val="auto"/>
        </w:rPr>
      </w:pPr>
      <w:r>
        <w:rPr>
          <w:rFonts w:ascii="Times New Roman" w:cs="Times New Roman" w:eastAsia="Times New Roman" w:hAnsi="Times New Roman"/>
          <w:sz w:val="17"/>
          <w:szCs w:val="17"/>
          <w:color w:val="auto"/>
        </w:rPr>
        <w:t>Reporting Measure applicable to the Incentive-Based Compensation award is attained, even if the payment or grant of the Incentive-Based Compensation occurs after the end of that period.</w:t>
      </w:r>
    </w:p>
    <w:p>
      <w:pPr>
        <w:spacing w:after="0" w:line="137" w:lineRule="exact"/>
        <w:rPr>
          <w:sz w:val="20"/>
          <w:szCs w:val="20"/>
          <w:color w:val="auto"/>
        </w:rPr>
      </w:pPr>
    </w:p>
    <w:p>
      <w:pPr>
        <w:ind w:left="520" w:hanging="254"/>
        <w:spacing w:after="0" w:line="263" w:lineRule="auto"/>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b w:val="1"/>
          <w:bCs w:val="1"/>
          <w:i w:val="1"/>
          <w:iCs w:val="1"/>
          <w:color w:val="auto"/>
        </w:rPr>
        <w:t>Recovery Period</w:t>
      </w:r>
      <w:r>
        <w:rPr>
          <w:rFonts w:ascii="Times New Roman" w:cs="Times New Roman" w:eastAsia="Times New Roman" w:hAnsi="Times New Roman"/>
          <w:sz w:val="17"/>
          <w:szCs w:val="17"/>
          <w:color w:val="auto"/>
        </w:rPr>
        <w:t>” means the three completed fiscal years immediately preceding the date on which the Company is required to prepare a Restatement, which date is the earlier of (i) the date the Board, a committee of the Board, or the officer or officers of the Company authorized to take such action if Board action is not required, concludes, or reasonably should have concluded, that the Company is required to prepare a Restatement or (ii) a date that a court, regulator or other legally authorized body directs the Company to prepare a Restatement.</w:t>
      </w:r>
    </w:p>
    <w:p>
      <w:pPr>
        <w:spacing w:after="0" w:line="130" w:lineRule="exact"/>
        <w:rPr>
          <w:sz w:val="20"/>
          <w:szCs w:val="20"/>
          <w:color w:val="auto"/>
        </w:rPr>
      </w:pPr>
    </w:p>
    <w:p>
      <w:pPr>
        <w:ind w:left="520" w:right="40" w:hanging="254"/>
        <w:spacing w:after="0" w:line="260"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b w:val="1"/>
          <w:bCs w:val="1"/>
          <w:i w:val="1"/>
          <w:iCs w:val="1"/>
          <w:color w:val="auto"/>
        </w:rPr>
        <w:t>Restatement</w:t>
      </w:r>
      <w:r>
        <w:rPr>
          <w:rFonts w:ascii="Times New Roman" w:cs="Times New Roman" w:eastAsia="Times New Roman" w:hAnsi="Times New Roman"/>
          <w:sz w:val="17"/>
          <w:szCs w:val="17"/>
          <w:color w:val="auto"/>
        </w:rPr>
        <w:t>” means that the Company is required to prepare an accounting restatement due to a material noncompliance of the Company with any financial reporting requirement under the securities laws, including any required accounting restatement to correct an error in previously issued financial statements</w:t>
      </w:r>
    </w:p>
    <w:p>
      <w:pPr>
        <w:spacing w:after="0" w:line="1" w:lineRule="exact"/>
        <w:rPr>
          <w:sz w:val="20"/>
          <w:szCs w:val="20"/>
          <w:color w:val="auto"/>
        </w:rPr>
      </w:pPr>
    </w:p>
    <w:p>
      <w:pPr>
        <w:ind w:left="520" w:right="240"/>
        <w:spacing w:after="0" w:line="268" w:lineRule="auto"/>
        <w:rPr>
          <w:sz w:val="20"/>
          <w:szCs w:val="20"/>
          <w:color w:val="auto"/>
        </w:rPr>
      </w:pPr>
      <w:r>
        <w:rPr>
          <w:rFonts w:ascii="Times New Roman" w:cs="Times New Roman" w:eastAsia="Times New Roman" w:hAnsi="Times New Roman"/>
          <w:sz w:val="17"/>
          <w:szCs w:val="17"/>
          <w:color w:val="auto"/>
        </w:rPr>
        <w:t>(i) that is material to the previously issued financial statements, or (ii) that would result in a material misstatement if the error were corrected in the current period or left uncorrected in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134747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color w:val="auto"/>
        </w:rPr>
        <w:t xml:space="preserve"> The intent of this Policy is that “Executive Officers” will be consistent with the officers listed in the 20-F and consistent with the Applicable Rules.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0"/>
          <w:szCs w:val="10"/>
          <w:color w:val="auto"/>
        </w:rPr>
        <w:t>DB1/ 137062232.10</w:t>
      </w:r>
    </w:p>
    <w:p>
      <w:pPr>
        <w:sectPr>
          <w:pgSz w:w="11900" w:h="16838" w:orient="portrait"/>
          <w:cols w:equalWidth="0" w:num="1">
            <w:col w:w="11260"/>
          </w:cols>
          <w:pgMar w:left="300" w:top="1144" w:right="339" w:bottom="1440" w:gutter="0" w:footer="0" w:header="0"/>
        </w:sectPr>
      </w:pPr>
    </w:p>
    <w:bookmarkStart w:id="197" w:name="page198"/>
    <w:bookmarkEnd w:id="197"/>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Section B-2.</w:t>
      </w:r>
      <w:r>
        <w:rPr>
          <w:sz w:val="20"/>
          <w:szCs w:val="20"/>
          <w:color w:val="auto"/>
        </w:rPr>
        <w:tab/>
      </w:r>
      <w:r>
        <w:rPr>
          <w:rFonts w:ascii="Times New Roman" w:cs="Times New Roman" w:eastAsia="Times New Roman" w:hAnsi="Times New Roman"/>
          <w:sz w:val="16"/>
          <w:szCs w:val="16"/>
          <w:u w:val="single" w:color="auto"/>
          <w:color w:val="auto"/>
        </w:rPr>
        <w:t>Recovery on a Restatement</w:t>
      </w:r>
      <w:r>
        <w:rPr>
          <w:rFonts w:ascii="Times New Roman" w:cs="Times New Roman" w:eastAsia="Times New Roman" w:hAnsi="Times New Roman"/>
          <w:sz w:val="16"/>
          <w:szCs w:val="16"/>
          <w:color w:val="auto"/>
        </w:rPr>
        <w:t>.</w:t>
      </w:r>
    </w:p>
    <w:p>
      <w:pPr>
        <w:spacing w:after="0" w:line="190"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7"/>
          <w:szCs w:val="17"/>
          <w:color w:val="auto"/>
        </w:rPr>
        <w:t>In the event the Company is required to prepare a Restatement, the Company shall reasonably promptly recover from an Executive Officer the amount of any erroneously awarded Incentive-Based Compensation that is Received by such Executive Officer during the Recovery Period. The amount of erroneously Received Incentive-Based Compensation will be the excess of the Incentive-Based Compensation Received by the Executive Officer (whether in cash or shares) based on the erroneous data in the original financial statements over the Incentive-Based Compensation (whether in cash or in shares) that would have been Received by the Executive Officer had such Incentive-Based Compensation been based on the restated results, without respect to any tax liabilities incurred or paid by the Executive Officer.</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Without limiting the foregoing, for Incentive-Based Compensation based on the Company’s stock price or total shareholder return, where the amount of erroneously awarded compensation is not subject to mathematical recalculation directly from the information in the Restatement, (a) the amount shall be based on the Company’s reasonable estimate of the effect of the Restatement on the stock price or total shareholder return upon which the Incentive-Based Compensation was Received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 the Company shall maintain documentation of the determination of that reasonable estimate and provide such estimate to Nasdaq.</w:t>
      </w:r>
    </w:p>
    <w:p>
      <w:pPr>
        <w:spacing w:after="0" w:line="15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Section B-3.</w:t>
      </w:r>
      <w:r>
        <w:rPr>
          <w:sz w:val="20"/>
          <w:szCs w:val="20"/>
          <w:color w:val="auto"/>
        </w:rPr>
        <w:tab/>
      </w:r>
      <w:r>
        <w:rPr>
          <w:rFonts w:ascii="Times New Roman" w:cs="Times New Roman" w:eastAsia="Times New Roman" w:hAnsi="Times New Roman"/>
          <w:sz w:val="16"/>
          <w:szCs w:val="16"/>
          <w:u w:val="single" w:color="auto"/>
          <w:color w:val="auto"/>
        </w:rPr>
        <w:t>Covered Executive Officers and Covered Incentive-Based Compensation</w:t>
      </w:r>
      <w:r>
        <w:rPr>
          <w:rFonts w:ascii="Times New Roman" w:cs="Times New Roman" w:eastAsia="Times New Roman" w:hAnsi="Times New Roman"/>
          <w:sz w:val="16"/>
          <w:szCs w:val="16"/>
          <w:color w:val="auto"/>
        </w:rPr>
        <w:t>.</w:t>
      </w:r>
    </w:p>
    <w:p>
      <w:pPr>
        <w:spacing w:after="0" w:line="190"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u w:val="single" w:color="auto"/>
          <w:color w:val="auto"/>
        </w:rPr>
        <w:t>Article B</w:t>
      </w:r>
      <w:r>
        <w:rPr>
          <w:rFonts w:ascii="Times New Roman" w:cs="Times New Roman" w:eastAsia="Times New Roman" w:hAnsi="Times New Roman"/>
          <w:sz w:val="17"/>
          <w:szCs w:val="17"/>
          <w:color w:val="auto"/>
        </w:rPr>
        <w:t xml:space="preserve"> covers all persons who are Executive Officers at any time during the Recovery Period for which Incentive-Based Compensation is Received. Incentive-Based Compensation shall not be recovered under this </w:t>
      </w:r>
      <w:r>
        <w:rPr>
          <w:rFonts w:ascii="Times New Roman" w:cs="Times New Roman" w:eastAsia="Times New Roman" w:hAnsi="Times New Roman"/>
          <w:sz w:val="17"/>
          <w:szCs w:val="17"/>
          <w:u w:val="single" w:color="auto"/>
          <w:color w:val="auto"/>
        </w:rPr>
        <w:t>Article B</w:t>
      </w:r>
      <w:r>
        <w:rPr>
          <w:rFonts w:ascii="Times New Roman" w:cs="Times New Roman" w:eastAsia="Times New Roman" w:hAnsi="Times New Roman"/>
          <w:sz w:val="17"/>
          <w:szCs w:val="17"/>
          <w:color w:val="auto"/>
        </w:rPr>
        <w:t xml:space="preserve"> to the extent Received by any person before the date the person served as an Executive Officer. Subsequent changes in an Executive Officer’s employment status, including retirement or termination of employment, do not affect the Company’s right to recover Incentive-Based Compensation pursuant to this </w:t>
      </w:r>
      <w:r>
        <w:rPr>
          <w:rFonts w:ascii="Times New Roman" w:cs="Times New Roman" w:eastAsia="Times New Roman" w:hAnsi="Times New Roman"/>
          <w:sz w:val="17"/>
          <w:szCs w:val="17"/>
          <w:u w:val="single" w:color="auto"/>
          <w:color w:val="auto"/>
        </w:rPr>
        <w:t>Article B</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7"/>
          <w:szCs w:val="17"/>
          <w:u w:val="single" w:color="auto"/>
          <w:color w:val="auto"/>
        </w:rPr>
        <w:t>Article B</w:t>
      </w:r>
      <w:r>
        <w:rPr>
          <w:rFonts w:ascii="Times New Roman" w:cs="Times New Roman" w:eastAsia="Times New Roman" w:hAnsi="Times New Roman"/>
          <w:sz w:val="17"/>
          <w:szCs w:val="17"/>
          <w:color w:val="auto"/>
        </w:rPr>
        <w:t xml:space="preserve"> of this Policy shall apply to Incentive-Based Compensation that is Received by any Executive Officer on or after the Effective Date, consistent with the Applicable Rules.</w:t>
      </w:r>
    </w:p>
    <w:p>
      <w:pPr>
        <w:spacing w:after="0" w:line="14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Section B-4.</w:t>
      </w:r>
      <w:r>
        <w:rPr>
          <w:sz w:val="20"/>
          <w:szCs w:val="20"/>
          <w:color w:val="auto"/>
        </w:rPr>
        <w:tab/>
      </w:r>
      <w:r>
        <w:rPr>
          <w:rFonts w:ascii="Times New Roman" w:cs="Times New Roman" w:eastAsia="Times New Roman" w:hAnsi="Times New Roman"/>
          <w:sz w:val="16"/>
          <w:szCs w:val="16"/>
          <w:u w:val="single" w:color="auto"/>
          <w:color w:val="auto"/>
        </w:rPr>
        <w:t>Methods of Recovery; Limited Exceptions</w:t>
      </w:r>
      <w:r>
        <w:rPr>
          <w:rFonts w:ascii="Times New Roman" w:cs="Times New Roman" w:eastAsia="Times New Roman" w:hAnsi="Times New Roman"/>
          <w:sz w:val="16"/>
          <w:szCs w:val="16"/>
          <w:color w:val="auto"/>
        </w:rPr>
        <w:t>.</w:t>
      </w:r>
    </w:p>
    <w:p>
      <w:pPr>
        <w:spacing w:after="0" w:line="190"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7"/>
          <w:szCs w:val="17"/>
          <w:color w:val="auto"/>
        </w:rPr>
        <w:t xml:space="preserve">The Committee shall determine, in its sole discretion, the method of recovering any Incentive-Based Compensation Received pursuant to this </w:t>
      </w:r>
      <w:r>
        <w:rPr>
          <w:rFonts w:ascii="Times New Roman" w:cs="Times New Roman" w:eastAsia="Times New Roman" w:hAnsi="Times New Roman"/>
          <w:sz w:val="17"/>
          <w:szCs w:val="17"/>
          <w:u w:val="single" w:color="auto"/>
          <w:color w:val="auto"/>
        </w:rPr>
        <w:t>Article B</w:t>
      </w:r>
      <w:r>
        <w:rPr>
          <w:rFonts w:ascii="Times New Roman" w:cs="Times New Roman" w:eastAsia="Times New Roman" w:hAnsi="Times New Roman"/>
          <w:sz w:val="17"/>
          <w:szCs w:val="17"/>
          <w:color w:val="auto"/>
        </w:rPr>
        <w:t xml:space="preserve">, consistent with applicable law, which may include, without limitation, the methods of recovery described in </w:t>
      </w:r>
      <w:r>
        <w:rPr>
          <w:rFonts w:ascii="Times New Roman" w:cs="Times New Roman" w:eastAsia="Times New Roman" w:hAnsi="Times New Roman"/>
          <w:sz w:val="17"/>
          <w:szCs w:val="17"/>
          <w:u w:val="single" w:color="auto"/>
          <w:color w:val="auto"/>
        </w:rPr>
        <w:t>Article D</w:t>
      </w:r>
      <w:r>
        <w:rPr>
          <w:rFonts w:ascii="Times New Roman" w:cs="Times New Roman" w:eastAsia="Times New Roman" w:hAnsi="Times New Roman"/>
          <w:sz w:val="17"/>
          <w:szCs w:val="17"/>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recovery shall be required if any of the following conditions are met and the Committee determines that, on such basis, recovery would be impracticable:</w:t>
      </w:r>
    </w:p>
    <w:p>
      <w:pPr>
        <w:spacing w:after="0" w:line="172" w:lineRule="exact"/>
        <w:rPr>
          <w:sz w:val="20"/>
          <w:szCs w:val="20"/>
          <w:color w:val="auto"/>
        </w:rPr>
      </w:pPr>
    </w:p>
    <w:p>
      <w:pPr>
        <w:ind w:left="520" w:right="60" w:hanging="260"/>
        <w:spacing w:after="0" w:line="263" w:lineRule="auto"/>
        <w:tabs>
          <w:tab w:leader="none" w:pos="517"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direct expense paid to a third party to assist in enforcing this </w:t>
      </w:r>
      <w:r>
        <w:rPr>
          <w:rFonts w:ascii="Times New Roman" w:cs="Times New Roman" w:eastAsia="Times New Roman" w:hAnsi="Times New Roman"/>
          <w:sz w:val="17"/>
          <w:szCs w:val="17"/>
          <w:u w:val="single" w:color="auto"/>
          <w:color w:val="auto"/>
        </w:rPr>
        <w:t>Article B</w:t>
      </w:r>
      <w:r>
        <w:rPr>
          <w:rFonts w:ascii="Times New Roman" w:cs="Times New Roman" w:eastAsia="Times New Roman" w:hAnsi="Times New Roman"/>
          <w:sz w:val="17"/>
          <w:szCs w:val="17"/>
          <w:color w:val="auto"/>
        </w:rPr>
        <w:t xml:space="preserve"> would exceed the amount to be recovered;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prior to making a determination that it would be impracticable to recover any Incentive-Based Compensation based on the expense of enforcement, the Company shall (i) have made a reasonable attempt to recover the Incentive-Based Compensation, (ii) have documented such reasonable attempts to recover, and (iii) provide the documentation to Nasdaq;</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0"/>
          <w:szCs w:val="10"/>
          <w:color w:val="auto"/>
        </w:rPr>
        <w:t>DB1/ 137062232.10</w:t>
      </w:r>
    </w:p>
    <w:p>
      <w:pPr>
        <w:sectPr>
          <w:pgSz w:w="11900" w:h="16838" w:orient="portrait"/>
          <w:cols w:equalWidth="0" w:num="1">
            <w:col w:w="11240"/>
          </w:cols>
          <w:pgMar w:left="300" w:top="1144" w:right="359" w:bottom="1440" w:gutter="0" w:footer="0" w:header="0"/>
        </w:sectPr>
      </w:pPr>
    </w:p>
    <w:bookmarkStart w:id="198" w:name="page199"/>
    <w:bookmarkEnd w:id="198"/>
    <w:p>
      <w:pPr>
        <w:ind w:left="520" w:right="160" w:hanging="260"/>
        <w:spacing w:after="0" w:line="288" w:lineRule="auto"/>
        <w:tabs>
          <w:tab w:leader="none" w:pos="516"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recovery would violate home country law where that law was adopted prior to November 28, 2022;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prior to making a determination that it would be impracticable to recover any Incentive-Based Compensation based on a violation of home country law, the Company shall (i) have obtained an opinion of home country counsel, acceptable to Nasdaq, that recovery would result in such violation, and (ii) provide a copy of such opinion to Nasdaq; or</w:t>
      </w:r>
    </w:p>
    <w:p>
      <w:pPr>
        <w:spacing w:after="0" w:line="126" w:lineRule="exact"/>
        <w:rPr>
          <w:rFonts w:ascii="Times New Roman" w:cs="Times New Roman" w:eastAsia="Times New Roman" w:hAnsi="Times New Roman"/>
          <w:sz w:val="16"/>
          <w:szCs w:val="16"/>
          <w:color w:val="auto"/>
        </w:rPr>
      </w:pPr>
    </w:p>
    <w:p>
      <w:pPr>
        <w:ind w:left="520" w:right="520" w:hanging="260"/>
        <w:spacing w:after="0" w:line="262" w:lineRule="auto"/>
        <w:tabs>
          <w:tab w:leader="none" w:pos="517"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likely cause an otherwise tax-qualified retirement plan, under which benefits are broadly available to employees, to fail to meet the requirements of Section 401(a)(13) or Section 411(a) of the Internal Revenue Code of 1986, as amended (the “</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and U.S. Treasury regulations promulgated thereunder.</w:t>
      </w:r>
    </w:p>
    <w:p>
      <w:pPr>
        <w:spacing w:after="0" w:line="13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Section B-5.</w:t>
      </w:r>
      <w:r>
        <w:rPr>
          <w:sz w:val="20"/>
          <w:szCs w:val="20"/>
          <w:color w:val="auto"/>
        </w:rPr>
        <w:tab/>
      </w:r>
      <w:r>
        <w:rPr>
          <w:rFonts w:ascii="Times New Roman" w:cs="Times New Roman" w:eastAsia="Times New Roman" w:hAnsi="Times New Roman"/>
          <w:sz w:val="16"/>
          <w:szCs w:val="16"/>
          <w:u w:val="single" w:color="auto"/>
          <w:color w:val="auto"/>
        </w:rPr>
        <w:t>Reporting; Disclosure; Monitoring</w:t>
      </w:r>
      <w:r>
        <w:rPr>
          <w:rFonts w:ascii="Times New Roman" w:cs="Times New Roman" w:eastAsia="Times New Roman" w:hAnsi="Times New Roman"/>
          <w:sz w:val="16"/>
          <w:szCs w:val="16"/>
          <w:color w:val="auto"/>
        </w:rPr>
        <w:t>.</w:t>
      </w:r>
    </w:p>
    <w:p>
      <w:pPr>
        <w:spacing w:after="0" w:line="190"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The Company shall make all required disclosures and filings with the Regulators with respect to this Policy in accordance with the requirements of the Applicable Rules, and any other requirements applicable to the Company, including the disclosures required in connection with SEC filings.</w:t>
      </w:r>
    </w:p>
    <w:p>
      <w:pPr>
        <w:spacing w:after="0" w:line="200" w:lineRule="exact"/>
        <w:rPr>
          <w:sz w:val="20"/>
          <w:szCs w:val="20"/>
          <w:color w:val="auto"/>
        </w:rPr>
      </w:pPr>
    </w:p>
    <w:p>
      <w:pPr>
        <w:spacing w:after="0" w:line="280" w:lineRule="exact"/>
        <w:rPr>
          <w:sz w:val="20"/>
          <w:szCs w:val="20"/>
          <w:color w:val="auto"/>
        </w:rPr>
      </w:pPr>
    </w:p>
    <w:p>
      <w:pPr>
        <w:jc w:val="center"/>
        <w:ind w:right="-79"/>
        <w:spacing w:after="0"/>
        <w:tabs>
          <w:tab w:leader="none" w:pos="280" w:val="left"/>
        </w:tabs>
        <w:rPr>
          <w:sz w:val="20"/>
          <w:szCs w:val="20"/>
          <w:color w:val="auto"/>
        </w:rPr>
      </w:pPr>
      <w:r>
        <w:rPr>
          <w:rFonts w:ascii="Times New Roman" w:cs="Times New Roman" w:eastAsia="Times New Roman" w:hAnsi="Times New Roman"/>
          <w:sz w:val="17"/>
          <w:szCs w:val="17"/>
          <w:b w:val="1"/>
          <w:bCs w:val="1"/>
          <w:u w:val="single" w:color="auto"/>
          <w:color w:val="auto"/>
        </w:rPr>
        <w:t>Article C.</w:t>
      </w:r>
      <w:r>
        <w:rPr>
          <w:sz w:val="20"/>
          <w:szCs w:val="20"/>
          <w:color w:val="auto"/>
        </w:rPr>
        <w:tab/>
      </w:r>
      <w:r>
        <w:rPr>
          <w:rFonts w:ascii="Times New Roman" w:cs="Times New Roman" w:eastAsia="Times New Roman" w:hAnsi="Times New Roman"/>
          <w:sz w:val="16"/>
          <w:szCs w:val="16"/>
          <w:color w:val="auto"/>
        </w:rPr>
        <w:t>Discretionary Compensation Clawback Policy for</w:t>
      </w:r>
    </w:p>
    <w:p>
      <w:pPr>
        <w:spacing w:after="0" w:line="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Certain Acts of Misconduct</w:t>
      </w:r>
    </w:p>
    <w:p>
      <w:pPr>
        <w:spacing w:after="0" w:line="15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Section C-1.</w:t>
      </w:r>
      <w:r>
        <w:rPr>
          <w:sz w:val="20"/>
          <w:szCs w:val="20"/>
          <w:color w:val="auto"/>
        </w:rPr>
        <w:tab/>
      </w:r>
      <w:r>
        <w:rPr>
          <w:rFonts w:ascii="Times New Roman" w:cs="Times New Roman" w:eastAsia="Times New Roman" w:hAnsi="Times New Roman"/>
          <w:sz w:val="16"/>
          <w:szCs w:val="16"/>
          <w:u w:val="single" w:color="auto"/>
          <w:color w:val="auto"/>
        </w:rPr>
        <w:t>Specific Defined Terms</w:t>
      </w:r>
      <w:r>
        <w:rPr>
          <w:rFonts w:ascii="Times New Roman" w:cs="Times New Roman" w:eastAsia="Times New Roman" w:hAnsi="Times New Roman"/>
          <w:sz w:val="16"/>
          <w:szCs w:val="16"/>
          <w:color w:val="auto"/>
        </w:rPr>
        <w:t>. For the purposes of this</w:t>
      </w:r>
      <w:r>
        <w:rPr>
          <w:rFonts w:ascii="Times New Roman" w:cs="Times New Roman" w:eastAsia="Times New Roman" w:hAnsi="Times New Roman"/>
          <w:sz w:val="16"/>
          <w:szCs w:val="16"/>
          <w:u w:val="single" w:color="auto"/>
          <w:color w:val="auto"/>
        </w:rPr>
        <w:t xml:space="preserve"> Article C</w:t>
      </w:r>
      <w:r>
        <w:rPr>
          <w:rFonts w:ascii="Times New Roman" w:cs="Times New Roman" w:eastAsia="Times New Roman" w:hAnsi="Times New Roman"/>
          <w:sz w:val="16"/>
          <w:szCs w:val="16"/>
          <w:color w:val="auto"/>
        </w:rPr>
        <w:t>, the following terms have the following meanings:</w:t>
      </w:r>
    </w:p>
    <w:p>
      <w:pPr>
        <w:spacing w:after="0" w:line="208" w:lineRule="exact"/>
        <w:rPr>
          <w:sz w:val="20"/>
          <w:szCs w:val="20"/>
          <w:color w:val="auto"/>
        </w:rPr>
      </w:pPr>
    </w:p>
    <w:p>
      <w:pPr>
        <w:ind w:left="520" w:right="120" w:hanging="260"/>
        <w:spacing w:after="0" w:line="258" w:lineRule="auto"/>
        <w:tabs>
          <w:tab w:leader="none" w:pos="517"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Covered Compensation</w:t>
      </w:r>
      <w:r>
        <w:rPr>
          <w:rFonts w:ascii="Times New Roman" w:cs="Times New Roman" w:eastAsia="Times New Roman" w:hAnsi="Times New Roman"/>
          <w:sz w:val="17"/>
          <w:szCs w:val="17"/>
          <w:color w:val="auto"/>
        </w:rPr>
        <w:t>” means all (i) incentive-based cash compensation granted to a Covered Person, including, without limitation, any annual bonuses and other short- and long-term cash incentives, (ii) performance share units, and (iii) any proceeds or earnings received in respect of (i) or (ii). For the avoidance of doubt, the foregoing includes any compensation that was previously paid, earned, vested, deferred or paid or payable as a component of severance or termination compensation.</w:t>
      </w:r>
    </w:p>
    <w:p>
      <w:pPr>
        <w:spacing w:after="0" w:line="135"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Covered Event</w:t>
      </w:r>
      <w:r>
        <w:rPr>
          <w:rFonts w:ascii="Times New Roman" w:cs="Times New Roman" w:eastAsia="Times New Roman" w:hAnsi="Times New Roman"/>
          <w:sz w:val="17"/>
          <w:szCs w:val="17"/>
          <w:color w:val="auto"/>
        </w:rPr>
        <w:t>” means the date on which the Committee makes the following determination:</w:t>
      </w:r>
    </w:p>
    <w:p>
      <w:pPr>
        <w:spacing w:after="0" w:line="190" w:lineRule="exact"/>
        <w:rPr>
          <w:rFonts w:ascii="Times New Roman" w:cs="Times New Roman" w:eastAsia="Times New Roman" w:hAnsi="Times New Roman"/>
          <w:sz w:val="17"/>
          <w:szCs w:val="17"/>
          <w:color w:val="auto"/>
        </w:rPr>
      </w:pPr>
    </w:p>
    <w:p>
      <w:pPr>
        <w:ind w:left="1020" w:right="280" w:hanging="251"/>
        <w:spacing w:after="0" w:line="276" w:lineRule="auto"/>
        <w:tabs>
          <w:tab w:leader="none" w:pos="1010" w:val="left"/>
        </w:tabs>
        <w:numPr>
          <w:ilvl w:val="1"/>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Restatement has occurred and the Committee determines that a Covered Person engaged in misconduct that directly or indirectly resulted in the Restatement, or</w:t>
      </w:r>
    </w:p>
    <w:p>
      <w:pPr>
        <w:spacing w:after="0" w:line="123" w:lineRule="exact"/>
        <w:rPr>
          <w:rFonts w:ascii="Times New Roman" w:cs="Times New Roman" w:eastAsia="Times New Roman" w:hAnsi="Times New Roman"/>
          <w:sz w:val="17"/>
          <w:szCs w:val="17"/>
          <w:color w:val="auto"/>
        </w:rPr>
      </w:pPr>
    </w:p>
    <w:p>
      <w:pPr>
        <w:ind w:left="1020" w:hanging="251"/>
        <w:spacing w:after="0" w:line="255" w:lineRule="auto"/>
        <w:tabs>
          <w:tab w:leader="none" w:pos="1015" w:val="left"/>
        </w:tabs>
        <w:numPr>
          <w:ilvl w:val="1"/>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determines that a Covered Person has engaged in any of the following acts or failures to act: (A) any willful, intentional or grossly negligent act having the effect of materially injuring (whether financially or otherwise) the business or reputation of the Company or any of its affiliates (other than acts that were performed in a good faith attempt to advance the business interests of the Company); (B) conviction of any felony involving moral turpitude (including entry of a guilty or nolo contendere plea) with respect to the Company or its affiliates; (C) material breach of a Company policy, including the Company’s Code of Conduct; (D) any material misappropriation or embezzlement of the property of the Company or its affiliates (whether or not a</w:t>
      </w: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5</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0"/>
          <w:szCs w:val="10"/>
          <w:color w:val="auto"/>
        </w:rPr>
        <w:t>DB1/ 137062232.10</w:t>
      </w:r>
    </w:p>
    <w:p>
      <w:pPr>
        <w:sectPr>
          <w:pgSz w:w="11900" w:h="16838" w:orient="portrait"/>
          <w:cols w:equalWidth="0" w:num="1">
            <w:col w:w="11160"/>
          </w:cols>
          <w:pgMar w:left="300" w:top="1144" w:right="439" w:bottom="1440" w:gutter="0" w:footer="0" w:header="0"/>
        </w:sectPr>
      </w:pPr>
    </w:p>
    <w:bookmarkStart w:id="199" w:name="page200"/>
    <w:bookmarkEnd w:id="199"/>
    <w:p>
      <w:pPr>
        <w:ind w:left="1020" w:right="160"/>
        <w:spacing w:after="0" w:line="276" w:lineRule="auto"/>
        <w:rPr>
          <w:sz w:val="20"/>
          <w:szCs w:val="20"/>
          <w:color w:val="auto"/>
        </w:rPr>
      </w:pPr>
      <w:r>
        <w:rPr>
          <w:rFonts w:ascii="Times New Roman" w:cs="Times New Roman" w:eastAsia="Times New Roman" w:hAnsi="Times New Roman"/>
          <w:sz w:val="17"/>
          <w:szCs w:val="17"/>
          <w:color w:val="auto"/>
        </w:rPr>
        <w:t>misdemeanor or felony); and/or (E) breach of any material provision of any restrictive covenant or other agreement between the Covered Person and the Company or any of its affiliates that is materially injurious to the Company or its affiliates.</w:t>
      </w:r>
    </w:p>
    <w:p>
      <w:pPr>
        <w:spacing w:after="0" w:line="141" w:lineRule="exact"/>
        <w:rPr>
          <w:sz w:val="20"/>
          <w:szCs w:val="20"/>
          <w:color w:val="auto"/>
        </w:rPr>
      </w:pPr>
    </w:p>
    <w:p>
      <w:pPr>
        <w:ind w:left="520" w:right="160" w:hanging="260"/>
        <w:spacing w:after="0" w:line="294" w:lineRule="auto"/>
        <w:tabs>
          <w:tab w:leader="none" w:pos="517"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Covered Period</w:t>
      </w:r>
      <w:r>
        <w:rPr>
          <w:rFonts w:ascii="Times New Roman" w:cs="Times New Roman" w:eastAsia="Times New Roman" w:hAnsi="Times New Roman"/>
          <w:sz w:val="17"/>
          <w:szCs w:val="17"/>
          <w:color w:val="auto"/>
        </w:rPr>
        <w:t>” means the fiscal year in which the Committee determines a Covered Event has occurred and the three completed fiscal years immediately preceding such fiscal year.</w:t>
      </w:r>
    </w:p>
    <w:p>
      <w:pPr>
        <w:spacing w:after="0" w:line="125" w:lineRule="exact"/>
        <w:rPr>
          <w:rFonts w:ascii="Times New Roman" w:cs="Times New Roman" w:eastAsia="Times New Roman" w:hAnsi="Times New Roman"/>
          <w:sz w:val="17"/>
          <w:szCs w:val="17"/>
          <w:color w:val="auto"/>
        </w:rPr>
      </w:pPr>
    </w:p>
    <w:p>
      <w:pPr>
        <w:ind w:left="520" w:right="340" w:hanging="260"/>
        <w:spacing w:after="0" w:line="281" w:lineRule="auto"/>
        <w:tabs>
          <w:tab w:leader="none" w:pos="516"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Covered Person</w:t>
      </w:r>
      <w:r>
        <w:rPr>
          <w:rFonts w:ascii="Times New Roman" w:cs="Times New Roman" w:eastAsia="Times New Roman" w:hAnsi="Times New Roman"/>
          <w:sz w:val="17"/>
          <w:szCs w:val="17"/>
          <w:color w:val="auto"/>
        </w:rPr>
        <w:t xml:space="preserve">” means (i) each Executive Officer; (ii) and all Senior Vice Presidents and above who are not Executive Officers of the Company and its subsidiaries or affiliates as may be determined by the Committee to be subject to this </w:t>
      </w:r>
      <w:r>
        <w:rPr>
          <w:rFonts w:ascii="Times New Roman" w:cs="Times New Roman" w:eastAsia="Times New Roman" w:hAnsi="Times New Roman"/>
          <w:sz w:val="17"/>
          <w:szCs w:val="17"/>
          <w:u w:val="single" w:color="auto"/>
          <w:color w:val="auto"/>
        </w:rPr>
        <w:t>Article C</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Section C-1.</w:t>
      </w:r>
      <w:r>
        <w:rPr>
          <w:sz w:val="20"/>
          <w:szCs w:val="20"/>
          <w:color w:val="auto"/>
        </w:rPr>
        <w:tab/>
      </w:r>
      <w:r>
        <w:rPr>
          <w:rFonts w:ascii="Times New Roman" w:cs="Times New Roman" w:eastAsia="Times New Roman" w:hAnsi="Times New Roman"/>
          <w:sz w:val="16"/>
          <w:szCs w:val="16"/>
          <w:u w:val="single" w:color="auto"/>
          <w:color w:val="auto"/>
        </w:rPr>
        <w:t>Discretionary Recovery on a Covered Event</w:t>
      </w:r>
      <w:r>
        <w:rPr>
          <w:rFonts w:ascii="Times New Roman" w:cs="Times New Roman" w:eastAsia="Times New Roman" w:hAnsi="Times New Roman"/>
          <w:sz w:val="16"/>
          <w:szCs w:val="16"/>
          <w:color w:val="auto"/>
        </w:rPr>
        <w:t>.</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If a Covered Event occurs with respect to a Covered Person, the Committee may determine whether, and the extent to which, the following forms of Covered Compensation should be recovered from such Covered Person: (a) Covered Compensation that is outstanding (whether vested or unvested) as of the date of the Committee’s Covered Event determination, and (b) Covered Compensation that is or was granted, Received (as defined for purposes of </w:t>
      </w:r>
      <w:r>
        <w:rPr>
          <w:rFonts w:ascii="Times New Roman" w:cs="Times New Roman" w:eastAsia="Times New Roman" w:hAnsi="Times New Roman"/>
          <w:sz w:val="17"/>
          <w:szCs w:val="17"/>
          <w:u w:val="single" w:color="auto"/>
          <w:color w:val="auto"/>
        </w:rPr>
        <w:t>Article B</w:t>
      </w:r>
      <w:r>
        <w:rPr>
          <w:rFonts w:ascii="Times New Roman" w:cs="Times New Roman" w:eastAsia="Times New Roman" w:hAnsi="Times New Roman"/>
          <w:sz w:val="17"/>
          <w:szCs w:val="17"/>
          <w:color w:val="auto"/>
        </w:rPr>
        <w:t>), vested, settled or distributed (including, in the case of stock options or stock appreciation rights, compensation received upon exercise) during the Covered Period.</w:t>
      </w:r>
    </w:p>
    <w:p>
      <w:pPr>
        <w:spacing w:after="0" w:line="132"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7"/>
          <w:szCs w:val="17"/>
          <w:b w:val="1"/>
          <w:bCs w:val="1"/>
          <w:color w:val="auto"/>
        </w:rPr>
        <w:t>Section C-2.</w:t>
      </w:r>
      <w:r>
        <w:rPr>
          <w:sz w:val="20"/>
          <w:szCs w:val="20"/>
          <w:color w:val="auto"/>
        </w:rPr>
        <w:tab/>
      </w:r>
      <w:r>
        <w:rPr>
          <w:rFonts w:ascii="Times New Roman" w:cs="Times New Roman" w:eastAsia="Times New Roman" w:hAnsi="Times New Roman"/>
          <w:sz w:val="17"/>
          <w:szCs w:val="17"/>
          <w:u w:val="single" w:color="auto"/>
          <w:color w:val="auto"/>
        </w:rPr>
        <w:t>Coverage</w:t>
      </w:r>
      <w:r>
        <w:rPr>
          <w:rFonts w:ascii="Times New Roman" w:cs="Times New Roman" w:eastAsia="Times New Roman" w:hAnsi="Times New Roman"/>
          <w:sz w:val="17"/>
          <w:szCs w:val="17"/>
          <w:color w:val="auto"/>
        </w:rPr>
        <w:t>.</w:t>
      </w:r>
    </w:p>
    <w:p>
      <w:pPr>
        <w:spacing w:after="0" w:line="201"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 xml:space="preserve">Subsequent changes in a Covered Person’s employment status or status as a service provider, including retirement or termination of employment, do not affect the Company’s rights to recover Covered Compensation pursuant to this </w:t>
      </w:r>
      <w:r>
        <w:rPr>
          <w:rFonts w:ascii="Times New Roman" w:cs="Times New Roman" w:eastAsia="Times New Roman" w:hAnsi="Times New Roman"/>
          <w:sz w:val="17"/>
          <w:szCs w:val="17"/>
          <w:u w:val="single" w:color="auto"/>
          <w:color w:val="auto"/>
        </w:rPr>
        <w:t>Article C</w:t>
      </w:r>
      <w:r>
        <w:rPr>
          <w:rFonts w:ascii="Times New Roman" w:cs="Times New Roman" w:eastAsia="Times New Roman" w:hAnsi="Times New Roman"/>
          <w:sz w:val="17"/>
          <w:szCs w:val="17"/>
          <w:color w:val="auto"/>
        </w:rPr>
        <w:t>.</w:t>
      </w:r>
    </w:p>
    <w:p>
      <w:pPr>
        <w:spacing w:after="0" w:line="321" w:lineRule="exact"/>
        <w:rPr>
          <w:sz w:val="20"/>
          <w:szCs w:val="20"/>
          <w:color w:val="auto"/>
        </w:rPr>
      </w:pPr>
    </w:p>
    <w:p>
      <w:pPr>
        <w:jc w:val="center"/>
        <w:spacing w:after="0"/>
        <w:tabs>
          <w:tab w:leader="none" w:pos="300" w:val="left"/>
        </w:tabs>
        <w:rPr>
          <w:sz w:val="20"/>
          <w:szCs w:val="20"/>
          <w:color w:val="auto"/>
        </w:rPr>
      </w:pPr>
      <w:r>
        <w:rPr>
          <w:rFonts w:ascii="Times New Roman" w:cs="Times New Roman" w:eastAsia="Times New Roman" w:hAnsi="Times New Roman"/>
          <w:sz w:val="17"/>
          <w:szCs w:val="17"/>
          <w:b w:val="1"/>
          <w:bCs w:val="1"/>
          <w:u w:val="single" w:color="auto"/>
          <w:color w:val="auto"/>
        </w:rPr>
        <w:t>Article D.</w:t>
      </w:r>
      <w:r>
        <w:rPr>
          <w:sz w:val="20"/>
          <w:szCs w:val="20"/>
          <w:color w:val="auto"/>
        </w:rPr>
        <w:tab/>
      </w:r>
      <w:r>
        <w:rPr>
          <w:rFonts w:ascii="Times New Roman" w:cs="Times New Roman" w:eastAsia="Times New Roman" w:hAnsi="Times New Roman"/>
          <w:sz w:val="16"/>
          <w:szCs w:val="16"/>
          <w:color w:val="auto"/>
        </w:rPr>
        <w:t>Methods of Recovery</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Section D-1. </w:t>
      </w:r>
      <w:r>
        <w:rPr>
          <w:rFonts w:ascii="Times New Roman" w:cs="Times New Roman" w:eastAsia="Times New Roman" w:hAnsi="Times New Roman"/>
          <w:sz w:val="17"/>
          <w:szCs w:val="17"/>
          <w:color w:val="auto"/>
        </w:rPr>
        <w:t>Subject to Section B-4, in the event that the Committee determines that this Policy should apply, to the extent permitted by applicable law,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shall, as determined by the Committee in its sole discretion, take any such actions as it deems necessary or appropriate to recover Clawback Compensation. The actions may include, without limitation (and as applicable):</w:t>
      </w:r>
    </w:p>
    <w:p>
      <w:pPr>
        <w:spacing w:after="0" w:line="155" w:lineRule="exact"/>
        <w:rPr>
          <w:sz w:val="20"/>
          <w:szCs w:val="20"/>
          <w:color w:val="auto"/>
        </w:rPr>
      </w:pPr>
    </w:p>
    <w:p>
      <w:pPr>
        <w:ind w:left="520" w:hanging="260"/>
        <w:spacing w:after="0"/>
        <w:tabs>
          <w:tab w:leader="none" w:pos="520"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forfeit, reduce or cancel any Clawback Compensation (whether vested or unvested) that has not been distributed or otherwise settled;</w:t>
      </w:r>
    </w:p>
    <w:p>
      <w:pPr>
        <w:spacing w:after="0" w:line="186"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recovery of any Clawback Compensation that was previously paid to the Executive Officer or Covered Person (as applicable);</w:t>
      </w:r>
    </w:p>
    <w:p>
      <w:pPr>
        <w:spacing w:after="0" w:line="175"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recovery of any amounts realized on the vesting, exercise, settlement, sale, transfer, or other disposition of any equity-based Clawback Compensation;</w:t>
      </w:r>
    </w:p>
    <w:p>
      <w:pPr>
        <w:spacing w:after="0" w:line="175" w:lineRule="exact"/>
        <w:rPr>
          <w:rFonts w:ascii="Times New Roman" w:cs="Times New Roman" w:eastAsia="Times New Roman" w:hAnsi="Times New Roman"/>
          <w:sz w:val="17"/>
          <w:szCs w:val="17"/>
          <w:color w:val="auto"/>
        </w:rPr>
      </w:pPr>
    </w:p>
    <w:p>
      <w:pPr>
        <w:ind w:left="520" w:right="700" w:hanging="260"/>
        <w:spacing w:after="0" w:line="276" w:lineRule="auto"/>
        <w:tabs>
          <w:tab w:leader="none" w:pos="516"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recoup any amount in respect of Clawback Compensation that was contributed or deferred to a plan that takes into account Clawback Compensation (excluding certain tax-qualified plans, but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0"/>
          <w:szCs w:val="10"/>
          <w:color w:val="auto"/>
        </w:rPr>
        <w:t>DB1/ 137062232.10</w:t>
      </w:r>
    </w:p>
    <w:p>
      <w:pPr>
        <w:sectPr>
          <w:pgSz w:w="11900" w:h="16838" w:orient="portrait"/>
          <w:cols w:equalWidth="0" w:num="1">
            <w:col w:w="11280"/>
          </w:cols>
          <w:pgMar w:left="300" w:top="1148" w:right="319" w:bottom="1440" w:gutter="0" w:footer="0" w:header="0"/>
        </w:sectPr>
      </w:pPr>
    </w:p>
    <w:bookmarkStart w:id="200" w:name="page201"/>
    <w:bookmarkEnd w:id="200"/>
    <w:p>
      <w:pPr>
        <w:ind w:left="520" w:right="40"/>
        <w:spacing w:after="0" w:line="276" w:lineRule="auto"/>
        <w:rPr>
          <w:sz w:val="20"/>
          <w:szCs w:val="20"/>
          <w:color w:val="auto"/>
        </w:rPr>
      </w:pPr>
      <w:r>
        <w:rPr>
          <w:rFonts w:ascii="Times New Roman" w:cs="Times New Roman" w:eastAsia="Times New Roman" w:hAnsi="Times New Roman"/>
          <w:sz w:val="17"/>
          <w:szCs w:val="17"/>
          <w:color w:val="auto"/>
        </w:rPr>
        <w:t>including deferred compensation plans, and supplemental executive retirement plans, and insurance plans to the extent otherwise permitted by applicable law, including Section 409A of the Code) and any earnings accrued on such Clawback Compensation;</w:t>
      </w:r>
    </w:p>
    <w:p>
      <w:pPr>
        <w:spacing w:after="0" w:line="123" w:lineRule="exact"/>
        <w:rPr>
          <w:sz w:val="20"/>
          <w:szCs w:val="20"/>
          <w:color w:val="auto"/>
        </w:rPr>
      </w:pPr>
    </w:p>
    <w:p>
      <w:pPr>
        <w:ind w:left="520" w:hanging="260"/>
        <w:spacing w:after="0"/>
        <w:tabs>
          <w:tab w:leader="none" w:pos="520"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otherwise required by </w:t>
      </w:r>
      <w:r>
        <w:rPr>
          <w:rFonts w:ascii="Times New Roman" w:cs="Times New Roman" w:eastAsia="Times New Roman" w:hAnsi="Times New Roman"/>
          <w:sz w:val="17"/>
          <w:szCs w:val="17"/>
          <w:u w:val="single" w:color="auto"/>
          <w:color w:val="auto"/>
        </w:rPr>
        <w:t>Article B</w:t>
      </w:r>
      <w:r>
        <w:rPr>
          <w:rFonts w:ascii="Times New Roman" w:cs="Times New Roman" w:eastAsia="Times New Roman" w:hAnsi="Times New Roman"/>
          <w:sz w:val="17"/>
          <w:szCs w:val="17"/>
          <w:color w:val="auto"/>
        </w:rPr>
        <w:t>, determine whether Clawback Compensation should be recouped on a pre-tax or after-tax basis;</w:t>
      </w:r>
    </w:p>
    <w:p>
      <w:pPr>
        <w:spacing w:after="0" w:line="186" w:lineRule="exact"/>
        <w:rPr>
          <w:rFonts w:ascii="Times New Roman" w:cs="Times New Roman" w:eastAsia="Times New Roman" w:hAnsi="Times New Roman"/>
          <w:sz w:val="17"/>
          <w:szCs w:val="17"/>
          <w:color w:val="auto"/>
        </w:rPr>
      </w:pPr>
    </w:p>
    <w:p>
      <w:pPr>
        <w:ind w:left="520" w:right="380" w:hanging="260"/>
        <w:spacing w:after="0" w:line="276" w:lineRule="auto"/>
        <w:tabs>
          <w:tab w:leader="none" w:pos="520"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offset, withhold or eliminate any compensation that could be paid or awarded to the Executive Officer or Covered Person (as applicable) after the date of determination; and</w:t>
      </w:r>
    </w:p>
    <w:p>
      <w:pPr>
        <w:spacing w:after="0" w:line="123"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remedial and recovery action permitted by law, as determined by the Committee.</w:t>
      </w:r>
    </w:p>
    <w:p>
      <w:pPr>
        <w:spacing w:after="0" w:line="17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addition, the Committee may authorize legal action for breach of fiduciary duty or other violation of law and take such other actions to enforce the obligations of the Executive Officer or Covered Person (as applicable) to the Company as the Committee deems appropriate.</w:t>
      </w:r>
    </w:p>
    <w:p>
      <w:pPr>
        <w:spacing w:after="0" w:line="14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Section D-2. </w:t>
      </w: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Before the Company takes action to seek recovery of compensation pursuant to this Policy against an Executive Officer or Covered Person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applicable), the Company shall take commercially reasonable steps to provide such individual with advance written notice of such clawback;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this notice requirement shall not in any way delay the reasonably prompt recovery of any erroneously awarded Incentive-Based Compensation pursuant to </w:t>
      </w:r>
      <w:r>
        <w:rPr>
          <w:rFonts w:ascii="Times New Roman" w:cs="Times New Roman" w:eastAsia="Times New Roman" w:hAnsi="Times New Roman"/>
          <w:sz w:val="17"/>
          <w:szCs w:val="17"/>
          <w:u w:val="single" w:color="auto"/>
          <w:color w:val="auto"/>
        </w:rPr>
        <w:t>Article B</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Section D-3. </w:t>
      </w:r>
      <w:r>
        <w:rPr>
          <w:rFonts w:ascii="Times New Roman" w:cs="Times New Roman" w:eastAsia="Times New Roman" w:hAnsi="Times New Roman"/>
          <w:sz w:val="17"/>
          <w:szCs w:val="17"/>
          <w:u w:val="single" w:color="auto"/>
          <w:color w:val="auto"/>
        </w:rPr>
        <w:t>No Indemnification</w:t>
      </w:r>
      <w:r>
        <w:rPr>
          <w:rFonts w:ascii="Times New Roman" w:cs="Times New Roman" w:eastAsia="Times New Roman" w:hAnsi="Times New Roman"/>
          <w:sz w:val="17"/>
          <w:szCs w:val="17"/>
          <w:color w:val="auto"/>
        </w:rPr>
        <w:t>. The Company shall not indemnify any current or former Executive Officer or Covered Person (as applicable) against the loss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erroneously awarded compensation, and shall not pay or reimburse any such person for premiums incurred or paid for any insurance policy to fund such person’s potential recovery obligations.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0"/>
          <w:szCs w:val="10"/>
          <w:color w:val="auto"/>
        </w:rPr>
        <w:t>DB1/ 137062232.10</w:t>
      </w:r>
    </w:p>
    <w:sectPr>
      <w:pgSz w:w="11900" w:h="16838" w:orient="portrait"/>
      <w:cols w:equalWidth="0" w:num="1">
        <w:col w:w="11280"/>
      </w:cols>
      <w:pgMar w:left="300" w:top="114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D8591A"/>
    <w:multiLevelType w:val="hybridMultilevel"/>
    <w:lvl w:ilvl="0">
      <w:lvlJc w:val="left"/>
      <w:lvlText w:val="o"/>
      <w:numFmt w:val="bullet"/>
      <w:start w:val="1"/>
    </w:lvl>
  </w:abstractNum>
  <w:abstractNum w:abstractNumId="1">
    <w:nsid w:val="78DF6A55"/>
    <w:multiLevelType w:val="hybridMultilevel"/>
    <w:lvl w:ilvl="0">
      <w:lvlJc w:val="left"/>
      <w:lvlText w:val="☑"/>
      <w:numFmt w:val="bullet"/>
      <w:start w:val="1"/>
    </w:lvl>
  </w:abstractNum>
  <w:abstractNum w:abstractNumId="2">
    <w:nsid w:val="39B7AAA2"/>
    <w:multiLevelType w:val="hybridMultilevel"/>
    <w:lvl w:ilvl="0">
      <w:lvlJc w:val="left"/>
      <w:lvlText w:val="o"/>
      <w:numFmt w:val="bullet"/>
      <w:start w:val="1"/>
    </w:lvl>
  </w:abstractNum>
  <w:abstractNum w:abstractNumId="3">
    <w:nsid w:val="2B0D8DBE"/>
    <w:multiLevelType w:val="hybridMultilevel"/>
    <w:lvl w:ilvl="0">
      <w:lvlJc w:val="left"/>
      <w:lvlText w:val="o"/>
      <w:numFmt w:val="bullet"/>
      <w:start w:val="1"/>
    </w:lvl>
  </w:abstractNum>
  <w:abstractNum w:abstractNumId="4">
    <w:nsid w:val="6C80EC70"/>
    <w:multiLevelType w:val="hybridMultilevel"/>
    <w:lvl w:ilvl="0">
      <w:lvlJc w:val="left"/>
      <w:lvlText w:val="%1"/>
      <w:numFmt w:val="decimal"/>
      <w:start w:val="400"/>
    </w:lvl>
    <w:lvl w:ilvl="1">
      <w:lvlJc w:val="left"/>
      <w:lvlText w:val="(%2)"/>
      <w:numFmt w:val="decimal"/>
      <w:start w:val="518"/>
    </w:lvl>
  </w:abstractNum>
  <w:abstractNum w:abstractNumId="5">
    <w:nsid w:val="379E21B5"/>
    <w:multiLevelType w:val="hybridMultilevel"/>
    <w:lvl w:ilvl="0">
      <w:lvlJc w:val="left"/>
      <w:lvlText w:val="(%1)"/>
      <w:numFmt w:val="decimal"/>
      <w:start w:val="518"/>
    </w:lvl>
  </w:abstractNum>
  <w:abstractNum w:abstractNumId="6">
    <w:nsid w:val="69E373"/>
    <w:multiLevelType w:val="hybridMultilevel"/>
    <w:lvl w:ilvl="0">
      <w:lvlJc w:val="left"/>
      <w:lvlText w:val="•"/>
      <w:numFmt w:val="bullet"/>
      <w:start w:val="1"/>
    </w:lvl>
  </w:abstractNum>
  <w:abstractNum w:abstractNumId="7">
    <w:nsid w:val="2C27173B"/>
    <w:multiLevelType w:val="hybridMultilevel"/>
    <w:lvl w:ilvl="0">
      <w:lvlJc w:val="left"/>
      <w:lvlText w:val="%1."/>
      <w:numFmt w:val="upperLetter"/>
      <w:start w:val="1"/>
    </w:lvl>
  </w:abstractNum>
  <w:abstractNum w:abstractNumId="8">
    <w:nsid w:val="4C9B0904"/>
    <w:multiLevelType w:val="hybridMultilevel"/>
    <w:lvl w:ilvl="0">
      <w:lvlJc w:val="left"/>
      <w:lvlText w:val="•"/>
      <w:numFmt w:val="bullet"/>
      <w:start w:val="1"/>
    </w:lvl>
  </w:abstractNum>
  <w:abstractNum w:abstractNumId="9">
    <w:nsid w:val="6AA7B75C"/>
    <w:multiLevelType w:val="hybridMultilevel"/>
    <w:lvl w:ilvl="0">
      <w:lvlJc w:val="left"/>
      <w:lvlText w:val="•"/>
      <w:numFmt w:val="bullet"/>
      <w:start w:val="1"/>
    </w:lvl>
  </w:abstractNum>
  <w:abstractNum w:abstractNumId="10">
    <w:nsid w:val="1DF029D3"/>
    <w:multiLevelType w:val="hybridMultilevel"/>
    <w:lvl w:ilvl="0">
      <w:lvlJc w:val="left"/>
      <w:lvlText w:val="•"/>
      <w:numFmt w:val="bullet"/>
      <w:start w:val="1"/>
    </w:lvl>
  </w:abstractNum>
  <w:abstractNum w:abstractNumId="11">
    <w:nsid w:val="5675FF36"/>
    <w:multiLevelType w:val="hybridMultilevel"/>
    <w:lvl w:ilvl="0">
      <w:lvlJc w:val="left"/>
      <w:lvlText w:val="•"/>
      <w:numFmt w:val="bullet"/>
      <w:start w:val="1"/>
    </w:lvl>
  </w:abstractNum>
  <w:abstractNum w:abstractNumId="12">
    <w:nsid w:val="3DD15094"/>
    <w:multiLevelType w:val="hybridMultilevel"/>
    <w:lvl w:ilvl="0">
      <w:lvlJc w:val="left"/>
      <w:lvlText w:val="•"/>
      <w:numFmt w:val="bullet"/>
      <w:start w:val="1"/>
    </w:lvl>
  </w:abstractNum>
  <w:abstractNum w:abstractNumId="13">
    <w:nsid w:val="3DB012B3"/>
    <w:multiLevelType w:val="hybridMultilevel"/>
    <w:lvl w:ilvl="0">
      <w:lvlJc w:val="left"/>
      <w:lvlText w:val="•"/>
      <w:numFmt w:val="bullet"/>
      <w:start w:val="1"/>
    </w:lvl>
  </w:abstractNum>
  <w:abstractNum w:abstractNumId="14">
    <w:nsid w:val="2708C9AF"/>
    <w:multiLevelType w:val="hybridMultilevel"/>
    <w:lvl w:ilvl="0">
      <w:lvlJc w:val="left"/>
      <w:lvlText w:val="•"/>
      <w:numFmt w:val="bullet"/>
      <w:start w:val="1"/>
    </w:lvl>
  </w:abstractNum>
  <w:abstractNum w:abstractNumId="15">
    <w:nsid w:val="5B25ACE2"/>
    <w:multiLevelType w:val="hybridMultilevel"/>
    <w:lvl w:ilvl="0">
      <w:lvlJc w:val="left"/>
      <w:lvlText w:val="•"/>
      <w:numFmt w:val="bullet"/>
      <w:start w:val="1"/>
    </w:lvl>
  </w:abstractNum>
  <w:abstractNum w:abstractNumId="16">
    <w:nsid w:val="175DFCF0"/>
    <w:multiLevelType w:val="hybridMultilevel"/>
    <w:lvl w:ilvl="0">
      <w:lvlJc w:val="left"/>
      <w:lvlText w:val="•"/>
      <w:numFmt w:val="bullet"/>
      <w:start w:val="1"/>
    </w:lvl>
  </w:abstractNum>
  <w:abstractNum w:abstractNumId="17">
    <w:nsid w:val="4F97E3E4"/>
    <w:multiLevelType w:val="hybridMultilevel"/>
    <w:lvl w:ilvl="0">
      <w:lvlJc w:val="left"/>
      <w:lvlText w:val="•"/>
      <w:numFmt w:val="bullet"/>
      <w:start w:val="1"/>
    </w:lvl>
  </w:abstractNum>
  <w:abstractNum w:abstractNumId="18">
    <w:nsid w:val="53B0A9E"/>
    <w:multiLevelType w:val="hybridMultilevel"/>
    <w:lvl w:ilvl="0">
      <w:lvlJc w:val="left"/>
      <w:lvlText w:val="•"/>
      <w:numFmt w:val="bullet"/>
      <w:start w:val="1"/>
    </w:lvl>
  </w:abstractNum>
  <w:abstractNum w:abstractNumId="19">
    <w:nsid w:val="34FD6B4F"/>
    <w:multiLevelType w:val="hybridMultilevel"/>
    <w:lvl w:ilvl="0">
      <w:lvlJc w:val="left"/>
      <w:lvlText w:val="•"/>
      <w:numFmt w:val="bullet"/>
      <w:start w:val="1"/>
    </w:lvl>
  </w:abstractNum>
  <w:abstractNum w:abstractNumId="20">
    <w:nsid w:val="5915FF32"/>
    <w:multiLevelType w:val="hybridMultilevel"/>
    <w:lvl w:ilvl="0">
      <w:lvlJc w:val="left"/>
      <w:lvlText w:val="•"/>
      <w:numFmt w:val="bullet"/>
      <w:start w:val="1"/>
    </w:lvl>
  </w:abstractNum>
  <w:abstractNum w:abstractNumId="21">
    <w:nsid w:val="56438D15"/>
    <w:multiLevelType w:val="hybridMultilevel"/>
    <w:lvl w:ilvl="0">
      <w:lvlJc w:val="left"/>
      <w:lvlText w:val="•"/>
      <w:numFmt w:val="bullet"/>
      <w:start w:val="1"/>
    </w:lvl>
  </w:abstractNum>
  <w:abstractNum w:abstractNumId="22">
    <w:nsid w:val="519E3149"/>
    <w:multiLevelType w:val="hybridMultilevel"/>
    <w:lvl w:ilvl="0">
      <w:lvlJc w:val="left"/>
      <w:lvlText w:val="•"/>
      <w:numFmt w:val="bullet"/>
      <w:start w:val="1"/>
    </w:lvl>
  </w:abstractNum>
  <w:abstractNum w:abstractNumId="23">
    <w:nsid w:val="2C6E4AFD"/>
    <w:multiLevelType w:val="hybridMultilevel"/>
    <w:lvl w:ilvl="0">
      <w:lvlJc w:val="left"/>
      <w:lvlText w:val="•"/>
      <w:numFmt w:val="bullet"/>
      <w:start w:val="1"/>
    </w:lvl>
  </w:abstractNum>
  <w:abstractNum w:abstractNumId="24">
    <w:nsid w:val="17A1B582"/>
    <w:multiLevelType w:val="hybridMultilevel"/>
    <w:lvl w:ilvl="0">
      <w:lvlJc w:val="left"/>
      <w:lvlText w:val="•"/>
      <w:numFmt w:val="bullet"/>
      <w:start w:val="1"/>
    </w:lvl>
  </w:abstractNum>
  <w:abstractNum w:abstractNumId="25">
    <w:nsid w:val="4DF72E4E"/>
    <w:multiLevelType w:val="hybridMultilevel"/>
    <w:lvl w:ilvl="0">
      <w:lvlJc w:val="left"/>
      <w:lvlText w:val="•"/>
      <w:numFmt w:val="bullet"/>
      <w:start w:val="1"/>
    </w:lvl>
  </w:abstractNum>
  <w:abstractNum w:abstractNumId="26">
    <w:nsid w:val="5046B5A9"/>
    <w:multiLevelType w:val="hybridMultilevel"/>
    <w:lvl w:ilvl="0">
      <w:lvlJc w:val="left"/>
      <w:lvlText w:val="•"/>
      <w:numFmt w:val="bullet"/>
      <w:start w:val="1"/>
    </w:lvl>
  </w:abstractNum>
  <w:abstractNum w:abstractNumId="27">
    <w:nsid w:val="5D888A08"/>
    <w:multiLevelType w:val="hybridMultilevel"/>
    <w:lvl w:ilvl="0">
      <w:lvlJc w:val="left"/>
      <w:lvlText w:val="•"/>
      <w:numFmt w:val="bullet"/>
      <w:start w:val="1"/>
    </w:lvl>
  </w:abstractNum>
  <w:abstractNum w:abstractNumId="28">
    <w:nsid w:val="2A082C70"/>
    <w:multiLevelType w:val="hybridMultilevel"/>
    <w:lvl w:ilvl="0">
      <w:lvlJc w:val="left"/>
      <w:lvlText w:val="%1."/>
      <w:numFmt w:val="upperLetter"/>
      <w:start w:val="1"/>
    </w:lvl>
  </w:abstractNum>
  <w:abstractNum w:abstractNumId="29">
    <w:nsid w:val="5EC6AFD4"/>
    <w:multiLevelType w:val="hybridMultilevel"/>
    <w:lvl w:ilvl="0">
      <w:lvlJc w:val="left"/>
      <w:lvlText w:val="%1."/>
      <w:numFmt w:val="upperLetter"/>
      <w:start w:val="2"/>
    </w:lvl>
  </w:abstractNum>
  <w:abstractNum w:abstractNumId="30">
    <w:nsid w:val="19E21BB2"/>
    <w:multiLevelType w:val="hybridMultilevel"/>
    <w:lvl w:ilvl="0">
      <w:lvlJc w:val="left"/>
      <w:lvlText w:val="%1."/>
      <w:numFmt w:val="decimal"/>
      <w:start w:val="1"/>
    </w:lvl>
    <w:lvl w:ilvl="1">
      <w:lvlJc w:val="left"/>
      <w:lvlText w:val="%2."/>
      <w:numFmt w:val="lowerRoman"/>
      <w:start w:val="1"/>
    </w:lvl>
  </w:abstractNum>
  <w:abstractNum w:abstractNumId="31">
    <w:nsid w:val="75E0858A"/>
    <w:multiLevelType w:val="hybridMultilevel"/>
    <w:lvl w:ilvl="0">
      <w:lvlJc w:val="left"/>
      <w:lvlText w:val="%1."/>
      <w:numFmt w:val="upperLetter"/>
      <w:start w:val="3"/>
    </w:lvl>
  </w:abstractNum>
  <w:abstractNum w:abstractNumId="32">
    <w:nsid w:val="57A61A29"/>
    <w:multiLevelType w:val="hybridMultilevel"/>
    <w:lvl w:ilvl="0">
      <w:lvlJc w:val="left"/>
      <w:lvlText w:val="%1"/>
      <w:numFmt w:val="upperLetter"/>
      <w:start w:val="1"/>
    </w:lvl>
    <w:lvl w:ilvl="1">
      <w:lvlJc w:val="left"/>
      <w:lvlText w:val="*"/>
      <w:numFmt w:val="bullet"/>
      <w:start w:val="1"/>
    </w:lvl>
  </w:abstractNum>
  <w:abstractNum w:abstractNumId="33">
    <w:nsid w:val="5399C654"/>
    <w:multiLevelType w:val="hybridMultilevel"/>
    <w:lvl w:ilvl="0">
      <w:lvlJc w:val="left"/>
      <w:lvlText w:val="(%1)"/>
      <w:numFmt w:val="decimal"/>
      <w:start w:val="1"/>
    </w:lvl>
  </w:abstractNum>
  <w:abstractNum w:abstractNumId="34">
    <w:nsid w:val="20EE1348"/>
    <w:multiLevelType w:val="hybridMultilevel"/>
    <w:lvl w:ilvl="0">
      <w:lvlJc w:val="left"/>
      <w:lvlText w:val="%1."/>
      <w:numFmt w:val="upperLetter"/>
      <w:start w:val="1"/>
    </w:lvl>
  </w:abstractNum>
  <w:abstractNum w:abstractNumId="35">
    <w:nsid w:val="4427069A"/>
    <w:multiLevelType w:val="hybridMultilevel"/>
    <w:lvl w:ilvl="0">
      <w:lvlJc w:val="left"/>
      <w:lvlText w:val="%1."/>
      <w:numFmt w:val="upperLetter"/>
      <w:start w:val="2"/>
    </w:lvl>
  </w:abstractNum>
  <w:abstractNum w:abstractNumId="36">
    <w:nsid w:val="B37E80A"/>
    <w:multiLevelType w:val="hybridMultilevel"/>
    <w:lvl w:ilvl="0">
      <w:lvlJc w:val="left"/>
      <w:lvlText w:val="%1."/>
      <w:numFmt w:val="upperLetter"/>
      <w:start w:val="3"/>
    </w:lvl>
  </w:abstractNum>
  <w:abstractNum w:abstractNumId="37">
    <w:nsid w:val="2157F6BC"/>
    <w:multiLevelType w:val="hybridMultilevel"/>
    <w:lvl w:ilvl="0">
      <w:lvlJc w:val="left"/>
      <w:lvlText w:val="%1."/>
      <w:numFmt w:val="upperLetter"/>
      <w:start w:val="4"/>
    </w:lvl>
  </w:abstractNum>
  <w:abstractNum w:abstractNumId="38">
    <w:nsid w:val="704E1DD5"/>
    <w:multiLevelType w:val="hybridMultilevel"/>
    <w:lvl w:ilvl="0">
      <w:lvlJc w:val="left"/>
      <w:lvlText w:val="%1."/>
      <w:numFmt w:val="upperLetter"/>
      <w:start w:val="1"/>
    </w:lvl>
  </w:abstractNum>
  <w:abstractNum w:abstractNumId="39">
    <w:nsid w:val="57D2F10E"/>
    <w:multiLevelType w:val="hybridMultilevel"/>
    <w:lvl w:ilvl="0">
      <w:lvlJc w:val="left"/>
      <w:lvlText w:val="%1."/>
      <w:numFmt w:val="upperLetter"/>
      <w:start w:val="2"/>
    </w:lvl>
  </w:abstractNum>
  <w:abstractNum w:abstractNumId="40">
    <w:nsid w:val="BFFAE18"/>
    <w:multiLevelType w:val="hybridMultilevel"/>
    <w:lvl w:ilvl="0">
      <w:lvlJc w:val="left"/>
      <w:lvlText w:val="•"/>
      <w:numFmt w:val="bullet"/>
      <w:start w:val="1"/>
    </w:lvl>
  </w:abstractNum>
  <w:abstractNum w:abstractNumId="41">
    <w:nsid w:val="E3E47A8"/>
    <w:multiLevelType w:val="hybridMultilevel"/>
    <w:lvl w:ilvl="0">
      <w:lvlJc w:val="left"/>
      <w:lvlText w:val="*"/>
      <w:numFmt w:val="bullet"/>
      <w:start w:val="1"/>
    </w:lvl>
  </w:abstractNum>
  <w:abstractNum w:abstractNumId="42">
    <w:nsid w:val="2E48F044"/>
    <w:multiLevelType w:val="hybridMultilevel"/>
    <w:lvl w:ilvl="0">
      <w:lvlJc w:val="left"/>
      <w:lvlText w:val="•"/>
      <w:numFmt w:val="bullet"/>
      <w:start w:val="1"/>
    </w:lvl>
  </w:abstractNum>
  <w:abstractNum w:abstractNumId="43">
    <w:nsid w:val="49D0FEAC"/>
    <w:multiLevelType w:val="hybridMultilevel"/>
    <w:lvl w:ilvl="0">
      <w:lvlJc w:val="left"/>
      <w:lvlText w:val="•"/>
      <w:numFmt w:val="bullet"/>
      <w:start w:val="1"/>
    </w:lvl>
    <w:lvl w:ilvl="1">
      <w:lvlJc w:val="left"/>
      <w:lvlText w:val="◦"/>
      <w:numFmt w:val="bullet"/>
      <w:start w:val="1"/>
    </w:lvl>
  </w:abstractNum>
  <w:abstractNum w:abstractNumId="44">
    <w:nsid w:val="4BEE5A5B"/>
    <w:multiLevelType w:val="hybridMultilevel"/>
    <w:lvl w:ilvl="0">
      <w:lvlJc w:val="left"/>
      <w:lvlText w:val="%1."/>
      <w:numFmt w:val="upperLetter"/>
      <w:start w:val="3"/>
    </w:lvl>
  </w:abstractNum>
  <w:abstractNum w:abstractNumId="45">
    <w:nsid w:val="5551B9F3"/>
    <w:multiLevelType w:val="hybridMultilevel"/>
    <w:lvl w:ilvl="0">
      <w:lvlJc w:val="left"/>
      <w:lvlText w:val="•"/>
      <w:numFmt w:val="bullet"/>
      <w:start w:val="1"/>
    </w:lvl>
  </w:abstractNum>
  <w:abstractNum w:abstractNumId="46">
    <w:nsid w:val="24F6AB8E"/>
    <w:multiLevelType w:val="hybridMultilevel"/>
    <w:lvl w:ilvl="0">
      <w:lvlJc w:val="left"/>
      <w:lvlText w:val="•"/>
      <w:numFmt w:val="bullet"/>
      <w:start w:val="1"/>
    </w:lvl>
  </w:abstractNum>
  <w:abstractNum w:abstractNumId="47">
    <w:nsid w:val="634C574C"/>
    <w:multiLevelType w:val="hybridMultilevel"/>
    <w:lvl w:ilvl="0">
      <w:lvlJc w:val="left"/>
      <w:lvlText w:val="•"/>
      <w:numFmt w:val="bullet"/>
      <w:start w:val="1"/>
    </w:lvl>
  </w:abstractNum>
  <w:abstractNum w:abstractNumId="48">
    <w:nsid w:val="24E99DD7"/>
    <w:multiLevelType w:val="hybridMultilevel"/>
    <w:lvl w:ilvl="0">
      <w:lvlJc w:val="left"/>
      <w:lvlText w:val="•"/>
      <w:numFmt w:val="bullet"/>
      <w:start w:val="1"/>
    </w:lvl>
  </w:abstractNum>
  <w:abstractNum w:abstractNumId="49">
    <w:nsid w:val="2A31B62D"/>
    <w:multiLevelType w:val="hybridMultilevel"/>
    <w:lvl w:ilvl="0">
      <w:lvlJc w:val="left"/>
      <w:lvlText w:val="•"/>
      <w:numFmt w:val="bullet"/>
      <w:start w:val="1"/>
    </w:lvl>
  </w:abstractNum>
  <w:abstractNum w:abstractNumId="50">
    <w:nsid w:val="1849C29B"/>
    <w:multiLevelType w:val="hybridMultilevel"/>
    <w:lvl w:ilvl="0">
      <w:lvlJc w:val="left"/>
      <w:lvlText w:val="%1."/>
      <w:numFmt w:val="upperLetter"/>
      <w:start w:val="4"/>
    </w:lvl>
  </w:abstractNum>
  <w:abstractNum w:abstractNumId="51">
    <w:nsid w:val="7DFF9D09"/>
    <w:multiLevelType w:val="hybridMultilevel"/>
    <w:lvl w:ilvl="0">
      <w:lvlJc w:val="left"/>
      <w:lvlText w:val="%1."/>
      <w:numFmt w:val="upperLetter"/>
      <w:start w:val="6"/>
    </w:lvl>
  </w:abstractNum>
  <w:abstractNum w:abstractNumId="52">
    <w:nsid w:val="754342"/>
    <w:multiLevelType w:val="hybridMultilevel"/>
    <w:lvl w:ilvl="0">
      <w:lvlJc w:val="left"/>
      <w:lvlText w:val="%1."/>
      <w:numFmt w:val="upperLetter"/>
      <w:start w:val="1"/>
    </w:lvl>
  </w:abstractNum>
  <w:abstractNum w:abstractNumId="53">
    <w:nsid w:val="69E7F3E5"/>
    <w:multiLevelType w:val="hybridMultilevel"/>
    <w:lvl w:ilvl="0">
      <w:lvlJc w:val="left"/>
      <w:lvlText w:val="*"/>
      <w:numFmt w:val="bullet"/>
      <w:start w:val="1"/>
    </w:lvl>
  </w:abstractNum>
  <w:abstractNum w:abstractNumId="54">
    <w:nsid w:val="2A6DE806"/>
    <w:multiLevelType w:val="hybridMultilevel"/>
    <w:lvl w:ilvl="0">
      <w:lvlJc w:val="left"/>
      <w:lvlText w:val="•"/>
      <w:numFmt w:val="bullet"/>
      <w:start w:val="1"/>
    </w:lvl>
  </w:abstractNum>
  <w:abstractNum w:abstractNumId="55">
    <w:nsid w:val="1816F8C4"/>
    <w:multiLevelType w:val="hybridMultilevel"/>
    <w:lvl w:ilvl="0">
      <w:lvlJc w:val="left"/>
      <w:lvlText w:val="•"/>
      <w:numFmt w:val="bullet"/>
      <w:start w:val="1"/>
    </w:lvl>
  </w:abstractNum>
  <w:abstractNum w:abstractNumId="56">
    <w:nsid w:val="37DF2233"/>
    <w:multiLevelType w:val="hybridMultilevel"/>
    <w:lvl w:ilvl="0">
      <w:lvlJc w:val="left"/>
      <w:lvlText w:val="%1."/>
      <w:numFmt w:val="upperLetter"/>
      <w:start w:val="3"/>
    </w:lvl>
  </w:abstractNum>
  <w:abstractNum w:abstractNumId="57">
    <w:nsid w:val="7AB49DAF"/>
    <w:multiLevelType w:val="hybridMultilevel"/>
    <w:lvl w:ilvl="0">
      <w:lvlJc w:val="left"/>
      <w:lvlText w:val="%1."/>
      <w:numFmt w:val="upperLetter"/>
      <w:start w:val="1"/>
    </w:lvl>
  </w:abstractNum>
  <w:abstractNum w:abstractNumId="58">
    <w:nsid w:val="759F82CD"/>
    <w:multiLevelType w:val="hybridMultilevel"/>
    <w:lvl w:ilvl="0">
      <w:lvlJc w:val="left"/>
      <w:lvlText w:val="%1."/>
      <w:numFmt w:val="upperLetter"/>
      <w:start w:val="2"/>
    </w:lvl>
  </w:abstractNum>
  <w:abstractNum w:abstractNumId="59">
    <w:nsid w:val="61E74EA3"/>
    <w:multiLevelType w:val="hybridMultilevel"/>
    <w:lvl w:ilvl="0">
      <w:lvlJc w:val="left"/>
      <w:lvlText w:val="%1."/>
      <w:numFmt w:val="upperLetter"/>
      <w:start w:val="1"/>
    </w:lvl>
  </w:abstractNum>
  <w:abstractNum w:abstractNumId="60">
    <w:nsid w:val="597B4D84"/>
    <w:multiLevelType w:val="hybridMultilevel"/>
    <w:lvl w:ilvl="0">
      <w:lvlJc w:val="left"/>
      <w:lvlText w:val="%1."/>
      <w:numFmt w:val="upperLetter"/>
      <w:start w:val="2"/>
    </w:lvl>
  </w:abstractNum>
  <w:abstractNum w:abstractNumId="61">
    <w:nsid w:val="F819E7F"/>
    <w:multiLevelType w:val="hybridMultilevel"/>
    <w:lvl w:ilvl="0">
      <w:lvlJc w:val="left"/>
      <w:lvlText w:val="%1."/>
      <w:numFmt w:val="upperLetter"/>
      <w:start w:val="1"/>
    </w:lvl>
  </w:abstractNum>
  <w:abstractNum w:abstractNumId="62">
    <w:nsid w:val="57C7D42D"/>
    <w:multiLevelType w:val="hybridMultilevel"/>
    <w:lvl w:ilvl="0">
      <w:lvlJc w:val="left"/>
      <w:lvlText w:val="%1."/>
      <w:numFmt w:val="lowerLetter"/>
      <w:start w:val="1"/>
    </w:lvl>
  </w:abstractNum>
  <w:abstractNum w:abstractNumId="63">
    <w:nsid w:val="312167AD"/>
    <w:multiLevelType w:val="hybridMultilevel"/>
    <w:lvl w:ilvl="0">
      <w:lvlJc w:val="left"/>
      <w:lvlText w:val="•"/>
      <w:numFmt w:val="bullet"/>
      <w:start w:val="1"/>
    </w:lvl>
  </w:abstractNum>
  <w:abstractNum w:abstractNumId="64">
    <w:nsid w:val="631B64D4"/>
    <w:multiLevelType w:val="hybridMultilevel"/>
    <w:lvl w:ilvl="0">
      <w:lvlJc w:val="left"/>
      <w:lvlText w:val="•"/>
      <w:numFmt w:val="bullet"/>
      <w:start w:val="1"/>
    </w:lvl>
  </w:abstractNum>
  <w:abstractNum w:abstractNumId="65">
    <w:nsid w:val="78B5E776"/>
    <w:multiLevelType w:val="hybridMultilevel"/>
    <w:lvl w:ilvl="0">
      <w:lvlJc w:val="left"/>
      <w:lvlText w:val="•"/>
      <w:numFmt w:val="bullet"/>
      <w:start w:val="1"/>
    </w:lvl>
  </w:abstractNum>
  <w:abstractNum w:abstractNumId="66">
    <w:nsid w:val="75486E47"/>
    <w:multiLevelType w:val="hybridMultilevel"/>
    <w:lvl w:ilvl="0">
      <w:lvlJc w:val="left"/>
      <w:lvlText w:val="•"/>
      <w:numFmt w:val="bullet"/>
      <w:start w:val="1"/>
    </w:lvl>
  </w:abstractNum>
  <w:abstractNum w:abstractNumId="67">
    <w:nsid w:val="6E534CDE"/>
    <w:multiLevelType w:val="hybridMultilevel"/>
    <w:lvl w:ilvl="0">
      <w:lvlJc w:val="left"/>
      <w:lvlText w:val="•"/>
      <w:numFmt w:val="bullet"/>
      <w:start w:val="1"/>
    </w:lvl>
  </w:abstractNum>
  <w:abstractNum w:abstractNumId="68">
    <w:nsid w:val="1A0DDE32"/>
    <w:multiLevelType w:val="hybridMultilevel"/>
    <w:lvl w:ilvl="0">
      <w:lvlJc w:val="left"/>
      <w:lvlText w:val="%1."/>
      <w:numFmt w:val="upperLetter"/>
      <w:start w:val="3"/>
    </w:lvl>
  </w:abstractNum>
  <w:abstractNum w:abstractNumId="69">
    <w:nsid w:val="65968C1C"/>
    <w:multiLevelType w:val="hybridMultilevel"/>
    <w:lvl w:ilvl="0">
      <w:lvlJc w:val="left"/>
      <w:lvlText w:val="%1."/>
      <w:numFmt w:val="upperLetter"/>
      <w:start w:val="4"/>
    </w:lvl>
  </w:abstractNum>
  <w:abstractNum w:abstractNumId="70">
    <w:nsid w:val="46263DEC"/>
    <w:multiLevelType w:val="hybridMultilevel"/>
    <w:lvl w:ilvl="0">
      <w:lvlJc w:val="left"/>
      <w:lvlText w:val="(%1)"/>
      <w:numFmt w:val="lowerLetter"/>
      <w:start w:val="1"/>
    </w:lvl>
  </w:abstractNum>
  <w:abstractNum w:abstractNumId="71">
    <w:nsid w:val="260D8C4A"/>
    <w:multiLevelType w:val="hybridMultilevel"/>
    <w:lvl w:ilvl="0">
      <w:lvlJc w:val="left"/>
      <w:lvlText w:val="%1."/>
      <w:numFmt w:val="lowerLetter"/>
      <w:start w:val="2"/>
    </w:lvl>
  </w:abstractNum>
  <w:abstractNum w:abstractNumId="72">
    <w:nsid w:val="73D4D3C4"/>
    <w:multiLevelType w:val="hybridMultilevel"/>
    <w:lvl w:ilvl="0">
      <w:lvlJc w:val="left"/>
      <w:lvlText w:val="•"/>
      <w:numFmt w:val="bullet"/>
      <w:start w:val="1"/>
    </w:lvl>
  </w:abstractNum>
  <w:abstractNum w:abstractNumId="73">
    <w:nsid w:val="746F2E30"/>
    <w:multiLevelType w:val="hybridMultilevel"/>
    <w:lvl w:ilvl="0">
      <w:lvlJc w:val="left"/>
      <w:lvlText w:val="•"/>
      <w:numFmt w:val="bullet"/>
      <w:start w:val="1"/>
    </w:lvl>
  </w:abstractNum>
  <w:abstractNum w:abstractNumId="74">
    <w:nsid w:val="6FDE8AF6"/>
    <w:multiLevelType w:val="hybridMultilevel"/>
    <w:lvl w:ilvl="0">
      <w:lvlJc w:val="left"/>
      <w:lvlText w:val="%1."/>
      <w:numFmt w:val="upperLetter"/>
      <w:start w:val="6"/>
    </w:lvl>
  </w:abstractNum>
  <w:abstractNum w:abstractNumId="75">
    <w:nsid w:val="3FC32E20"/>
    <w:multiLevelType w:val="hybridMultilevel"/>
    <w:lvl w:ilvl="0">
      <w:lvlJc w:val="left"/>
      <w:lvlText w:val="%1."/>
      <w:numFmt w:val="upperLetter"/>
      <w:start w:val="8"/>
    </w:lvl>
  </w:abstractNum>
  <w:abstractNum w:abstractNumId="76">
    <w:nsid w:val="49C0E823"/>
    <w:multiLevelType w:val="hybridMultilevel"/>
    <w:lvl w:ilvl="0">
      <w:lvlJc w:val="left"/>
      <w:lvlText w:val="%1."/>
      <w:numFmt w:val="upperLetter"/>
      <w:start w:val="9"/>
    </w:lvl>
  </w:abstractNum>
  <w:abstractNum w:abstractNumId="77">
    <w:nsid w:val="14D53685"/>
    <w:multiLevelType w:val="hybridMultilevel"/>
    <w:lvl w:ilvl="0">
      <w:lvlJc w:val="left"/>
      <w:lvlText w:val="%1."/>
      <w:numFmt w:val="upperLetter"/>
      <w:start w:val="1"/>
    </w:lvl>
  </w:abstractNum>
  <w:abstractNum w:abstractNumId="78">
    <w:nsid w:val="230F856C"/>
    <w:multiLevelType w:val="hybridMultilevel"/>
    <w:lvl w:ilvl="0">
      <w:lvlJc w:val="left"/>
      <w:lvlText w:val="%1."/>
      <w:numFmt w:val="upperLetter"/>
      <w:start w:val="2"/>
    </w:lvl>
  </w:abstractNum>
  <w:abstractNum w:abstractNumId="79">
    <w:nsid w:val="6EAA85FB"/>
    <w:multiLevelType w:val="hybridMultilevel"/>
    <w:lvl w:ilvl="0">
      <w:lvlJc w:val="left"/>
      <w:lvlText w:val="%1."/>
      <w:numFmt w:val="upperLetter"/>
      <w:start w:val="3"/>
    </w:lvl>
  </w:abstractNum>
  <w:abstractNum w:abstractNumId="80">
    <w:nsid w:val="3F06ECB2"/>
    <w:multiLevelType w:val="hybridMultilevel"/>
    <w:lvl w:ilvl="0">
      <w:lvlJc w:val="left"/>
      <w:lvlText w:val="%1."/>
      <w:numFmt w:val="upperLetter"/>
      <w:start w:val="4"/>
    </w:lvl>
  </w:abstractNum>
  <w:abstractNum w:abstractNumId="81">
    <w:nsid w:val="3B594807"/>
    <w:multiLevelType w:val="hybridMultilevel"/>
    <w:lvl w:ilvl="0">
      <w:lvlJc w:val="left"/>
      <w:lvlText w:val="%1."/>
      <w:numFmt w:val="upperLetter"/>
      <w:start w:val="5"/>
    </w:lvl>
  </w:abstractNum>
  <w:abstractNum w:abstractNumId="82">
    <w:nsid w:val="6CAA2304"/>
    <w:multiLevelType w:val="hybridMultilevel"/>
    <w:lvl w:ilvl="0">
      <w:lvlJc w:val="left"/>
      <w:lvlText w:val="%1."/>
      <w:numFmt w:val="upperLetter"/>
      <w:start w:val="1"/>
    </w:lvl>
  </w:abstractNum>
  <w:abstractNum w:abstractNumId="83">
    <w:nsid w:val="3F7C2FF4"/>
    <w:multiLevelType w:val="hybridMultilevel"/>
    <w:lvl w:ilvl="0">
      <w:lvlJc w:val="left"/>
      <w:lvlText w:val="%1."/>
      <w:numFmt w:val="upperLetter"/>
      <w:start w:val="2"/>
    </w:lvl>
  </w:abstractNum>
  <w:abstractNum w:abstractNumId="84">
    <w:nsid w:val="25413BEC"/>
    <w:multiLevelType w:val="hybridMultilevel"/>
    <w:lvl w:ilvl="0">
      <w:lvlJc w:val="left"/>
      <w:lvlText w:val="•"/>
      <w:numFmt w:val="bullet"/>
      <w:start w:val="1"/>
    </w:lvl>
  </w:abstractNum>
  <w:abstractNum w:abstractNumId="85">
    <w:nsid w:val="17180B0B"/>
    <w:multiLevelType w:val="hybridMultilevel"/>
    <w:lvl w:ilvl="0">
      <w:lvlJc w:val="left"/>
      <w:lvlText w:val="%1."/>
      <w:numFmt w:val="lowerLetter"/>
      <w:start w:val="1"/>
    </w:lvl>
  </w:abstractNum>
  <w:abstractNum w:abstractNumId="86">
    <w:nsid w:val="579328B9"/>
    <w:multiLevelType w:val="hybridMultilevel"/>
    <w:lvl w:ilvl="0">
      <w:lvlJc w:val="left"/>
      <w:lvlText w:val="%1."/>
      <w:numFmt w:val="upperLetter"/>
      <w:start w:val="3"/>
    </w:lvl>
  </w:abstractNum>
  <w:abstractNum w:abstractNumId="87">
    <w:nsid w:val="5D205E20"/>
    <w:multiLevelType w:val="hybridMultilevel"/>
    <w:lvl w:ilvl="0">
      <w:lvlJc w:val="left"/>
      <w:lvlText w:val="%1."/>
      <w:numFmt w:val="upperLetter"/>
      <w:start w:val="4"/>
    </w:lvl>
  </w:abstractNum>
  <w:abstractNum w:abstractNumId="88">
    <w:nsid w:val="11CCA8BA"/>
    <w:multiLevelType w:val="hybridMultilevel"/>
    <w:lvl w:ilvl="0">
      <w:lvlJc w:val="left"/>
      <w:lvlText w:val="%1."/>
      <w:numFmt w:val="lowerLetter"/>
      <w:start w:val="1"/>
    </w:lvl>
  </w:abstractNum>
  <w:abstractNum w:abstractNumId="89">
    <w:nsid w:val="4D32AB86"/>
    <w:multiLevelType w:val="hybridMultilevel"/>
    <w:lvl w:ilvl="0">
      <w:lvlJc w:val="left"/>
      <w:lvlText w:val="•"/>
      <w:numFmt w:val="bullet"/>
      <w:start w:val="1"/>
    </w:lvl>
  </w:abstractNum>
  <w:abstractNum w:abstractNumId="90">
    <w:nsid w:val="3F07ACC3"/>
    <w:multiLevelType w:val="hybridMultilevel"/>
    <w:lvl w:ilvl="0">
      <w:lvlJc w:val="left"/>
      <w:lvlText w:val="•"/>
      <w:numFmt w:val="bullet"/>
      <w:start w:val="1"/>
    </w:lvl>
  </w:abstractNum>
  <w:abstractNum w:abstractNumId="91">
    <w:nsid w:val="6B47F63E"/>
    <w:multiLevelType w:val="hybridMultilevel"/>
    <w:lvl w:ilvl="0">
      <w:lvlJc w:val="left"/>
      <w:lvlText w:val="•"/>
      <w:numFmt w:val="bullet"/>
      <w:start w:val="1"/>
    </w:lvl>
  </w:abstractNum>
  <w:abstractNum w:abstractNumId="92">
    <w:nsid w:val="5CB44A05"/>
    <w:multiLevelType w:val="hybridMultilevel"/>
    <w:lvl w:ilvl="0">
      <w:lvlJc w:val="left"/>
      <w:lvlText w:val="%1."/>
      <w:numFmt w:val="decimal"/>
      <w:start w:val="1"/>
    </w:lvl>
  </w:abstractNum>
  <w:abstractNum w:abstractNumId="93">
    <w:nsid w:val="16CF80F1"/>
    <w:multiLevelType w:val="hybridMultilevel"/>
    <w:lvl w:ilvl="0">
      <w:lvlJc w:val="left"/>
      <w:lvlText w:val="%1."/>
      <w:numFmt w:val="decimal"/>
      <w:start w:val="2"/>
    </w:lvl>
  </w:abstractNum>
  <w:abstractNum w:abstractNumId="94">
    <w:nsid w:val="1C695DEC"/>
    <w:multiLevelType w:val="hybridMultilevel"/>
    <w:lvl w:ilvl="0">
      <w:lvlJc w:val="left"/>
      <w:lvlText w:val="%1."/>
      <w:numFmt w:val="decimal"/>
      <w:start w:val="3"/>
    </w:lvl>
  </w:abstractNum>
  <w:abstractNum w:abstractNumId="95">
    <w:nsid w:val="3FCFAED9"/>
    <w:multiLevelType w:val="hybridMultilevel"/>
    <w:lvl w:ilvl="0">
      <w:lvlJc w:val="left"/>
      <w:lvlText w:val="•"/>
      <w:numFmt w:val="bullet"/>
      <w:start w:val="1"/>
    </w:lvl>
  </w:abstractNum>
  <w:abstractNum w:abstractNumId="96">
    <w:nsid w:val="F856867"/>
    <w:multiLevelType w:val="hybridMultilevel"/>
    <w:lvl w:ilvl="0">
      <w:lvlJc w:val="left"/>
      <w:lvlText w:val="•"/>
      <w:numFmt w:val="bullet"/>
      <w:start w:val="1"/>
    </w:lvl>
  </w:abstractNum>
  <w:abstractNum w:abstractNumId="97">
    <w:nsid w:val="11B1CC33"/>
    <w:multiLevelType w:val="hybridMultilevel"/>
    <w:lvl w:ilvl="0">
      <w:lvlJc w:val="left"/>
      <w:lvlText w:val="•"/>
      <w:numFmt w:val="bullet"/>
      <w:start w:val="1"/>
    </w:lvl>
  </w:abstractNum>
  <w:abstractNum w:abstractNumId="98">
    <w:nsid w:val="2E22FBB7"/>
    <w:multiLevelType w:val="hybridMultilevel"/>
    <w:lvl w:ilvl="0">
      <w:lvlJc w:val="left"/>
      <w:lvlText w:val="%1."/>
      <w:numFmt w:val="decimal"/>
      <w:start w:val="4"/>
    </w:lvl>
  </w:abstractNum>
  <w:abstractNum w:abstractNumId="99">
    <w:nsid w:val="29934699"/>
    <w:multiLevelType w:val="hybridMultilevel"/>
    <w:lvl w:ilvl="0">
      <w:lvlJc w:val="left"/>
      <w:lvlText w:val="(%1)"/>
      <w:numFmt w:val="decimal"/>
      <w:start w:val="1"/>
    </w:lvl>
  </w:abstractNum>
  <w:abstractNum w:abstractNumId="100">
    <w:nsid w:val="77485850"/>
    <w:multiLevelType w:val="hybridMultilevel"/>
    <w:lvl w:ilvl="0">
      <w:lvlJc w:val="left"/>
      <w:lvlText w:val="%1."/>
      <w:numFmt w:val="decimal"/>
      <w:start w:val="6"/>
    </w:lvl>
  </w:abstractNum>
  <w:abstractNum w:abstractNumId="101">
    <w:nsid w:val="744939A3"/>
    <w:multiLevelType w:val="hybridMultilevel"/>
    <w:lvl w:ilvl="0">
      <w:lvlJc w:val="left"/>
      <w:lvlText w:val="(%1)"/>
      <w:numFmt w:val="decimal"/>
      <w:start w:val="1"/>
    </w:lvl>
  </w:abstractNum>
  <w:abstractNum w:abstractNumId="102">
    <w:nsid w:val="4FA0D2E3"/>
    <w:multiLevelType w:val="hybridMultilevel"/>
    <w:lvl w:ilvl="0">
      <w:lvlJc w:val="left"/>
      <w:lvlText w:val="(%1)"/>
      <w:numFmt w:val="decimal"/>
      <w:start w:val="1"/>
    </w:lvl>
  </w:abstractNum>
  <w:abstractNum w:abstractNumId="103">
    <w:nsid w:val="6B1D2C14"/>
    <w:multiLevelType w:val="hybridMultilevel"/>
    <w:lvl w:ilvl="0">
      <w:lvlJc w:val="left"/>
      <w:lvlText w:val="%1."/>
      <w:numFmt w:val="decimal"/>
      <w:start w:val="9"/>
    </w:lvl>
  </w:abstractNum>
  <w:abstractNum w:abstractNumId="104">
    <w:nsid w:val="68B867D3"/>
    <w:multiLevelType w:val="hybridMultilevel"/>
    <w:lvl w:ilvl="0">
      <w:lvlJc w:val="left"/>
      <w:lvlText w:val="(%1)"/>
      <w:numFmt w:val="decimal"/>
      <w:start w:val="1"/>
    </w:lvl>
  </w:abstractNum>
  <w:abstractNum w:abstractNumId="105">
    <w:nsid w:val="3F7F5DD9"/>
    <w:multiLevelType w:val="hybridMultilevel"/>
    <w:lvl w:ilvl="0">
      <w:lvlJc w:val="left"/>
      <w:lvlText w:val="(%1)"/>
      <w:numFmt w:val="decimal"/>
      <w:start w:val="759"/>
    </w:lvl>
  </w:abstractNum>
  <w:abstractNum w:abstractNumId="106">
    <w:nsid w:val="2AE05A34"/>
    <w:multiLevelType w:val="hybridMultilevel"/>
    <w:lvl w:ilvl="0">
      <w:lvlJc w:val="left"/>
      <w:lvlText w:val="\emdash "/>
      <w:numFmt w:val="bullet"/>
      <w:start w:val="1"/>
    </w:lvl>
  </w:abstractNum>
  <w:abstractNum w:abstractNumId="107">
    <w:nsid w:val="32794FF7"/>
    <w:multiLevelType w:val="hybridMultilevel"/>
    <w:lvl w:ilvl="0">
      <w:lvlJc w:val="left"/>
      <w:lvlText w:val="%1"/>
      <w:numFmt w:val="decimal"/>
      <w:start w:val="1"/>
    </w:lvl>
    <w:lvl w:ilvl="1">
      <w:lvlJc w:val="left"/>
      <w:lvlText w:val="(%2)"/>
      <w:numFmt w:val="decimal"/>
      <w:start w:val="1"/>
    </w:lvl>
  </w:abstractNum>
  <w:abstractNum w:abstractNumId="108">
    <w:nsid w:val="5454945E"/>
    <w:multiLevelType w:val="hybridMultilevel"/>
    <w:lvl w:ilvl="0">
      <w:lvlJc w:val="left"/>
      <w:lvlText w:val="%1."/>
      <w:numFmt w:val="decimal"/>
      <w:start w:val="12"/>
    </w:lvl>
    <w:lvl w:ilvl="1">
      <w:lvlJc w:val="left"/>
      <w:lvlText w:val="%2"/>
      <w:numFmt w:val="decimal"/>
      <w:start w:val="1"/>
    </w:lvl>
  </w:abstractNum>
  <w:abstractNum w:abstractNumId="109">
    <w:nsid w:val="4DEFDFA0"/>
    <w:multiLevelType w:val="hybridMultilevel"/>
    <w:lvl w:ilvl="0">
      <w:lvlJc w:val="left"/>
      <w:lvlText w:val="(%1)"/>
      <w:numFmt w:val="decimal"/>
      <w:start w:val="1"/>
    </w:lvl>
  </w:abstractNum>
  <w:abstractNum w:abstractNumId="110">
    <w:nsid w:val="2123D5F2"/>
    <w:multiLevelType w:val="hybridMultilevel"/>
    <w:lvl w:ilvl="0">
      <w:lvlJc w:val="left"/>
      <w:lvlText w:val="(%1)"/>
      <w:numFmt w:val="decimal"/>
      <w:start w:val="1"/>
    </w:lvl>
  </w:abstractNum>
  <w:abstractNum w:abstractNumId="111">
    <w:nsid w:val="135B8110"/>
    <w:multiLevelType w:val="hybridMultilevel"/>
    <w:lvl w:ilvl="0">
      <w:lvlJc w:val="left"/>
      <w:lvlText w:val="%1"/>
      <w:numFmt w:val="decimal"/>
      <w:start w:val="1"/>
    </w:lvl>
    <w:lvl w:ilvl="1">
      <w:lvlJc w:val="left"/>
      <w:lvlText w:val="(%2)"/>
      <w:numFmt w:val="decimal"/>
      <w:start w:val="1"/>
    </w:lvl>
  </w:abstractNum>
  <w:abstractNum w:abstractNumId="112">
    <w:nsid w:val="94927A8"/>
    <w:multiLevelType w:val="hybridMultilevel"/>
    <w:lvl w:ilvl="0">
      <w:lvlJc w:val="left"/>
      <w:lvlText w:val="%1."/>
      <w:numFmt w:val="decimal"/>
      <w:start w:val="19"/>
    </w:lvl>
    <w:lvl w:ilvl="1">
      <w:lvlJc w:val="left"/>
      <w:lvlText w:val="%2"/>
      <w:numFmt w:val="decimal"/>
      <w:start w:val="1"/>
    </w:lvl>
  </w:abstractNum>
  <w:abstractNum w:abstractNumId="113">
    <w:nsid w:val="DCDF8F6"/>
    <w:multiLevelType w:val="hybridMultilevel"/>
    <w:lvl w:ilvl="0">
      <w:lvlJc w:val="left"/>
      <w:lvlText w:val="%1"/>
      <w:numFmt w:val="decimal"/>
      <w:start w:val="1"/>
    </w:lvl>
    <w:lvl w:ilvl="1">
      <w:lvlJc w:val="left"/>
      <w:lvlText w:val="(%2)"/>
      <w:numFmt w:val="decimal"/>
      <w:start w:val="1"/>
    </w:lvl>
  </w:abstractNum>
  <w:abstractNum w:abstractNumId="114">
    <w:nsid w:val="52D7B105"/>
    <w:multiLevelType w:val="hybridMultilevel"/>
    <w:lvl w:ilvl="0">
      <w:lvlJc w:val="left"/>
      <w:lvlText w:val="%1."/>
      <w:numFmt w:val="decimal"/>
      <w:start w:val="20"/>
    </w:lvl>
    <w:lvl w:ilvl="1">
      <w:lvlJc w:val="left"/>
      <w:lvlText w:val="%2"/>
      <w:numFmt w:val="decimal"/>
      <w:start w:val="1"/>
    </w:lvl>
  </w:abstractNum>
  <w:abstractNum w:abstractNumId="115">
    <w:nsid w:val="2E8A6394"/>
    <w:multiLevelType w:val="hybridMultilevel"/>
    <w:lvl w:ilvl="0">
      <w:lvlJc w:val="left"/>
      <w:lvlText w:val="%1"/>
      <w:numFmt w:val="decimal"/>
      <w:start w:val="1"/>
    </w:lvl>
    <w:lvl w:ilvl="1">
      <w:lvlJc w:val="left"/>
      <w:lvlText w:val="(%2)"/>
      <w:numFmt w:val="decimal"/>
      <w:start w:val="1"/>
    </w:lvl>
  </w:abstractNum>
  <w:abstractNum w:abstractNumId="116">
    <w:nsid w:val="24E60401"/>
    <w:multiLevelType w:val="hybridMultilevel"/>
    <w:lvl w:ilvl="0">
      <w:lvlJc w:val="left"/>
      <w:lvlText w:val="%1."/>
      <w:numFmt w:val="decimal"/>
      <w:start w:val="21"/>
    </w:lvl>
    <w:lvl w:ilvl="1">
      <w:lvlJc w:val="left"/>
      <w:lvlText w:val="%2"/>
      <w:numFmt w:val="decimal"/>
      <w:start w:val="1"/>
    </w:lvl>
  </w:abstractNum>
  <w:abstractNum w:abstractNumId="117">
    <w:nsid w:val="2A6AD9BE"/>
    <w:multiLevelType w:val="hybridMultilevel"/>
    <w:lvl w:ilvl="0">
      <w:lvlJc w:val="left"/>
      <w:lvlText w:val="(%1)"/>
      <w:numFmt w:val="decimal"/>
      <w:start w:val="1"/>
    </w:lvl>
  </w:abstractNum>
  <w:abstractNum w:abstractNumId="118">
    <w:nsid w:val="BAAC1B4"/>
    <w:multiLevelType w:val="hybridMultilevel"/>
    <w:lvl w:ilvl="0">
      <w:lvlJc w:val="left"/>
      <w:lvlText w:val="(%1)"/>
      <w:numFmt w:val="decimal"/>
      <w:start w:val="1"/>
    </w:lvl>
  </w:abstractNum>
  <w:abstractNum w:abstractNumId="119">
    <w:nsid w:val="36B2ACBC"/>
    <w:multiLevelType w:val="hybridMultilevel"/>
    <w:lvl w:ilvl="0">
      <w:lvlJc w:val="left"/>
      <w:lvlText w:val="(%1)"/>
      <w:numFmt w:val="decimal"/>
      <w:start w:val="1"/>
    </w:lvl>
  </w:abstractNum>
  <w:abstractNum w:abstractNumId="120">
    <w:nsid w:val="779D8544"/>
    <w:multiLevelType w:val="hybridMultilevel"/>
    <w:lvl w:ilvl="0">
      <w:lvlJc w:val="left"/>
      <w:lvlText w:val="•"/>
      <w:numFmt w:val="bullet"/>
      <w:start w:val="1"/>
    </w:lvl>
  </w:abstractNum>
  <w:abstractNum w:abstractNumId="121">
    <w:nsid w:val="4AB26E78"/>
    <w:multiLevelType w:val="hybridMultilevel"/>
    <w:lvl w:ilvl="0">
      <w:lvlJc w:val="left"/>
      <w:lvlText w:val="(%1)"/>
      <w:numFmt w:val="decimal"/>
      <w:start w:val="1"/>
    </w:lvl>
  </w:abstractNum>
  <w:abstractNum w:abstractNumId="122">
    <w:nsid w:val="21FAA2FA"/>
    <w:multiLevelType w:val="hybridMultilevel"/>
    <w:lvl w:ilvl="0">
      <w:lvlJc w:val="left"/>
      <w:lvlText w:val="(%1)"/>
      <w:numFmt w:val="decimal"/>
      <w:start w:val="4"/>
    </w:lvl>
  </w:abstractNum>
  <w:abstractNum w:abstractNumId="123">
    <w:nsid w:val="5451CF49"/>
    <w:multiLevelType w:val="hybridMultilevel"/>
    <w:lvl w:ilvl="0">
      <w:lvlJc w:val="left"/>
      <w:lvlText w:val="*"/>
      <w:numFmt w:val="bullet"/>
      <w:start w:val="1"/>
    </w:lvl>
  </w:abstractNum>
  <w:abstractNum w:abstractNumId="124">
    <w:nsid w:val="6181EF69"/>
    <w:multiLevelType w:val="hybridMultilevel"/>
    <w:lvl w:ilvl="0">
      <w:lvlJc w:val="left"/>
      <w:lvlText w:val="†"/>
      <w:numFmt w:val="bullet"/>
      <w:start w:val="1"/>
    </w:lvl>
  </w:abstractNum>
  <w:abstractNum w:abstractNumId="125">
    <w:nsid w:val="3E6400E6"/>
    <w:multiLevelType w:val="hybridMultilevel"/>
    <w:lvl w:ilvl="0">
      <w:lvlJc w:val="left"/>
      <w:lvlText w:val="[***]"/>
      <w:numFmt w:val="bullet"/>
      <w:start w:val="1"/>
    </w:lvl>
  </w:abstractNum>
  <w:abstractNum w:abstractNumId="126">
    <w:nsid w:val="14217E23"/>
    <w:multiLevelType w:val="hybridMultilevel"/>
    <w:lvl w:ilvl="0">
      <w:lvlJc w:val="left"/>
      <w:lvlText w:val="%1."/>
      <w:numFmt w:val="decimal"/>
      <w:start w:val="1"/>
    </w:lvl>
    <w:lvl w:ilvl="1">
      <w:lvlJc w:val="left"/>
      <w:lvlText w:val="%2."/>
      <w:numFmt w:val="lowerLetter"/>
      <w:start w:val="1"/>
    </w:lvl>
  </w:abstractNum>
  <w:abstractNum w:abstractNumId="127">
    <w:nsid w:val="710757D0"/>
    <w:multiLevelType w:val="hybridMultilevel"/>
    <w:lvl w:ilvl="0">
      <w:lvlJc w:val="left"/>
      <w:lvlText w:val="%1."/>
      <w:numFmt w:val="decimal"/>
      <w:start w:val="3"/>
    </w:lvl>
    <w:lvl w:ilvl="1">
      <w:lvlJc w:val="left"/>
      <w:lvlText w:val="%2."/>
      <w:numFmt w:val="lowerLetter"/>
      <w:start w:val="1"/>
    </w:lvl>
  </w:abstractNum>
  <w:abstractNum w:abstractNumId="128">
    <w:nsid w:val="5015CD1A"/>
    <w:multiLevelType w:val="hybridMultilevel"/>
    <w:lvl w:ilvl="0">
      <w:lvlJc w:val="left"/>
      <w:lvlText w:val="%1."/>
      <w:numFmt w:val="lowerLetter"/>
      <w:start w:val="2"/>
    </w:lvl>
  </w:abstractNum>
  <w:abstractNum w:abstractNumId="129">
    <w:nsid w:val="424479DA"/>
    <w:multiLevelType w:val="hybridMultilevel"/>
    <w:lvl w:ilvl="0">
      <w:lvlJc w:val="left"/>
      <w:lvlText w:val="%1."/>
      <w:numFmt w:val="decimal"/>
      <w:start w:val="4"/>
    </w:lvl>
    <w:lvl w:ilvl="1">
      <w:lvlJc w:val="left"/>
      <w:lvlText w:val="%2"/>
      <w:numFmt w:val="lowerLetter"/>
      <w:start w:val="1"/>
    </w:lvl>
  </w:abstractNum>
  <w:abstractNum w:abstractNumId="130">
    <w:nsid w:val="1A9A9E69"/>
    <w:multiLevelType w:val="hybridMultilevel"/>
    <w:lvl w:ilvl="0">
      <w:lvlJc w:val="left"/>
      <w:lvlText w:val="%1."/>
      <w:numFmt w:val="lowerLetter"/>
      <w:start w:val="2"/>
    </w:lvl>
  </w:abstractNum>
  <w:abstractNum w:abstractNumId="131">
    <w:nsid w:val="475E256A"/>
    <w:multiLevelType w:val="hybridMultilevel"/>
    <w:lvl w:ilvl="0">
      <w:lvlJc w:val="left"/>
      <w:lvlText w:val="%1."/>
      <w:numFmt w:val="lowerLetter"/>
      <w:start w:val="4"/>
    </w:lvl>
    <w:lvl w:ilvl="1">
      <w:lvlJc w:val="left"/>
      <w:lvlText w:val="%2."/>
      <w:numFmt w:val="lowerRoman"/>
      <w:start w:val="1"/>
    </w:lvl>
  </w:abstractNum>
  <w:abstractNum w:abstractNumId="132">
    <w:nsid w:val="368DB37E"/>
    <w:multiLevelType w:val="hybridMultilevel"/>
    <w:lvl w:ilvl="0">
      <w:lvlJc w:val="left"/>
      <w:lvlText w:val="%1."/>
      <w:numFmt w:val="lowerLetter"/>
      <w:start w:val="7"/>
    </w:lvl>
  </w:abstractNum>
  <w:abstractNum w:abstractNumId="133">
    <w:nsid w:val="6A3B714C"/>
    <w:multiLevelType w:val="hybridMultilevel"/>
    <w:lvl w:ilvl="0">
      <w:lvlJc w:val="left"/>
      <w:lvlText w:val="%1."/>
      <w:numFmt w:val="decimal"/>
      <w:start w:val="5"/>
    </w:lvl>
  </w:abstractNum>
  <w:abstractNum w:abstractNumId="134">
    <w:nsid w:val="327B517E"/>
    <w:multiLevelType w:val="hybridMultilevel"/>
    <w:lvl w:ilvl="0">
      <w:lvlJc w:val="left"/>
      <w:lvlText w:val="(%1)"/>
      <w:numFmt w:val="decimal"/>
      <w:start w:val="1"/>
    </w:lvl>
  </w:abstractNum>
  <w:abstractNum w:abstractNumId="135">
    <w:nsid w:val="1F461B51"/>
    <w:multiLevelType w:val="hybridMultilevel"/>
    <w:lvl w:ilvl="0">
      <w:lvlJc w:val="left"/>
      <w:lvlText w:val="(%1)"/>
      <w:numFmt w:val="upperLetter"/>
      <w:start w:val="1"/>
    </w:lvl>
  </w:abstractNum>
  <w:abstractNum w:abstractNumId="136">
    <w:nsid w:val="29BACF25"/>
    <w:multiLevelType w:val="hybridMultilevel"/>
    <w:lvl w:ilvl="0">
      <w:lvlJc w:val="left"/>
      <w:lvlText w:val="%1."/>
      <w:numFmt w:val="decimal"/>
      <w:start w:val="1"/>
    </w:lvl>
  </w:abstractNum>
  <w:abstractNum w:abstractNumId="137">
    <w:nsid w:val="5D5BABB3"/>
    <w:multiLevelType w:val="hybridMultilevel"/>
    <w:lvl w:ilvl="0">
      <w:lvlJc w:val="left"/>
      <w:lvlText w:val="(%1)"/>
      <w:numFmt w:val="lowerLetter"/>
      <w:start w:val="1"/>
    </w:lvl>
  </w:abstractNum>
  <w:abstractNum w:abstractNumId="138">
    <w:nsid w:val="51BF6B48"/>
    <w:multiLevelType w:val="hybridMultilevel"/>
    <w:lvl w:ilvl="0">
      <w:lvlJc w:val="left"/>
      <w:lvlText w:val="%1."/>
      <w:numFmt w:val="decimal"/>
      <w:start w:val="2"/>
    </w:lvl>
  </w:abstractNum>
  <w:abstractNum w:abstractNumId="139">
    <w:nsid w:val="7E0F6384"/>
    <w:multiLevelType w:val="hybridMultilevel"/>
    <w:lvl w:ilvl="0">
      <w:lvlJc w:val="left"/>
      <w:lvlText w:val="%1."/>
      <w:numFmt w:val="decimal"/>
      <w:start w:val="4"/>
    </w:lvl>
  </w:abstractNum>
  <w:abstractNum w:abstractNumId="140">
    <w:nsid w:val="2B4B8B53"/>
    <w:multiLevelType w:val="hybridMultilevel"/>
    <w:lvl w:ilvl="0">
      <w:lvlJc w:val="left"/>
      <w:lvlText w:val="%1."/>
      <w:numFmt w:val="decimal"/>
      <w:start w:val="6"/>
    </w:lvl>
  </w:abstractNum>
  <w:abstractNum w:abstractNumId="141">
    <w:nsid w:val="72E3413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2">
    <w:nsid w:val="116AE494"/>
    <w:multiLevelType w:val="hybridMultilevel"/>
    <w:lvl w:ilvl="0">
      <w:lvlJc w:val="left"/>
      <w:lvlText w:val="%1."/>
      <w:numFmt w:val="upperLetter"/>
      <w:start w:val="9"/>
    </w:lvl>
  </w:abstractNum>
  <w:abstractNum w:abstractNumId="143">
    <w:nsid w:val="3494B2FB"/>
    <w:multiLevelType w:val="hybridMultilevel"/>
    <w:lvl w:ilvl="0">
      <w:lvlJc w:val="left"/>
      <w:lvlText w:val="(%1)"/>
      <w:numFmt w:val="lowerLetter"/>
      <w:start w:val="1"/>
    </w:lvl>
  </w:abstractNum>
  <w:abstractNum w:abstractNumId="144">
    <w:nsid w:val="B13A31"/>
    <w:multiLevelType w:val="hybridMultilevel"/>
    <w:lvl w:ilvl="0">
      <w:lvlJc w:val="left"/>
      <w:lvlText w:val="(%1)"/>
      <w:numFmt w:val="lowerLetter"/>
      <w:start w:val="1"/>
    </w:lvl>
  </w:abstractNum>
  <w:abstractNum w:abstractNumId="145">
    <w:nsid w:val="64429599"/>
    <w:multiLevelType w:val="hybridMultilevel"/>
    <w:lvl w:ilvl="0">
      <w:lvlJc w:val="left"/>
      <w:lvlText w:val="(%1)"/>
      <w:numFmt w:val="lowerLetter"/>
      <w:start w:val="1"/>
    </w:lvl>
  </w:abstractNum>
  <w:abstractNum w:abstractNumId="146">
    <w:nsid w:val="631F1690"/>
    <w:multiLevelType w:val="hybridMultilevel"/>
    <w:lvl w:ilvl="0">
      <w:lvlJc w:val="left"/>
      <w:lvlText w:val="(%1)"/>
      <w:numFmt w:val="lowerLetter"/>
      <w:start w:val="1"/>
    </w:lvl>
  </w:abstractNum>
  <w:abstractNum w:abstractNumId="147">
    <w:nsid w:val="25973E32"/>
    <w:multiLevelType w:val="hybridMultilevel"/>
    <w:lvl w:ilvl="0">
      <w:lvlJc w:val="left"/>
      <w:lvlText w:val="(%1)"/>
      <w:numFmt w:val="lowerLetter"/>
      <w:start w:val="1"/>
    </w:lvl>
    <w:lvl w:ilvl="1">
      <w:lvlJc w:val="left"/>
      <w:lvlText w:val="(%2)"/>
      <w:numFmt w:val="lowerRoman"/>
      <w:start w:val="1"/>
    </w:lvl>
  </w:abstractNum>
  <w:abstractNum w:abstractNumId="148">
    <w:nsid w:val="EAD6F57"/>
    <w:multiLevelType w:val="hybridMultilevel"/>
    <w:lvl w:ilvl="0">
      <w:lvlJc w:val="left"/>
      <w:lvlText w:val="(%1)"/>
      <w:numFmt w:val="lowerLetter"/>
      <w:start w:val="1"/>
    </w:lvl>
  </w:abstractNum>
  <w:abstractNum w:abstractNumId="149">
    <w:nsid w:val="6EC9D844"/>
    <w:multiLevelType w:val="hybridMultilevel"/>
    <w:lvl w:ilvl="0">
      <w:lvlJc w:val="left"/>
      <w:lvlText w:val="(%1)"/>
      <w:numFmt w:val="lowerLetter"/>
      <w:start w:val="1"/>
    </w:lvl>
  </w:abstractNum>
  <w:abstractNum w:abstractNumId="150">
    <w:nsid w:val="5C49EAEE"/>
    <w:multiLevelType w:val="hybridMultilevel"/>
    <w:lvl w:ilvl="0">
      <w:lvlJc w:val="left"/>
      <w:lvlText w:val="(%1)"/>
      <w:numFmt w:val="lowerLetter"/>
      <w:start w:val="1"/>
    </w:lvl>
  </w:abstractNum>
  <w:abstractNum w:abstractNumId="151">
    <w:nsid w:val="64AF49B"/>
    <w:multiLevelType w:val="hybridMultilevel"/>
    <w:lvl w:ilvl="0">
      <w:lvlJc w:val="left"/>
      <w:lvlText w:val="(%1)"/>
      <w:numFmt w:val="lowerLetter"/>
      <w:start w:val="1"/>
    </w:lvl>
  </w:abstractNum>
  <w:abstractNum w:abstractNumId="152">
    <w:nsid w:val="397C46BC"/>
    <w:multiLevelType w:val="hybridMultilevel"/>
    <w:lvl w:ilvl="0">
      <w:lvlJc w:val="left"/>
      <w:lvlText w:val="(%1)"/>
      <w:numFmt w:val="lowerLetter"/>
      <w:start w:val="1"/>
    </w:lvl>
  </w:abstractNum>
  <w:abstractNum w:abstractNumId="153">
    <w:nsid w:val="7E448DE9"/>
    <w:multiLevelType w:val="hybridMultilevel"/>
    <w:lvl w:ilvl="0">
      <w:lvlJc w:val="left"/>
      <w:lvlText w:val="(%1)"/>
      <w:numFmt w:val="lowerLetter"/>
      <w:start w:val="1"/>
    </w:lvl>
  </w:abstractNum>
  <w:abstractNum w:abstractNumId="154">
    <w:nsid w:val="5A9CC3E5"/>
    <w:multiLevelType w:val="hybridMultilevel"/>
    <w:lvl w:ilvl="0">
      <w:lvlJc w:val="left"/>
      <w:lvlText w:val="(%1)"/>
      <w:numFmt w:val="lowerLetter"/>
      <w:start w:val="1"/>
    </w:lvl>
  </w:abstractNum>
  <w:abstractNum w:abstractNumId="155">
    <w:nsid w:val="1AFE3625"/>
    <w:multiLevelType w:val="hybridMultilevel"/>
    <w:lvl w:ilvl="0">
      <w:lvlJc w:val="left"/>
      <w:lvlText w:val="(%1)"/>
      <w:numFmt w:val="lowerLetter"/>
      <w:start w:val="1"/>
    </w:lvl>
  </w:abstractNum>
  <w:abstractNum w:abstractNumId="156">
    <w:nsid w:val="3CA88ECF"/>
    <w:multiLevelType w:val="hybridMultilevel"/>
    <w:lvl w:ilvl="0">
      <w:lvlJc w:val="left"/>
      <w:lvlText w:val="(%1)"/>
      <w:numFmt w:val="lowerLetter"/>
      <w:start w:val="1"/>
    </w:lvl>
  </w:abstractNum>
  <w:abstractNum w:abstractNumId="157">
    <w:nsid w:val="6EBE4208"/>
    <w:multiLevelType w:val="hybridMultilevel"/>
    <w:lvl w:ilvl="0">
      <w:lvlJc w:val="left"/>
      <w:lvlText w:val="(%1)"/>
      <w:numFmt w:val="lowerLetter"/>
      <w:start w:val="1"/>
    </w:lvl>
  </w:abstractNum>
  <w:abstractNum w:abstractNumId="158">
    <w:nsid w:val="C058DF5"/>
    <w:multiLevelType w:val="hybridMultilevel"/>
    <w:lvl w:ilvl="0">
      <w:lvlJc w:val="left"/>
      <w:lvlText w:val="%1."/>
      <w:numFmt w:val="upperLetter"/>
      <w:start w:val="35"/>
    </w:lvl>
  </w:abstractNum>
  <w:abstractNum w:abstractNumId="159">
    <w:nsid w:val="CBE5BE9"/>
    <w:multiLevelType w:val="hybridMultilevel"/>
    <w:lvl w:ilvl="0">
      <w:lvlJc w:val="left"/>
      <w:lvlText w:val="(%1)"/>
      <w:numFmt w:val="lowerRoman"/>
      <w:start w:val="1"/>
    </w:lvl>
  </w:abstractNum>
  <w:abstractNum w:abstractNumId="160">
    <w:nsid w:val="3102BBE2"/>
    <w:multiLevelType w:val="hybridMultilevel"/>
    <w:lvl w:ilvl="0">
      <w:lvlJc w:val="left"/>
      <w:lvlText w:val="%1"/>
      <w:numFmt w:val="upperLetter"/>
      <w:start w:val="1"/>
    </w:lvl>
    <w:lvl w:ilvl="1">
      <w:lvlJc w:val="left"/>
      <w:lvlText w:val="(%2)"/>
      <w:numFmt w:val="lowerLetter"/>
      <w:start w:val="19"/>
    </w:lvl>
  </w:abstractNum>
  <w:abstractNum w:abstractNumId="161">
    <w:nsid w:val="26A02C5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2">
    <w:nsid w:val="541C8153"/>
    <w:multiLevelType w:val="hybridMultilevel"/>
    <w:lvl w:ilvl="0">
      <w:lvlJc w:val="left"/>
      <w:lvlText w:val="(%1)"/>
      <w:numFmt w:val="lowerLetter"/>
      <w:start w:val="2"/>
    </w:lvl>
    <w:lvl w:ilvl="1">
      <w:lvlJc w:val="left"/>
      <w:lvlText w:val="(%2)"/>
      <w:numFmt w:val="lowerRoman"/>
      <w:start w:val="1"/>
    </w:lvl>
  </w:abstractNum>
  <w:abstractNum w:abstractNumId="163">
    <w:nsid w:val="67906F60"/>
    <w:multiLevelType w:val="hybridMultilevel"/>
    <w:lvl w:ilvl="0">
      <w:lvlJc w:val="left"/>
      <w:lvlText w:val="(%1)"/>
      <w:numFmt w:val="lowerLetter"/>
      <w:start w:val="1"/>
    </w:lvl>
  </w:abstractNum>
  <w:abstractNum w:abstractNumId="164">
    <w:nsid w:val="10DB9DAA"/>
    <w:multiLevelType w:val="hybridMultilevel"/>
    <w:lvl w:ilvl="0">
      <w:lvlJc w:val="left"/>
      <w:lvlText w:val="(%1)"/>
      <w:numFmt w:val="lowerRoman"/>
      <w:start w:val="1"/>
    </w:lvl>
  </w:abstractNum>
  <w:abstractNum w:abstractNumId="165">
    <w:nsid w:val="697D2D2"/>
    <w:multiLevelType w:val="hybridMultilevel"/>
    <w:lvl w:ilvl="0">
      <w:lvlJc w:val="left"/>
      <w:lvlText w:val="(%1)"/>
      <w:numFmt w:val="lowerLetter"/>
      <w:start w:val="2"/>
    </w:lvl>
    <w:lvl w:ilvl="1">
      <w:lvlJc w:val="left"/>
      <w:lvlText w:val="(%2)"/>
      <w:numFmt w:val="lowerRoman"/>
      <w:start w:val="1"/>
    </w:lvl>
  </w:abstractNum>
  <w:abstractNum w:abstractNumId="166">
    <w:nsid w:val="6D68AB2"/>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67">
    <w:nsid w:val="3A966CD0"/>
    <w:multiLevelType w:val="hybridMultilevel"/>
    <w:lvl w:ilvl="0">
      <w:lvlJc w:val="left"/>
      <w:lvlText w:val="(%1)"/>
      <w:numFmt w:val="lowerLetter"/>
      <w:start w:val="1"/>
    </w:lvl>
  </w:abstractNum>
  <w:abstractNum w:abstractNumId="168">
    <w:nsid w:val="63F37E85"/>
    <w:multiLevelType w:val="hybridMultilevel"/>
    <w:lvl w:ilvl="0">
      <w:lvlJc w:val="left"/>
      <w:lvlText w:val="(%1)"/>
      <w:numFmt w:val="lowerLetter"/>
      <w:start w:val="1"/>
    </w:lvl>
  </w:abstractNum>
  <w:abstractNum w:abstractNumId="169">
    <w:nsid w:val="5895F5FA"/>
    <w:multiLevelType w:val="hybridMultilevel"/>
    <w:lvl w:ilvl="0">
      <w:lvlJc w:val="left"/>
      <w:lvlText w:val="(%1)"/>
      <w:numFmt w:val="lowerLetter"/>
      <w:start w:val="1"/>
    </w:lvl>
  </w:abstractNum>
  <w:abstractNum w:abstractNumId="170">
    <w:nsid w:val="38A5D05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1">
    <w:nsid w:val="F3F09D8"/>
    <w:multiLevelType w:val="hybridMultilevel"/>
    <w:lvl w:ilvl="0">
      <w:lvlJc w:val="left"/>
      <w:lvlText w:val="%1"/>
      <w:numFmt w:val="upperLetter"/>
      <w:start w:val="1"/>
    </w:lvl>
    <w:lvl w:ilvl="1">
      <w:lvlJc w:val="left"/>
      <w:lvlText w:val="(%2)"/>
      <w:numFmt w:val="lowerLetter"/>
      <w:start w:val="1"/>
    </w:lvl>
  </w:abstractNum>
  <w:abstractNum w:abstractNumId="172">
    <w:nsid w:val="4B793735"/>
    <w:multiLevelType w:val="hybridMultilevel"/>
    <w:lvl w:ilvl="0">
      <w:lvlJc w:val="left"/>
      <w:lvlText w:val="%1."/>
      <w:numFmt w:val="upperLetter"/>
      <w:start w:val="35"/>
    </w:lvl>
    <w:lvl w:ilvl="1">
      <w:lvlJc w:val="left"/>
      <w:lvlText w:val="%2"/>
      <w:numFmt w:val="lowerLetter"/>
      <w:start w:val="1"/>
    </w:lvl>
  </w:abstractNum>
  <w:abstractNum w:abstractNumId="173">
    <w:nsid w:val="4A10B4E8"/>
    <w:multiLevelType w:val="hybridMultilevel"/>
    <w:lvl w:ilvl="0">
      <w:lvlJc w:val="left"/>
      <w:lvlText w:val="(%1)"/>
      <w:numFmt w:val="lowerLetter"/>
      <w:start w:val="1"/>
    </w:lvl>
  </w:abstractNum>
  <w:abstractNum w:abstractNumId="174">
    <w:nsid w:val="43D3BCD4"/>
    <w:multiLevelType w:val="hybridMultilevel"/>
    <w:lvl w:ilvl="0">
      <w:lvlJc w:val="left"/>
      <w:lvlText w:val="(%1)"/>
      <w:numFmt w:val="lowerRoman"/>
      <w:start w:val="1"/>
    </w:lvl>
    <w:lvl w:ilvl="1">
      <w:lvlJc w:val="left"/>
      <w:lvlText w:val="(%2)"/>
      <w:numFmt w:val="upperLetter"/>
      <w:start w:val="1"/>
    </w:lvl>
  </w:abstractNum>
  <w:abstractNum w:abstractNumId="175">
    <w:nsid w:val="4C2A7166"/>
    <w:multiLevelType w:val="hybridMultilevel"/>
    <w:lvl w:ilvl="0">
      <w:lvlJc w:val="left"/>
      <w:lvlText w:val="(%1)"/>
      <w:numFmt w:val="lowerLetter"/>
      <w:start w:val="2"/>
    </w:lvl>
  </w:abstractNum>
  <w:abstractNum w:abstractNumId="176">
    <w:nsid w:val="2E534A82"/>
    <w:multiLevelType w:val="hybridMultilevel"/>
    <w:lvl w:ilvl="0">
      <w:lvlJc w:val="left"/>
      <w:lvlText w:val="(%1)"/>
      <w:numFmt w:val="lowerLetter"/>
      <w:start w:val="1"/>
    </w:lvl>
  </w:abstractNum>
  <w:abstractNum w:abstractNumId="177">
    <w:nsid w:val="26F2D364"/>
    <w:multiLevelType w:val="hybridMultilevel"/>
    <w:lvl w:ilvl="0">
      <w:lvlJc w:val="left"/>
      <w:lvlText w:val="(%1)"/>
      <w:numFmt w:val="lowerLetter"/>
      <w:start w:val="1"/>
    </w:lvl>
    <w:lvl w:ilvl="1">
      <w:lvlJc w:val="left"/>
      <w:lvlText w:val="(%2)"/>
      <w:numFmt w:val="lowerRoman"/>
      <w:start w:val="1"/>
    </w:lvl>
  </w:abstractNum>
  <w:abstractNum w:abstractNumId="178">
    <w:nsid w:val="71C1AF98"/>
    <w:multiLevelType w:val="hybridMultilevel"/>
    <w:lvl w:ilvl="0">
      <w:lvlJc w:val="left"/>
      <w:lvlText w:val="%1"/>
      <w:numFmt w:val="upperLetter"/>
      <w:start w:val="1"/>
    </w:lvl>
    <w:lvl w:ilvl="1">
      <w:lvlJc w:val="left"/>
      <w:lvlText w:val="(%2)"/>
      <w:numFmt w:val="lowerLetter"/>
      <w:start w:val="3"/>
    </w:lvl>
  </w:abstractNum>
  <w:abstractNum w:abstractNumId="179">
    <w:nsid w:val="3D00B9D9"/>
    <w:multiLevelType w:val="hybridMultilevel"/>
    <w:lvl w:ilvl="0">
      <w:lvlJc w:val="left"/>
      <w:lvlText w:val="%1."/>
      <w:numFmt w:val="decimal"/>
      <w:start w:val="1"/>
    </w:lvl>
  </w:abstractNum>
  <w:abstractNum w:abstractNumId="180">
    <w:nsid w:val="15BCABA8"/>
    <w:multiLevelType w:val="hybridMultilevel"/>
    <w:lvl w:ilvl="0">
      <w:lvlJc w:val="left"/>
      <w:lvlText w:val="(%1)"/>
      <w:numFmt w:val="lowerLetter"/>
      <w:start w:val="1"/>
    </w:lvl>
  </w:abstractNum>
  <w:abstractNum w:abstractNumId="181">
    <w:nsid w:val="4E0B9A87"/>
    <w:multiLevelType w:val="hybridMultilevel"/>
    <w:lvl w:ilvl="0">
      <w:lvlJc w:val="left"/>
      <w:lvlText w:val="(%1)"/>
      <w:numFmt w:val="lowerLetter"/>
      <w:start w:val="2"/>
    </w:lvl>
  </w:abstractNum>
  <w:abstractNum w:abstractNumId="182">
    <w:nsid w:val="434BAE75"/>
    <w:multiLevelType w:val="hybridMultilevel"/>
    <w:lvl w:ilvl="0">
      <w:lvlJc w:val="left"/>
      <w:lvlText w:val="(%1)"/>
      <w:numFmt w:val="lowerRoman"/>
      <w:start w:val="1"/>
    </w:lvl>
  </w:abstractNum>
  <w:abstractNum w:abstractNumId="183">
    <w:nsid w:val="4F38F265"/>
    <w:multiLevelType w:val="hybridMultilevel"/>
    <w:lvl w:ilvl="0">
      <w:lvlJc w:val="left"/>
      <w:lvlText w:val="(%1)"/>
      <w:numFmt w:val="lowerLetter"/>
      <w:start w:val="5"/>
    </w:lvl>
  </w:abstractNum>
  <w:abstractNum w:abstractNumId="184">
    <w:nsid w:val="4C502870"/>
    <w:multiLevelType w:val="hybridMultilevel"/>
    <w:lvl w:ilvl="0">
      <w:lvlJc w:val="left"/>
      <w:lvlText w:val="(%1)"/>
      <w:numFmt w:val="lowerRoman"/>
      <w:start w:val="1"/>
    </w:lvl>
  </w:abstractNum>
  <w:abstractNum w:abstractNumId="185">
    <w:nsid w:val="1DE8725A"/>
    <w:multiLevelType w:val="hybridMultilevel"/>
    <w:lvl w:ilvl="0">
      <w:lvlJc w:val="left"/>
      <w:lvlText w:val="(%1)"/>
      <w:numFmt w:val="lowerLetter"/>
      <w:start w:val="6"/>
    </w:lvl>
  </w:abstractNum>
  <w:abstractNum w:abstractNumId="186">
    <w:nsid w:val="6A37288A"/>
    <w:multiLevelType w:val="hybridMultilevel"/>
    <w:lvl w:ilvl="0">
      <w:lvlJc w:val="left"/>
      <w:lvlText w:val="(%1)"/>
      <w:numFmt w:val="lowerLetter"/>
      <w:start w:val="14"/>
    </w:lvl>
  </w:abstractNum>
  <w:abstractNum w:abstractNumId="187">
    <w:nsid w:val="8F8B73F"/>
    <w:multiLevelType w:val="hybridMultilevel"/>
    <w:lvl w:ilvl="0">
      <w:lvlJc w:val="left"/>
      <w:lvlText w:val="%1."/>
      <w:numFmt w:val="decimal"/>
      <w:start w:val="2"/>
    </w:lvl>
  </w:abstractNum>
  <w:abstractNum w:abstractNumId="188">
    <w:nsid w:val="CA6B462"/>
    <w:multiLevelType w:val="hybridMultilevel"/>
    <w:lvl w:ilvl="0">
      <w:lvlJc w:val="left"/>
      <w:lvlText w:val="%1."/>
      <w:numFmt w:val="decimal"/>
      <w:start w:val="3"/>
    </w:lvl>
  </w:abstractNum>
  <w:abstractNum w:abstractNumId="189">
    <w:nsid w:val="763CB680"/>
    <w:multiLevelType w:val="hybridMultilevel"/>
    <w:lvl w:ilvl="0">
      <w:lvlJc w:val="left"/>
      <w:lvlText w:val="%1."/>
      <w:numFmt w:val="decimal"/>
      <w:start w:val="6"/>
    </w:lvl>
  </w:abstractNum>
  <w:abstractNum w:abstractNumId="190">
    <w:nsid w:val="15B71329"/>
    <w:multiLevelType w:val="hybridMultilevel"/>
    <w:lvl w:ilvl="0">
      <w:lvlJc w:val="left"/>
      <w:lvlText w:val="(%1)"/>
      <w:numFmt w:val="lowerLetter"/>
      <w:start w:val="1"/>
    </w:lvl>
  </w:abstractNum>
  <w:abstractNum w:abstractNumId="191">
    <w:nsid w:val="3DA97044"/>
    <w:multiLevelType w:val="hybridMultilevel"/>
    <w:lvl w:ilvl="0">
      <w:lvlJc w:val="left"/>
      <w:lvlText w:val="%1."/>
      <w:numFmt w:val="decimal"/>
      <w:start w:val="8"/>
    </w:lvl>
  </w:abstractNum>
  <w:abstractNum w:abstractNumId="192">
    <w:nsid w:val="1CDCE2DE"/>
    <w:multiLevelType w:val="hybridMultilevel"/>
    <w:lvl w:ilvl="0">
      <w:lvlJc w:val="left"/>
      <w:lvlText w:val="(%1)"/>
      <w:numFmt w:val="lowerLetter"/>
      <w:start w:val="1"/>
    </w:lvl>
  </w:abstractNum>
  <w:abstractNum w:abstractNumId="193">
    <w:nsid w:val="69D3947C"/>
    <w:multiLevelType w:val="hybridMultilevel"/>
    <w:lvl w:ilvl="0">
      <w:lvlJc w:val="left"/>
      <w:lvlText w:val="(%1)"/>
      <w:numFmt w:val="lowerRoman"/>
      <w:start w:val="1"/>
    </w:lvl>
  </w:abstractNum>
  <w:abstractNum w:abstractNumId="194">
    <w:nsid w:val="2539DFA5"/>
    <w:multiLevelType w:val="hybridMultilevel"/>
    <w:lvl w:ilvl="0">
      <w:lvlJc w:val="left"/>
      <w:lvlText w:val="(%1)"/>
      <w:numFmt w:val="lowerLetter"/>
      <w:start w:val="2"/>
    </w:lvl>
  </w:abstractNum>
  <w:abstractNum w:abstractNumId="195">
    <w:nsid w:val="2DB88089"/>
    <w:multiLevelType w:val="hybridMultilevel"/>
    <w:lvl w:ilvl="0">
      <w:lvlJc w:val="left"/>
      <w:lvlText w:val="(%1)"/>
      <w:numFmt w:val="lowerRoman"/>
      <w:start w:val="1"/>
    </w:lvl>
  </w:abstractNum>
  <w:abstractNum w:abstractNumId="196">
    <w:nsid w:val="706B674E"/>
    <w:multiLevelType w:val="hybridMultilevel"/>
    <w:lvl w:ilvl="0">
      <w:lvlJc w:val="left"/>
      <w:lvlText w:val="%1"/>
      <w:numFmt w:val="lowerRoman"/>
      <w:start w:val="1"/>
    </w:lvl>
    <w:lvl w:ilvl="1">
      <w:lvlJc w:val="left"/>
      <w:lvlText w:val="(%2)"/>
      <w:numFmt w:val="upperLetter"/>
      <w:start w:val="3"/>
    </w:lvl>
  </w:abstractNum>
  <w:abstractNum w:abstractNumId="197">
    <w:nsid w:val="2C106A57"/>
    <w:multiLevelType w:val="hybridMultilevel"/>
    <w:lvl w:ilvl="0">
      <w:lvlJc w:val="left"/>
      <w:lvlText w:val="(%1)"/>
      <w:numFmt w:val="lowerRoman"/>
      <w:start w:val="2"/>
    </w:lvl>
    <w:lvl w:ilvl="1">
      <w:lvlJc w:val="left"/>
      <w:lvlText w:val="%2"/>
      <w:numFmt w:val="upperLetter"/>
      <w:start w:val="1"/>
    </w:lvl>
  </w:abstractNum>
  <w:abstractNum w:abstractNumId="198">
    <w:nsid w:val="684EED59"/>
    <w:multiLevelType w:val="hybridMultilevel"/>
    <w:lvl w:ilvl="0">
      <w:lvlJc w:val="left"/>
      <w:lvlText w:val="(%1)"/>
      <w:numFmt w:val="lowerLetter"/>
      <w:start w:val="3"/>
    </w:lvl>
  </w:abstractNum>
  <w:abstractNum w:abstractNumId="199">
    <w:nsid w:val="545EE5D3"/>
    <w:multiLevelType w:val="hybridMultilevel"/>
    <w:lvl w:ilvl="0">
      <w:lvlJc w:val="left"/>
      <w:lvlText w:val="(%1)"/>
      <w:numFmt w:val="lowerRoman"/>
      <w:start w:val="1"/>
    </w:lvl>
  </w:abstractNum>
  <w:abstractNum w:abstractNumId="200">
    <w:nsid w:val="4A66051"/>
    <w:multiLevelType w:val="hybridMultilevel"/>
    <w:lvl w:ilvl="0">
      <w:lvlJc w:val="left"/>
      <w:lvlText w:val="(%1)"/>
      <w:numFmt w:val="lowerLetter"/>
      <w:start w:val="5"/>
    </w:lvl>
    <w:lvl w:ilvl="1">
      <w:lvlJc w:val="left"/>
      <w:lvlText w:val="(%2)"/>
      <w:numFmt w:val="decimal"/>
      <w:start w:val="20"/>
    </w:lvl>
  </w:abstractNum>
  <w:abstractNum w:abstractNumId="201">
    <w:nsid w:val="20F4BDAD"/>
    <w:multiLevelType w:val="hybridMultilevel"/>
    <w:lvl w:ilvl="0">
      <w:lvlJc w:val="left"/>
      <w:lvlText w:val="(%1)"/>
      <w:numFmt w:val="lowerRoman"/>
      <w:start w:val="1"/>
    </w:lvl>
  </w:abstractNum>
  <w:abstractNum w:abstractNumId="202">
    <w:nsid w:val="639DEFAC"/>
    <w:multiLevelType w:val="hybridMultilevel"/>
    <w:lvl w:ilvl="0">
      <w:lvlJc w:val="left"/>
      <w:lvlText w:val="(%1)"/>
      <w:numFmt w:val="lowerRoman"/>
      <w:start w:val="2"/>
    </w:lvl>
  </w:abstractNum>
  <w:abstractNum w:abstractNumId="203">
    <w:nsid w:val="501F9786"/>
    <w:multiLevelType w:val="hybridMultilevel"/>
    <w:lvl w:ilvl="0">
      <w:lvlJc w:val="left"/>
      <w:lvlText w:val="%1."/>
      <w:numFmt w:val="decimal"/>
      <w:start w:val="10"/>
    </w:lvl>
  </w:abstractNum>
  <w:abstractNum w:abstractNumId="204">
    <w:nsid w:val="6B057295"/>
    <w:multiLevelType w:val="hybridMultilevel"/>
    <w:lvl w:ilvl="0">
      <w:lvlJc w:val="left"/>
      <w:lvlText w:val="(%1)"/>
      <w:numFmt w:val="lowerLetter"/>
      <w:start w:val="1"/>
    </w:lvl>
  </w:abstractNum>
  <w:abstractNum w:abstractNumId="205">
    <w:nsid w:val="2771AC80"/>
    <w:multiLevelType w:val="hybridMultilevel"/>
    <w:lvl w:ilvl="0">
      <w:lvlJc w:val="left"/>
      <w:lvlText w:val="(%1)"/>
      <w:numFmt w:val="lowerRoman"/>
      <w:start w:val="1"/>
    </w:lvl>
  </w:abstractNum>
  <w:abstractNum w:abstractNumId="206">
    <w:nsid w:val="1C4A08EC"/>
    <w:multiLevelType w:val="hybridMultilevel"/>
    <w:lvl w:ilvl="0">
      <w:lvlJc w:val="left"/>
      <w:lvlText w:val="(%1)"/>
      <w:numFmt w:val="lowerLetter"/>
      <w:start w:val="2"/>
    </w:lvl>
  </w:abstractNum>
  <w:abstractNum w:abstractNumId="207">
    <w:nsid w:val="1958BD17"/>
    <w:multiLevelType w:val="hybridMultilevel"/>
    <w:lvl w:ilvl="0">
      <w:lvlJc w:val="left"/>
      <w:lvlText w:val="(%1)"/>
      <w:numFmt w:val="lowerLetter"/>
      <w:start w:val="4"/>
    </w:lvl>
  </w:abstractNum>
  <w:abstractNum w:abstractNumId="208">
    <w:nsid w:val="4E647FE4"/>
    <w:multiLevelType w:val="hybridMultilevel"/>
    <w:lvl w:ilvl="0">
      <w:lvlJc w:val="left"/>
      <w:lvlText w:val="%1."/>
      <w:numFmt w:val="decimal"/>
      <w:start w:val="11"/>
    </w:lvl>
  </w:abstractNum>
  <w:abstractNum w:abstractNumId="209">
    <w:nsid w:val="E0BB885"/>
    <w:multiLevelType w:val="hybridMultilevel"/>
    <w:lvl w:ilvl="0">
      <w:lvlJc w:val="left"/>
      <w:lvlText w:val="%1."/>
      <w:numFmt w:val="decimal"/>
      <w:start w:val="15"/>
    </w:lvl>
  </w:abstractNum>
  <w:abstractNum w:abstractNumId="210">
    <w:nsid w:val="565976F1"/>
    <w:multiLevelType w:val="hybridMultilevel"/>
    <w:lvl w:ilvl="0">
      <w:lvlJc w:val="left"/>
      <w:lvlText w:val="%1."/>
      <w:numFmt w:val="decimal"/>
      <w:start w:val="20"/>
    </w:lvl>
  </w:abstractNum>
  <w:abstractNum w:abstractNumId="211">
    <w:nsid w:val="64212B8C"/>
    <w:multiLevelType w:val="hybridMultilevel"/>
    <w:lvl w:ilvl="0">
      <w:lvlJc w:val="left"/>
      <w:lvlText w:val="(%1)"/>
      <w:numFmt w:val="lowerLetter"/>
      <w:start w:val="1"/>
    </w:lvl>
  </w:abstractNum>
  <w:abstractNum w:abstractNumId="212">
    <w:nsid w:val="5C17530C"/>
    <w:multiLevelType w:val="hybridMultilevel"/>
    <w:lvl w:ilvl="0">
      <w:lvlJc w:val="left"/>
      <w:lvlText w:val="%1."/>
      <w:numFmt w:val="decimal"/>
      <w:start w:val="22"/>
    </w:lvl>
  </w:abstractNum>
  <w:abstractNum w:abstractNumId="213">
    <w:nsid w:val="19A52566"/>
    <w:multiLevelType w:val="hybridMultilevel"/>
    <w:lvl w:ilvl="0">
      <w:lvlJc w:val="left"/>
      <w:lvlText w:val="%1."/>
      <w:numFmt w:val="decimal"/>
      <w:start w:val="23"/>
    </w:lvl>
  </w:abstractNum>
  <w:abstractNum w:abstractNumId="214">
    <w:nsid w:val="335A1DF1"/>
    <w:multiLevelType w:val="hybridMultilevel"/>
    <w:lvl w:ilvl="0">
      <w:lvlJc w:val="left"/>
      <w:lvlText w:val="(%1)"/>
      <w:numFmt w:val="lowerLetter"/>
      <w:start w:val="1"/>
    </w:lvl>
  </w:abstractNum>
  <w:abstractNum w:abstractNumId="215">
    <w:nsid w:val="28677B7C"/>
    <w:multiLevelType w:val="hybridMultilevel"/>
    <w:lvl w:ilvl="0">
      <w:lvlJc w:val="left"/>
      <w:lvlText w:val="%1."/>
      <w:numFmt w:val="decimal"/>
      <w:start w:val="1"/>
    </w:lvl>
    <w:lvl w:ilvl="1">
      <w:lvlJc w:val="left"/>
      <w:lvlText w:val="(%2)"/>
      <w:numFmt w:val="lowerLetter"/>
      <w:start w:val="1"/>
    </w:lvl>
  </w:abstractNum>
  <w:abstractNum w:abstractNumId="216">
    <w:nsid w:val="378D97C0"/>
    <w:multiLevelType w:val="hybridMultilevel"/>
    <w:lvl w:ilvl="0">
      <w:lvlJc w:val="left"/>
      <w:lvlText w:val="%1."/>
      <w:numFmt w:val="decimal"/>
      <w:start w:val="5"/>
    </w:lvl>
    <w:lvl w:ilvl="1">
      <w:lvlJc w:val="left"/>
      <w:lvlText w:val="(%2)"/>
      <w:numFmt w:val="lowerLetter"/>
      <w:start w:val="1"/>
    </w:lvl>
  </w:abstractNum>
  <w:abstractNum w:abstractNumId="217">
    <w:nsid w:val="1D91467C"/>
    <w:multiLevelType w:val="hybridMultilevel"/>
    <w:lvl w:ilvl="0">
      <w:lvlJc w:val="left"/>
      <w:lvlText w:val="%1."/>
      <w:numFmt w:val="decimal"/>
      <w:start w:val="1"/>
    </w:lvl>
    <w:lvl w:ilvl="1">
      <w:lvlJc w:val="left"/>
      <w:lvlText w:val="(%2)"/>
      <w:numFmt w:val="lowerLetter"/>
      <w:start w:val="1"/>
    </w:lvl>
  </w:abstractNum>
  <w:abstractNum w:abstractNumId="218">
    <w:nsid w:val="316032BB"/>
    <w:multiLevelType w:val="hybridMultilevel"/>
    <w:lvl w:ilvl="0">
      <w:lvlJc w:val="left"/>
      <w:lvlText w:val="%1."/>
      <w:numFmt w:val="decimal"/>
      <w:start w:val="5"/>
    </w:lvl>
    <w:lvl w:ilvl="1">
      <w:lvlJc w:val="left"/>
      <w:lvlText w:val="(%2)"/>
      <w:numFmt w:val="lowerLetter"/>
      <w:start w:val="1"/>
    </w:lvl>
  </w:abstractNum>
  <w:abstractNum w:abstractNumId="219">
    <w:nsid w:val="44344C22"/>
    <w:multiLevelType w:val="hybridMultilevel"/>
    <w:lvl w:ilvl="0">
      <w:lvlJc w:val="left"/>
      <w:lvlText w:val="%1."/>
      <w:numFmt w:val="decimal"/>
      <w:start w:val="1"/>
    </w:lvl>
  </w:abstractNum>
  <w:abstractNum w:abstractNumId="220">
    <w:nsid w:val="13CDFCFC"/>
    <w:multiLevelType w:val="hybridMultilevel"/>
    <w:lvl w:ilvl="0">
      <w:lvlJc w:val="left"/>
      <w:lvlText w:val="(%1)"/>
      <w:numFmt w:val="lowerLetter"/>
      <w:start w:val="1"/>
    </w:lvl>
  </w:abstractNum>
  <w:abstractNum w:abstractNumId="221">
    <w:nsid w:val="471745E4"/>
    <w:multiLevelType w:val="hybridMultilevel"/>
    <w:lvl w:ilvl="0">
      <w:lvlJc w:val="left"/>
      <w:lvlText w:val="(%1)"/>
      <w:numFmt w:val="lowerLetter"/>
      <w:start w:val="1"/>
    </w:lvl>
  </w:abstractNum>
  <w:abstractNum w:abstractNumId="222">
    <w:nsid w:val="1DDBC66"/>
    <w:multiLevelType w:val="hybridMultilevel"/>
    <w:lvl w:ilvl="0">
      <w:lvlJc w:val="left"/>
      <w:lvlText w:val="(%1)"/>
      <w:numFmt w:val="lowerLetter"/>
      <w:start w:val="1"/>
    </w:lvl>
  </w:abstractNum>
  <w:abstractNum w:abstractNumId="223">
    <w:nsid w:val="30AADFDA"/>
    <w:multiLevelType w:val="hybridMultilevel"/>
    <w:lvl w:ilvl="0">
      <w:lvlJc w:val="left"/>
      <w:lvlText w:val="(%1)"/>
      <w:numFmt w:val="lowerLetter"/>
      <w:start w:val="1"/>
    </w:lvl>
  </w:abstractNum>
  <w:abstractNum w:abstractNumId="224">
    <w:nsid w:val="30EADA61"/>
    <w:multiLevelType w:val="hybridMultilevel"/>
    <w:lvl w:ilvl="0">
      <w:lvlJc w:val="left"/>
      <w:lvlText w:val="(%1)"/>
      <w:numFmt w:val="lowerLetter"/>
      <w:start w:val="2"/>
    </w:lvl>
  </w:abstractNum>
  <w:abstractNum w:abstractNumId="225">
    <w:nsid w:val="27179C0B"/>
    <w:multiLevelType w:val="hybridMultilevel"/>
    <w:lvl w:ilvl="0">
      <w:lvlJc w:val="left"/>
      <w:lvlText w:val="(%1)"/>
      <w:numFmt w:val="lowerLetter"/>
      <w:start w:val="1"/>
    </w:lvl>
    <w:lvl w:ilvl="1">
      <w:lvlJc w:val="left"/>
      <w:lvlText w:val="(%2)"/>
      <w:numFmt w:val="lowerRoman"/>
      <w:start w:val="1"/>
    </w:lvl>
  </w:abstractNum>
  <w:abstractNum w:abstractNumId="226">
    <w:nsid w:val="5E636063"/>
    <w:multiLevelType w:val="hybridMultilevel"/>
    <w:lvl w:ilvl="0">
      <w:lvlJc w:val="left"/>
      <w:lvlText w:val="(%1)"/>
      <w:numFmt w:val="lowerLetter"/>
      <w:start w:val="3"/>
    </w:lvl>
  </w:abstractNum>
  <w:abstractNum w:abstractNumId="227">
    <w:nsid w:val="215641AF"/>
    <w:multiLevelType w:val="hybridMultilevel"/>
    <w:lvl w:ilvl="0">
      <w:lvlJc w:val="left"/>
      <w:lvlText w:val="(%1)"/>
      <w:numFmt w:val="lowerLetter"/>
      <w:start w:val="1"/>
    </w:lvl>
  </w:abstractNum>
  <w:abstractNum w:abstractNumId="228">
    <w:nsid w:val="5328066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175" Type="http://schemas.openxmlformats.org/officeDocument/2006/relationships/hyperlink" Target="https://www.sec.gov/Archives/edgar/data/0001709048/000119312521316296/d206275dex41.htm" TargetMode="External"/><Relationship Id="rId176" Type="http://schemas.openxmlformats.org/officeDocument/2006/relationships/hyperlink" Target="https://www.sec.gov/Archives/edgar/data/1709048/000170904822000008/ex21.htm" TargetMode="External"/><Relationship Id="rId177" Type="http://schemas.openxmlformats.org/officeDocument/2006/relationships/hyperlink" Target="https://www.sec.gov/Archives/edgar/data/1709048/000170904822000008/ex22.htm" TargetMode="External"/><Relationship Id="rId178" Type="http://schemas.openxmlformats.org/officeDocument/2006/relationships/hyperlink" Target="https://www.sec.gov/Archives/edgar/data/1709048/000170904822000008/ex23.htm" TargetMode="External"/><Relationship Id="rId179" Type="http://schemas.openxmlformats.org/officeDocument/2006/relationships/hyperlink" Target="https://www.sec.gov/Archives/edgar/data/0001709048/000119312521290644/d192411dex107.htm" TargetMode="External"/><Relationship Id="rId180" Type="http://schemas.openxmlformats.org/officeDocument/2006/relationships/hyperlink" Target="https://www.sec.gov/Archives/edgar/data/0001709048/000119312521290644/d192411dex108.htm" TargetMode="External"/><Relationship Id="rId181" Type="http://schemas.openxmlformats.org/officeDocument/2006/relationships/hyperlink" Target="https://www.sec.gov/Archives/edgar/data/0001709048/000119312521290644/d192411dex101.htm" TargetMode="External"/><Relationship Id="rId182" Type="http://schemas.openxmlformats.org/officeDocument/2006/relationships/hyperlink" Target="https://www.sec.gov/Archives/edgar/data/0001709048/000119312521290644/d192411dex109.htm" TargetMode="External"/><Relationship Id="rId183" Type="http://schemas.openxmlformats.org/officeDocument/2006/relationships/hyperlink" Target="https://www.sec.gov/Archives/edgar/data/0001709048/000119312521290644/d192411dex1010.htm" TargetMode="External"/><Relationship Id="rId184" Type="http://schemas.openxmlformats.org/officeDocument/2006/relationships/hyperlink" Target="https://www.sec.gov/Archives/edgar/data/0001709048/000119312521290644/d192411dex1011.htm" TargetMode="External"/><Relationship Id="rId185" Type="http://schemas.openxmlformats.org/officeDocument/2006/relationships/hyperlink" Target="https://www.sec.gov/Archives/edgar/data/0001709048/000119312521290644/d192411dex103.htm" TargetMode="External"/><Relationship Id="rId186" Type="http://schemas.openxmlformats.org/officeDocument/2006/relationships/hyperlink" Target="https://www.sec.gov/Archives/edgar/data/0001709048/000119312521290644/d192411dex104.htm" TargetMode="External"/><Relationship Id="rId187" Type="http://schemas.openxmlformats.org/officeDocument/2006/relationships/hyperlink" Target="https://www.sec.gov/Archives/edgar/data/0001709048/000119312521290644/d192411dex105.htm" TargetMode="External"/><Relationship Id="rId188" Type="http://schemas.openxmlformats.org/officeDocument/2006/relationships/hyperlink" Target="https://www.sec.gov/Archives/edgar/data/1709048/000119312521290644/d192411dex104.htm" TargetMode="External"/><Relationship Id="rId189" Type="http://schemas.openxmlformats.org/officeDocument/2006/relationships/hyperlink" Target="https://www.sec.gov/Archives/edgar/data/0001709048/000119312521290644/d192411dex106.htm" TargetMode="External"/><Relationship Id="rId190" Type="http://schemas.openxmlformats.org/officeDocument/2006/relationships/hyperlink" Target="https://www.sec.gov/Archives/edgar/data/1709048/000170904822000008/ex411.htm" TargetMode="External"/><Relationship Id="rId193" Type="http://schemas.openxmlformats.org/officeDocument/2006/relationships/hyperlink" Target="https://www.sec.gov/Archives/edgar/data/1709048/000170904822000008/ex412.htm" TargetMode="External"/><Relationship Id="rId194" Type="http://schemas.openxmlformats.org/officeDocument/2006/relationships/hyperlink" Target="https://www.sec.gov/Archives/edgar/data/1709048/000170904822000008/ex413.htm" TargetMode="External"/><Relationship Id="rId195" Type="http://schemas.openxmlformats.org/officeDocument/2006/relationships/hyperlink" Target="https://www.sec.gov/Archives/edgar/data/0001709048/000119312521290644/d192411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2024-04-29T06:27:01Z</dcterms:created>
  <dcterms:modified xsi:type="dcterms:W3CDTF">2024-04-29T06:27:01Z</dcterms:modified>
</cp:coreProperties>
</file>