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58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1 - Unaudited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017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40" w:lineRule="exact"/>
        <w:rPr>
          <w:sz w:val="24"/>
          <w:szCs w:val="24"/>
          <w:color w:val="auto"/>
        </w:rPr>
      </w:pPr>
    </w:p>
    <w:p>
      <w:pPr>
        <w:ind w:right="4380"/>
        <w:spacing w:after="0" w:line="339" w:lineRule="auto"/>
        <w:rPr>
          <w:sz w:val="20"/>
          <w:szCs w:val="20"/>
          <w:color w:val="auto"/>
        </w:rPr>
      </w:pPr>
      <w:r>
        <w:rPr>
          <w:rFonts w:ascii="Arial" w:cs="Arial" w:eastAsia="Arial" w:hAnsi="Arial"/>
          <w:sz w:val="17"/>
          <w:szCs w:val="17"/>
          <w:u w:val="single" w:color="auto"/>
          <w:color w:val="0000FF"/>
        </w:rPr>
        <w:t>Interim Condensed Consolidated Statements of Financial Position Interim Condensed Consolidated Statements of Operations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Interim Condensed Consolidated Statements of Comprehensive Income (Loss)</w:t>
      </w:r>
    </w:p>
    <w:p>
      <w:pPr>
        <w:spacing w:after="0" w:line="77" w:lineRule="exact"/>
        <w:rPr>
          <w:sz w:val="24"/>
          <w:szCs w:val="24"/>
          <w:color w:val="auto"/>
        </w:rPr>
      </w:pPr>
    </w:p>
    <w:p>
      <w:pPr>
        <w:ind w:right="4320"/>
        <w:spacing w:after="0" w:line="347" w:lineRule="auto"/>
        <w:rPr>
          <w:sz w:val="20"/>
          <w:szCs w:val="20"/>
          <w:color w:val="auto"/>
        </w:rPr>
      </w:pPr>
      <w:r>
        <w:rPr>
          <w:rFonts w:ascii="Arial" w:cs="Arial" w:eastAsia="Arial" w:hAnsi="Arial"/>
          <w:sz w:val="18"/>
          <w:szCs w:val="18"/>
          <w:u w:val="single" w:color="auto"/>
          <w:color w:val="0000FF"/>
        </w:rPr>
        <w:t>Interim Condensed Consolidated Statements of Cash Flows Interim Condensed Consolidated Statements of Changes in Equity Notes to Interim Condensed Consolidated Financial Statements</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017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Management's Discussion and Analysis of Financial Condition and Results of Operations</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017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Supplementary Risk Factor Disclosure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5440"/>
        <w:spacing w:after="0"/>
        <w:rPr>
          <w:sz w:val="20"/>
          <w:szCs w:val="20"/>
          <w:color w:val="auto"/>
        </w:rPr>
      </w:pPr>
      <w:r>
        <w:rPr>
          <w:rFonts w:ascii="Arial" w:cs="Arial" w:eastAsia="Arial" w:hAnsi="Arial"/>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142240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wp:posOffset>
            </wp:positionH>
            <wp:positionV relativeFrom="paragraph">
              <wp:posOffset>43180</wp:posOffset>
            </wp:positionV>
            <wp:extent cx="822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2</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5</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6</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0000FF"/>
        </w:rPr>
        <w:t>7</w:t>
      </w:r>
      <w:r>
        <w:rPr>
          <w:rFonts w:ascii="Arial" w:cs="Arial" w:eastAsia="Arial" w:hAnsi="Arial"/>
          <w:sz w:val="18"/>
          <w:szCs w:val="18"/>
          <w:color w:val="000000"/>
        </w:rPr>
        <w:t>-</w:t>
      </w:r>
      <w:r>
        <w:rPr>
          <w:rFonts w:ascii="Arial" w:cs="Arial" w:eastAsia="Arial" w:hAnsi="Arial"/>
          <w:sz w:val="18"/>
          <w:szCs w:val="18"/>
          <w:u w:val="single" w:color="auto"/>
          <w:color w:val="0000FF"/>
        </w:rPr>
        <w:t>19</w:t>
      </w:r>
    </w:p>
    <w:p>
      <w:pPr>
        <w:spacing w:after="0" w:line="200" w:lineRule="exact"/>
        <w:rPr>
          <w:sz w:val="24"/>
          <w:szCs w:val="24"/>
          <w:color w:val="auto"/>
        </w:rPr>
      </w:pPr>
    </w:p>
    <w:p>
      <w:pPr>
        <w:spacing w:after="0" w:line="34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wp:posOffset>
            </wp:positionH>
            <wp:positionV relativeFrom="paragraph">
              <wp:posOffset>43180</wp:posOffset>
            </wp:positionV>
            <wp:extent cx="822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FF"/>
        </w:rPr>
        <w:t>20</w:t>
      </w:r>
      <w:r>
        <w:rPr>
          <w:rFonts w:ascii="Arial" w:cs="Arial" w:eastAsia="Arial" w:hAnsi="Arial"/>
          <w:sz w:val="17"/>
          <w:szCs w:val="17"/>
          <w:color w:val="000000"/>
        </w:rPr>
        <w:t>-</w:t>
      </w:r>
      <w:r>
        <w:rPr>
          <w:rFonts w:ascii="Arial" w:cs="Arial" w:eastAsia="Arial" w:hAnsi="Arial"/>
          <w:sz w:val="17"/>
          <w:szCs w:val="17"/>
          <w:u w:val="single" w:color="auto"/>
          <w:color w:val="0000FF"/>
        </w:rPr>
        <w:t>27</w:t>
      </w:r>
    </w:p>
    <w:p>
      <w:pPr>
        <w:spacing w:after="0" w:line="200" w:lineRule="exact"/>
        <w:rPr>
          <w:sz w:val="24"/>
          <w:szCs w:val="24"/>
          <w:color w:val="auto"/>
        </w:rPr>
      </w:pPr>
    </w:p>
    <w:p>
      <w:pPr>
        <w:spacing w:after="0" w:line="36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wp:posOffset>
            </wp:positionH>
            <wp:positionV relativeFrom="paragraph">
              <wp:posOffset>43180</wp:posOffset>
            </wp:positionV>
            <wp:extent cx="822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7"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FF"/>
        </w:rPr>
        <w:t>28</w:t>
      </w:r>
      <w:r>
        <w:rPr>
          <w:rFonts w:ascii="Arial" w:cs="Arial" w:eastAsia="Arial" w:hAnsi="Arial"/>
          <w:sz w:val="17"/>
          <w:szCs w:val="17"/>
          <w:color w:val="000000"/>
        </w:rPr>
        <w:t>-</w:t>
      </w:r>
      <w:r>
        <w:rPr>
          <w:rFonts w:ascii="Arial" w:cs="Arial" w:eastAsia="Arial" w:hAnsi="Arial"/>
          <w:sz w:val="17"/>
          <w:szCs w:val="17"/>
          <w:u w:val="single" w:color="auto"/>
          <w:color w:val="0000FF"/>
        </w:rPr>
        <w:t>29</w:t>
      </w:r>
    </w:p>
    <w:p>
      <w:pPr>
        <w:sectPr>
          <w:pgSz w:w="11900" w:h="16838" w:orient="portrait"/>
          <w:cols w:equalWidth="0" w:num="2">
            <w:col w:w="9620" w:space="720"/>
            <w:col w:w="460"/>
          </w:cols>
          <w:pgMar w:left="340" w:top="206" w:right="7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September 30, 2025 and December 31, 2024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and per share amounts)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60" w:type="dxa"/>
            <w:vAlign w:val="bottom"/>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1,624</w:t>
            </w:r>
          </w:p>
        </w:tc>
      </w:tr>
      <w:tr>
        <w:trPr>
          <w:trHeight w:val="29"/>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6,326</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6,416</w:t>
            </w:r>
          </w:p>
        </w:tc>
      </w:tr>
      <w:tr>
        <w:trPr>
          <w:trHeight w:val="19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7,331</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1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10,383</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16,708</w:t>
            </w:r>
          </w:p>
        </w:tc>
        <w:tc>
          <w:tcPr>
            <w:tcW w:w="8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r>
      <w:tr>
        <w:trPr>
          <w:trHeight w:val="257"/>
        </w:trPr>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9"/>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2,087</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3,044</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40"/>
          </w:cols>
          <w:pgMar w:left="320" w:top="98" w:right="339" w:bottom="574" w:gutter="0" w:footer="0" w:header="0"/>
        </w:sectPr>
      </w:pPr>
    </w:p>
    <w:p>
      <w:pPr>
        <w:ind w:left="20"/>
        <w:spacing w:after="0"/>
        <w:rPr>
          <w:sz w:val="20"/>
          <w:szCs w:val="20"/>
          <w:color w:val="auto"/>
        </w:rPr>
      </w:pPr>
      <w:r>
        <w:rPr>
          <w:rFonts w:ascii="Arial" w:cs="Arial" w:eastAsia="Arial" w:hAnsi="Arial"/>
          <w:sz w:val="16"/>
          <w:szCs w:val="16"/>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portion of deferred income from government grants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non-current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6044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6044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 capital</w:t>
      </w:r>
    </w:p>
    <w:p>
      <w:pPr>
        <w:spacing w:after="0" w:line="73" w:lineRule="exact"/>
        <w:rPr>
          <w:sz w:val="20"/>
          <w:szCs w:val="20"/>
          <w:color w:val="auto"/>
        </w:rPr>
      </w:pPr>
    </w:p>
    <w:p>
      <w:pPr>
        <w:ind w:left="20"/>
        <w:spacing w:after="0" w:line="299" w:lineRule="auto"/>
        <w:rPr>
          <w:sz w:val="20"/>
          <w:szCs w:val="20"/>
          <w:color w:val="auto"/>
        </w:rPr>
      </w:pPr>
      <w:r>
        <w:rPr>
          <w:rFonts w:ascii="Arial" w:cs="Arial" w:eastAsia="Arial" w:hAnsi="Arial"/>
          <w:sz w:val="16"/>
          <w:szCs w:val="16"/>
          <w:color w:val="auto"/>
        </w:rPr>
        <w:t>Ordinary shares, $0.02 par value, 555,681,705 and 552,912,823 shares issued and outstanding as of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06044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Additional paid-in capital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06044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1,109</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951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421</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208</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2,855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3" w:hanging="1103"/>
        <w:spacing w:after="0"/>
        <w:tabs>
          <w:tab w:leader="none" w:pos="11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4,942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43" w:hanging="1343"/>
        <w:spacing w:after="0"/>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03"/>
        <w:spacing w:after="0"/>
        <w:rPr>
          <w:rFonts w:ascii="Arial" w:cs="Arial" w:eastAsia="Arial" w:hAnsi="Arial"/>
          <w:sz w:val="16"/>
          <w:szCs w:val="16"/>
          <w:color w:val="auto"/>
        </w:rPr>
      </w:pPr>
      <w:r>
        <w:rPr>
          <w:rFonts w:ascii="Arial" w:cs="Arial" w:eastAsia="Arial" w:hAnsi="Arial"/>
          <w:sz w:val="16"/>
          <w:szCs w:val="16"/>
          <w:color w:val="auto"/>
        </w:rPr>
        <w:t>24,169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(12,580)</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1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1,022</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63195"/>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235</w:t>
      </w:r>
    </w:p>
    <w:p>
      <w:pPr>
        <w:spacing w:after="0" w:line="7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2,931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ind w:left="1100" w:hanging="1095"/>
        <w:spacing w:after="0"/>
        <w:tabs>
          <w:tab w:leader="none" w:pos="11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101155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1631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40" w:hanging="1335"/>
        <w:spacing w:after="0"/>
        <w:tabs>
          <w:tab w:leader="none" w:pos="1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w:t>
      </w:r>
    </w:p>
    <w:p>
      <w:pPr>
        <w:spacing w:after="0" w:line="7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24,014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101155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162560"/>
                    </a:xfrm>
                    <a:prstGeom prst="rect">
                      <a:avLst/>
                    </a:prstGeom>
                    <a:noFill/>
                  </pic:spPr>
                </pic:pic>
              </a:graphicData>
            </a:graphic>
          </wp:anchor>
        </w:drawing>
      </w:r>
    </w:p>
    <w:p>
      <w:pPr>
        <w:spacing w:after="0" w:line="5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3">
            <w:col w:w="7280" w:space="697"/>
            <w:col w:w="1543" w:space="140"/>
            <w:col w:w="1580"/>
          </w:cols>
          <w:pgMar w:left="320" w:top="98" w:right="339" w:bottom="57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11,712</w:t>
            </w:r>
          </w:p>
        </w:tc>
      </w:tr>
      <w:tr>
        <w:trPr>
          <w:trHeight w:val="21"/>
        </w:trPr>
        <w:tc>
          <w:tcPr>
            <w:tcW w:w="7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11,766</w:t>
            </w: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16,708</w:t>
            </w:r>
          </w:p>
        </w:tc>
      </w:tr>
    </w:tbl>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b w:val="1"/>
          <w:bCs w:val="1"/>
          <w:color w:val="auto"/>
        </w:rPr>
        <w:t>10,776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1555" cy="17145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10,824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1155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66" w:lineRule="exact"/>
        <w:rPr>
          <w:sz w:val="20"/>
          <w:szCs w:val="20"/>
          <w:color w:val="auto"/>
        </w:rPr>
      </w:pPr>
    </w:p>
    <w:p>
      <w:pPr>
        <w:ind w:left="1020" w:hanging="1015"/>
        <w:spacing w:after="0"/>
        <w:tabs>
          <w:tab w:leader="none" w:pos="102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16,799</w:t>
      </w:r>
    </w:p>
    <w:p>
      <w:pPr>
        <w:spacing w:after="0" w:line="298" w:lineRule="exact"/>
        <w:rPr>
          <w:sz w:val="20"/>
          <w:szCs w:val="20"/>
          <w:color w:val="auto"/>
        </w:rPr>
      </w:pPr>
    </w:p>
    <w:p>
      <w:pPr>
        <w:sectPr>
          <w:pgSz w:w="11900" w:h="16838" w:orient="portrait"/>
          <w:cols w:equalWidth="0" w:num="2">
            <w:col w:w="9560" w:space="100"/>
            <w:col w:w="1580"/>
          </w:cols>
          <w:pgMar w:left="320" w:top="98" w:right="339" w:bottom="5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57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2025 and 2024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32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4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29"/>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w:t>
            </w:r>
          </w:p>
        </w:tc>
        <w:tc>
          <w:tcPr>
            <w:tcW w:w="12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1,202</w:t>
            </w:r>
          </w:p>
        </w:tc>
      </w:tr>
      <w:tr>
        <w:trPr>
          <w:trHeight w:val="221"/>
        </w:trPr>
        <w:tc>
          <w:tcPr>
            <w:tcW w:w="46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35"/>
        </w:trPr>
        <w:tc>
          <w:tcPr>
            <w:tcW w:w="466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12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r>
      <w:tr>
        <w:trPr>
          <w:trHeight w:val="21"/>
        </w:trPr>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637</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top w:val="single" w:sz="8" w:color="auto"/>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20" w:type="dxa"/>
            <w:vAlign w:val="bottom"/>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6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r>
      <w:tr>
        <w:trPr>
          <w:trHeight w:val="19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the Company:</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0.44</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0.83</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9"/>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9"/>
        </w:trPr>
        <w:tc>
          <w:tcPr>
            <w:tcW w:w="4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INTERIM CONDENSED CONSOLIDATED STATEMENTS OF COMPREHENSIVE INCOME (LOSS)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and Nine Months Ended September 30, 2025 and 2024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32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46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80" w:type="dxa"/>
            <w:vAlign w:val="bottom"/>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r>
      <w:tr>
        <w:trPr>
          <w:trHeight w:val="250"/>
        </w:trPr>
        <w:tc>
          <w:tcPr>
            <w:tcW w:w="46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gain (loss) on investments measured at fair value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through other comprehensive income</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7"/>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r>
      <w:tr>
        <w:trPr>
          <w:trHeight w:val="250"/>
        </w:trPr>
        <w:tc>
          <w:tcPr>
            <w:tcW w:w="466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8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r>
      <w:tr>
        <w:trPr>
          <w:trHeight w:val="208"/>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10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8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8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r>
      <w:tr>
        <w:trPr>
          <w:trHeight w:val="20"/>
        </w:trPr>
        <w:tc>
          <w:tcPr>
            <w:tcW w:w="4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Nine Months Ended September 30, 2025 and 2024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354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7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688</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activities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21"/>
        </w:trPr>
        <w:tc>
          <w:tcPr>
            <w:tcW w:w="7680" w:type="dxa"/>
            <w:vAlign w:val="bottom"/>
          </w:tcPr>
          <w:p>
            <w:pPr>
              <w:ind w:left="20"/>
              <w:spacing w:after="0"/>
              <w:rPr>
                <w:sz w:val="20"/>
                <w:szCs w:val="20"/>
                <w:color w:val="auto"/>
              </w:rPr>
            </w:pPr>
            <w:r>
              <w:rPr>
                <w:rFonts w:ascii="Arial" w:cs="Arial" w:eastAsia="Arial" w:hAnsi="Arial"/>
                <w:sz w:val="16"/>
                <w:szCs w:val="16"/>
                <w:color w:val="auto"/>
              </w:rPr>
              <w:t>Net change in working capital</w:t>
            </w:r>
          </w:p>
        </w:tc>
        <w:tc>
          <w:tcPr>
            <w:tcW w:w="1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received</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1,265</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equity securities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property plant and equipment and other</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(747)</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
        </w:trPr>
        <w:tc>
          <w:tcPr>
            <w:tcW w:w="7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 net of taxes paid</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12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(792)</w:t>
            </w:r>
          </w:p>
        </w:tc>
        <w:tc>
          <w:tcPr>
            <w:tcW w:w="100" w:type="dxa"/>
            <w:vAlign w:val="bottom"/>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12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r>
      <w:tr>
        <w:trPr>
          <w:trHeight w:val="228"/>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9"/>
        </w:trPr>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8" w:right="35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047"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for the Nine Months Ended September 30, 2025 and </w:t>
      </w:r>
      <w:r>
        <w:rPr>
          <w:rFonts w:ascii="Arial" w:cs="Arial" w:eastAsia="Arial" w:hAnsi="Arial"/>
          <w:sz w:val="17"/>
          <w:szCs w:val="17"/>
          <w:b w:val="1"/>
          <w:bCs w:val="1"/>
          <w:color w:val="auto"/>
        </w:rPr>
        <w:t>2024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36195</wp:posOffset>
            </wp:positionV>
            <wp:extent cx="44831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Currency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Translation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720" w:type="dxa"/>
            <w:vAlign w:val="bottom"/>
            <w:gridSpan w:val="3"/>
            <w:vMerge w:val="restart"/>
          </w:tcPr>
          <w:p>
            <w:pPr>
              <w:jc w:val="right"/>
              <w:ind w:right="19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ind w:right="97"/>
              <w:spacing w:after="0" w:line="106"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6"/>
                <w:szCs w:val="6"/>
                <w:color w:val="auto"/>
              </w:rPr>
            </w:pPr>
          </w:p>
        </w:tc>
        <w:tc>
          <w:tcPr>
            <w:tcW w:w="960" w:type="dxa"/>
            <w:vAlign w:val="bottom"/>
            <w:gridSpan w:val="2"/>
            <w:vMerge w:val="restart"/>
          </w:tcPr>
          <w:p>
            <w:pPr>
              <w:jc w:val="right"/>
              <w:ind w:right="17"/>
              <w:spacing w:after="0" w:line="10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restart"/>
          </w:tcPr>
          <w:p>
            <w:pPr>
              <w:jc w:val="right"/>
              <w:ind w:right="137"/>
              <w:spacing w:after="0" w:line="106" w:lineRule="exact"/>
              <w:rPr>
                <w:sz w:val="20"/>
                <w:szCs w:val="20"/>
                <w:color w:val="auto"/>
              </w:rPr>
            </w:pPr>
            <w:r>
              <w:rPr>
                <w:rFonts w:ascii="Arial" w:cs="Arial" w:eastAsia="Arial" w:hAnsi="Arial"/>
                <w:sz w:val="12"/>
                <w:szCs w:val="12"/>
                <w:b w:val="1"/>
                <w:bCs w:val="1"/>
                <w:color w:val="auto"/>
              </w:rPr>
              <w:t>Hedging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Investments</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ind w:right="37"/>
              <w:spacing w:after="0" w:line="106" w:lineRule="exact"/>
              <w:rPr>
                <w:sz w:val="20"/>
                <w:szCs w:val="20"/>
                <w:color w:val="auto"/>
              </w:rPr>
            </w:pPr>
            <w:r>
              <w:rPr>
                <w:rFonts w:ascii="Arial" w:cs="Arial" w:eastAsia="Arial" w:hAnsi="Arial"/>
                <w:sz w:val="12"/>
                <w:szCs w:val="12"/>
                <w:b w:val="1"/>
                <w:bCs w:val="1"/>
                <w:color w:val="auto"/>
              </w:rPr>
              <w:t>Controlling</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66</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Treasury shares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2024</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23,971</w:t>
            </w:r>
          </w:p>
        </w:tc>
        <w:tc>
          <w:tcPr>
            <w:tcW w:w="80" w:type="dxa"/>
            <w:vAlign w:val="bottom"/>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(12,536)</w:t>
            </w:r>
          </w:p>
        </w:tc>
        <w:tc>
          <w:tcPr>
            <w:tcW w:w="80" w:type="dxa"/>
            <w:vAlign w:val="bottom"/>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w:t>
            </w:r>
          </w:p>
        </w:tc>
        <w:tc>
          <w:tcPr>
            <w:tcW w:w="10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11,533</w:t>
            </w:r>
          </w:p>
        </w:tc>
        <w:tc>
          <w:tcPr>
            <w:tcW w:w="80" w:type="dxa"/>
            <w:vAlign w:val="bottom"/>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w:t>
            </w:r>
          </w:p>
        </w:tc>
        <w:tc>
          <w:tcPr>
            <w:tcW w:w="8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11,582</w:t>
            </w: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71"/>
        </w:trPr>
        <w:tc>
          <w:tcPr>
            <w:tcW w:w="2140" w:type="dxa"/>
            <w:vAlign w:val="bottom"/>
          </w:tcPr>
          <w:p>
            <w:pPr>
              <w:ind w:left="20"/>
              <w:spacing w:after="0"/>
              <w:rPr>
                <w:sz w:val="20"/>
                <w:szCs w:val="20"/>
                <w:color w:val="auto"/>
              </w:rPr>
            </w:pPr>
            <w:r>
              <w:rPr>
                <w:rFonts w:ascii="Arial" w:cs="Arial" w:eastAsia="Arial" w:hAnsi="Arial"/>
                <w:sz w:val="13"/>
                <w:szCs w:val="13"/>
                <w:color w:val="auto"/>
              </w:rPr>
              <w:t>Proceeds from issuance of equity</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6"/>
        </w:trPr>
        <w:tc>
          <w:tcPr>
            <w:tcW w:w="2140" w:type="dxa"/>
            <w:vAlign w:val="bottom"/>
          </w:tcPr>
          <w:p>
            <w:pPr>
              <w:ind w:left="20"/>
              <w:spacing w:after="0"/>
              <w:rPr>
                <w:sz w:val="20"/>
                <w:szCs w:val="20"/>
                <w:color w:val="auto"/>
              </w:rPr>
            </w:pPr>
            <w:r>
              <w:rPr>
                <w:rFonts w:ascii="Arial" w:cs="Arial" w:eastAsia="Arial" w:hAnsi="Arial"/>
                <w:sz w:val="13"/>
                <w:szCs w:val="13"/>
                <w:color w:val="auto"/>
                <w:w w:val="99"/>
              </w:rPr>
              <w:t>instruments, net of withholding taxes</w:t>
            </w: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Equity-settled share-based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41"/>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556</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11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24,169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(12,580)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11,712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11,766</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Judgments, Estimates and Assumptions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Accounting Standards, as issued by the IASB, have been omitted or condensed. These interim financial statements should be read in conjunction with the consolidated financial statements and notes thereto included in GlobalFoundries' Annual Report on Form 20-F for the year ended December 31, 2024. The interim financial statements have been prepared on a basis consistent with the accounting policies disclosed in the December 31, 2024 audited consolidated financial statements.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interim financial statements were authorized by the Audit, Risk and Compliance Committee of GlobalFoundries’ Board of Directors on November 12, 2025, to be issued and subsequent events have been evaluated for their potential effect on the interim financial statements through November 12,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2024 except for the additions to the Business Combination accounting policy as described below.</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accounts for its business combinations using the acquisition method of accounting. The purchase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is allocated to the assets, including separately identifiable assets acquired and the liabilities assumed based on their estimated fair value as of the acquisition date. The excess of the purchase price over the estimated fair values of identifiable assets and liabilities is recorded as goodwill. The acquired intangible assets consisting of the trademark, developed technology, in-process research and development and customer relationships are recorded at fair value at the date of acquisition, based on management’s estimates. Acquisition-related expenses are expensed as incurred.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certain financial assets and liabilities,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 The Company does not expect a material impact to the financial statements upon adoption of these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 xml:space="preserve">Consolidated Financial Instruments </w:t>
      </w:r>
      <w:r>
        <w:rPr>
          <w:rFonts w:ascii="Arial" w:cs="Arial" w:eastAsia="Arial" w:hAnsi="Arial"/>
          <w:sz w:val="16"/>
          <w:szCs w:val="16"/>
          <w:color w:val="auto"/>
        </w:rPr>
        <w:t>and IAS 7,</w:t>
      </w:r>
      <w:r>
        <w:rPr>
          <w:rFonts w:ascii="Arial" w:cs="Arial" w:eastAsia="Arial" w:hAnsi="Arial"/>
          <w:sz w:val="16"/>
          <w:szCs w:val="16"/>
          <w:i w:val="1"/>
          <w:iCs w:val="1"/>
          <w:color w:val="auto"/>
        </w:rPr>
        <w:t xml:space="preserve"> Statement of Cash Flows</w:t>
      </w:r>
      <w:r>
        <w:rPr>
          <w:rFonts w:ascii="Arial" w:cs="Arial" w:eastAsia="Arial" w:hAnsi="Arial"/>
          <w:sz w:val="16"/>
          <w:szCs w:val="16"/>
          <w:color w:val="auto"/>
        </w:rPr>
        <w:t>. The effective date for adoption of these amendments is annual periods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on or after January 1, 2026. The Company does not expect a material impact to the financial statements upon adoption of these amendments.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Contracts Referencing Nature-dependent Electricity — Amendments to IFRS 9 and IFRS 7 — </w:t>
      </w:r>
      <w:r>
        <w:rPr>
          <w:rFonts w:ascii="Arial" w:cs="Arial" w:eastAsia="Arial" w:hAnsi="Arial"/>
          <w:sz w:val="16"/>
          <w:szCs w:val="16"/>
          <w:color w:val="auto"/>
        </w:rPr>
        <w:t>These amendments help entities better report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effects of nature-dependent electricity contracts, which are often structured as power purchase agreements. The amendments include clarifying the application of the own-use requirements, permitted hedge accounting if these contracts are used as hedging instruments and adding new disclosure requirements to enable investors to understand the effect of these contracts on an entity’s financial performance and cash flows. The amendments are effective for annual periods beginning on or after January 1, 2026. The Company expects these amendments may require certain additional disclosures going forward, but does not expect a material impact to the financial statements upon adoption of these amendments.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The key concepts in IFRS 18 relate to the structure of the statement of profit or loss, required disclosures in the financial statements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management-defined performance measures and enhanced principles on aggregation and disaggregation which apply to the primary financial statements and notes in general.</w:t>
      </w:r>
    </w:p>
    <w:p>
      <w:pPr>
        <w:spacing w:after="0" w:line="65"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Entities are required to classify all income and expenses within the statement of profit or loss into one of five categories: operating, investing, financing, income taxes and discontinued operations, whereof the first three are new.</w:t>
      </w:r>
    </w:p>
    <w:p>
      <w:pPr>
        <w:spacing w:after="0" w:line="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IFRS 18 also requires disclosure of newly defined management-defined performance measures, subtotals of income and expenses, and includes new requirements for aggregation and disaggregation of financial information based on the identified ‘roles’ of the primary financial statements and the notes to the financial statements.</w:t>
      </w:r>
    </w:p>
    <w:p>
      <w:pPr>
        <w:spacing w:after="0" w:line="7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date for adoption of this standard is annual periods beginning on or after January 1, 2027, and earlier adoption is permitted. Retrospective application is required.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financial impact is not yet known or reasonably estimable as of the date the accompanying financial statements were authorized for issue. The Company continues to evaluate the impact of the aforementioned standard on its financial position and performance and related applicable periods.</w:t>
      </w:r>
    </w:p>
    <w:p>
      <w:pPr>
        <w:spacing w:after="0" w:line="4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New Legislation — </w:t>
      </w:r>
      <w:r>
        <w:rPr>
          <w:rFonts w:ascii="Arial" w:cs="Arial" w:eastAsia="Arial" w:hAnsi="Arial"/>
          <w:sz w:val="16"/>
          <w:szCs w:val="16"/>
          <w:color w:val="auto"/>
        </w:rPr>
        <w:t>On July 4, 2025, the One Big Beautiful Bill Act ("OBBBA") was signed into law in the United States, which contained significant tax</w:t>
      </w:r>
      <w:r>
        <w:rPr>
          <w:rFonts w:ascii="Arial" w:cs="Arial" w:eastAsia="Arial" w:hAnsi="Arial"/>
          <w:sz w:val="16"/>
          <w:szCs w:val="16"/>
          <w:b w:val="1"/>
          <w:bCs w:val="1"/>
          <w:color w:val="auto"/>
        </w:rPr>
        <w:t xml:space="preserve"> </w:t>
      </w:r>
      <w:r>
        <w:rPr>
          <w:rFonts w:ascii="Arial" w:cs="Arial" w:eastAsia="Arial" w:hAnsi="Arial"/>
          <w:sz w:val="16"/>
          <w:szCs w:val="16"/>
          <w:color w:val="auto"/>
        </w:rPr>
        <w:t>legislation that is expected to impact the Company. We expect to see a positive impact as a result of an increase to the Advanced Manufacturing Investment Tax Credit ("AMITC") under the CHIPS Act from 25% to 35% beginning in tax year 2026. The OBBBA also allows for immediate deduction of certain research and development costs rather than capitalization and amortization, expands accelerated tax depreciation, and contains various international tax law changes. Due to the non-recognition of net deferred tax assets in the U.S. under IAS 12 and because the Company is subject to CAMT, there is no material financial statement impact in the current period related to the Internal Revenue Code ("IRC") 174 or bonus depreciation changes. The Company anticipates a material change to its income tax disclosures for unrecognized deferred tax assets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following table presents the Company’s revenue disaggregated based on revenue source, timing of revenue recognition and the end markets that we serve, for the three and nine month periods ended September 30, 2025 and </w:t>
      </w:r>
      <w:r>
        <w:rPr>
          <w:rFonts w:ascii="Arial" w:cs="Arial" w:eastAsia="Arial" w:hAnsi="Arial"/>
          <w:sz w:val="17"/>
          <w:szCs w:val="17"/>
          <w:color w:val="auto"/>
        </w:rPr>
        <w:t>2024</w:t>
      </w:r>
      <w:r>
        <w:rPr>
          <w:rFonts w:ascii="Arial" w:cs="Arial" w:eastAsia="Arial" w:hAnsi="Arial"/>
          <w:sz w:val="16"/>
          <w:szCs w:val="16"/>
          <w:color w:val="auto"/>
        </w:rPr>
        <w:t>. The Company believes these categories best depict the nature and timing of revenue: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9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4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9"/>
        </w:trPr>
        <w:tc>
          <w:tcPr>
            <w:tcW w:w="4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Wafer revenue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1,491</w:t>
            </w:r>
          </w:p>
        </w:tc>
        <w:tc>
          <w:tcPr>
            <w:tcW w:w="122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1,565</w:t>
            </w: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4,410</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4,421</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wafer revenue</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29"/>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4,961</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4,920</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434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4,536</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4,961</w:t>
            </w:r>
          </w:p>
        </w:tc>
        <w:tc>
          <w:tcPr>
            <w:tcW w:w="100" w:type="dxa"/>
            <w:vAlign w:val="bottom"/>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r>
      <w:tr>
        <w:trPr>
          <w:trHeight w:val="196"/>
        </w:trPr>
        <w:tc>
          <w:tcPr>
            <w:tcW w:w="43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752</w:t>
            </w:r>
          </w:p>
        </w:tc>
        <w:tc>
          <w:tcPr>
            <w:tcW w:w="122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868</w:t>
            </w: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2,021</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27"/>
        </w:trPr>
        <w:tc>
          <w:tcPr>
            <w:tcW w:w="434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28"/>
        </w:trPr>
        <w:tc>
          <w:tcPr>
            <w:tcW w:w="4340" w:type="dxa"/>
            <w:vAlign w:val="bottom"/>
          </w:tcPr>
          <w:p>
            <w:pPr>
              <w:ind w:left="20"/>
              <w:spacing w:after="0"/>
              <w:rPr>
                <w:sz w:val="20"/>
                <w:szCs w:val="20"/>
                <w:color w:val="auto"/>
              </w:rPr>
            </w:pPr>
            <w:r>
              <w:rPr>
                <w:rFonts w:ascii="Arial" w:cs="Arial" w:eastAsia="Arial" w:hAnsi="Arial"/>
                <w:sz w:val="16"/>
                <w:szCs w:val="16"/>
                <w:color w:val="auto"/>
              </w:rPr>
              <w:t>Non wafer revenue and other</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9"/>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00" w:type="dxa"/>
            <w:vAlign w:val="bottom"/>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4,961</w:t>
            </w:r>
          </w:p>
        </w:tc>
        <w:tc>
          <w:tcPr>
            <w:tcW w:w="100" w:type="dxa"/>
            <w:vAlign w:val="bottom"/>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r>
      <w:tr>
        <w:trPr>
          <w:trHeight w:val="20"/>
        </w:trPr>
        <w:tc>
          <w:tcPr>
            <w:tcW w:w="4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Business Combination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13, 2025, the Company completed its acquisition of MIPS Holdings Inc. ("MIPS"). MIPS is a leading provider of computing subsystems for autonomous platforms serving the automotive, industrial, and embedded markets. The acquisition is expected to expand the Company’s portfolio of customizable intellectual property (“IP”) offerings and enhance the Company's ability to differentiate its process technologies through advanced IP and software capabilities.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Details of the purchase consideration:</w:t>
            </w:r>
          </w:p>
        </w:tc>
        <w:tc>
          <w:tcPr>
            <w:tcW w:w="29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64"/>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980" w:type="dxa"/>
            <w:vAlign w:val="bottom"/>
          </w:tcPr>
          <w:p>
            <w:pPr>
              <w:spacing w:after="0"/>
              <w:rPr>
                <w:sz w:val="23"/>
                <w:szCs w:val="23"/>
                <w:color w:val="auto"/>
              </w:rPr>
            </w:pPr>
          </w:p>
        </w:tc>
        <w:tc>
          <w:tcPr>
            <w:tcW w:w="2940" w:type="dxa"/>
            <w:vAlign w:val="bottom"/>
          </w:tcPr>
          <w:p>
            <w:pPr>
              <w:jc w:val="right"/>
              <w:ind w:right="1499"/>
              <w:spacing w:after="0"/>
              <w:rPr>
                <w:sz w:val="20"/>
                <w:szCs w:val="20"/>
                <w:color w:val="auto"/>
              </w:rPr>
            </w:pPr>
            <w:r>
              <w:rPr>
                <w:rFonts w:ascii="Arial" w:cs="Arial" w:eastAsia="Arial" w:hAnsi="Arial"/>
                <w:sz w:val="16"/>
                <w:szCs w:val="16"/>
                <w:b w:val="1"/>
                <w:bCs w:val="1"/>
                <w:color w:val="auto"/>
              </w:rPr>
              <w:t>Amount</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28"/>
        </w:trPr>
        <w:tc>
          <w:tcPr>
            <w:tcW w:w="5320" w:type="dxa"/>
            <w:vAlign w:val="bottom"/>
          </w:tcPr>
          <w:p>
            <w:pPr>
              <w:ind w:left="20"/>
              <w:spacing w:after="0"/>
              <w:rPr>
                <w:sz w:val="20"/>
                <w:szCs w:val="20"/>
                <w:color w:val="auto"/>
              </w:rPr>
            </w:pPr>
            <w:r>
              <w:rPr>
                <w:rFonts w:ascii="Arial" w:cs="Arial" w:eastAsia="Arial" w:hAnsi="Arial"/>
                <w:sz w:val="16"/>
                <w:szCs w:val="16"/>
                <w:color w:val="auto"/>
              </w:rPr>
              <w:t>Replacement share-based payment awards</w:t>
            </w:r>
          </w:p>
        </w:tc>
        <w:tc>
          <w:tcPr>
            <w:tcW w:w="29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5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2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53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consideration transferred was determined by the Company as part of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64"/>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23"/>
                <w:szCs w:val="23"/>
                <w:color w:val="auto"/>
              </w:rPr>
            </w:pPr>
          </w:p>
        </w:tc>
        <w:tc>
          <w:tcPr>
            <w:tcW w:w="2980" w:type="dxa"/>
            <w:vAlign w:val="bottom"/>
          </w:tcPr>
          <w:p>
            <w:pPr>
              <w:jc w:val="right"/>
              <w:ind w:right="1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7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0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18"/>
                <w:szCs w:val="18"/>
                <w:color w:val="auto"/>
              </w:rPr>
            </w:pP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2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8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Trademark</w:t>
            </w:r>
          </w:p>
        </w:tc>
        <w:tc>
          <w:tcPr>
            <w:tcW w:w="80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8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80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7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8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1"/>
        </w:trPr>
        <w:tc>
          <w:tcPr>
            <w:tcW w:w="7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80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80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r>
      <w:tr>
        <w:trPr>
          <w:trHeight w:val="25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780" w:type="dxa"/>
            <w:vAlign w:val="bottom"/>
            <w:tcBorders>
              <w:top w:val="single" w:sz="8" w:color="auto"/>
              <w:bottom w:val="single" w:sz="8" w:color="auto"/>
            </w:tcBorders>
          </w:tcPr>
          <w:p>
            <w:pPr>
              <w:jc w:val="right"/>
              <w:ind w:right="159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r>
      <w:tr>
        <w:trPr>
          <w:trHeight w:val="20"/>
        </w:trPr>
        <w:tc>
          <w:tcPr>
            <w:tcW w:w="74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firstLine="8"/>
        <w:spacing w:after="0" w:line="305" w:lineRule="auto"/>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will not be deductible for income tax purposes.</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fair values of certain identifiable assets and liabilities primarily relating to working capital adjustment, including deferred tax liabilities have been determined provisionally and are subject to adjustments as we obtain additional information. Any adjustments to the purchase price allocation will be made as soon as practicable, but no later than one year from the acquisition date.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Income taxes</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not currently materially impacted by Pillar Two minimum top-up taxes but may be in the future. There is no material financial statement impact in the current period related to the Internal Revenue Code ("IRC") 174 or bonus depreciation changes as it relates to the OBBBA.</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effective tax rate was (12.7)% and 8.7% for the three months ended September 30, 2025 and </w:t>
      </w:r>
      <w:r>
        <w:rPr>
          <w:rFonts w:ascii="Arial" w:cs="Arial" w:eastAsia="Arial" w:hAnsi="Arial"/>
          <w:sz w:val="17"/>
          <w:szCs w:val="17"/>
          <w:color w:val="auto"/>
        </w:rPr>
        <w:t>2024</w:t>
      </w:r>
      <w:r>
        <w:rPr>
          <w:rFonts w:ascii="Arial" w:cs="Arial" w:eastAsia="Arial" w:hAnsi="Arial"/>
          <w:sz w:val="16"/>
          <w:szCs w:val="16"/>
          <w:color w:val="auto"/>
        </w:rPr>
        <w:t xml:space="preserve">, respectively, and was (8.0)% and 9.7% for the nine months ended September 30, 2025 and </w:t>
      </w:r>
      <w:r>
        <w:rPr>
          <w:rFonts w:ascii="Arial" w:cs="Arial" w:eastAsia="Arial" w:hAnsi="Arial"/>
          <w:sz w:val="17"/>
          <w:szCs w:val="17"/>
          <w:color w:val="auto"/>
        </w:rPr>
        <w:t>2024</w:t>
      </w:r>
      <w:r>
        <w:rPr>
          <w:rFonts w:ascii="Arial" w:cs="Arial" w:eastAsia="Arial" w:hAnsi="Arial"/>
          <w:sz w:val="16"/>
          <w:szCs w:val="16"/>
          <w:color w:val="auto"/>
        </w:rPr>
        <w:t>, respectively. The decrease was primarily the result of tax benefits related to exchange rate differences on the base of certain non-monetary assets in Germany and tax benefit from recognition of German deferred tax assets that are no longer contingent, offset by tax expense related primarily to true-up of Singapore incentive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Earnings Per Share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3"/>
        </w:trPr>
        <w:tc>
          <w:tcPr>
            <w:tcW w:w="4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4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43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b w:val="1"/>
                <w:bCs w:val="1"/>
                <w:color w:val="auto"/>
              </w:rPr>
              <w:t>Net income attributable to equity shareholders of the</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6"/>
                <w:szCs w:val="16"/>
                <w:b w:val="1"/>
                <w:bCs w:val="1"/>
                <w:color w:val="auto"/>
              </w:rPr>
              <w:t>Company</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248</w:t>
            </w:r>
          </w:p>
        </w:tc>
        <w:tc>
          <w:tcPr>
            <w:tcW w:w="128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686</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8"/>
        </w:trPr>
        <w:tc>
          <w:tcPr>
            <w:tcW w:w="432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
        </w:trPr>
        <w:tc>
          <w:tcPr>
            <w:tcW w:w="4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ordinary shares outstanding</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Effect of potentially dilutive shares from employee equity</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plans</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4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ordinary shares outstanding</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70"/>
        </w:trPr>
        <w:tc>
          <w:tcPr>
            <w:tcW w:w="4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1"/>
        </w:trPr>
        <w:tc>
          <w:tcPr>
            <w:tcW w:w="4320" w:type="dxa"/>
            <w:vAlign w:val="bottom"/>
          </w:tcPr>
          <w:p>
            <w:pPr>
              <w:ind w:left="140"/>
              <w:spacing w:after="0"/>
              <w:rPr>
                <w:sz w:val="20"/>
                <w:szCs w:val="20"/>
                <w:color w:val="auto"/>
              </w:rPr>
            </w:pPr>
            <w:r>
              <w:rPr>
                <w:rFonts w:ascii="Arial" w:cs="Arial" w:eastAsia="Arial" w:hAnsi="Arial"/>
                <w:sz w:val="16"/>
                <w:szCs w:val="16"/>
                <w:color w:val="auto"/>
              </w:rPr>
              <w:t>Basic</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0.84</w:t>
            </w:r>
          </w:p>
        </w:tc>
      </w:tr>
      <w:tr>
        <w:trPr>
          <w:trHeight w:val="29"/>
        </w:trPr>
        <w:tc>
          <w:tcPr>
            <w:tcW w:w="4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r>
      <w:tr>
        <w:trPr>
          <w:trHeight w:val="20"/>
        </w:trPr>
        <w:tc>
          <w:tcPr>
            <w:tcW w:w="4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Note 7.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 and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Computer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7,769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25,248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458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33,780</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27"/>
        </w:trPr>
        <w:tc>
          <w:tcPr>
            <w:tcW w:w="17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cost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9"/>
        </w:trPr>
        <w:tc>
          <w:tcPr>
            <w:tcW w:w="1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7,754</w:t>
            </w:r>
          </w:p>
        </w:tc>
        <w:tc>
          <w:tcPr>
            <w:tcW w:w="80" w:type="dxa"/>
            <w:vAlign w:val="bottom"/>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24,464</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100" w:type="dxa"/>
            <w:vAlign w:val="bottom"/>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463</w:t>
            </w:r>
          </w:p>
        </w:tc>
        <w:tc>
          <w:tcPr>
            <w:tcW w:w="100" w:type="dxa"/>
            <w:vAlign w:val="bottom"/>
          </w:tcPr>
          <w:p>
            <w:pPr>
              <w:spacing w:after="0"/>
              <w:rPr>
                <w:sz w:val="16"/>
                <w:szCs w:val="16"/>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33,232</w:t>
            </w: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September 30, 2025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2,556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4,240</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453</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7,331</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Depreciation 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5,038</w:t>
            </w: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20,510</w:t>
            </w: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26,018</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from</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As of September 30,</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vMerge w:val="restart"/>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5,198</w:t>
            </w:r>
          </w:p>
        </w:tc>
        <w:tc>
          <w:tcPr>
            <w:tcW w:w="80" w:type="dxa"/>
            <w:vAlign w:val="bottom"/>
            <w:vMerge w:val="restart"/>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20,224</w:t>
            </w:r>
          </w:p>
        </w:tc>
        <w:tc>
          <w:tcPr>
            <w:tcW w:w="100" w:type="dxa"/>
            <w:vAlign w:val="bottom"/>
            <w:vMerge w:val="restart"/>
          </w:tcPr>
          <w:p>
            <w:pPr>
              <w:spacing w:after="0"/>
              <w:rPr>
                <w:sz w:val="16"/>
                <w:szCs w:val="16"/>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436</w:t>
            </w:r>
          </w:p>
        </w:tc>
        <w:tc>
          <w:tcPr>
            <w:tcW w:w="100" w:type="dxa"/>
            <w:vAlign w:val="bottom"/>
            <w:vMerge w:val="restart"/>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vMerge w:val="restart"/>
          </w:tcPr>
          <w:p>
            <w:pPr>
              <w:spacing w:after="0"/>
              <w:rPr>
                <w:sz w:val="16"/>
                <w:szCs w:val="16"/>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25,901</w:t>
            </w:r>
          </w:p>
        </w:tc>
        <w:tc>
          <w:tcPr>
            <w:tcW w:w="0" w:type="dxa"/>
            <w:vAlign w:val="bottom"/>
          </w:tcPr>
          <w:p>
            <w:pPr>
              <w:spacing w:after="0"/>
              <w:rPr>
                <w:sz w:val="1"/>
                <w:szCs w:val="1"/>
                <w:color w:val="auto"/>
              </w:rPr>
            </w:pPr>
          </w:p>
        </w:tc>
      </w:tr>
      <w:tr>
        <w:trPr>
          <w:trHeight w:val="222"/>
        </w:trPr>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For the three months ended September 30, 2025 and </w:t>
      </w:r>
      <w:r>
        <w:rPr>
          <w:rFonts w:ascii="Arial" w:cs="Arial" w:eastAsia="Arial" w:hAnsi="Arial"/>
          <w:sz w:val="17"/>
          <w:szCs w:val="17"/>
          <w:color w:val="auto"/>
        </w:rPr>
        <w:t>2024</w:t>
      </w:r>
      <w:r>
        <w:rPr>
          <w:rFonts w:ascii="Arial" w:cs="Arial" w:eastAsia="Arial" w:hAnsi="Arial"/>
          <w:sz w:val="16"/>
          <w:szCs w:val="16"/>
          <w:color w:val="auto"/>
        </w:rPr>
        <w:t xml:space="preserve">, depreciation expense of property, plant and equipment was $267 million and $342 million, respectively. For the nine months ended September 30, 2025 and </w:t>
      </w:r>
      <w:r>
        <w:rPr>
          <w:rFonts w:ascii="Arial" w:cs="Arial" w:eastAsia="Arial" w:hAnsi="Arial"/>
          <w:sz w:val="17"/>
          <w:szCs w:val="17"/>
          <w:color w:val="auto"/>
        </w:rPr>
        <w:t>2024</w:t>
      </w:r>
      <w:r>
        <w:rPr>
          <w:rFonts w:ascii="Arial" w:cs="Arial" w:eastAsia="Arial" w:hAnsi="Arial"/>
          <w:sz w:val="16"/>
          <w:szCs w:val="16"/>
          <w:color w:val="auto"/>
        </w:rPr>
        <w:t>, depreciation expense of property, plant and equipment was $869 million and $1,038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1"/>
        </w:trPr>
        <w:tc>
          <w:tcPr>
            <w:tcW w:w="68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September 30, 2025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840" w:type="dxa"/>
            <w:vAlign w:val="bottom"/>
          </w:tcPr>
          <w:p>
            <w:pPr>
              <w:ind w:left="100"/>
              <w:spacing w:after="0"/>
              <w:rPr>
                <w:sz w:val="20"/>
                <w:szCs w:val="20"/>
                <w:color w:val="auto"/>
              </w:rPr>
            </w:pPr>
            <w:r>
              <w:rPr>
                <w:rFonts w:ascii="Arial" w:cs="Arial" w:eastAsia="Arial" w:hAnsi="Arial"/>
                <w:sz w:val="16"/>
                <w:szCs w:val="16"/>
                <w:color w:val="auto"/>
              </w:rPr>
              <w:t>Trade receivables, other than related parties</w:t>
            </w:r>
          </w:p>
        </w:tc>
        <w:tc>
          <w:tcPr>
            <w:tcW w:w="1860" w:type="dxa"/>
            <w:vAlign w:val="bottom"/>
          </w:tcPr>
          <w:p>
            <w:pPr>
              <w:jc w:val="right"/>
              <w:ind w:right="16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725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receivables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286</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57"/>
        </w:trPr>
        <w:tc>
          <w:tcPr>
            <w:tcW w:w="6840" w:type="dxa"/>
            <w:vAlign w:val="bottom"/>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Receivables from government grants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240</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27"/>
        </w:trPr>
        <w:tc>
          <w:tcPr>
            <w:tcW w:w="6840" w:type="dxa"/>
            <w:vAlign w:val="bottom"/>
          </w:tcPr>
          <w:p>
            <w:pPr>
              <w:ind w:left="100"/>
              <w:spacing w:after="0"/>
              <w:rPr>
                <w:sz w:val="20"/>
                <w:szCs w:val="20"/>
                <w:color w:val="auto"/>
              </w:rPr>
            </w:pPr>
            <w:r>
              <w:rPr>
                <w:rFonts w:ascii="Arial" w:cs="Arial" w:eastAsia="Arial" w:hAnsi="Arial"/>
                <w:sz w:val="16"/>
                <w:szCs w:val="16"/>
                <w:color w:val="auto"/>
              </w:rPr>
              <w:t>Other current financial assets and other</w:t>
            </w:r>
          </w:p>
        </w:tc>
        <w:tc>
          <w:tcPr>
            <w:tcW w:w="1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1,397</w:t>
            </w:r>
          </w:p>
        </w:tc>
        <w:tc>
          <w:tcPr>
            <w:tcW w:w="80" w:type="dxa"/>
            <w:vAlign w:val="bottom"/>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1,406</w:t>
            </w:r>
          </w:p>
        </w:tc>
      </w:tr>
      <w:tr>
        <w:trPr>
          <w:trHeight w:val="216"/>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Non-current:</w:t>
            </w:r>
          </w:p>
        </w:tc>
        <w:tc>
          <w:tcPr>
            <w:tcW w:w="9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
        </w:trPr>
        <w:tc>
          <w:tcPr>
            <w:tcW w:w="6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7"/>
        </w:trPr>
        <w:tc>
          <w:tcPr>
            <w:tcW w:w="6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2"/>
                <w:szCs w:val="22"/>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840" w:type="dxa"/>
            <w:vAlign w:val="bottom"/>
          </w:tcPr>
          <w:p>
            <w:pPr>
              <w:ind w:left="100"/>
              <w:spacing w:after="0"/>
              <w:rPr>
                <w:sz w:val="20"/>
                <w:szCs w:val="20"/>
                <w:color w:val="auto"/>
              </w:rPr>
            </w:pPr>
            <w:r>
              <w:rPr>
                <w:rFonts w:ascii="Arial" w:cs="Arial" w:eastAsia="Arial" w:hAnsi="Arial"/>
                <w:sz w:val="16"/>
                <w:szCs w:val="16"/>
                <w:color w:val="auto"/>
              </w:rPr>
              <w:t>Advances to suppliers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Receivables from government grants</w:t>
            </w:r>
          </w:p>
        </w:tc>
        <w:tc>
          <w:tcPr>
            <w:tcW w:w="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28"/>
        </w:trPr>
        <w:tc>
          <w:tcPr>
            <w:tcW w:w="6840" w:type="dxa"/>
            <w:vAlign w:val="bottom"/>
          </w:tcPr>
          <w:p>
            <w:pPr>
              <w:ind w:left="100"/>
              <w:spacing w:after="0"/>
              <w:rPr>
                <w:sz w:val="20"/>
                <w:szCs w:val="20"/>
                <w:color w:val="auto"/>
              </w:rPr>
            </w:pPr>
            <w:r>
              <w:rPr>
                <w:rFonts w:ascii="Arial" w:cs="Arial" w:eastAsia="Arial" w:hAnsi="Arial"/>
                <w:sz w:val="16"/>
                <w:szCs w:val="16"/>
                <w:color w:val="auto"/>
              </w:rPr>
              <w:t>Equity investments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376</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r>
      <w:tr>
        <w:trPr>
          <w:trHeight w:val="21"/>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1" w:lineRule="auto"/>
        <w:tabs>
          <w:tab w:leader="none" w:pos="18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nine months ended September 30, 2025 and for the twelve months ended December 31, 2024,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Revenue recognized during the period</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Amounts invoiced</w:t>
            </w: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8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50"/>
        </w:trPr>
        <w:tc>
          <w:tcPr>
            <w:tcW w:w="68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September 30, 2025 and 2024, the Company recognized $19 million and $0 million, respectively, within cost of revenue to write down certain inventories to their estimated net realizable value.</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September 30, 2025 and 2024, the Company recognized $41 million and $31 million, respectively, within cost of revenue to write down certain inventories to their estimated net realizable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13.7 years and weighted average discount rate of 4.4% as of September 30, 2025.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carrying amounts of right-of-use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Pr>
          <w:p>
            <w:pPr>
              <w:spacing w:after="0"/>
              <w:rPr>
                <w:sz w:val="19"/>
                <w:szCs w:val="19"/>
                <w:color w:val="auto"/>
              </w:rPr>
            </w:pPr>
          </w:p>
        </w:tc>
        <w:tc>
          <w:tcPr>
            <w:tcW w:w="21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4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7"/>
        </w:trPr>
        <w:tc>
          <w:tcPr>
            <w:tcW w:w="4740" w:type="dxa"/>
            <w:vAlign w:val="bottom"/>
          </w:tcPr>
          <w:p>
            <w:pPr>
              <w:ind w:left="80"/>
              <w:spacing w:after="0"/>
              <w:rPr>
                <w:sz w:val="20"/>
                <w:szCs w:val="20"/>
                <w:color w:val="auto"/>
              </w:rPr>
            </w:pPr>
            <w:r>
              <w:rPr>
                <w:rFonts w:ascii="Arial" w:cs="Arial" w:eastAsia="Arial" w:hAnsi="Arial"/>
                <w:sz w:val="16"/>
                <w:szCs w:val="16"/>
                <w:color w:val="auto"/>
              </w:rPr>
              <w:t>Building and leasehold improvements and other</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w:t>
            </w:r>
          </w:p>
        </w:tc>
        <w:tc>
          <w:tcPr>
            <w:tcW w:w="80" w:type="dxa"/>
            <w:vAlign w:val="bottom"/>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The following table summarizes the depreciation of right-of-use assets:</w:t>
            </w: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740" w:type="dxa"/>
            <w:vAlign w:val="bottom"/>
          </w:tcPr>
          <w:p>
            <w:pPr>
              <w:spacing w:after="0"/>
              <w:rPr>
                <w:sz w:val="24"/>
                <w:szCs w:val="24"/>
                <w:color w:val="auto"/>
              </w:rPr>
            </w:pPr>
          </w:p>
        </w:tc>
        <w:tc>
          <w:tcPr>
            <w:tcW w:w="320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740" w:type="dxa"/>
            <w:vAlign w:val="bottom"/>
          </w:tcPr>
          <w:p>
            <w:pPr>
              <w:spacing w:after="0"/>
              <w:rPr>
                <w:sz w:val="23"/>
                <w:szCs w:val="23"/>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8"/>
        </w:trPr>
        <w:tc>
          <w:tcPr>
            <w:tcW w:w="4740" w:type="dxa"/>
            <w:vAlign w:val="bottom"/>
          </w:tcPr>
          <w:p>
            <w:pPr>
              <w:ind w:left="80"/>
              <w:spacing w:after="0"/>
              <w:rPr>
                <w:sz w:val="20"/>
                <w:szCs w:val="20"/>
                <w:color w:val="auto"/>
              </w:rPr>
            </w:pPr>
            <w:r>
              <w:rPr>
                <w:rFonts w:ascii="Arial" w:cs="Arial" w:eastAsia="Arial" w:hAnsi="Arial"/>
                <w:sz w:val="16"/>
                <w:szCs w:val="16"/>
                <w:color w:val="auto"/>
              </w:rPr>
              <w:t>Building and leasehold improvements and other</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7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For the three months ended September 30, 2025 and 2024, the additions to right-of-use assets were $5 million and $3 million, respectively. For the nine months ended September 30, 2025 and 2024, the additions to right-of-use assets were $27 million and $214 million, respectively.</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three months ended September 30, 2025 and 2024, interest expense was $6 million and $5 million, respectively. For the nine months ended September 30, 2025 and 2024, interest expense was $17 million and $20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2025 and 2024, cash outflow for leases was $80 million and $42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20"/>
                <w:szCs w:val="20"/>
                <w:color w:val="auto"/>
              </w:rPr>
            </w:pPr>
            <w:r>
              <w:rPr>
                <w:rFonts w:ascii="Arial" w:cs="Arial" w:eastAsia="Arial" w:hAnsi="Arial"/>
                <w:sz w:val="16"/>
                <w:szCs w:val="16"/>
                <w:b w:val="1"/>
                <w:bCs w:val="1"/>
                <w:color w:val="auto"/>
              </w:rPr>
              <w:t>Note 11. Trade Payables and Other Liabilities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5"/>
        </w:trPr>
        <w:tc>
          <w:tcPr>
            <w:tcW w:w="68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September 30, 2025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28"/>
        </w:trPr>
        <w:tc>
          <w:tcPr>
            <w:tcW w:w="684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860" w:type="dxa"/>
            <w:vAlign w:val="bottom"/>
          </w:tcPr>
          <w:p>
            <w:pPr>
              <w:jc w:val="right"/>
              <w:ind w:right="16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513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9"/>
        </w:trPr>
        <w:tc>
          <w:tcPr>
            <w:tcW w:w="6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412</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56"/>
        </w:trPr>
        <w:tc>
          <w:tcPr>
            <w:tcW w:w="684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558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37"/>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233</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56"/>
        </w:trPr>
        <w:tc>
          <w:tcPr>
            <w:tcW w:w="6840" w:type="dxa"/>
            <w:vAlign w:val="bottom"/>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1,875</w:t>
            </w:r>
          </w:p>
        </w:tc>
        <w:tc>
          <w:tcPr>
            <w:tcW w:w="80" w:type="dxa"/>
            <w:vAlign w:val="bottom"/>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2,092</w:t>
            </w:r>
          </w:p>
        </w:tc>
      </w:tr>
      <w:tr>
        <w:trPr>
          <w:trHeight w:val="208"/>
        </w:trPr>
        <w:tc>
          <w:tcPr>
            <w:tcW w:w="684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9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9"/>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Payables for intangible assets</w:t>
            </w:r>
          </w:p>
        </w:tc>
        <w:tc>
          <w:tcPr>
            <w:tcW w:w="9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57"/>
        </w:trPr>
        <w:tc>
          <w:tcPr>
            <w:tcW w:w="6840" w:type="dxa"/>
            <w:vAlign w:val="bottom"/>
          </w:tcPr>
          <w:p>
            <w:pPr>
              <w:ind w:left="14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9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5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29"/>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951</w:t>
            </w:r>
          </w:p>
        </w:tc>
        <w:tc>
          <w:tcPr>
            <w:tcW w:w="94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1,022</w:t>
            </w:r>
          </w:p>
        </w:tc>
      </w:tr>
      <w:tr>
        <w:trPr>
          <w:trHeight w:val="21"/>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Contract liabilities comprise contractual obligations for payments received in advance of the satisfaction of performance obligations for wafers, as well as NRE services.</w:t>
      </w:r>
    </w:p>
    <w:p>
      <w:pPr>
        <w:spacing w:after="0" w:line="105" w:lineRule="exact"/>
        <w:rPr>
          <w:rFonts w:ascii="Arial" w:cs="Arial" w:eastAsia="Arial" w:hAnsi="Arial"/>
          <w:sz w:val="9"/>
          <w:szCs w:val="9"/>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Other includes other financial liabilities, due from related parties, earnout liabilities, deferred tax liabilities and advances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gridSpan w:val="3"/>
          </w:tcPr>
          <w:p>
            <w:pPr>
              <w:spacing w:after="0"/>
              <w:rPr>
                <w:sz w:val="20"/>
                <w:szCs w:val="20"/>
                <w:color w:val="auto"/>
              </w:rPr>
            </w:pPr>
            <w:r>
              <w:rPr>
                <w:rFonts w:ascii="Arial" w:cs="Arial" w:eastAsia="Arial" w:hAnsi="Arial"/>
                <w:sz w:val="16"/>
                <w:szCs w:val="16"/>
                <w:color w:val="auto"/>
              </w:rPr>
              <w:t>The following table presents the activities in contract liabilities as of September 30, 2025 and December 31, 2024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contract liabilities balance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220" w:type="dxa"/>
            <w:vAlign w:val="bottom"/>
            <w:shd w:val="clear" w:color="auto" w:fill="CCEEFF"/>
          </w:tcPr>
          <w:p>
            <w:pPr>
              <w:spacing w:after="0"/>
              <w:rPr>
                <w:sz w:val="24"/>
                <w:szCs w:val="2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04"/>
        </w:trPr>
        <w:tc>
          <w:tcPr>
            <w:tcW w:w="68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contract liabilities balance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w:t>
            </w:r>
          </w:p>
        </w:tc>
        <w:tc>
          <w:tcPr>
            <w:tcW w:w="8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w:t>
            </w:r>
          </w:p>
        </w:tc>
        <w:tc>
          <w:tcPr>
            <w:tcW w:w="80" w:type="dxa"/>
            <w:vAlign w:val="bottom"/>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hanging="172"/>
        <w:spacing w:after="0" w:line="241" w:lineRule="auto"/>
        <w:tabs>
          <w:tab w:leader="none" w:pos="173"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$14 million and $18 million primarily due to the unbilled accounts receivable balance applied against the related contract liabilities for a certain customer's non-recurring engineering arrangement as of September 30, 2025 and December 31, 2024, respectively.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Long Term Debt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Nominal Interest Rate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Interest Payment</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Payment</w:t>
            </w:r>
          </w:p>
        </w:tc>
        <w:tc>
          <w:tcPr>
            <w:tcW w:w="110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rPr>
              <w:t>Year</w:t>
            </w:r>
          </w:p>
        </w:tc>
        <w:tc>
          <w:tcPr>
            <w:tcW w:w="1060" w:type="dxa"/>
            <w:vAlign w:val="bottom"/>
          </w:tcPr>
          <w:p>
            <w:pPr>
              <w:jc w:val="right"/>
              <w:ind w:right="137"/>
              <w:spacing w:after="0"/>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25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2"/>
              </w:rPr>
              <w:t>Terms</w:t>
            </w:r>
          </w:p>
        </w:tc>
        <w:tc>
          <w:tcPr>
            <w:tcW w:w="110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of Maturity</w:t>
            </w: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9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+ 2.90%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EUR Term Loan A</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EURIBOR + 2.60%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140" w:type="dxa"/>
            <w:vAlign w:val="bottom"/>
          </w:tcPr>
          <w:p>
            <w:pPr>
              <w:spacing w:after="0"/>
              <w:rPr>
                <w:sz w:val="15"/>
                <w:szCs w:val="15"/>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320" w:type="dxa"/>
            <w:vAlign w:val="bottom"/>
          </w:tcPr>
          <w:p>
            <w:pPr>
              <w:ind w:left="20"/>
              <w:spacing w:after="0"/>
              <w:rPr>
                <w:sz w:val="20"/>
                <w:szCs w:val="20"/>
                <w:color w:val="auto"/>
              </w:rPr>
            </w:pPr>
            <w:r>
              <w:rPr>
                <w:rFonts w:ascii="Arial" w:cs="Arial" w:eastAsia="Arial" w:hAnsi="Arial"/>
                <w:sz w:val="13"/>
                <w:szCs w:val="13"/>
                <w:color w:val="auto"/>
                <w:w w:val="96"/>
              </w:rPr>
              <w:t>2020</w:t>
            </w:r>
          </w:p>
        </w:tc>
        <w:tc>
          <w:tcPr>
            <w:tcW w:w="2200" w:type="dxa"/>
            <w:vAlign w:val="bottom"/>
          </w:tcPr>
          <w:p>
            <w:pPr>
              <w:ind w:left="20"/>
              <w:spacing w:after="0"/>
              <w:rPr>
                <w:sz w:val="20"/>
                <w:szCs w:val="20"/>
                <w:color w:val="auto"/>
              </w:rPr>
            </w:pPr>
            <w:r>
              <w:rPr>
                <w:rFonts w:ascii="Arial" w:cs="Arial" w:eastAsia="Arial" w:hAnsi="Arial"/>
                <w:sz w:val="13"/>
                <w:szCs w:val="13"/>
                <w:color w:val="auto"/>
              </w:rPr>
              <w:t>USD Equipment Financing</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Pr>
          <w:p>
            <w:pPr>
              <w:jc w:val="center"/>
              <w:spacing w:after="0"/>
              <w:rPr>
                <w:sz w:val="20"/>
                <w:szCs w:val="20"/>
                <w:color w:val="auto"/>
              </w:rPr>
            </w:pPr>
            <w:r>
              <w:rPr>
                <w:rFonts w:ascii="Arial" w:cs="Arial" w:eastAsia="Arial" w:hAnsi="Arial"/>
                <w:sz w:val="13"/>
                <w:szCs w:val="13"/>
                <w:color w:val="auto"/>
                <w:w w:val="95"/>
              </w:rPr>
              <w:t>SOFR + 1.90%</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1460" w:type="dxa"/>
            <w:vAlign w:val="bottom"/>
          </w:tcPr>
          <w:p>
            <w:pPr>
              <w:jc w:val="center"/>
              <w:spacing w:after="0"/>
              <w:rPr>
                <w:sz w:val="20"/>
                <w:szCs w:val="20"/>
                <w:color w:val="auto"/>
              </w:rPr>
            </w:pPr>
            <w:r>
              <w:rPr>
                <w:rFonts w:ascii="Arial" w:cs="Arial" w:eastAsia="Arial" w:hAnsi="Arial"/>
                <w:sz w:val="13"/>
                <w:szCs w:val="13"/>
                <w:color w:val="auto"/>
                <w:w w:val="97"/>
              </w:rPr>
              <w:t>Quarterly</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140" w:type="dxa"/>
            <w:vAlign w:val="bottom"/>
          </w:tcPr>
          <w:p>
            <w:pPr>
              <w:spacing w:after="0"/>
              <w:rPr>
                <w:sz w:val="15"/>
                <w:szCs w:val="15"/>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EUR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EUR</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EURIBOR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2026-2033</w:t>
            </w:r>
          </w:p>
        </w:tc>
        <w:tc>
          <w:tcPr>
            <w:tcW w:w="140" w:type="dxa"/>
            <w:vAlign w:val="bottom"/>
          </w:tcPr>
          <w:p>
            <w:pPr>
              <w:spacing w:after="0"/>
              <w:rPr>
                <w:sz w:val="15"/>
                <w:szCs w:val="15"/>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2520" w:type="dxa"/>
            <w:vAlign w:val="bottom"/>
            <w:tcBorders>
              <w:bottom w:val="single" w:sz="8" w:color="CCEEFF"/>
            </w:tcBorders>
            <w:gridSpan w:val="2"/>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Current total</w:t>
            </w:r>
          </w:p>
        </w:tc>
        <w:tc>
          <w:tcPr>
            <w:tcW w:w="9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62</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2019</w:t>
            </w: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USD Dresden Equipment Financing</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94"/>
              </w:rPr>
              <w:t>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SOFR + 2.25%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2021 SGD EDB Loan</w:t>
            </w:r>
          </w:p>
        </w:tc>
        <w:tc>
          <w:tcPr>
            <w:tcW w:w="900" w:type="dxa"/>
            <w:vAlign w:val="bottom"/>
          </w:tcPr>
          <w:p>
            <w:pPr>
              <w:jc w:val="center"/>
              <w:spacing w:after="0"/>
              <w:rPr>
                <w:sz w:val="20"/>
                <w:szCs w:val="20"/>
                <w:color w:val="auto"/>
              </w:rPr>
            </w:pPr>
            <w:r>
              <w:rPr>
                <w:rFonts w:ascii="Arial" w:cs="Arial" w:eastAsia="Arial" w:hAnsi="Arial"/>
                <w:sz w:val="13"/>
                <w:szCs w:val="13"/>
                <w:color w:val="auto"/>
                <w:w w:val="99"/>
              </w:rPr>
              <w:t>SGD</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1.40%</w:t>
            </w:r>
          </w:p>
        </w:tc>
        <w:tc>
          <w:tcPr>
            <w:tcW w:w="13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2041</w:t>
            </w:r>
          </w:p>
        </w:tc>
        <w:tc>
          <w:tcPr>
            <w:tcW w:w="140" w:type="dxa"/>
            <w:vAlign w:val="bottom"/>
          </w:tcPr>
          <w:p>
            <w:pPr>
              <w:spacing w:after="0"/>
              <w:rPr>
                <w:sz w:val="15"/>
                <w:szCs w:val="15"/>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1,039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EUR, USD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Various</w:t>
            </w:r>
          </w:p>
        </w:tc>
        <w:tc>
          <w:tcPr>
            <w:tcW w:w="1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2026-2033</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Non-current total</w:t>
            </w:r>
          </w:p>
        </w:tc>
        <w:tc>
          <w:tcPr>
            <w:tcW w:w="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1,109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1,053</w:t>
            </w:r>
          </w:p>
        </w:tc>
        <w:tc>
          <w:tcPr>
            <w:tcW w:w="0" w:type="dxa"/>
            <w:vAlign w:val="bottom"/>
          </w:tcPr>
          <w:p>
            <w:pPr>
              <w:spacing w:after="0"/>
              <w:rPr>
                <w:sz w:val="1"/>
                <w:szCs w:val="1"/>
                <w:color w:val="auto"/>
              </w:rPr>
            </w:pPr>
          </w:p>
        </w:tc>
      </w:tr>
      <w:tr>
        <w:trPr>
          <w:trHeight w:val="35"/>
        </w:trPr>
        <w:tc>
          <w:tcPr>
            <w:tcW w:w="32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9"/>
              </w:rPr>
              <w:t>Total</w:t>
            </w:r>
          </w:p>
        </w:tc>
        <w:tc>
          <w:tcPr>
            <w:tcW w:w="2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1,171</w:t>
            </w:r>
          </w:p>
        </w:tc>
        <w:tc>
          <w:tcPr>
            <w:tcW w:w="8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1,806</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January 2, 2025, the Company prepaid all of its outstanding loans under the Term Loan A. The total amount of the prepayment was $664 million, comprising all outstanding loans and interest accrued through the date of prepayment. Upon the prepayment, assets pledged as common security under certain of the Company’s senior facilities and the revolving credit facility were irrevocably and unconditionally released in accordance with the terms. The revolving credit facility continues to be available to the Company on an unsecured basis following the release of the common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279"/>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8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7"/>
        </w:trPr>
        <w:tc>
          <w:tcPr>
            <w:tcW w:w="684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9"/>
        </w:trPr>
        <w:tc>
          <w:tcPr>
            <w:tcW w:w="6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75"/>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Compliance and Waivers— </w:t>
      </w:r>
      <w:r>
        <w:rPr>
          <w:rFonts w:ascii="Arial" w:cs="Arial" w:eastAsia="Arial" w:hAnsi="Arial"/>
          <w:sz w:val="16"/>
          <w:szCs w:val="16"/>
          <w:color w:val="auto"/>
        </w:rPr>
        <w:t>In September 2025, the Company obtained waivers to certain loan agreements, lease agreements and equipment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pursuant to which the lenders agreed to waive potential automatic events of default due to breach of any sanctions. The breach related to a shipment made in error to a company on the U.S. Bureau of Industry and Security’s Entity List. The September 2025 waivers eliminated the possibility of automatic events of default that would have otherwise existed as of and prior to the date the waivers were obtained.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Related Party Disclosures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$0 and $9 million due from related parties as of September 30, 2025 and December 31, 2024, respectively, have been included in receivables, prepayments and other assets. The $4 million and $20 million due to related parties as of September 30, 2025 and December 31, 2024, respectively, have been included in trade and other payables.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Related party balances disclosed in the interim financial statements relate to MDC General Services Holding Company LLC, Mamoura Holdings (US) LLC, and Silicon Manufacturing Partners Pte Ltd. ("SMP"). As of December 31, 2024, we held a 49% interest in SMP, a joint venture with Avago Technologies International Sales Pte. Limited ("Avago Singapore"), and managed all aspects of its manufacturing operations. In the first quarter of 2025, we acquired the remaining 51% of the shares in the share capital of SMP from Avago Singapore, thereby making SMP a wholly-owned subsidiary of GlobalFoundries. Consequently, SMP no longer qualifies as a related party due to this change in ownership structure.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ectPr>
          <w:pgSz w:w="11900" w:h="16838" w:orient="portrait"/>
          <w:cols w:equalWidth="0" w:num="1">
            <w:col w:w="11240"/>
          </w:cols>
          <w:pgMar w:left="320" w:top="98" w:right="339" w:bottom="1440" w:gutter="0" w:footer="0" w:header="0"/>
        </w:sectPr>
      </w:pPr>
    </w:p>
    <w:p>
      <w:pPr>
        <w:spacing w:after="0" w:line="18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38100</wp:posOffset>
            </wp:positionV>
            <wp:extent cx="2383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6" w:lineRule="exact"/>
        <w:rPr>
          <w:sz w:val="20"/>
          <w:szCs w:val="20"/>
          <w:color w:val="auto"/>
        </w:rPr>
      </w:pPr>
    </w:p>
    <w:p>
      <w:pPr>
        <w:ind w:left="4300"/>
        <w:spacing w:after="0"/>
        <w:tabs>
          <w:tab w:leader="none" w:pos="622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38100</wp:posOffset>
            </wp:positionV>
            <wp:extent cx="23399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20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40" w:lineRule="exact"/>
        <w:rPr>
          <w:sz w:val="20"/>
          <w:szCs w:val="20"/>
          <w:color w:val="auto"/>
        </w:rPr>
      </w:pPr>
    </w:p>
    <w:p>
      <w:pPr>
        <w:sectPr>
          <w:pgSz w:w="11900" w:h="16838" w:orient="portrait"/>
          <w:cols w:equalWidth="0" w:num="2">
            <w:col w:w="7220" w:space="720"/>
            <w:col w:w="3300"/>
          </w:cols>
          <w:pgMar w:left="320" w:top="98"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8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28"/>
        </w:trPr>
        <w:tc>
          <w:tcPr>
            <w:tcW w:w="3560" w:type="dxa"/>
            <w:vAlign w:val="bottom"/>
          </w:tcPr>
          <w:p>
            <w:pPr>
              <w:ind w:left="20"/>
              <w:spacing w:after="0"/>
              <w:rPr>
                <w:sz w:val="20"/>
                <w:szCs w:val="20"/>
                <w:color w:val="auto"/>
              </w:rPr>
            </w:pPr>
            <w:r>
              <w:rPr>
                <w:rFonts w:ascii="Arial" w:cs="Arial" w:eastAsia="Arial" w:hAnsi="Arial"/>
                <w:sz w:val="16"/>
                <w:szCs w:val="16"/>
                <w:color w:val="auto"/>
              </w:rPr>
              <w:t>SMP</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6"/>
        </w:trPr>
        <w:tc>
          <w:tcPr>
            <w:tcW w:w="35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35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5"/>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5"/>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 of tools)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Mamoura Holdings (US) LLC (consulting service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fees)</w:t>
            </w:r>
          </w:p>
        </w:tc>
        <w:tc>
          <w:tcPr>
            <w:tcW w:w="86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3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MDC General Services Holding Company LLC</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(recharge of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3560" w:type="dxa"/>
            <w:vAlign w:val="bottom"/>
          </w:tcPr>
          <w:p>
            <w:pPr>
              <w:spacing w:after="0"/>
              <w:rPr>
                <w:sz w:val="19"/>
                <w:szCs w:val="19"/>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35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Commitments and Contingencies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$808 million as of September 30, 2025. Purchase commitments of $610 million are due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obtained letters of credit and bank guarantees to guarantee payments for utility suppliers, foreign statutory payroll related charges, and other purposes. The Company has obtained total facilities of $132 million and $129 million as of September 30, 2025 and December 31, 2024,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$44 million as of September 30, 2025. The amount of the reserve may change depending on future assessments by tax authorities.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Fair Value Measurements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21" w:lineRule="exact"/>
        <w:rPr>
          <w:rFonts w:ascii="Arial" w:cs="Arial" w:eastAsia="Arial" w:hAnsi="Arial"/>
          <w:sz w:val="16"/>
          <w:szCs w:val="16"/>
          <w:color w:val="auto"/>
        </w:rPr>
      </w:pPr>
    </w:p>
    <w:p>
      <w:pPr>
        <w:jc w:val="both"/>
        <w:ind w:left="660" w:right="20" w:hanging="328"/>
        <w:spacing w:after="0" w:line="252"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ind w:left="660" w:hanging="328"/>
        <w:spacing w:after="0" w:line="28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 Other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Inputs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1,496</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2,149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1,558</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Included in cash and cash equivalents on the Company’s interim condensed consolidated statements of financial position.</w:t>
      </w:r>
    </w:p>
    <w:p>
      <w:pPr>
        <w:spacing w:after="0" w:line="111" w:lineRule="exact"/>
        <w:rPr>
          <w:rFonts w:ascii="Arial" w:cs="Arial" w:eastAsia="Arial" w:hAnsi="Arial"/>
          <w:sz w:val="16"/>
          <w:szCs w:val="16"/>
          <w:color w:val="auto"/>
          <w:vertAlign w:val="superscript"/>
        </w:rPr>
      </w:pPr>
    </w:p>
    <w:p>
      <w:pPr>
        <w:ind w:left="220" w:hanging="212"/>
        <w:spacing w:after="0"/>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79" w:lineRule="exact"/>
        <w:rPr>
          <w:rFonts w:ascii="Arial" w:cs="Arial" w:eastAsia="Arial" w:hAnsi="Arial"/>
          <w:sz w:val="19"/>
          <w:szCs w:val="19"/>
          <w:color w:val="auto"/>
          <w:vertAlign w:val="superscript"/>
        </w:rPr>
      </w:pPr>
    </w:p>
    <w:p>
      <w:pPr>
        <w:ind w:left="180" w:hanging="172"/>
        <w:spacing w:after="0" w:line="305" w:lineRule="auto"/>
        <w:tabs>
          <w:tab w:leader="none" w:pos="249"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swaps. Included in other current and non-current financial assets and other current and non-current liabilities on the Company’s interim condensed consolidated statements of financial position.</w:t>
      </w:r>
    </w:p>
    <w:p>
      <w:pPr>
        <w:spacing w:after="0" w:line="49" w:lineRule="exact"/>
        <w:rPr>
          <w:rFonts w:ascii="Arial" w:cs="Arial" w:eastAsia="Arial" w:hAnsi="Arial"/>
          <w:sz w:val="9"/>
          <w:szCs w:val="9"/>
          <w:color w:val="auto"/>
        </w:rPr>
      </w:pPr>
    </w:p>
    <w:p>
      <w:pPr>
        <w:ind w:left="180" w:hanging="172"/>
        <w:spacing w:after="0" w:line="231" w:lineRule="auto"/>
        <w:tabs>
          <w:tab w:leader="none" w:pos="26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interim condensed consolidated statements of financial position.</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nine months ended September 30, 2025, there were no transfers between Level 1, Level 2 or Level 3 fair value measurements. During the nine months ended September 30, 2024, marketable securities with carrying amounts of $646 million, were transferred from Level 1 to Level 2. These transfers occurred as the Company reassessed the market activity of these securities.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assets such as equity method investments, intangible assets and property, plant and equipment, and other non-financial assets, are recorded at fair value only if an impairment or observable price adjustment is recognized in the current period.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current and non-current portions of the Company’s long-term debt which are measured at amortized cost.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32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September 30, 2025</w:t>
            </w:r>
          </w:p>
        </w:tc>
        <w:tc>
          <w:tcPr>
            <w:tcW w:w="100" w:type="dxa"/>
            <w:vAlign w:val="bottom"/>
          </w:tcPr>
          <w:p>
            <w:pPr>
              <w:spacing w:after="0"/>
              <w:rPr>
                <w:sz w:val="19"/>
                <w:szCs w:val="19"/>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December 31, 2024</w:t>
            </w:r>
          </w:p>
        </w:tc>
      </w:tr>
      <w:tr>
        <w:trPr>
          <w:trHeight w:val="21"/>
        </w:trPr>
        <w:tc>
          <w:tcPr>
            <w:tcW w:w="45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1,736</w:t>
            </w:r>
          </w:p>
        </w:tc>
      </w:tr>
    </w:tbl>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Equity</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22, 2024, the Company announced a share repurchase of 3.9 million ordinary shares from Mubadala Technology Investment Company ("MTIC"), a majority shareholder, at the price of $50.75 per share, for an aggregate purchase amount of $200 million. We completed the share repurchase on May 28, 2024.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900"/>
        <w:spacing w:after="0" w:line="396" w:lineRule="auto"/>
        <w:rPr>
          <w:sz w:val="20"/>
          <w:szCs w:val="20"/>
          <w:color w:val="auto"/>
        </w:rPr>
      </w:pPr>
      <w:r>
        <w:rPr>
          <w:rFonts w:ascii="Arial" w:cs="Arial" w:eastAsia="Arial" w:hAnsi="Arial"/>
          <w:sz w:val="16"/>
          <w:szCs w:val="16"/>
          <w:b w:val="1"/>
          <w:bCs w:val="1"/>
          <w:color w:val="auto"/>
        </w:rPr>
        <w:t xml:space="preserve">MANAGEMENT’S DISCUSSION AND ANALYSIS OF FINANCIAL CONDITION AND RESULTS OF OPERATIONS </w:t>
      </w:r>
      <w:r>
        <w:rPr>
          <w:rFonts w:ascii="Arial" w:cs="Arial" w:eastAsia="Arial" w:hAnsi="Arial"/>
          <w:sz w:val="16"/>
          <w:szCs w:val="16"/>
          <w:b w:val="1"/>
          <w:bCs w:val="1"/>
          <w:u w:val="single" w:color="auto"/>
          <w:color w:val="auto"/>
        </w:rPr>
        <w:t>Forward-looking Statements</w:t>
      </w: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Ukraine and Israel;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including the One Big Beautiful Bill Act;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2024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essential integrated circuits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the global leaders in IC design. We focus on providing optimized solutions for critical applications that drive key secular growth end markets, ensuring function, performance, and power requirements are met. As the only scaled pure-play foundry (defined as a company specializing in producing ICs for other companies with annual foundry revenue exceeding $3 billion) with a global footprint that is not based in China or Taiwan, we offer our customers the advantage of mitigating geopolitical risk and ensuring greater supply chain certainty and security Since our founding in 2009, we have invested over $23 billion to create a global manufacturing footprint with state-of-the-art facilities across three continents. Our differentiated foundry solutions redefine the industry by offering essential chip solutions that empower our customers to develop innovative products for a wide range of applications in diverse markets and bring their products to market quickly and cost effectively.</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To meet the needs of our customers, we devote our research and development ("R&amp;D") efforts to a diversified range of differentiated technology platforms in these key categories: Complementary Metal-Oxide Semiconductor (“CMOS”) for both Feature-Rich and Ultra-Low Power, RF, Power and Silicon Photonics (“SiPh”). Specifically, within these categories, our key technology platforms include RF SOI, FDX</w:t>
      </w:r>
      <w:r>
        <w:rPr>
          <w:rFonts w:ascii="Arial" w:cs="Arial" w:eastAsia="Arial" w:hAnsi="Arial"/>
          <w:sz w:val="21"/>
          <w:szCs w:val="21"/>
          <w:color w:val="auto"/>
          <w:vertAlign w:val="superscript"/>
        </w:rPr>
        <w:t>TM</w:t>
      </w:r>
      <w:r>
        <w:rPr>
          <w:rFonts w:ascii="Arial" w:cs="Arial" w:eastAsia="Arial" w:hAnsi="Arial"/>
          <w:sz w:val="16"/>
          <w:szCs w:val="16"/>
          <w:color w:val="auto"/>
        </w:rPr>
        <w:t>, Fin Field-Effect Transistor (“FinFET”), Bipolar-CMOS-DMOS (“BCD”), BCDLite, Silicon Germanium (“SiGe”) and Gallium Nitride (“GaN”) products.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88% and 89% of our net revenue for the three and nine months ended September 30, 2025, respectively. The rest of our net revenue was mainly derived from photomask manufacturing, sourcing services and pre-fab manufacturing services.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Starting in 2023, our business has experienced an industry-wide cyclical downturn that led to weaker demand across several of the end markets within which we operate. Exacerbated by geopolitical conflicts and inflation, this prolonged semiconductor downturn impacted our revenue as customers adjusted their inventory levels to match softer end demand.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the start of 2025, we saw indications of the bottoming of the cycle, including improving customer inventory levels and recovering consumer demand. This was evidenced by year-over-year revenue growth in two out of four of our key end markets during the three and nine months ended September 30, 2025. However, increased macroeconomic and policy uncertainty driven by tariff announcements have broadened the range of business outcomes across the semiconductor industry. Geopolitical tensions have emphasized for our customers the importance of supply resilience, flexibility and dependability. As a result, we have started to see increased customer interest in accessing our diversified manufacturing capabilities.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revenue from engineering and other pre-fabrication services such as non-recurring engineering (“NRE”) services, which include design services, mask production, process qualification, royalties and intellectual property licenses granted to certain customers.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Based on our current business activities, we expect our R&amp;D as a percentage of revenue to be relatively stable over time as expenses grow in line with increased 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expenses. We expect our SG&amp;A as a percentage of revenue to be relatively stable over time as expenses grow in line with increased revenue.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primarily relate to reductions in our global workforce, leased workspace and consultants we engage for strategic support of the restructuring.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 (Benefit)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and Nine months ended September 30, 2025 and 2024,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9"/>
          </w:tcPr>
          <w:p>
            <w:pPr>
              <w:jc w:val="right"/>
              <w:ind w:right="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7"/>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9"/>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1"/>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80" w:type="dxa"/>
            <w:vAlign w:val="bottom"/>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4,920</w:t>
            </w: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3,718</w:t>
            </w:r>
          </w:p>
        </w:tc>
      </w:tr>
      <w:tr>
        <w:trPr>
          <w:trHeight w:val="29"/>
        </w:trPr>
        <w:tc>
          <w:tcPr>
            <w:tcW w:w="2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414</w:t>
            </w:r>
          </w:p>
        </w:tc>
        <w:tc>
          <w:tcPr>
            <w:tcW w:w="10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1,182</w:t>
            </w:r>
          </w:p>
        </w:tc>
        <w:tc>
          <w:tcPr>
            <w:tcW w:w="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1,202</w:t>
            </w:r>
          </w:p>
        </w:tc>
      </w:tr>
      <w:tr>
        <w:trPr>
          <w:trHeight w:val="221"/>
        </w:trPr>
        <w:tc>
          <w:tcPr>
            <w:tcW w:w="3080" w:type="dxa"/>
            <w:vAlign w:val="bottom"/>
            <w:gridSpan w:val="4"/>
          </w:tcPr>
          <w:p>
            <w:pPr>
              <w:ind w:left="20"/>
              <w:spacing w:after="0"/>
              <w:rPr>
                <w:sz w:val="20"/>
                <w:szCs w:val="20"/>
                <w:color w:val="auto"/>
              </w:rPr>
            </w:pPr>
            <w:r>
              <w:rPr>
                <w:rFonts w:ascii="Arial" w:cs="Arial" w:eastAsia="Arial" w:hAnsi="Arial"/>
                <w:sz w:val="16"/>
                <w:szCs w:val="16"/>
                <w:color w:val="auto"/>
              </w:rPr>
              <w:t>Research and development expenses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375</w:t>
            </w:r>
          </w:p>
        </w:tc>
      </w:tr>
      <w:tr>
        <w:trPr>
          <w:trHeight w:val="29"/>
        </w:trPr>
        <w:tc>
          <w:tcPr>
            <w:tcW w:w="206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8"/>
              </w:rPr>
              <w:t>98</w:t>
            </w:r>
          </w:p>
        </w:tc>
        <w:tc>
          <w:tcPr>
            <w:tcW w:w="10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27"/>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2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640</w:t>
            </w:r>
          </w:p>
        </w:tc>
        <w:tc>
          <w:tcPr>
            <w:tcW w:w="8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715</w:t>
            </w:r>
          </w:p>
        </w:tc>
      </w:tr>
      <w:tr>
        <w:trPr>
          <w:trHeight w:val="229"/>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542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487</w:t>
            </w:r>
          </w:p>
        </w:tc>
      </w:tr>
      <w:tr>
        <w:trPr>
          <w:trHeight w:val="21"/>
        </w:trPr>
        <w:tc>
          <w:tcPr>
            <w:tcW w:w="2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8"/>
              </w:rPr>
              <w:t>15</w:t>
            </w:r>
          </w:p>
        </w:tc>
        <w:tc>
          <w:tcPr>
            <w:tcW w:w="10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1"/>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2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637</w:t>
            </w:r>
          </w:p>
        </w:tc>
        <w:tc>
          <w:tcPr>
            <w:tcW w:w="80" w:type="dxa"/>
            <w:vAlign w:val="bottom"/>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r>
      <w:tr>
        <w:trPr>
          <w:trHeight w:val="227"/>
        </w:trPr>
        <w:tc>
          <w:tcPr>
            <w:tcW w:w="2320" w:type="dxa"/>
            <w:vAlign w:val="bottom"/>
            <w:gridSpan w:val="3"/>
          </w:tcPr>
          <w:p>
            <w:pPr>
              <w:ind w:left="20"/>
              <w:spacing w:after="0"/>
              <w:rPr>
                <w:sz w:val="20"/>
                <w:szCs w:val="20"/>
                <w:color w:val="auto"/>
              </w:rPr>
            </w:pPr>
            <w:r>
              <w:rPr>
                <w:rFonts w:ascii="Arial" w:cs="Arial" w:eastAsia="Arial" w:hAnsi="Arial"/>
                <w:sz w:val="16"/>
                <w:szCs w:val="16"/>
                <w:color w:val="auto"/>
              </w:rPr>
              <w:t>Income tax (expense) benefit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9"/>
        </w:trPr>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80" w:type="dxa"/>
            <w:vAlign w:val="bottom"/>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r>
      <w:tr>
        <w:trPr>
          <w:trHeight w:val="445"/>
        </w:trPr>
        <w:tc>
          <w:tcPr>
            <w:tcW w:w="20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351"/>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10"/>
          </w:tcPr>
          <w:p>
            <w:pPr>
              <w:jc w:val="right"/>
              <w:ind w:right="37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20" w:type="dxa"/>
            <w:vAlign w:val="bottom"/>
            <w:gridSpan w:val="11"/>
          </w:tcPr>
          <w:p>
            <w:pPr>
              <w:jc w:val="right"/>
              <w:ind w:right="87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20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20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228"/>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80" w:type="dxa"/>
            <w:vAlign w:val="bottom"/>
          </w:tcPr>
          <w:p>
            <w:pPr>
              <w:spacing w:after="0"/>
              <w:rPr>
                <w:sz w:val="19"/>
                <w:szCs w:val="19"/>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9"/>
        </w:trPr>
        <w:tc>
          <w:tcPr>
            <w:tcW w:w="2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revenue decreased by $51 million, or 2.9%, for the three months ended September 30, 2025, compared to the three months ended September 30, 2024. The decrease from the prior year period was driven by lower average selling prices for certain customers in specific end markets, lower underutilization payments from customers under long term agreements, and changes in the product mix shipped in the period, contributing to a 13% decrease in average selling prices. This was partially offset by an increase in wafer shipment volume, totaling 602 thousand (300mm equivalent), a 9.7% increase from the prior period and by an increase in non-wafer revenue driven by stronger non-recurring engineering services revenue, a 13.2% increase from the prior period.</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revenue increased by $41 million, or 0.8%, for the nine months ended September 30, 2025, compared to the nine months ended September 30, 2024. The increase was primarily driven by higher wafer shipment volumes totaling 1,726 thousand (300mm equivalent), a 12.9% increase from the prior period and by an increase in non-wafer revenue driven by stronger licensing fee revenue and non-recurring engineering service revenue, a 10.4% increase from prior period. This was offset by lower average selling prices for certain customers in specific end markets, as well as lower underutilization payments from customers under long term agreements, and changes in the product mix shipped in the period, contributing to an 11.7% decrease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End Markets:</w:t>
            </w:r>
          </w:p>
        </w:tc>
        <w:tc>
          <w:tcPr>
            <w:tcW w:w="220" w:type="dxa"/>
            <w:vAlign w:val="bottom"/>
          </w:tcPr>
          <w:p>
            <w:pPr>
              <w:spacing w:after="0"/>
              <w:rPr>
                <w:sz w:val="19"/>
                <w:szCs w:val="19"/>
                <w:color w:val="auto"/>
              </w:rPr>
            </w:pPr>
          </w:p>
        </w:tc>
        <w:tc>
          <w:tcPr>
            <w:tcW w:w="4260" w:type="dxa"/>
            <w:vAlign w:val="bottom"/>
            <w:gridSpan w:val="9"/>
          </w:tcPr>
          <w:p>
            <w:pPr>
              <w:jc w:val="right"/>
              <w:ind w:right="7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20" w:type="dxa"/>
            <w:vAlign w:val="bottom"/>
            <w:gridSpan w:val="9"/>
          </w:tcPr>
          <w:p>
            <w:pPr>
              <w:jc w:val="right"/>
              <w:ind w:right="87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0"/>
        </w:trPr>
        <w:tc>
          <w:tcPr>
            <w:tcW w:w="2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80" w:type="dxa"/>
            <w:vAlign w:val="bottom"/>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80" w:type="dxa"/>
            <w:vAlign w:val="bottom"/>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175"/>
        </w:trPr>
        <w:tc>
          <w:tcPr>
            <w:tcW w:w="2120" w:type="dxa"/>
            <w:vAlign w:val="bottom"/>
          </w:tcPr>
          <w:p>
            <w:pPr>
              <w:ind w:left="20"/>
              <w:spacing w:after="0" w:line="175" w:lineRule="exact"/>
              <w:rPr>
                <w:sz w:val="20"/>
                <w:szCs w:val="20"/>
                <w:color w:val="auto"/>
              </w:rPr>
            </w:pPr>
            <w:r>
              <w:rPr>
                <w:rFonts w:ascii="Arial" w:cs="Arial" w:eastAsia="Arial" w:hAnsi="Arial"/>
                <w:sz w:val="16"/>
                <w:szCs w:val="16"/>
                <w:color w:val="auto"/>
              </w:rPr>
              <w:t>Communications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color w:val="auto"/>
              </w:rPr>
              <w:t>Infrastructure &amp; Datacenter</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28.0 %</w:t>
            </w:r>
          </w:p>
        </w:tc>
      </w:tr>
      <w:tr>
        <w:trPr>
          <w:trHeight w:val="26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49"/>
        </w:trPr>
        <w:tc>
          <w:tcPr>
            <w:tcW w:w="212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24.1 %</w:t>
            </w: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1,688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1,739</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(2.9)%</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4,961</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4,920</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0.8 %</w:t>
            </w:r>
          </w:p>
        </w:tc>
      </w:tr>
    </w:tbl>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three months ended September 30, 2025, two of four end markets experienced growth compared to the three months ended September 30, 2024. Communications, Infrastructure &amp; Datacenter grew 31.6% year-over-year, driven by growth in several areas, including satellite communications and optical networking. The Automotive end market increased 19.5% year-over-year, driven by share gains in auto processing technologies as semiconductor content per vehicle continues to expand. Home and Industrial IoT declined 16.2% year over year, primarily due to a reduction of revenue from wafer shipments to certain Aerospace and Defense customers with end-of-life products. Smart Mobile Devices declined 13.4% year-over-year, which was driven primarily due to lower underutilization payments from customers and pricing adjustments where customers are dual sourced. Additionally, non-wafer revenue increased 13.2% year-over-year, driven by stronger non-recurring engineering services revenue.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nine months ended September 30, 2025, two of four end markets experienced growth compared to the nine months ended September 30, 2024. Automotive increased 24.1% year-over-year, driven by continued content expansion and share gains, supported by strong ramps at key customers. Communications, Infrastructure &amp; Datacenter grew 28.0% year-over-year, supported by growth in optical networking and satellite communications. Home and Industrial IoT declined 3.0% year over year, primarily due to a reduction of revenue from wafer shipments to certain A&amp;D customers with end-of-life products. Smart Mobile Devices decreased by 12.5% year-over-year, primarily due to lower underutilization payments from customers and pricing adjustments where customers are dual sourced. Additionally, non-wafer revenue increased 10.4% year-over-year, driven by strength in license activity and non-recurring engineering services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40" w:type="dxa"/>
            <w:vAlign w:val="bottom"/>
            <w:gridSpan w:val="9"/>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8"/>
          </w:tcPr>
          <w:p>
            <w:pPr>
              <w:ind w:left="980"/>
              <w:spacing w:after="0"/>
              <w:rPr>
                <w:sz w:val="20"/>
                <w:szCs w:val="20"/>
                <w:color w:val="auto"/>
              </w:rPr>
            </w:pPr>
            <w:r>
              <w:rPr>
                <w:rFonts w:ascii="Arial" w:cs="Arial" w:eastAsia="Arial" w:hAnsi="Arial"/>
                <w:sz w:val="16"/>
                <w:szCs w:val="16"/>
                <w:b w:val="1"/>
                <w:bCs w:val="1"/>
                <w:color w:val="auto"/>
              </w:rPr>
              <w:t>Nine Months Ended September 30</w:t>
            </w:r>
          </w:p>
        </w:tc>
        <w:tc>
          <w:tcPr>
            <w:tcW w:w="980" w:type="dxa"/>
            <w:vAlign w:val="bottom"/>
          </w:tcPr>
          <w:p>
            <w:pPr>
              <w:spacing w:after="0"/>
              <w:rPr>
                <w:sz w:val="19"/>
                <w:szCs w:val="19"/>
                <w:color w:val="auto"/>
              </w:rPr>
            </w:pPr>
          </w:p>
        </w:tc>
      </w:tr>
      <w:tr>
        <w:trPr>
          <w:trHeight w:val="21"/>
        </w:trPr>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0"/>
        </w:trPr>
        <w:tc>
          <w:tcPr>
            <w:tcW w:w="1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 Change</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180" w:type="dxa"/>
            <w:vAlign w:val="bottom"/>
            <w:tcBorders>
              <w:top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7"/>
        </w:trPr>
        <w:tc>
          <w:tcPr>
            <w:tcW w:w="19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3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4"/>
        </w:trPr>
        <w:tc>
          <w:tcPr>
            <w:tcW w:w="190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24.8 %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23.8 %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i w:val="1"/>
                <w:iCs w:val="1"/>
                <w:color w:val="auto"/>
              </w:rPr>
              <w:t>+100bps</w:t>
            </w:r>
          </w:p>
        </w:tc>
        <w:tc>
          <w:tcPr>
            <w:tcW w:w="9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i w:val="1"/>
                <w:iCs w:val="1"/>
                <w:color w:val="auto"/>
              </w:rPr>
              <w:t>23.8 %</w:t>
            </w:r>
          </w:p>
        </w:tc>
        <w:tc>
          <w:tcPr>
            <w:tcW w:w="1180" w:type="dxa"/>
            <w:vAlign w:val="bottom"/>
            <w:gridSpan w:val="2"/>
          </w:tcPr>
          <w:p>
            <w:pPr>
              <w:jc w:val="right"/>
              <w:spacing w:after="0"/>
              <w:rPr>
                <w:sz w:val="20"/>
                <w:szCs w:val="20"/>
                <w:color w:val="auto"/>
              </w:rPr>
            </w:pPr>
            <w:r>
              <w:rPr>
                <w:rFonts w:ascii="Arial" w:cs="Arial" w:eastAsia="Arial" w:hAnsi="Arial"/>
                <w:sz w:val="16"/>
                <w:szCs w:val="16"/>
                <w:i w:val="1"/>
                <w:iCs w:val="1"/>
                <w:color w:val="auto"/>
              </w:rPr>
              <w:t>24.4 %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4"/>
                <w:szCs w:val="14"/>
                <w:i w:val="1"/>
                <w:iCs w:val="1"/>
                <w:color w:val="auto"/>
              </w:rPr>
              <w:t>(60)bps</w:t>
            </w:r>
          </w:p>
        </w:tc>
        <w:tc>
          <w:tcPr>
            <w:tcW w:w="98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revenue decreased by $56 million, or 4.2%, for the three months ended September 30, 2025 compared to the three months ended September 30, 2024. The change was driven by $83 million lower depreciation and amortization expense primarily due to some of our manufacturing equipment being fully depreciated. This was partially offset by 9.7% higher shipment volume.</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margin increased to 24.8% for the three months ended September 30, 2025 from 23.8% for the three months ended September 30, 2024. The increase of 100 basis points was primarily driven by lower depreciation and amortization expense, partially offset by lower customer underutilization payments.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increased by $61 million, or 1.6%, for the nine months ended September 30, 2025 compared to the nine months ended September 30, 2024. The change was driven by a 12.9% higher shipment volume, offset by lower depreciation and amortization expense.</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margin decreased to 23.8% for the nine months ended September 30, 2025 from 24.4% for the nine months ended September 30, 2024. The decrease of 60 basis points was primarily driven by lower customer underutilization payments, partially offset by lower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9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760" w:type="dxa"/>
            <w:vAlign w:val="bottom"/>
            <w:gridSpan w:val="9"/>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20" w:type="dxa"/>
            <w:vAlign w:val="bottom"/>
            <w:gridSpan w:val="9"/>
          </w:tcPr>
          <w:p>
            <w:pPr>
              <w:jc w:val="center"/>
              <w:ind w:right="1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0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Research and</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34"/>
        </w:trPr>
        <w:tc>
          <w:tcPr>
            <w:tcW w:w="20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expenses</w:t>
            </w:r>
          </w:p>
        </w:tc>
        <w:tc>
          <w:tcPr>
            <w:tcW w:w="2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i w:val="1"/>
                <w:iCs w:val="1"/>
                <w:color w:val="auto"/>
              </w:rPr>
              <w:t>7.3 %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7.5 %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i w:val="1"/>
                <w:iCs w:val="1"/>
                <w:color w:val="auto"/>
              </w:rPr>
              <w:t>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i w:val="1"/>
                <w:iCs w:val="1"/>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R&amp;D expense decreased by $6 million, or 4.6%, for the three months ended September 30, 2025 compared to the three months ended September 30,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primarily due to $9 million lower R&amp;D portfolio investments, partially offset by $3 million higher share based compensation.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R&amp;D expense increased by $10 million, or 2.7%, for the nine months ended September 30, 2025 compared to the nine months ended September 30, 2024. The change was a result of $4 million higher share based compensation, $4 million higher employee-related expenses, and $3 million higher product portfolio investments.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980" w:type="dxa"/>
            <w:vAlign w:val="bottom"/>
            <w:gridSpan w:val="11"/>
          </w:tcPr>
          <w:p>
            <w:pPr>
              <w:jc w:val="right"/>
              <w:ind w:right="1159"/>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Pr>
          <w:p>
            <w:pPr>
              <w:spacing w:after="0"/>
              <w:rPr>
                <w:sz w:val="21"/>
                <w:szCs w:val="21"/>
                <w:color w:val="auto"/>
              </w:rPr>
            </w:pPr>
          </w:p>
        </w:tc>
        <w:tc>
          <w:tcPr>
            <w:tcW w:w="2700" w:type="dxa"/>
            <w:vAlign w:val="bottom"/>
            <w:gridSpan w:val="9"/>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2"/>
        </w:trPr>
        <w:tc>
          <w:tcPr>
            <w:tcW w:w="20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Selling, general and</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20"/>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expenses</w:t>
            </w:r>
          </w:p>
        </w:tc>
        <w:tc>
          <w:tcPr>
            <w:tcW w:w="22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5.9 %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5.6 %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SG&amp;A expenses increased by $2 million, or 2.0%, for the three months ended September 30, 2025 compared to the three months ended September 30, 2024. The change was primarily driven by an $8 million decrease in advanced manufacturing investment tax credits (“AMITC”), a $6 million increase in depreciation and amortization expense, and $3 million of acquisition-related charges, offset by $15 million in higher tool sales gains.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SG&amp;A expenses decreased by $79 million or 23.7%, for the nine months ended September 30, 2025 compared to the nine months ended September 30, 2024. The change was primarily a result of $66 million higher tool sales gains, $17 million lower withholding tax, $13 million lower digital transformation expenses, offset by an increase of $11 million of employee-related expenses and a decrease of $9 million AMITC.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100" w:type="dxa"/>
            <w:vAlign w:val="bottom"/>
            <w:gridSpan w:val="11"/>
          </w:tcPr>
          <w:p>
            <w:pPr>
              <w:jc w:val="center"/>
              <w:ind w:right="979"/>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21"/>
                <w:szCs w:val="21"/>
                <w:color w:val="auto"/>
              </w:rPr>
            </w:pPr>
          </w:p>
        </w:tc>
        <w:tc>
          <w:tcPr>
            <w:tcW w:w="352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74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120"/>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74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8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increased by $3 million or 20.0%, for the three months ended September 30, 2025 compared to the three months ended September 30, 2024. The increase was primarily due to $14 million of reduced interest expense due to lower debt balances partially offset by $10 million of lower interest income generated from money market funds and investments in marketable securities.</w:t>
      </w:r>
    </w:p>
    <w:p>
      <w:pPr>
        <w:spacing w:after="0" w:line="5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Finance income (expense), net increased by $8 million or 19.5%, for the nine months ended September 30, 2025 compared to the nine months ended September 30, 2024. The increase was primarily due to $40 million of reduced interest expense due to lower debt balances in the first nine months of 2025 compared to the first nine months of 2024. This was partially offset by $32 million lower interest income generated from money market funds and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60" w:type="dxa"/>
            <w:vAlign w:val="bottom"/>
            <w:gridSpan w:val="11"/>
          </w:tcPr>
          <w:p>
            <w:pPr>
              <w:jc w:val="center"/>
              <w:ind w:right="999"/>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21"/>
                <w:szCs w:val="21"/>
                <w:color w:val="auto"/>
              </w:rPr>
            </w:pPr>
          </w:p>
        </w:tc>
        <w:tc>
          <w:tcPr>
            <w:tcW w:w="3520" w:type="dxa"/>
            <w:vAlign w:val="bottom"/>
            <w:gridSpan w:val="8"/>
          </w:tcPr>
          <w:p>
            <w:pPr>
              <w:jc w:val="center"/>
              <w:ind w:right="8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21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74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260.0 %</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518.2 %</w:t>
            </w:r>
          </w:p>
        </w:tc>
        <w:tc>
          <w:tcPr>
            <w:tcW w:w="0" w:type="dxa"/>
            <w:vAlign w:val="bottom"/>
          </w:tcPr>
          <w:p>
            <w:pPr>
              <w:spacing w:after="0"/>
              <w:rPr>
                <w:sz w:val="1"/>
                <w:szCs w:val="1"/>
                <w:color w:val="auto"/>
              </w:rPr>
            </w:pPr>
          </w:p>
        </w:tc>
      </w:tr>
      <w:tr>
        <w:trPr>
          <w:trHeight w:val="120"/>
        </w:trPr>
        <w:tc>
          <w:tcPr>
            <w:tcW w:w="2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760" w:type="dxa"/>
            <w:vAlign w:val="bottom"/>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00" w:type="dxa"/>
            <w:vAlign w:val="bottom"/>
            <w:vMerge w:val="continue"/>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increased by $13 million or 260%, for the three months ended September 30, 2025 compared to the three months ended September 30, 2024. The increase was primarily driven by $7 million interest income related to an AMITC refund, $7 million gains on fair value changes primarily related to equity securities, offset by $2 million higher foreign exchange currency losses.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income (expense), net increased by $57 million or 518.2%, for the nine months ended September 30, 2025 compared to the nine months ended September 30, 2024. The increase was primarily due to a $31 million step-acquisition of the remaining equity interest of a joint venture, a nonrecurring gain of $24 million recognized in connection with the liquidation of one of the Company's manufacturing plants and $12 million higher gains on equity investments. This was partially offset by a $9 million contingency loss.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gridSpan w:val="11"/>
          </w:tcPr>
          <w:p>
            <w:pPr>
              <w:jc w:val="center"/>
              <w:ind w:right="979"/>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9"/>
                <w:szCs w:val="19"/>
                <w:color w:val="auto"/>
              </w:rPr>
            </w:pPr>
          </w:p>
        </w:tc>
        <w:tc>
          <w:tcPr>
            <w:tcW w:w="3520" w:type="dxa"/>
            <w:vAlign w:val="bottom"/>
            <w:gridSpan w:val="8"/>
          </w:tcPr>
          <w:p>
            <w:pPr>
              <w:jc w:val="center"/>
              <w:ind w:right="87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58"/>
        </w:trPr>
        <w:tc>
          <w:tcPr>
            <w:tcW w:w="208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Income tax (expense)</w:t>
            </w:r>
          </w:p>
        </w:tc>
        <w:tc>
          <w:tcPr>
            <w:tcW w:w="74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264.7 %</w:t>
            </w:r>
          </w:p>
        </w:tc>
        <w:tc>
          <w:tcPr>
            <w:tcW w:w="100" w:type="dxa"/>
            <w:vAlign w:val="bottom"/>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202.0 %</w:t>
            </w:r>
          </w:p>
        </w:tc>
        <w:tc>
          <w:tcPr>
            <w:tcW w:w="0" w:type="dxa"/>
            <w:vAlign w:val="bottom"/>
          </w:tcPr>
          <w:p>
            <w:pPr>
              <w:spacing w:after="0"/>
              <w:rPr>
                <w:sz w:val="1"/>
                <w:szCs w:val="1"/>
                <w:color w:val="auto"/>
              </w:rPr>
            </w:pPr>
          </w:p>
        </w:tc>
      </w:tr>
      <w:tr>
        <w:trPr>
          <w:trHeight w:val="134"/>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benefit</w:t>
            </w:r>
          </w:p>
        </w:tc>
        <w:tc>
          <w:tcPr>
            <w:tcW w:w="74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8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80" w:type="dxa"/>
            <w:vAlign w:val="bottom"/>
            <w:vMerge w:val="continue"/>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Income tax expense decreased by $45 million for the three months ended September 30, 2025 compared to the three months ended September 30, 2024, primarily due to $184 million of tax benefit from recognition of German deferred tax assets that are no longer contingent. This benefit was partially offset by $86 million tax expense from the revaluation of Singapore deferred taxes, $22 million related to Singapore incentive tax rate adjustments and full recognition of Germany statutory taxes, and $27 million in tax expense due to exchange rate impacts on certain non-monetary assets in Germany.</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Income tax expense decreased by $101 million for the nine months ended September 30, 2025 compared to the nine months ended September 30, 2024, primarily due to $193 million of tax benefit from recognition of German deferred tax assets that are no longer contingent and $49 million tax benefit related to exchange rate changes on the base of certain non-monetary assets in Germany. These favorable impacts were partially offset by $86 million tax expense related to the revaluation of Singapore deferred tax and $50 million tax expense from Singapore incentive tax rate adjustments and full recognition of German statutory taxes without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long term agreements ("LTAs"), debt, government grants and advanced manufacturing investment tax credits. As of September 30, 2025, our cash, cash equivalents and marketable securities balances of approximately $4.2 billion included $2.0 billion cash and cash equivalents and approximately $2.2 billion of marketable securities.</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September 30, 2025 and December 31, 2024, we had an undrawn revolving credit facility of $1.0 billion. In addition to our available revolver, we had $1.2 billion and $1.8 billion of debt outstanding as of September 30, 2025 and December 31, 2024, respectively, which was primarily comprised of multiple term loans in various currencies. 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strategic transactions and our obligations to repay our indebtedness from time to time. We may from time to time seek to raise additional capital to support our growth. As of September 30, 2025,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03"/>
        </w:trPr>
        <w:tc>
          <w:tcPr>
            <w:tcW w:w="768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7680" w:type="dxa"/>
            <w:vAlign w:val="bottom"/>
          </w:tcPr>
          <w:p>
            <w:pPr>
              <w:spacing w:after="0"/>
              <w:rPr>
                <w:sz w:val="23"/>
                <w:szCs w:val="23"/>
                <w:color w:val="auto"/>
              </w:rPr>
            </w:pPr>
          </w:p>
        </w:tc>
        <w:tc>
          <w:tcPr>
            <w:tcW w:w="35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7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9"/>
        </w:trPr>
        <w:tc>
          <w:tcPr>
            <w:tcW w:w="76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9"/>
        </w:trPr>
        <w:tc>
          <w:tcPr>
            <w:tcW w:w="7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21"/>
        </w:trPr>
        <w:tc>
          <w:tcPr>
            <w:tcW w:w="768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r>
      <w:tr>
        <w:trPr>
          <w:trHeight w:val="20"/>
        </w:trPr>
        <w:tc>
          <w:tcPr>
            <w:tcW w:w="7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Cash provided by operating activities of $1,357 million increased $92 million for the nine months ended September 30, 2025, compared to $1,265 million for the nine months ended September 30, 2024. The improvement was driven by a $221 million increase in net income, $264 million of higher inflows from working capital and $31 million net cash proceeds for interest and taxes partially offset by higher non cash expenses of $424 million. The change in working capital was primarily a $308 million decrease in cash used for inventory due to inventory builds during 2024 offset by $33 million in higher trade and other payables due to timing. The increase in non-cash adjustments to net income was primarily due to $189 million of lower depreciation and amortization as a result of prior year impairment charges, $156 million of lower deferred income taxes primarily due to the recognition of German net deferred tax assets and foreign currency impacts and $45 million of lower gains on the sales of property, plant and equipment primarily related to tool sales.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used in investing activities for the nine months ended September 30, 2025 of $747 million decreased $286 million compared to the cash used in investing activities of $1,033 million for the nine months ended September 30, 2024. The decrease was primarily driven by $282 million lower purchases of marketable securities, higher proceeds from sales and maturities of marketable securities of $128 million, and increased proceeds from the sales of property, plant and equipment of $127 million, primarily related to tool sales. This was offset by higher acquisition costs of $162 million, a $65 million increase in purchases of equity securities and $24 million increase in purchases of property, plant and equipment and intangible assets.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used in financing activities for the nine months ended September 30, 2025 of $792 million increased $459 million compared to the cash used of $333 million for the nine months ended September 30, 2024. The change was primarily attributable to a $664 million prepayment of our Term Loan A, offset by a $200 million reduction in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SUPPLEMENTARY RISK FACTOR DISCLOSURE UPDATED FROM GLOBALFOUNDRIES ANNUAL REPORT ON FORM 20-F FILED ON MARCH 20, 2025.</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Except for the revised risk factor below, there was no significant change from the information presented in the Risk Factors section of the Annual Report on Form 20-F filed with the Securities and Exchange Commission (the “SEC”) on March 20, 2025. The revised risk factor below replaces the corresponding risk factor in the Form 20-F in its entirety. Any forward-looking statements included in the descriptions below are based on management’s current judgment</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The increasing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3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ordinary course of our business, we maintain a large amount of sensitive data on our networks, including our and our customers’ intellectual property and proprietary or confidential business information relating to our business and that of our customers and business partners. Our and our service providers’ information technology ("IT") and computer systems store and transmit customer information, trade secrets, corporate data and personal information, and are otherwise essential to the operation of our production lines, which may make us a target for cyberattacks. The secure maintenance of this information is critical to our business and reputation. In addition, our accreditation as a Trusted Foundry by the Defense Microelectronics Activity and our processing of sensitive information has in the past and may continue to make us an attractive and frequent target for attacks by third parties, including industrial or nation-state espionage, organized criminals, and terrorist cyberattacks.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the nature of our business and operations, we have been subject to and will continue to be subject to cyberattacks from various bad actors. Over the past few years, we have identified a few cybersecurity incidents. The incidents were thoroughly investigated, and in each case we concluded that there was no material adverse impact to our business, operations or financial results. While we continue to enhance and strengthen our cybersecurity monitoring and preventative controls, state actors have significant resources at their disposal. There can be no assurance that a third party (including a state actor) will not successfully gain unauthorized access to our systems or that future cyberattacks will not have a material adverse effect on our business, operations, or financial results.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continue to make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due to remote working arrangements. Also, the development and proliferation of AI/ML in addition to other related technologies, may increase our exposure to cyberattacks and other cybersecurity risks by providing third parties with enhanced capabilities to breach our systems, and may require us to spend additional resources to further strengthen our defenses against such threats.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employ certain third-party service providers for us and our affiliates worldwide with whom we need to share highly sensitive and confidential information to enable them to provide the relevant services. Some of our third-party service providers have experienced cyberattacks of which we have been made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7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disrupt the proper functioning of these networks and systems and, therefore, our operations and/or those of certain of our customers;</w:t>
      </w:r>
    </w:p>
    <w:p>
      <w:pPr>
        <w:spacing w:after="0" w:line="11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5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 in litigation and governmental investigation and proceedings that could expose us to civil or criminal liabilities;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compromise national security and other sensitive government functions;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significant management attention and resources to remedy the damages that result;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 in our incurring significant expenses in implementing remedial and improvement measures to enhance our IT network or computer systems;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result in costs which exceed our insurance coverage and/or indemnification arrangements;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 us to claims for contract breach, damages, credits, penalties or termination;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damage our reputation with our customers (including the U.S. government) and the general public.</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unplanned spending and resources to focus on correcting the breach and indemnifying the relevant parties and litigation, regulatory investigations, regulatory proceedings, increased insurance premiums, lost revenue, penalties fines and other potential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06" w:right="339" w:bottom="1440" w:gutter="0" w:footer="0" w:header="0"/>
        </w:sectPr>
      </w:pPr>
    </w:p>
    <w:bookmarkStart w:id="29" w:name="page30"/>
    <w:bookmarkEnd w:id="29"/>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0"/>
          <w:szCs w:val="20"/>
          <w:color w:val="auto"/>
        </w:rPr>
      </w:pPr>
    </w:p>
    <w:p>
      <w:pPr>
        <w:spacing w:after="0" w:line="2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0"/>
          <w:szCs w:val="20"/>
          <w:color w:val="auto"/>
        </w:rPr>
      </w:pPr>
    </w:p>
    <w:p>
      <w:pPr>
        <w:ind w:left="54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0"/>
          <w:szCs w:val="20"/>
          <w:color w:val="auto"/>
        </w:rPr>
      </w:pPr>
    </w:p>
    <w:p>
      <w:pPr>
        <w:ind w:left="180" w:right="204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 as of September 30, 2025 and December 31, 2024 and for the</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three and nine months ended September 30, 2025 and 2024, Management’s Discussion and Analysis of Financial Condition and</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Results of Operations for the three months and nine months ended September 30, 2025 and 2024, and Supplementary Risk</w:t>
            </w:r>
          </w:p>
        </w:tc>
        <w:tc>
          <w:tcPr>
            <w:tcW w:w="3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Factor Disclosure.</w:t>
            </w:r>
          </w:p>
        </w:tc>
      </w:tr>
      <w:tr>
        <w:trPr>
          <w:trHeight w:val="208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68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70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2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Samuel A. Franklin</w:t>
            </w:r>
          </w:p>
        </w:tc>
      </w:tr>
      <w:tr>
        <w:trPr>
          <w:trHeight w:val="40"/>
        </w:trPr>
        <w:tc>
          <w:tcPr>
            <w:tcW w:w="34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440" w:type="dxa"/>
            <w:vAlign w:val="bottom"/>
          </w:tcPr>
          <w:p>
            <w:pPr>
              <w:spacing w:after="0"/>
              <w:rPr>
                <w:sz w:val="20"/>
                <w:szCs w:val="20"/>
                <w:color w:val="auto"/>
              </w:rPr>
            </w:pPr>
          </w:p>
        </w:tc>
        <w:tc>
          <w:tcPr>
            <w:tcW w:w="2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A. Franklin</w:t>
            </w:r>
          </w:p>
        </w:tc>
      </w:tr>
      <w:tr>
        <w:trPr>
          <w:trHeight w:val="283"/>
        </w:trPr>
        <w:tc>
          <w:tcPr>
            <w:tcW w:w="3440" w:type="dxa"/>
            <w:vAlign w:val="bottom"/>
          </w:tcPr>
          <w:p>
            <w:pPr>
              <w:spacing w:after="0"/>
              <w:rPr>
                <w:sz w:val="24"/>
                <w:szCs w:val="24"/>
                <w:color w:val="auto"/>
              </w:rPr>
            </w:pPr>
          </w:p>
        </w:tc>
        <w:tc>
          <w:tcPr>
            <w:tcW w:w="2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2025-11-12T08:50:14Z</dcterms:created>
  <dcterms:modified xsi:type="dcterms:W3CDTF">2025-11-12T08:50:14Z</dcterms:modified>
</cp:coreProperties>
</file>