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2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20" w:lineRule="exact"/>
        <w:rPr>
          <w:sz w:val="24"/>
          <w:szCs w:val="24"/>
          <w:color w:val="auto"/>
        </w:rPr>
      </w:pPr>
    </w:p>
    <w:p>
      <w:pPr>
        <w:ind w:left="540"/>
        <w:spacing w:after="0"/>
        <w:rPr>
          <w:sz w:val="20"/>
          <w:szCs w:val="20"/>
          <w:color w:val="auto"/>
        </w:rPr>
      </w:pPr>
      <w:r>
        <w:rPr>
          <w:rFonts w:ascii="Georgia" w:cs="Georgia" w:eastAsia="Georgia" w:hAnsi="Georgia"/>
          <w:sz w:val="22"/>
          <w:szCs w:val="22"/>
          <w:b w:val="1"/>
          <w:bCs w:val="1"/>
          <w:color w:val="auto"/>
        </w:rPr>
        <w:t xml:space="preserve">REPORT OF FOREIGN PRIVATE ISSUER PURSUANT TO RULE 13a-16 OR </w:t>
      </w:r>
      <w:r>
        <w:rPr>
          <w:rFonts w:ascii="Times New Roman" w:cs="Times New Roman" w:eastAsia="Times New Roman" w:hAnsi="Times New Roman"/>
          <w:sz w:val="22"/>
          <w:szCs w:val="22"/>
          <w:b w:val="1"/>
          <w:bCs w:val="1"/>
          <w:color w:val="auto"/>
        </w:rPr>
        <w:t>15d-16 UNDER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November 2024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Malta, NY 12020</w:t>
      </w:r>
    </w:p>
    <w:p>
      <w:pPr>
        <w:spacing w:after="0" w:line="180" w:lineRule="exact"/>
        <w:rPr>
          <w:sz w:val="24"/>
          <w:szCs w:val="24"/>
          <w:color w:val="auto"/>
        </w:rPr>
      </w:pPr>
    </w:p>
    <w:p>
      <w:pPr>
        <w:ind w:left="180" w:right="2040" w:firstLine="468"/>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are the following exhibits.</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w w:val="98"/>
              </w:rPr>
              <w:t>Exhibit 99.1</w:t>
            </w:r>
          </w:p>
        </w:tc>
        <w:tc>
          <w:tcPr>
            <w:tcW w:w="1100" w:type="dxa"/>
            <w:vAlign w:val="bottom"/>
          </w:tcPr>
          <w:p>
            <w:pPr>
              <w:spacing w:after="0"/>
              <w:rPr>
                <w:sz w:val="18"/>
                <w:szCs w:val="18"/>
                <w:color w:val="auto"/>
              </w:rPr>
            </w:pPr>
          </w:p>
        </w:tc>
        <w:tc>
          <w:tcPr>
            <w:tcW w:w="9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Unaudited Interim Condensed Consolidated Financial Statements as of September 30, 2024 and December 31, 2023 and for the</w:t>
            </w:r>
          </w:p>
        </w:tc>
      </w:tr>
      <w:tr>
        <w:trPr>
          <w:trHeight w:val="209"/>
        </w:trPr>
        <w:tc>
          <w:tcPr>
            <w:tcW w:w="20" w:type="dxa"/>
            <w:vAlign w:val="bottom"/>
          </w:tcPr>
          <w:p>
            <w:pPr>
              <w:spacing w:after="0"/>
              <w:rPr>
                <w:sz w:val="18"/>
                <w:szCs w:val="18"/>
                <w:color w:val="auto"/>
              </w:rPr>
            </w:pPr>
          </w:p>
        </w:tc>
        <w:tc>
          <w:tcPr>
            <w:tcW w:w="90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40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three nine months ended September 30, 2024 and 2023.</w:t>
            </w:r>
          </w:p>
        </w:tc>
        <w:tc>
          <w:tcPr>
            <w:tcW w:w="5160" w:type="dxa"/>
            <w:vAlign w:val="bottom"/>
            <w:tcBorders>
              <w:top w:val="single" w:sz="8" w:color="0000FF"/>
            </w:tcBorders>
            <w:gridSpan w:val="2"/>
          </w:tcPr>
          <w:p>
            <w:pPr>
              <w:spacing w:after="0"/>
              <w:rPr>
                <w:sz w:val="18"/>
                <w:szCs w:val="18"/>
                <w:color w:val="auto"/>
              </w:rPr>
            </w:pPr>
          </w:p>
        </w:tc>
        <w:tc>
          <w:tcPr>
            <w:tcW w:w="60" w:type="dxa"/>
            <w:vAlign w:val="bottom"/>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9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Exhibit 99.2</w:t>
            </w:r>
          </w:p>
        </w:tc>
        <w:tc>
          <w:tcPr>
            <w:tcW w:w="1100" w:type="dxa"/>
            <w:vAlign w:val="bottom"/>
          </w:tcPr>
          <w:p>
            <w:pPr>
              <w:spacing w:after="0"/>
              <w:rPr>
                <w:sz w:val="24"/>
                <w:szCs w:val="24"/>
                <w:color w:val="auto"/>
              </w:rPr>
            </w:pPr>
          </w:p>
        </w:tc>
        <w:tc>
          <w:tcPr>
            <w:tcW w:w="9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 for the three and nine months ended</w:t>
            </w:r>
          </w:p>
        </w:tc>
        <w:tc>
          <w:tcPr>
            <w:tcW w:w="140" w:type="dxa"/>
            <w:vAlign w:val="bottom"/>
            <w:gridSpan w:val="2"/>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September 30, 2024 and 2023.</w:t>
            </w:r>
          </w:p>
        </w:tc>
      </w:tr>
      <w:tr>
        <w:trPr>
          <w:trHeight w:val="208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180" w:type="dxa"/>
            <w:vAlign w:val="bottom"/>
            <w:tcBorders>
              <w:top w:val="single" w:sz="8" w:color="0000FF"/>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74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Hollister</w:t>
            </w:r>
          </w:p>
        </w:tc>
      </w:tr>
      <w:tr>
        <w:trPr>
          <w:trHeight w:val="40"/>
        </w:trPr>
        <w:tc>
          <w:tcPr>
            <w:tcW w:w="3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380" w:type="dxa"/>
            <w:vAlign w:val="bottom"/>
          </w:tcPr>
          <w:p>
            <w:pPr>
              <w:spacing w:after="0"/>
              <w:rPr>
                <w:sz w:val="20"/>
                <w:szCs w:val="20"/>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Hollister</w:t>
            </w:r>
          </w:p>
        </w:tc>
      </w:tr>
      <w:tr>
        <w:trPr>
          <w:trHeight w:val="283"/>
        </w:trPr>
        <w:tc>
          <w:tcPr>
            <w:tcW w:w="3380" w:type="dxa"/>
            <w:vAlign w:val="bottom"/>
          </w:tcPr>
          <w:p>
            <w:pPr>
              <w:spacing w:after="0"/>
              <w:rPr>
                <w:sz w:val="24"/>
                <w:szCs w:val="24"/>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9920" w:type="dxa"/>
            <w:vAlign w:val="bottom"/>
            <w:gridSpan w:val="7"/>
          </w:tcPr>
          <w:p>
            <w:pPr>
              <w:spacing w:after="0"/>
              <w:rPr>
                <w:sz w:val="20"/>
                <w:szCs w:val="20"/>
                <w:color w:val="auto"/>
              </w:rPr>
            </w:pPr>
            <w:r>
              <w:rPr>
                <w:rFonts w:ascii="Arial" w:cs="Arial" w:eastAsia="Arial" w:hAnsi="Arial"/>
                <w:sz w:val="18"/>
                <w:szCs w:val="18"/>
                <w:b w:val="1"/>
                <w:bCs w:val="1"/>
                <w:color w:val="auto"/>
              </w:rPr>
              <w:t>Unaudited Financial Statements</w:t>
            </w:r>
          </w:p>
        </w:tc>
        <w:tc>
          <w:tcPr>
            <w:tcW w:w="1300" w:type="dxa"/>
            <w:vAlign w:val="bottom"/>
            <w:gridSpan w:val="5"/>
          </w:tcPr>
          <w:p>
            <w:pPr>
              <w:ind w:left="440"/>
              <w:spacing w:after="0"/>
              <w:rPr>
                <w:sz w:val="20"/>
                <w:szCs w:val="20"/>
                <w:color w:val="auto"/>
              </w:rPr>
            </w:pPr>
            <w:r>
              <w:rPr>
                <w:rFonts w:ascii="Arial" w:cs="Arial" w:eastAsia="Arial" w:hAnsi="Arial"/>
                <w:sz w:val="18"/>
                <w:szCs w:val="18"/>
                <w:b w:val="1"/>
                <w:bCs w:val="1"/>
                <w:color w:val="auto"/>
              </w:rPr>
              <w:t>Page</w:t>
            </w:r>
          </w:p>
        </w:tc>
      </w:tr>
      <w:tr>
        <w:trPr>
          <w:trHeight w:val="29"/>
        </w:trPr>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453"/>
        </w:trPr>
        <w:tc>
          <w:tcPr>
            <w:tcW w:w="20" w:type="dxa"/>
            <w:vAlign w:val="bottom"/>
          </w:tcPr>
          <w:p>
            <w:pPr>
              <w:spacing w:after="0"/>
              <w:rPr>
                <w:sz w:val="24"/>
                <w:szCs w:val="24"/>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0000FF"/>
              </w:rPr>
              <w:t>Interim Condensed Consolidated Statements of Financial Position</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2</w:t>
            </w:r>
          </w:p>
        </w:tc>
        <w:tc>
          <w:tcPr>
            <w:tcW w:w="4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4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4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0000FF"/>
                <w:w w:val="99"/>
              </w:rPr>
              <w:t>Interim Condensed Consolidated Statements of Operations</w:t>
            </w:r>
          </w:p>
        </w:tc>
        <w:tc>
          <w:tcPr>
            <w:tcW w:w="520" w:type="dxa"/>
            <w:vAlign w:val="bottom"/>
            <w:gridSpan w:val="3"/>
          </w:tcPr>
          <w:p>
            <w:pPr>
              <w:spacing w:after="0"/>
              <w:rPr>
                <w:sz w:val="22"/>
                <w:szCs w:val="22"/>
                <w:color w:val="auto"/>
              </w:rPr>
            </w:pPr>
          </w:p>
        </w:tc>
        <w:tc>
          <w:tcPr>
            <w:tcW w:w="4680" w:type="dxa"/>
            <w:vAlign w:val="bottom"/>
            <w:gridSpan w:val="3"/>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3</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0000FF"/>
              </w:rPr>
              <w:t>Interim Condensed Consolidated Statements of Comprehensive Income (Loss)</w:t>
            </w:r>
          </w:p>
        </w:tc>
        <w:tc>
          <w:tcPr>
            <w:tcW w:w="8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4</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0000FF"/>
                <w:w w:val="98"/>
              </w:rPr>
              <w:t>Interim Condensed Consolidated Statements of Changes in Equity</w:t>
            </w:r>
          </w:p>
        </w:tc>
        <w:tc>
          <w:tcPr>
            <w:tcW w:w="1040" w:type="dxa"/>
            <w:vAlign w:val="bottom"/>
          </w:tcPr>
          <w:p>
            <w:pPr>
              <w:spacing w:after="0"/>
              <w:rPr>
                <w:sz w:val="22"/>
                <w:szCs w:val="22"/>
                <w:color w:val="auto"/>
              </w:rPr>
            </w:pPr>
          </w:p>
        </w:tc>
        <w:tc>
          <w:tcPr>
            <w:tcW w:w="3640" w:type="dxa"/>
            <w:vAlign w:val="bottom"/>
            <w:gridSpan w:val="2"/>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5</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0000FF"/>
                <w:w w:val="99"/>
              </w:rPr>
              <w:t>Interim Condensed Consolidated Statements of Cash Flows</w:t>
            </w:r>
          </w:p>
        </w:tc>
        <w:tc>
          <w:tcPr>
            <w:tcW w:w="460" w:type="dxa"/>
            <w:vAlign w:val="bottom"/>
            <w:gridSpan w:val="2"/>
          </w:tcPr>
          <w:p>
            <w:pPr>
              <w:spacing w:after="0"/>
              <w:rPr>
                <w:sz w:val="22"/>
                <w:szCs w:val="22"/>
                <w:color w:val="auto"/>
              </w:rPr>
            </w:pPr>
          </w:p>
        </w:tc>
        <w:tc>
          <w:tcPr>
            <w:tcW w:w="4680" w:type="dxa"/>
            <w:vAlign w:val="bottom"/>
            <w:gridSpan w:val="3"/>
          </w:tcPr>
          <w:p>
            <w:pPr>
              <w:spacing w:after="0"/>
              <w:rPr>
                <w:sz w:val="22"/>
                <w:szCs w:val="22"/>
                <w:color w:val="auto"/>
              </w:rPr>
            </w:pPr>
          </w:p>
        </w:tc>
        <w:tc>
          <w:tcPr>
            <w:tcW w:w="640" w:type="dxa"/>
            <w:vAlign w:val="bottom"/>
            <w:gridSpan w:val="3"/>
          </w:tcPr>
          <w:p>
            <w:pPr>
              <w:spacing w:after="0"/>
              <w:rPr>
                <w:sz w:val="22"/>
                <w:szCs w:val="22"/>
                <w:color w:val="auto"/>
              </w:rPr>
            </w:pPr>
          </w:p>
        </w:tc>
        <w:tc>
          <w:tcPr>
            <w:tcW w:w="200" w:type="dxa"/>
            <w:vAlign w:val="bottom"/>
          </w:tcPr>
          <w:p>
            <w:pPr>
              <w:jc w:val="center"/>
              <w:ind w:right="67"/>
              <w:spacing w:after="0"/>
              <w:rPr>
                <w:sz w:val="20"/>
                <w:szCs w:val="20"/>
                <w:color w:val="auto"/>
              </w:rPr>
            </w:pPr>
            <w:r>
              <w:rPr>
                <w:rFonts w:ascii="Arial" w:cs="Arial" w:eastAsia="Arial" w:hAnsi="Arial"/>
                <w:sz w:val="15"/>
                <w:szCs w:val="15"/>
                <w:color w:val="0000FF"/>
                <w:w w:val="71"/>
              </w:rPr>
              <w:t>6</w:t>
            </w:r>
          </w:p>
        </w:tc>
        <w:tc>
          <w:tcPr>
            <w:tcW w:w="4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0000FF"/>
                <w:w w:val="99"/>
              </w:rPr>
              <w:t>Notes to Interim Condensed Consolidated Financial Statements</w:t>
            </w:r>
          </w:p>
        </w:tc>
        <w:tc>
          <w:tcPr>
            <w:tcW w:w="4840" w:type="dxa"/>
            <w:vAlign w:val="bottom"/>
            <w:gridSpan w:val="4"/>
          </w:tcPr>
          <w:p>
            <w:pPr>
              <w:spacing w:after="0"/>
              <w:rPr>
                <w:sz w:val="22"/>
                <w:szCs w:val="22"/>
                <w:color w:val="auto"/>
              </w:rPr>
            </w:pPr>
          </w:p>
        </w:tc>
        <w:tc>
          <w:tcPr>
            <w:tcW w:w="1300" w:type="dxa"/>
            <w:vAlign w:val="bottom"/>
            <w:gridSpan w:val="5"/>
          </w:tcPr>
          <w:p>
            <w:pPr>
              <w:jc w:val="center"/>
              <w:spacing w:after="0"/>
              <w:rPr>
                <w:sz w:val="20"/>
                <w:szCs w:val="20"/>
                <w:color w:val="auto"/>
              </w:rPr>
            </w:pPr>
            <w:r>
              <w:rPr>
                <w:rFonts w:ascii="Arial" w:cs="Arial" w:eastAsia="Arial" w:hAnsi="Arial"/>
                <w:sz w:val="18"/>
                <w:szCs w:val="18"/>
                <w:color w:val="0000FF"/>
                <w:w w:val="99"/>
              </w:rPr>
              <w:t>7</w:t>
            </w:r>
            <w:r>
              <w:rPr>
                <w:rFonts w:ascii="Arial" w:cs="Arial" w:eastAsia="Arial" w:hAnsi="Arial"/>
                <w:sz w:val="18"/>
                <w:szCs w:val="18"/>
                <w:color w:val="000000"/>
                <w:w w:val="99"/>
              </w:rPr>
              <w:t>-</w:t>
            </w:r>
            <w:r>
              <w:rPr>
                <w:rFonts w:ascii="Arial" w:cs="Arial" w:eastAsia="Arial" w:hAnsi="Arial"/>
                <w:sz w:val="18"/>
                <w:szCs w:val="18"/>
                <w:color w:val="0000FF"/>
                <w:w w:val="99"/>
              </w:rPr>
              <w:t>19</w:t>
            </w: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FINANCIAL POSITION</w:t>
      </w:r>
    </w:p>
    <w:p>
      <w:pPr>
        <w:ind w:left="3720"/>
        <w:spacing w:after="0" w:line="228" w:lineRule="auto"/>
        <w:rPr>
          <w:sz w:val="20"/>
          <w:szCs w:val="20"/>
          <w:color w:val="auto"/>
        </w:rPr>
      </w:pPr>
      <w:r>
        <w:rPr>
          <w:rFonts w:ascii="Arial" w:cs="Arial" w:eastAsia="Arial" w:hAnsi="Arial"/>
          <w:sz w:val="16"/>
          <w:szCs w:val="16"/>
          <w:b w:val="1"/>
          <w:bCs w:val="1"/>
          <w:color w:val="auto"/>
        </w:rPr>
        <w:t>As of September 30, 2024 and December 31, 2023</w:t>
      </w:r>
    </w:p>
    <w:p>
      <w:pPr>
        <w:spacing w:after="0" w:line="1"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(Unaudited, in millions, except per share amounts)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As of</w:t>
            </w:r>
          </w:p>
        </w:tc>
        <w:tc>
          <w:tcPr>
            <w:tcW w:w="1000" w:type="dxa"/>
            <w:vAlign w:val="bottom"/>
          </w:tcPr>
          <w:p>
            <w:pPr>
              <w:spacing w:after="0"/>
              <w:rPr>
                <w:sz w:val="19"/>
                <w:szCs w:val="19"/>
                <w:color w:val="auto"/>
              </w:rPr>
            </w:pPr>
          </w:p>
        </w:tc>
      </w:tr>
      <w:tr>
        <w:trPr>
          <w:trHeight w:val="21"/>
        </w:trPr>
        <w:tc>
          <w:tcPr>
            <w:tcW w:w="8120" w:type="dxa"/>
            <w:vAlign w:val="bottom"/>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229"/>
        </w:trPr>
        <w:tc>
          <w:tcPr>
            <w:tcW w:w="812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rPr>
              <w:t>September 30 2024</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r>
      <w:tr>
        <w:trPr>
          <w:trHeight w:val="21"/>
        </w:trPr>
        <w:tc>
          <w:tcPr>
            <w:tcW w:w="8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1,033</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w:t>
            </w: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9"/>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6,598</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6,327</w:t>
            </w:r>
          </w:p>
        </w:tc>
      </w:tr>
      <w:tr>
        <w:trPr>
          <w:trHeight w:val="196"/>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9,829</w:t>
            </w: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financial assets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prepayments and other assets</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5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assets</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11,507</w:t>
            </w:r>
          </w:p>
        </w:tc>
        <w:tc>
          <w:tcPr>
            <w:tcW w:w="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11,717</w:t>
            </w: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18,105</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18,044</w:t>
            </w:r>
          </w:p>
        </w:tc>
      </w:tr>
      <w:tr>
        <w:trPr>
          <w:trHeight w:val="256"/>
        </w:trPr>
        <w:tc>
          <w:tcPr>
            <w:tcW w:w="8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payables and other current liabilities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2,403</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Current portion of deferred income from government grants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9"/>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2,723</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3,099</w:t>
            </w:r>
          </w:p>
        </w:tc>
      </w:tr>
      <w:tr>
        <w:trPr>
          <w:trHeight w:val="196"/>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portion of long-term debt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Non-current portion of deferred income from government grants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Non-current portion of lease obligations</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r>
      <w:tr>
        <w:trPr>
          <w:trHeight w:val="250"/>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non-current liabilities</w:t>
            </w:r>
          </w:p>
        </w:tc>
        <w:tc>
          <w:tcPr>
            <w:tcW w:w="5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3,800</w:t>
            </w:r>
          </w:p>
        </w:tc>
        <w:tc>
          <w:tcPr>
            <w:tcW w:w="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3,794</w:t>
            </w:r>
          </w:p>
        </w:tc>
      </w:tr>
      <w:tr>
        <w:trPr>
          <w:trHeight w:val="25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6,523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6,893</w:t>
            </w:r>
          </w:p>
        </w:tc>
      </w:tr>
      <w:tr>
        <w:trPr>
          <w:trHeight w:val="203"/>
        </w:trPr>
        <w:tc>
          <w:tcPr>
            <w:tcW w:w="8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Share capital</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5"/>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Ordinary shares, $0.02 par value, 552,654,594 and 553,548,190 shares issued and outstanding as of</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4"/>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September 30, 2024 and December 31, 2023, respectively</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23,971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24,027</w:t>
            </w:r>
          </w:p>
        </w:tc>
      </w:tr>
      <w:tr>
        <w:trPr>
          <w:trHeight w:val="29"/>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(13,001)</w:t>
            </w:r>
          </w:p>
        </w:tc>
      </w:tr>
      <w:tr>
        <w:trPr>
          <w:trHeight w:val="228"/>
        </w:trPr>
        <w:tc>
          <w:tcPr>
            <w:tcW w:w="8120" w:type="dxa"/>
            <w:vAlign w:val="bottom"/>
          </w:tcPr>
          <w:p>
            <w:pPr>
              <w:ind w:left="20"/>
              <w:spacing w:after="0"/>
              <w:rPr>
                <w:sz w:val="20"/>
                <w:szCs w:val="20"/>
                <w:color w:val="auto"/>
              </w:rPr>
            </w:pPr>
            <w:r>
              <w:rPr>
                <w:rFonts w:ascii="Arial" w:cs="Arial" w:eastAsia="Arial" w:hAnsi="Arial"/>
                <w:sz w:val="16"/>
                <w:szCs w:val="16"/>
                <w:color w:val="auto"/>
              </w:rPr>
              <w:t>Accumulated other comprehensive income</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9"/>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Equity attributable to the shareholders of GlobalFoundries Inc.</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11,533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11,104</w:t>
            </w:r>
          </w:p>
        </w:tc>
      </w:tr>
      <w:tr>
        <w:trPr>
          <w:trHeight w:val="221"/>
        </w:trPr>
        <w:tc>
          <w:tcPr>
            <w:tcW w:w="81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9"/>
        </w:trPr>
        <w:tc>
          <w:tcPr>
            <w:tcW w:w="8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11,582</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11,151</w:t>
            </w:r>
          </w:p>
        </w:tc>
      </w:tr>
      <w:tr>
        <w:trPr>
          <w:trHeight w:val="257"/>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18,105</w:t>
            </w:r>
          </w:p>
        </w:tc>
        <w:tc>
          <w:tcPr>
            <w:tcW w:w="80" w:type="dxa"/>
            <w:vAlign w:val="bottom"/>
          </w:tcPr>
          <w:p>
            <w:pPr>
              <w:spacing w:after="0"/>
              <w:rPr>
                <w:sz w:val="22"/>
                <w:szCs w:val="22"/>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18,044</w:t>
            </w:r>
          </w:p>
        </w:tc>
      </w:tr>
    </w:tbl>
    <w:p>
      <w:pPr>
        <w:spacing w:after="0" w:line="200" w:lineRule="exact"/>
        <w:rPr>
          <w:sz w:val="20"/>
          <w:szCs w:val="20"/>
          <w:color w:val="auto"/>
        </w:rPr>
      </w:pP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ind w:left="3040" w:right="2500" w:firstLine="128"/>
        <w:spacing w:after="0" w:line="256" w:lineRule="auto"/>
        <w:rPr>
          <w:sz w:val="20"/>
          <w:szCs w:val="20"/>
          <w:color w:val="auto"/>
        </w:rPr>
      </w:pPr>
      <w:r>
        <w:rPr>
          <w:rFonts w:ascii="Arial" w:cs="Arial" w:eastAsia="Arial" w:hAnsi="Arial"/>
          <w:sz w:val="16"/>
          <w:szCs w:val="16"/>
          <w:b w:val="1"/>
          <w:bCs w:val="1"/>
          <w:color w:val="auto"/>
        </w:rPr>
        <w:t>INTERIM CONDENSED CONSOLIDATED STATEMENTS OF OPERATIONS for the Three and Nine Months Ended September 30, 2024 and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7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4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Pr>
          <w:p>
            <w:pPr>
              <w:spacing w:after="0"/>
              <w:rPr>
                <w:sz w:val="19"/>
                <w:szCs w:val="19"/>
                <w:color w:val="auto"/>
              </w:rPr>
            </w:pPr>
          </w:p>
        </w:tc>
      </w:tr>
      <w:tr>
        <w:trPr>
          <w:trHeight w:val="21"/>
        </w:trPr>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4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1"/>
        </w:trPr>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1,325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3,962</w:t>
            </w:r>
          </w:p>
        </w:tc>
      </w:tr>
      <w:tr>
        <w:trPr>
          <w:trHeight w:val="29"/>
        </w:trPr>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1,576</w:t>
            </w:r>
          </w:p>
        </w:tc>
      </w:tr>
      <w:tr>
        <w:trPr>
          <w:trHeight w:val="221"/>
        </w:trPr>
        <w:tc>
          <w:tcPr>
            <w:tcW w:w="454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w:t>
            </w:r>
          </w:p>
        </w:tc>
      </w:tr>
      <w:tr>
        <w:trPr>
          <w:trHeight w:val="29"/>
        </w:trPr>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 and other</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w:t>
            </w:r>
          </w:p>
        </w:tc>
      </w:tr>
      <w:tr>
        <w:trPr>
          <w:trHeight w:val="235"/>
        </w:trPr>
        <w:tc>
          <w:tcPr>
            <w:tcW w:w="454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2"/>
        </w:trPr>
        <w:tc>
          <w:tcPr>
            <w:tcW w:w="4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r>
      <w:tr>
        <w:trPr>
          <w:trHeight w:val="229"/>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487</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826</w:t>
            </w:r>
          </w:p>
        </w:tc>
      </w:tr>
      <w:tr>
        <w:trPr>
          <w:trHeight w:val="21"/>
        </w:trPr>
        <w:tc>
          <w:tcPr>
            <w:tcW w:w="4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785</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w:t>
            </w:r>
          </w:p>
        </w:tc>
      </w:tr>
      <w:tr>
        <w:trPr>
          <w:trHeight w:val="207"/>
        </w:trPr>
        <w:tc>
          <w:tcPr>
            <w:tcW w:w="454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9"/>
        </w:trPr>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w:t>
            </w:r>
          </w:p>
        </w:tc>
      </w:tr>
      <w:tr>
        <w:trPr>
          <w:trHeight w:val="19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Net earnings per share attributable to the equity holders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of the Company:</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
        </w:trPr>
        <w:tc>
          <w:tcPr>
            <w:tcW w:w="4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Diluted</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9"/>
                <w:szCs w:val="19"/>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9"/>
        </w:trPr>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8"/>
        </w:trPr>
        <w:tc>
          <w:tcPr>
            <w:tcW w:w="4540" w:type="dxa"/>
            <w:vAlign w:val="bottom"/>
          </w:tcPr>
          <w:p>
            <w:pPr>
              <w:ind w:left="20"/>
              <w:spacing w:after="0"/>
              <w:rPr>
                <w:sz w:val="20"/>
                <w:szCs w:val="20"/>
                <w:color w:val="auto"/>
              </w:rPr>
            </w:pPr>
            <w:r>
              <w:rPr>
                <w:rFonts w:ascii="Arial" w:cs="Arial" w:eastAsia="Arial" w:hAnsi="Arial"/>
                <w:sz w:val="16"/>
                <w:szCs w:val="16"/>
                <w:color w:val="auto"/>
              </w:rPr>
              <w:t>Basic</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9"/>
        </w:trPr>
        <w:tc>
          <w:tcPr>
            <w:tcW w:w="4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9"/>
        </w:trPr>
        <w:tc>
          <w:tcPr>
            <w:tcW w:w="4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34" w:lineRule="exact"/>
        <w:rPr>
          <w:sz w:val="20"/>
          <w:szCs w:val="20"/>
          <w:color w:val="auto"/>
        </w:rPr>
      </w:pPr>
    </w:p>
    <w:p>
      <w:pPr>
        <w:jc w:val="center"/>
        <w:ind w:left="340" w:right="2000"/>
        <w:spacing w:after="0" w:line="305" w:lineRule="auto"/>
        <w:rPr>
          <w:sz w:val="20"/>
          <w:szCs w:val="20"/>
          <w:color w:val="auto"/>
        </w:rPr>
      </w:pPr>
      <w:r>
        <w:rPr>
          <w:rFonts w:ascii="Arial" w:cs="Arial" w:eastAsia="Arial" w:hAnsi="Arial"/>
          <w:sz w:val="16"/>
          <w:szCs w:val="16"/>
          <w:b w:val="1"/>
          <w:bCs w:val="1"/>
          <w:color w:val="auto"/>
        </w:rPr>
        <w:t>INTERIM CONDENSED CONSOLIDATED STATEMENTS OF COMPREHENSIVE INCOME (LOSS) for the Three and Nine Months Ended September 30, 2024 and 2023 (Unaudited, in millions)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5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Pr>
          <w:p>
            <w:pPr>
              <w:spacing w:after="0"/>
              <w:rPr>
                <w:sz w:val="19"/>
                <w:szCs w:val="19"/>
                <w:color w:val="auto"/>
              </w:rPr>
            </w:pPr>
          </w:p>
        </w:tc>
      </w:tr>
      <w:tr>
        <w:trPr>
          <w:trHeight w:val="21"/>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9"/>
        </w:trPr>
        <w:tc>
          <w:tcPr>
            <w:tcW w:w="5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1"/>
        </w:trPr>
        <w:tc>
          <w:tcPr>
            <w:tcW w:w="5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5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5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740</w:t>
            </w:r>
          </w:p>
        </w:tc>
      </w:tr>
      <w:tr>
        <w:trPr>
          <w:trHeight w:val="250"/>
        </w:trPr>
        <w:tc>
          <w:tcPr>
            <w:tcW w:w="52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3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Items that may be reclassified subsequently to income:</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
        </w:trPr>
        <w:tc>
          <w:tcPr>
            <w:tcW w:w="5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of foreign exchange fluctuation reserve of joint ventures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Effective portion of changes in the fair value of cash flow hedges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9"/>
        </w:trPr>
        <w:tc>
          <w:tcPr>
            <w:tcW w:w="5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on investments measured at fair value through other</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r>
      <w:tr>
        <w:trPr>
          <w:trHeight w:val="21"/>
        </w:trPr>
        <w:tc>
          <w:tcPr>
            <w:tcW w:w="5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7"/>
        </w:trPr>
        <w:tc>
          <w:tcPr>
            <w:tcW w:w="524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5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Shareholders of GlobalFoundries Inc.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5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r>
      <w:tr>
        <w:trPr>
          <w:trHeight w:val="250"/>
        </w:trPr>
        <w:tc>
          <w:tcPr>
            <w:tcW w:w="52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702</w:t>
            </w:r>
          </w:p>
        </w:tc>
      </w:tr>
      <w:tr>
        <w:trPr>
          <w:trHeight w:val="250"/>
        </w:trPr>
        <w:tc>
          <w:tcPr>
            <w:tcW w:w="52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Attributable to:</w:t>
            </w:r>
          </w:p>
        </w:tc>
        <w:tc>
          <w:tcPr>
            <w:tcW w:w="9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Shareholders of GlobalFoundries Inc.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485</w:t>
            </w:r>
          </w:p>
        </w:tc>
        <w:tc>
          <w:tcPr>
            <w:tcW w:w="80" w:type="dxa"/>
            <w:vAlign w:val="bottom"/>
          </w:tcPr>
          <w:p>
            <w:pPr>
              <w:spacing w:after="0"/>
              <w:rPr>
                <w:sz w:val="19"/>
                <w:szCs w:val="19"/>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9"/>
        </w:trPr>
        <w:tc>
          <w:tcPr>
            <w:tcW w:w="5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9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226</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487</w:t>
            </w: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702</w:t>
            </w:r>
          </w:p>
        </w:tc>
      </w:tr>
      <w:tr>
        <w:trPr>
          <w:trHeight w:val="21"/>
        </w:trPr>
        <w:tc>
          <w:tcPr>
            <w:tcW w:w="5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CHANGES IN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30, 2024 and 2023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8"/>
        </w:trPr>
        <w:tc>
          <w:tcPr>
            <w:tcW w:w="3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8"/>
              </w:rPr>
              <w:t>Currency</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3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6"/>
              </w:rPr>
              <w:t>Translation</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4"/>
              </w:rPr>
              <w:t>and</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8"/>
        </w:trPr>
        <w:tc>
          <w:tcPr>
            <w:tcW w:w="3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9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Hedging</w:t>
            </w:r>
          </w:p>
        </w:tc>
        <w:tc>
          <w:tcPr>
            <w:tcW w:w="10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7"/>
              </w:rPr>
              <w:t>Investments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8"/>
              </w:rPr>
              <w:t>Controlling</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85"/>
        </w:trPr>
        <w:tc>
          <w:tcPr>
            <w:tcW w:w="3380" w:type="dxa"/>
            <w:vAlign w:val="bottom"/>
          </w:tcPr>
          <w:p>
            <w:pPr>
              <w:spacing w:after="0"/>
              <w:rPr>
                <w:sz w:val="16"/>
                <w:szCs w:val="16"/>
                <w:color w:val="auto"/>
              </w:rPr>
            </w:pPr>
          </w:p>
        </w:tc>
        <w:tc>
          <w:tcPr>
            <w:tcW w:w="170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Shares</w:t>
            </w:r>
          </w:p>
        </w:tc>
        <w:tc>
          <w:tcPr>
            <w:tcW w:w="14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Reserve</w:t>
            </w:r>
          </w:p>
        </w:tc>
        <w:tc>
          <w:tcPr>
            <w:tcW w:w="120" w:type="dxa"/>
            <w:vAlign w:val="bottom"/>
          </w:tcPr>
          <w:p>
            <w:pPr>
              <w:spacing w:after="0"/>
              <w:rPr>
                <w:sz w:val="16"/>
                <w:szCs w:val="16"/>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6"/>
              </w:rPr>
              <w:t>Reserves</w:t>
            </w:r>
          </w:p>
        </w:tc>
        <w:tc>
          <w:tcPr>
            <w:tcW w:w="16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Interest</w:t>
            </w: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Total Equity</w:t>
            </w:r>
          </w:p>
        </w:tc>
      </w:tr>
      <w:tr>
        <w:trPr>
          <w:trHeight w:val="22"/>
        </w:trPr>
        <w:tc>
          <w:tcPr>
            <w:tcW w:w="33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4"/>
        </w:trPr>
        <w:tc>
          <w:tcPr>
            <w:tcW w:w="338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5"/>
        </w:trPr>
        <w:tc>
          <w:tcPr>
            <w:tcW w:w="33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83"/>
        </w:trPr>
        <w:tc>
          <w:tcPr>
            <w:tcW w:w="3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23,831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(14,021)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9,913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9,960</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Proceeds from issuance of equity instruments and other</w:t>
            </w:r>
          </w:p>
        </w:tc>
        <w:tc>
          <w:tcPr>
            <w:tcW w:w="78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120</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740</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74"/>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September 30, 2023</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24,000</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(13,278)</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10,787</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10,831</w:t>
            </w:r>
          </w:p>
        </w:tc>
      </w:tr>
      <w:tr>
        <w:trPr>
          <w:trHeight w:val="35"/>
        </w:trPr>
        <w:tc>
          <w:tcPr>
            <w:tcW w:w="33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83"/>
        </w:trPr>
        <w:tc>
          <w:tcPr>
            <w:tcW w:w="3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81"/>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December 31, 2023</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554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24,027</w:t>
            </w:r>
          </w:p>
        </w:tc>
        <w:tc>
          <w:tcPr>
            <w:tcW w:w="80" w:type="dxa"/>
            <w:vAlign w:val="bottom"/>
          </w:tcPr>
          <w:p>
            <w:pPr>
              <w:spacing w:after="0"/>
              <w:rPr>
                <w:sz w:val="15"/>
                <w:szCs w:val="15"/>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(13,001)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66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11,104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47</w:t>
            </w:r>
          </w:p>
        </w:tc>
        <w:tc>
          <w:tcPr>
            <w:tcW w:w="10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11,151</w:t>
            </w:r>
          </w:p>
        </w:tc>
      </w:tr>
      <w:tr>
        <w:trPr>
          <w:trHeight w:val="35"/>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issuance of equity instruments and other</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Treasury shares</w:t>
            </w:r>
          </w:p>
        </w:tc>
        <w:tc>
          <w:tcPr>
            <w:tcW w:w="7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w:t>
            </w: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467</w:t>
            </w:r>
          </w:p>
        </w:tc>
      </w:tr>
      <w:tr>
        <w:trPr>
          <w:trHeight w:val="41"/>
        </w:trPr>
        <w:tc>
          <w:tcPr>
            <w:tcW w:w="3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206"/>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September 30, 2024</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553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23,971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(12,536)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11,533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11,582</w:t>
            </w:r>
          </w:p>
        </w:tc>
      </w:tr>
      <w:tr>
        <w:trPr>
          <w:trHeight w:val="24"/>
        </w:trPr>
        <w:tc>
          <w:tcPr>
            <w:tcW w:w="33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INTERIM 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Nine Months Ended September 30, 2024 and 2023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6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7"/>
                <w:szCs w:val="17"/>
                <w:color w:val="auto"/>
              </w:rPr>
            </w:pPr>
          </w:p>
        </w:tc>
      </w:tr>
      <w:tr>
        <w:trPr>
          <w:trHeight w:val="244"/>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Borders>
              <w:bottom w:val="single" w:sz="8" w:color="auto"/>
            </w:tcBorders>
          </w:tcPr>
          <w:p>
            <w:pPr>
              <w:spacing w:after="0"/>
              <w:rPr>
                <w:sz w:val="21"/>
                <w:szCs w:val="21"/>
                <w:color w:val="auto"/>
              </w:rPr>
            </w:pPr>
          </w:p>
        </w:tc>
      </w:tr>
      <w:tr>
        <w:trPr>
          <w:trHeight w:val="229"/>
        </w:trPr>
        <w:tc>
          <w:tcPr>
            <w:tcW w:w="79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9"/>
                <w:szCs w:val="19"/>
                <w:color w:val="auto"/>
              </w:rPr>
            </w:pPr>
          </w:p>
        </w:tc>
      </w:tr>
      <w:tr>
        <w:trPr>
          <w:trHeight w:val="21"/>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9"/>
                <w:szCs w:val="19"/>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952</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income</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Finance expense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Gain on disposal of property, plant and equipment and other</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assets and liabilities, net of acquisitions: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Receivables, prepayments, other assets and other non-current assets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Current and non-current trade and other payables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Interest received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1,441</w:t>
            </w:r>
          </w:p>
        </w:tc>
      </w:tr>
      <w:tr>
        <w:trPr>
          <w:trHeight w:val="250"/>
        </w:trPr>
        <w:tc>
          <w:tcPr>
            <w:tcW w:w="798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Acquisitions, net of cash acquired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 net</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Purchase of intangible assets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a business</w:t>
            </w:r>
          </w:p>
        </w:tc>
        <w:tc>
          <w:tcPr>
            <w:tcW w:w="10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(1,121)</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maturities of marketable securities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644</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(1,033)</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(1,787)</w:t>
            </w:r>
          </w:p>
        </w:tc>
      </w:tr>
      <w:tr>
        <w:trPr>
          <w:trHeight w:val="21"/>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r>
      <w:tr>
        <w:trPr>
          <w:trHeight w:val="23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
        </w:trPr>
        <w:tc>
          <w:tcPr>
            <w:tcW w:w="7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proceeds from borrowings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Repayments of debt and lease obligations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9"/>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issuance of equity instruments and other</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Purchase of treasury stock</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(472)</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2,352</w:t>
            </w:r>
          </w:p>
        </w:tc>
      </w:tr>
      <w:tr>
        <w:trPr>
          <w:trHeight w:val="29"/>
        </w:trPr>
        <w:tc>
          <w:tcPr>
            <w:tcW w:w="79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 w:right="339" w:bottom="1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115"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Corporate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Operations</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GlobalFoundries Inc. (“GlobalFoundries”) is an exempted company with limited liability incorporated under the laws of the Cayman Islands. The address of GlobalFoundries’ registered office is P.O. Box 309, Ugland House, Grand Cayman, KY1-1104 Cayman Islands.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GlobalFoundries and its subsidiaries (together referred to as the “Company”, “GlobalFoundries”, “GF”, “we”, or “us”) is one of the world’s leading semiconductor foundries and offers a full range of mainstream wafer fabrication services and technologies. The Company manufactures a broad range of semiconductor devices, including microprocessors, mobile application processors, baseband processors, network processors, radio frequency modems, microcontrollers and power management units.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Basis of Presentation, Summary of Material Accounting Policies and Critical Judgements, Estimates and Assumptions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Statement of Compliance — </w:t>
      </w:r>
      <w:r>
        <w:rPr>
          <w:rFonts w:ascii="Arial" w:cs="Arial" w:eastAsia="Arial" w:hAnsi="Arial"/>
          <w:sz w:val="16"/>
          <w:szCs w:val="16"/>
          <w:color w:val="auto"/>
        </w:rPr>
        <w:t>The interim condensed consolidated financial statements ('interim financial statements") have been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International Accounting Standards ("IAS") 34</w:t>
      </w:r>
      <w:r>
        <w:rPr>
          <w:rFonts w:ascii="Arial" w:cs="Arial" w:eastAsia="Arial" w:hAnsi="Arial"/>
          <w:sz w:val="16"/>
          <w:szCs w:val="16"/>
          <w:i w:val="1"/>
          <w:iCs w:val="1"/>
          <w:color w:val="auto"/>
        </w:rPr>
        <w:t>, Interim Financial Reporting</w:t>
      </w:r>
      <w:r>
        <w:rPr>
          <w:rFonts w:ascii="Arial" w:cs="Arial" w:eastAsia="Arial" w:hAnsi="Arial"/>
          <w:sz w:val="16"/>
          <w:szCs w:val="16"/>
          <w:color w:val="auto"/>
        </w:rPr>
        <w:t xml:space="preserve"> ("IAS 34"), as issued by the International Accounting Standards Board ("IASB"). Certain information and footnote disclosures normally included in the annual audited consolidated financial statements prepared in accordance with International Financial Reporting Standards (“IFRS”), as issued by the IASB, have been omitted or condensed. These interim financial statements should be read in conjunction with GlobalFoundries' Annual Report on Form 20-F for the year ended December 31, 2023. The interim financial statements have been prepared on a basis consistent with the accounting policies disclosed in the December 31, 2023 audited consolidated financial statements.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interim financial statements are unaudited and reflect adjustments (consisting of normal recurring adjustments) that are, in the opinion of management, necessary to provide a fair statement of results for the interim periods in accordance with IAS 34 as issued by the IASB.</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interim financial statements were authorized by the Audit, Risk and Compliance Committee of GlobalFoundries’ Board of Directors on November 4, 2024, to be issued and subsequent events have been evaluated for their potential effect on the interim financial statements through November 5, 2024.</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Summary of Material Accounting Policies and Critical Judgments, Estimates and Assumptions — </w:t>
      </w:r>
      <w:r>
        <w:rPr>
          <w:rFonts w:ascii="Arial" w:cs="Arial" w:eastAsia="Arial" w:hAnsi="Arial"/>
          <w:sz w:val="16"/>
          <w:szCs w:val="16"/>
          <w:color w:val="auto"/>
        </w:rPr>
        <w:t>The summary of material accounting policies and</w:t>
      </w:r>
      <w:r>
        <w:rPr>
          <w:rFonts w:ascii="Arial" w:cs="Arial" w:eastAsia="Arial" w:hAnsi="Arial"/>
          <w:sz w:val="16"/>
          <w:szCs w:val="16"/>
          <w:b w:val="1"/>
          <w:bCs w:val="1"/>
          <w:color w:val="auto"/>
        </w:rPr>
        <w:t xml:space="preserve"> </w:t>
      </w:r>
      <w:r>
        <w:rPr>
          <w:rFonts w:ascii="Arial" w:cs="Arial" w:eastAsia="Arial" w:hAnsi="Arial"/>
          <w:sz w:val="16"/>
          <w:szCs w:val="16"/>
          <w:color w:val="auto"/>
        </w:rPr>
        <w:t>critical judgments, estimates and assumptions adopted in the preparation of the interim financial statements are consistent with those followed in the preparation of the Company's annual audited consolidated financial statements contained in our Annual Report on Form 20-F for the year ended December 31, 2023.</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Change in Presentation — </w:t>
      </w:r>
      <w:r>
        <w:rPr>
          <w:rFonts w:ascii="Arial" w:cs="Arial" w:eastAsia="Arial" w:hAnsi="Arial"/>
          <w:sz w:val="16"/>
          <w:szCs w:val="16"/>
          <w:color w:val="auto"/>
        </w:rPr>
        <w:t>Certain prior period balances in the interim financial statements and accompanying notes have been reclassified to conform to</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period presentation. This change is not a change in accounting policy. Such reclassifications had no impact on net income, cash flows or shareholders' equity previously reported.</w:t>
      </w:r>
    </w:p>
    <w:p>
      <w:pPr>
        <w:spacing w:after="0" w:line="9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New and Amended Accounting Pronouncements Adopted — </w:t>
      </w:r>
      <w:r>
        <w:rPr>
          <w:rFonts w:ascii="Arial" w:cs="Arial" w:eastAsia="Arial" w:hAnsi="Arial"/>
          <w:sz w:val="16"/>
          <w:szCs w:val="16"/>
          <w:color w:val="auto"/>
        </w:rPr>
        <w:t>On January 1, 2024, the Company adopted the following amendments, which did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a material impact on the interim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Classification of Liabilities as Current or Non-current (Amendments to IAS 1 </w:t>
      </w:r>
      <w:r>
        <w:rPr>
          <w:rFonts w:ascii="Arial" w:cs="Arial" w:eastAsia="Arial" w:hAnsi="Arial"/>
          <w:sz w:val="16"/>
          <w:szCs w:val="16"/>
          <w:b w:val="1"/>
          <w:bCs w:val="1"/>
          <w:i w:val="1"/>
          <w:iCs w:val="1"/>
          <w:color w:val="auto"/>
        </w:rPr>
        <w:t>Presentation of Financial Statements</w:t>
      </w:r>
      <w:r>
        <w:rPr>
          <w:rFonts w:ascii="Arial" w:cs="Arial" w:eastAsia="Arial" w:hAnsi="Arial"/>
          <w:sz w:val="16"/>
          <w:szCs w:val="16"/>
          <w:b w:val="1"/>
          <w:bCs w:val="1"/>
          <w:color w:val="auto"/>
        </w:rPr>
        <w:t xml:space="preserve">) — </w:t>
      </w:r>
      <w:r>
        <w:rPr>
          <w:rFonts w:ascii="Arial" w:cs="Arial" w:eastAsia="Arial" w:hAnsi="Arial"/>
          <w:sz w:val="16"/>
          <w:szCs w:val="16"/>
          <w:color w:val="auto"/>
        </w:rPr>
        <w:t>The amendments clarify that</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classification of liabilities as current or non-current is based on rights that are in existence at the end of the reporting period, including compliance with loan covenants before or at the reporting date. The amendments also require disclosures for liabilities subject to future covenants that an entity must comply with after the reporting period, which help users to understand the risk that those liabilities could become repayable within twelve months after the reporting period.</w:t>
      </w:r>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Lease Liability in a Sales and Leaseback (Amendments to IFRS 16 </w:t>
      </w:r>
      <w:r>
        <w:rPr>
          <w:rFonts w:ascii="Arial" w:cs="Arial" w:eastAsia="Arial" w:hAnsi="Arial"/>
          <w:sz w:val="16"/>
          <w:szCs w:val="16"/>
          <w:b w:val="1"/>
          <w:bCs w:val="1"/>
          <w:i w:val="1"/>
          <w:iCs w:val="1"/>
          <w:color w:val="auto"/>
        </w:rPr>
        <w:t>Leases</w:t>
      </w:r>
      <w:r>
        <w:rPr>
          <w:rFonts w:ascii="Arial" w:cs="Arial" w:eastAsia="Arial" w:hAnsi="Arial"/>
          <w:sz w:val="16"/>
          <w:szCs w:val="16"/>
          <w:b w:val="1"/>
          <w:bCs w:val="1"/>
          <w:color w:val="auto"/>
        </w:rPr>
        <w:t xml:space="preserve">) — </w:t>
      </w:r>
      <w:r>
        <w:rPr>
          <w:rFonts w:ascii="Arial" w:cs="Arial" w:eastAsia="Arial" w:hAnsi="Arial"/>
          <w:sz w:val="16"/>
          <w:szCs w:val="16"/>
          <w:color w:val="auto"/>
        </w:rPr>
        <w:t>The amendments specify the requirements that the seller-lessee must</w:t>
      </w:r>
      <w:r>
        <w:rPr>
          <w:rFonts w:ascii="Arial" w:cs="Arial" w:eastAsia="Arial" w:hAnsi="Arial"/>
          <w:sz w:val="16"/>
          <w:szCs w:val="16"/>
          <w:b w:val="1"/>
          <w:bCs w:val="1"/>
          <w:color w:val="auto"/>
        </w:rPr>
        <w:t xml:space="preserve"> </w:t>
      </w:r>
      <w:r>
        <w:rPr>
          <w:rFonts w:ascii="Arial" w:cs="Arial" w:eastAsia="Arial" w:hAnsi="Arial"/>
          <w:sz w:val="16"/>
          <w:szCs w:val="16"/>
          <w:color w:val="auto"/>
        </w:rPr>
        <w:t>meet when measuring these lease liability arising in a sale and leaseback transaction, to ensure that the seller-lessee does not recognize any amount of profit or loss that relates to the right of use that it retains.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Supplier Finance Arrangements (Amendments to IAS 7 </w:t>
      </w:r>
      <w:r>
        <w:rPr>
          <w:rFonts w:ascii="Arial" w:cs="Arial" w:eastAsia="Arial" w:hAnsi="Arial"/>
          <w:sz w:val="16"/>
          <w:szCs w:val="16"/>
          <w:b w:val="1"/>
          <w:bCs w:val="1"/>
          <w:i w:val="1"/>
          <w:iCs w:val="1"/>
          <w:color w:val="auto"/>
        </w:rPr>
        <w:t>Statement of Cash Flows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 Disclosures</w:t>
      </w:r>
      <w:r>
        <w:rPr>
          <w:rFonts w:ascii="Arial" w:cs="Arial" w:eastAsia="Arial" w:hAnsi="Arial"/>
          <w:sz w:val="16"/>
          <w:szCs w:val="16"/>
          <w:b w:val="1"/>
          <w:bCs w:val="1"/>
          <w:color w:val="auto"/>
        </w:rPr>
        <w:t xml:space="preserve">) —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clarify the characteristics of supplier financing arrangements and require additional disclosures of such arrangements, so as to understand the effects of financing arrangements on an entity’s liabilities, cash flows and liquidity risk exposure. The transition rules clarify that an entity is not required to provide disclosures in any interim periods in the year of initial application of the amendments.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Adopted: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adopted the following new, revised or amended IFRS standards that have been issued by the IASB that are not yet effective:</w:t>
      </w:r>
    </w:p>
    <w:p>
      <w:pPr>
        <w:spacing w:after="0" w:line="2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 xml:space="preserve">Classification and Measurement of Financial Instruments (Amendments to IFRS 9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and IFRS 7 </w:t>
      </w:r>
      <w:r>
        <w:rPr>
          <w:rFonts w:ascii="Arial" w:cs="Arial" w:eastAsia="Arial" w:hAnsi="Arial"/>
          <w:sz w:val="16"/>
          <w:szCs w:val="16"/>
          <w:b w:val="1"/>
          <w:bCs w:val="1"/>
          <w:i w:val="1"/>
          <w:iCs w:val="1"/>
          <w:color w:val="auto"/>
        </w:rPr>
        <w:t>Financial Instruments: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Disclosures</w:t>
      </w:r>
      <w:r>
        <w:rPr>
          <w:rFonts w:ascii="Arial" w:cs="Arial" w:eastAsia="Arial" w:hAnsi="Arial"/>
          <w:sz w:val="16"/>
          <w:szCs w:val="16"/>
          <w:b w:val="1"/>
          <w:bCs w:val="1"/>
          <w:color w:val="auto"/>
        </w:rPr>
        <w:t>)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amendments clarify the requirements for the timing of recognition and derecognition of certain financial assets and liabilities, add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guidance for assessing whether a financial asset meets the solely payments of principal and interest criterion and add new disclosures for certain instruments with contractual terms that can change cash flows. The effective date for adoption of these amendments is annual periods beginning on or after January 1, 2026.</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IFRS 18 </w:t>
      </w:r>
      <w:r>
        <w:rPr>
          <w:rFonts w:ascii="Arial" w:cs="Arial" w:eastAsia="Arial" w:hAnsi="Arial"/>
          <w:sz w:val="16"/>
          <w:szCs w:val="16"/>
          <w:b w:val="1"/>
          <w:bCs w:val="1"/>
          <w:i w:val="1"/>
          <w:iCs w:val="1"/>
          <w:color w:val="auto"/>
        </w:rPr>
        <w:t>Presentation and Disclosure in Financial Statements</w:t>
      </w:r>
      <w:r>
        <w:rPr>
          <w:rFonts w:ascii="Arial" w:cs="Arial" w:eastAsia="Arial" w:hAnsi="Arial"/>
          <w:sz w:val="16"/>
          <w:szCs w:val="16"/>
          <w:b w:val="1"/>
          <w:bCs w:val="1"/>
          <w:color w:val="auto"/>
        </w:rPr>
        <w:t xml:space="preserve"> ("IFRS 18") — </w:t>
      </w:r>
      <w:r>
        <w:rPr>
          <w:rFonts w:ascii="Arial" w:cs="Arial" w:eastAsia="Arial" w:hAnsi="Arial"/>
          <w:sz w:val="16"/>
          <w:szCs w:val="16"/>
          <w:color w:val="auto"/>
        </w:rPr>
        <w:t>This new standard will replace IAS 1</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Presentation of Financial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key concepts in IFRS 18 relate to the structure of the statement of profit or loss, required disclosures in the financial statements for certain management-defined performance measures and enhanced principles on aggregation and disaggregation which apply to the primary financial statements and notes in general.</w:t>
      </w:r>
    </w:p>
    <w:p>
      <w:pPr>
        <w:spacing w:after="0" w:line="195" w:lineRule="exact"/>
        <w:rPr>
          <w:sz w:val="20"/>
          <w:szCs w:val="20"/>
          <w:color w:val="auto"/>
        </w:rPr>
      </w:pPr>
    </w:p>
    <w:p>
      <w:pPr>
        <w:jc w:val="both"/>
        <w:ind w:left="660" w:hanging="328"/>
        <w:spacing w:after="0" w:line="269" w:lineRule="auto"/>
        <w:tabs>
          <w:tab w:leader="none" w:pos="649" w:val="left"/>
        </w:tabs>
        <w:numPr>
          <w:ilvl w:val="0"/>
          <w:numId w:val="1"/>
        </w:numPr>
        <w:rPr>
          <w:rFonts w:ascii="Arial" w:cs="Arial" w:eastAsia="Arial" w:hAnsi="Arial"/>
          <w:sz w:val="16"/>
          <w:szCs w:val="16"/>
          <w:color w:val="auto"/>
        </w:rPr>
      </w:pPr>
      <w:r>
        <w:rPr>
          <w:rFonts w:ascii="Arial" w:cs="Arial" w:eastAsia="Arial" w:hAnsi="Arial"/>
          <w:sz w:val="16"/>
          <w:szCs w:val="16"/>
          <w:color w:val="auto"/>
        </w:rPr>
        <w:t>IFRS 18 introduces new requirements for presentation within the statement of profit or loss, including specified totals and subtotals. Entities are required to classify all income and expenses within the statement of profit or loss into one of five categories: operating, investing, financing, income taxes and discontinued operations, whereof the first three are new.</w:t>
      </w:r>
    </w:p>
    <w:p>
      <w:pPr>
        <w:jc w:val="both"/>
        <w:ind w:left="660" w:hanging="328"/>
        <w:spacing w:after="0" w:line="264" w:lineRule="auto"/>
        <w:tabs>
          <w:tab w:leader="none" w:pos="649" w:val="left"/>
        </w:tabs>
        <w:numPr>
          <w:ilvl w:val="0"/>
          <w:numId w:val="1"/>
        </w:numPr>
        <w:rPr>
          <w:rFonts w:ascii="Arial" w:cs="Arial" w:eastAsia="Arial" w:hAnsi="Arial"/>
          <w:sz w:val="16"/>
          <w:szCs w:val="16"/>
          <w:color w:val="auto"/>
        </w:rPr>
      </w:pPr>
      <w:r>
        <w:rPr>
          <w:rFonts w:ascii="Arial" w:cs="Arial" w:eastAsia="Arial" w:hAnsi="Arial"/>
          <w:sz w:val="16"/>
          <w:szCs w:val="16"/>
          <w:color w:val="auto"/>
        </w:rPr>
        <w:t>IFRS 18 also requires disclosure of newly defined management-defined performance measures, subtotals of income and expenses, and includes new requirements for aggregation and disaggregation of financial information based on the identified ‘roles’ of the primary financial statements and the notes to the financial statements.</w:t>
      </w:r>
    </w:p>
    <w:p>
      <w:pPr>
        <w:jc w:val="both"/>
        <w:ind w:left="660" w:hanging="328"/>
        <w:spacing w:after="0" w:line="276" w:lineRule="auto"/>
        <w:tabs>
          <w:tab w:leader="none" w:pos="649"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In addition, narrow-scope amendments have been made to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which include changing the starting point for determining cash flows from operations under the indirect method, from ‘profit or loss’ to ‘operating profit or loss’ and removing the optionality around classification of cash flows from dividends and interest. In addition, there are consequential amendments to several other standards.</w:t>
      </w:r>
    </w:p>
    <w:p>
      <w:pPr>
        <w:spacing w:after="0" w:line="21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effective date for adoption of this standard is annual periods beginning on or after January 1, 2027, and earlier adoption is permitted. Retrospective application is required.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 xml:space="preserve">Annual Improvements to IFRS Accounting Standards — Volume 11 — </w:t>
      </w:r>
      <w:r>
        <w:rPr>
          <w:rFonts w:ascii="Arial" w:cs="Arial" w:eastAsia="Arial" w:hAnsi="Arial"/>
          <w:sz w:val="16"/>
          <w:szCs w:val="16"/>
          <w:color w:val="auto"/>
        </w:rPr>
        <w:t>These narrow-scope amendments relate to clarifications, simplifications,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corrections or changes to improve consistency in the following IFRS statements: IFRS 7 </w:t>
      </w:r>
      <w:r>
        <w:rPr>
          <w:rFonts w:ascii="Arial" w:cs="Arial" w:eastAsia="Arial" w:hAnsi="Arial"/>
          <w:sz w:val="16"/>
          <w:szCs w:val="16"/>
          <w:i w:val="1"/>
          <w:iCs w:val="1"/>
          <w:color w:val="auto"/>
        </w:rPr>
        <w:t>Financial Instruments: Disclosures</w:t>
      </w:r>
      <w:r>
        <w:rPr>
          <w:rFonts w:ascii="Arial" w:cs="Arial" w:eastAsia="Arial" w:hAnsi="Arial"/>
          <w:sz w:val="16"/>
          <w:szCs w:val="16"/>
          <w:color w:val="auto"/>
        </w:rPr>
        <w:t xml:space="preserve">, IFRS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IFRS 10 </w:t>
      </w:r>
      <w:r>
        <w:rPr>
          <w:rFonts w:ascii="Arial" w:cs="Arial" w:eastAsia="Arial" w:hAnsi="Arial"/>
          <w:sz w:val="16"/>
          <w:szCs w:val="16"/>
          <w:i w:val="1"/>
          <w:iCs w:val="1"/>
          <w:color w:val="auto"/>
        </w:rPr>
        <w:t>Consolidated Financial Instruments</w:t>
      </w:r>
      <w:r>
        <w:rPr>
          <w:rFonts w:ascii="Arial" w:cs="Arial" w:eastAsia="Arial" w:hAnsi="Arial"/>
          <w:sz w:val="16"/>
          <w:szCs w:val="16"/>
          <w:color w:val="auto"/>
        </w:rPr>
        <w:t xml:space="preserve"> and IAS 7 </w:t>
      </w:r>
      <w:r>
        <w:rPr>
          <w:rFonts w:ascii="Arial" w:cs="Arial" w:eastAsia="Arial" w:hAnsi="Arial"/>
          <w:sz w:val="16"/>
          <w:szCs w:val="16"/>
          <w:i w:val="1"/>
          <w:iCs w:val="1"/>
          <w:color w:val="auto"/>
        </w:rPr>
        <w:t>Statement of Cash Flows</w:t>
      </w:r>
      <w:r>
        <w:rPr>
          <w:rFonts w:ascii="Arial" w:cs="Arial" w:eastAsia="Arial" w:hAnsi="Arial"/>
          <w:sz w:val="16"/>
          <w:szCs w:val="16"/>
          <w:color w:val="auto"/>
        </w:rPr>
        <w:t>. The effective date for adoption of these amendments is annual periods beginning on or after January 1, 2026.</w:t>
      </w:r>
    </w:p>
    <w:p>
      <w:pPr>
        <w:spacing w:after="0" w:line="20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the date the accompanying financial statements were authorized for issue, the Company continues to evaluate the impact of the aforementioned standards on its financial position and performance and related applicable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Net Revenue</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table presents the Company’s revenue disaggregated based on revenue source, timing of revenue recognition and end markets that we serve, for the three and nine month periods ended September 30, 2024 and 2023. The Company believes these categories best depict the nature and timing of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8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23"/>
        </w:trPr>
        <w:tc>
          <w:tcPr>
            <w:tcW w:w="4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8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40" w:type="dxa"/>
            <w:vAlign w:val="bottom"/>
          </w:tcPr>
          <w:p>
            <w:pPr>
              <w:spacing w:after="0"/>
              <w:rPr>
                <w:sz w:val="19"/>
                <w:szCs w:val="19"/>
                <w:color w:val="auto"/>
              </w:rPr>
            </w:pPr>
          </w:p>
        </w:tc>
      </w:tr>
      <w:tr>
        <w:trPr>
          <w:trHeight w:val="21"/>
        </w:trPr>
        <w:tc>
          <w:tcPr>
            <w:tcW w:w="4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9"/>
        </w:trPr>
        <w:tc>
          <w:tcPr>
            <w:tcW w:w="4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
        </w:trPr>
        <w:tc>
          <w:tcPr>
            <w:tcW w:w="44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Type of goods and services:</w:t>
            </w:r>
          </w:p>
        </w:tc>
        <w:tc>
          <w:tcPr>
            <w:tcW w:w="1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57"/>
        </w:trPr>
        <w:tc>
          <w:tcPr>
            <w:tcW w:w="4400" w:type="dxa"/>
            <w:vAlign w:val="bottom"/>
          </w:tcPr>
          <w:p>
            <w:pPr>
              <w:ind w:left="20"/>
              <w:spacing w:after="0"/>
              <w:rPr>
                <w:sz w:val="20"/>
                <w:szCs w:val="20"/>
                <w:color w:val="auto"/>
              </w:rPr>
            </w:pPr>
            <w:r>
              <w:rPr>
                <w:rFonts w:ascii="Arial" w:cs="Arial" w:eastAsia="Arial" w:hAnsi="Arial"/>
                <w:sz w:val="16"/>
                <w:szCs w:val="16"/>
                <w:color w:val="auto"/>
              </w:rPr>
              <w:t>Wafer revenue</w:t>
            </w:r>
            <w:r>
              <w:rPr>
                <w:rFonts w:ascii="Arial" w:cs="Arial" w:eastAsia="Arial" w:hAnsi="Arial"/>
                <w:sz w:val="21"/>
                <w:szCs w:val="21"/>
                <w:color w:val="auto"/>
                <w:vertAlign w:val="superscript"/>
              </w:rPr>
              <w:t>(1)(2)</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22"/>
                <w:szCs w:val="22"/>
                <w:color w:val="auto"/>
              </w:rPr>
            </w:pP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1,646</w:t>
            </w:r>
          </w:p>
        </w:tc>
        <w:tc>
          <w:tcPr>
            <w:tcW w:w="100" w:type="dxa"/>
            <w:vAlign w:val="bottom"/>
          </w:tcPr>
          <w:p>
            <w:pPr>
              <w:spacing w:after="0"/>
              <w:rPr>
                <w:sz w:val="22"/>
                <w:szCs w:val="22"/>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4,421</w:t>
            </w:r>
          </w:p>
        </w:tc>
        <w:tc>
          <w:tcPr>
            <w:tcW w:w="100" w:type="dxa"/>
            <w:vAlign w:val="bottom"/>
          </w:tcPr>
          <w:p>
            <w:pPr>
              <w:spacing w:after="0"/>
              <w:rPr>
                <w:sz w:val="22"/>
                <w:szCs w:val="22"/>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4,903</w:t>
            </w:r>
          </w:p>
        </w:tc>
      </w:tr>
      <w:tr>
        <w:trPr>
          <w:trHeight w:val="25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wafer revenue</w:t>
            </w:r>
            <w:r>
              <w:rPr>
                <w:rFonts w:ascii="Arial" w:cs="Arial" w:eastAsia="Arial" w:hAnsi="Arial"/>
                <w:sz w:val="21"/>
                <w:szCs w:val="21"/>
                <w:color w:val="auto"/>
                <w:vertAlign w:val="superscript"/>
              </w:rPr>
              <w:t>(1)(2)</w:t>
            </w:r>
          </w:p>
        </w:tc>
        <w:tc>
          <w:tcPr>
            <w:tcW w:w="1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w:t>
            </w:r>
          </w:p>
        </w:tc>
      </w:tr>
      <w:tr>
        <w:trPr>
          <w:trHeight w:val="229"/>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100" w:type="dxa"/>
            <w:vAlign w:val="bottom"/>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1,739</w:t>
            </w:r>
          </w:p>
        </w:tc>
        <w:tc>
          <w:tcPr>
            <w:tcW w:w="100" w:type="dxa"/>
            <w:vAlign w:val="bottom"/>
          </w:tcPr>
          <w:p>
            <w:pPr>
              <w:spacing w:after="0"/>
              <w:rPr>
                <w:sz w:val="19"/>
                <w:szCs w:val="19"/>
                <w:color w:val="auto"/>
              </w:rPr>
            </w:pPr>
          </w:p>
        </w:tc>
        <w:tc>
          <w:tcPr>
            <w:tcW w:w="1120" w:type="dxa"/>
            <w:vAlign w:val="bottom"/>
          </w:tcPr>
          <w:p>
            <w:pPr>
              <w:jc w:val="right"/>
              <w:ind w:right="91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1,852</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4,920</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5,538</w:t>
            </w:r>
          </w:p>
        </w:tc>
      </w:tr>
      <w:tr>
        <w:trPr>
          <w:trHeight w:val="21"/>
        </w:trPr>
        <w:tc>
          <w:tcPr>
            <w:tcW w:w="44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44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7"/>
        </w:trPr>
        <w:tc>
          <w:tcPr>
            <w:tcW w:w="440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
        </w:trPr>
        <w:tc>
          <w:tcPr>
            <w:tcW w:w="4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recognized over time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r>
      <w:tr>
        <w:trPr>
          <w:trHeight w:val="228"/>
        </w:trPr>
        <w:tc>
          <w:tcPr>
            <w:tcW w:w="4400" w:type="dxa"/>
            <w:vAlign w:val="bottom"/>
          </w:tcPr>
          <w:p>
            <w:pPr>
              <w:ind w:left="20"/>
              <w:spacing w:after="0"/>
              <w:rPr>
                <w:sz w:val="20"/>
                <w:szCs w:val="20"/>
                <w:color w:val="auto"/>
              </w:rPr>
            </w:pPr>
            <w:r>
              <w:rPr>
                <w:rFonts w:ascii="Arial" w:cs="Arial" w:eastAsia="Arial" w:hAnsi="Arial"/>
                <w:sz w:val="16"/>
                <w:szCs w:val="16"/>
                <w:color w:val="auto"/>
              </w:rPr>
              <w:t>Revenue recognized at a point in time</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5,206</w:t>
            </w:r>
          </w:p>
        </w:tc>
      </w:tr>
      <w:tr>
        <w:trPr>
          <w:trHeight w:val="29"/>
        </w:trPr>
        <w:tc>
          <w:tcPr>
            <w:tcW w:w="4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5,538</w:t>
            </w:r>
          </w:p>
        </w:tc>
      </w:tr>
      <w:tr>
        <w:trPr>
          <w:trHeight w:val="196"/>
        </w:trPr>
        <w:tc>
          <w:tcPr>
            <w:tcW w:w="44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Markets:</w:t>
            </w: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20"/>
              <w:spacing w:after="0"/>
              <w:rPr>
                <w:sz w:val="20"/>
                <w:szCs w:val="20"/>
                <w:color w:val="auto"/>
              </w:rPr>
            </w:pPr>
            <w:r>
              <w:rPr>
                <w:rFonts w:ascii="Arial" w:cs="Arial" w:eastAsia="Arial" w:hAnsi="Arial"/>
                <w:sz w:val="16"/>
                <w:szCs w:val="16"/>
                <w:color w:val="auto"/>
              </w:rPr>
              <w:t>Smart Mobile Devices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9"/>
                <w:szCs w:val="19"/>
                <w:color w:val="auto"/>
              </w:rPr>
            </w:pP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2,258</w:t>
            </w:r>
          </w:p>
        </w:tc>
      </w:tr>
      <w:tr>
        <w:trPr>
          <w:trHeight w:val="29"/>
        </w:trPr>
        <w:tc>
          <w:tcPr>
            <w:tcW w:w="4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Communications Infrastructure &amp; Datacenter</w:t>
            </w: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719</w:t>
            </w:r>
          </w:p>
        </w:tc>
      </w:tr>
      <w:tr>
        <w:trPr>
          <w:trHeight w:val="228"/>
        </w:trPr>
        <w:tc>
          <w:tcPr>
            <w:tcW w:w="4400" w:type="dxa"/>
            <w:vAlign w:val="bottom"/>
          </w:tcPr>
          <w:p>
            <w:pPr>
              <w:ind w:left="20"/>
              <w:spacing w:after="0"/>
              <w:rPr>
                <w:sz w:val="20"/>
                <w:szCs w:val="20"/>
                <w:color w:val="auto"/>
              </w:rPr>
            </w:pPr>
            <w:r>
              <w:rPr>
                <w:rFonts w:ascii="Arial" w:cs="Arial" w:eastAsia="Arial" w:hAnsi="Arial"/>
                <w:sz w:val="16"/>
                <w:szCs w:val="16"/>
                <w:color w:val="auto"/>
              </w:rPr>
              <w:t>Home and Industrial IoT</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9"/>
        </w:trPr>
        <w:tc>
          <w:tcPr>
            <w:tcW w:w="4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1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28"/>
        </w:trPr>
        <w:tc>
          <w:tcPr>
            <w:tcW w:w="4400" w:type="dxa"/>
            <w:vAlign w:val="bottom"/>
          </w:tcPr>
          <w:p>
            <w:pPr>
              <w:ind w:left="20"/>
              <w:spacing w:after="0"/>
              <w:rPr>
                <w:sz w:val="20"/>
                <w:szCs w:val="20"/>
                <w:color w:val="auto"/>
              </w:rPr>
            </w:pPr>
            <w:r>
              <w:rPr>
                <w:rFonts w:ascii="Arial" w:cs="Arial" w:eastAsia="Arial" w:hAnsi="Arial"/>
                <w:sz w:val="16"/>
                <w:szCs w:val="16"/>
                <w:color w:val="auto"/>
              </w:rPr>
              <w:t>Non wafer revenue and other</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635</w:t>
            </w:r>
          </w:p>
        </w:tc>
      </w:tr>
      <w:tr>
        <w:trPr>
          <w:trHeight w:val="29"/>
        </w:trPr>
        <w:tc>
          <w:tcPr>
            <w:tcW w:w="4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1,739</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5,538</w:t>
            </w:r>
          </w:p>
        </w:tc>
      </w:tr>
      <w:tr>
        <w:trPr>
          <w:trHeight w:val="20"/>
        </w:trPr>
        <w:tc>
          <w:tcPr>
            <w:tcW w:w="4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ind w:left="180" w:hanging="172"/>
        <w:spacing w:after="0" w:line="282" w:lineRule="auto"/>
        <w:tabs>
          <w:tab w:leader="none" w:pos="167" w:val="left"/>
        </w:tabs>
        <w:numPr>
          <w:ilvl w:val="0"/>
          <w:numId w:val="2"/>
        </w:numPr>
        <w:rPr>
          <w:rFonts w:ascii="Arial" w:cs="Arial" w:eastAsia="Arial" w:hAnsi="Arial"/>
          <w:sz w:val="9"/>
          <w:szCs w:val="9"/>
          <w:color w:val="auto"/>
        </w:rPr>
      </w:pPr>
      <w:r>
        <w:rPr>
          <w:rFonts w:ascii="Arial" w:cs="Arial" w:eastAsia="Arial" w:hAnsi="Arial"/>
          <w:sz w:val="14"/>
          <w:szCs w:val="14"/>
          <w:color w:val="auto"/>
        </w:rPr>
        <w:t>Beginning in 2024, access fees and other have been reclassified from wafer revenue to non wafer revenue. Prior period amounts have been recast to conform to the current presentation.</w:t>
      </w:r>
    </w:p>
    <w:p>
      <w:pPr>
        <w:ind w:left="180" w:hanging="172"/>
        <w:spacing w:after="0"/>
        <w:tabs>
          <w:tab w:leader="none" w:pos="172"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Beginning in the fourth quarter 2023, underutilization charges have been included in wafer revenue. Prior period amounts have been recast to conform to the current presentation.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Income taxes</w:t>
      </w:r>
    </w:p>
    <w:p>
      <w:pPr>
        <w:spacing w:after="0" w:line="2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For tax reporting purposes, the Company consolidates its entities under GlobalFoundries Inc., a Cayman Islands entity. As a Cayman Islands entity, the Company’s domestic statutory income tax rate is 0.0%. The difference between the Company’s domestic statutory income tax rate and its effective income tax rate reflected in income tax benefit or income tax expense is </w:t>
      </w:r>
      <w:r>
        <w:rPr>
          <w:rFonts w:ascii="Arial" w:cs="Arial" w:eastAsia="Arial" w:hAnsi="Arial"/>
          <w:sz w:val="16"/>
          <w:szCs w:val="16"/>
          <w:color w:val="212121"/>
        </w:rPr>
        <w:t>primarily due to the effect of tax rates and permanent differences in other jurisdictions in</w:t>
      </w:r>
      <w:r>
        <w:rPr>
          <w:rFonts w:ascii="Arial" w:cs="Arial" w:eastAsia="Arial" w:hAnsi="Arial"/>
          <w:sz w:val="16"/>
          <w:szCs w:val="16"/>
          <w:color w:val="auto"/>
        </w:rPr>
        <w:t xml:space="preserve"> </w:t>
      </w:r>
      <w:r>
        <w:rPr>
          <w:rFonts w:ascii="Arial" w:cs="Arial" w:eastAsia="Arial" w:hAnsi="Arial"/>
          <w:sz w:val="16"/>
          <w:szCs w:val="16"/>
          <w:color w:val="212121"/>
        </w:rPr>
        <w:t>which the Company operates.</w:t>
      </w:r>
    </w:p>
    <w:p>
      <w:pPr>
        <w:spacing w:after="0" w:line="212"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The effective tax rate for the three months ended September 30, 2024 and 2023 was 8.7% and (2.5)%, respectively. The increase was primarily the result of a U.S. withholding tax reclassification from income tax in the third quarter 2023 and higher income tax expense related to the U.S. corporate alternative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minimum tax.</w:t>
      </w:r>
    </w:p>
    <w:p>
      <w:pPr>
        <w:spacing w:after="0" w:line="23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effective tax rate for the nine months ended September 30, 2024 and 2023 was 9.7% and 5.7%, respectively. The increase was primarily the result of higher income tax expense related to the U.S. corporate alternative minimum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Earnings Per Share</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32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7"/>
                <w:szCs w:val="17"/>
                <w:color w:val="auto"/>
              </w:rPr>
            </w:pPr>
          </w:p>
        </w:tc>
      </w:tr>
      <w:tr>
        <w:trPr>
          <w:trHeight w:val="223"/>
        </w:trPr>
        <w:tc>
          <w:tcPr>
            <w:tcW w:w="3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4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9"/>
                <w:szCs w:val="19"/>
                <w:color w:val="auto"/>
              </w:rPr>
            </w:pPr>
          </w:p>
        </w:tc>
      </w:tr>
      <w:tr>
        <w:trPr>
          <w:trHeight w:val="21"/>
        </w:trPr>
        <w:tc>
          <w:tcPr>
            <w:tcW w:w="3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9"/>
        </w:trPr>
        <w:tc>
          <w:tcPr>
            <w:tcW w:w="39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9"/>
                <w:szCs w:val="19"/>
                <w:color w:val="auto"/>
              </w:rPr>
            </w:pPr>
          </w:p>
        </w:tc>
      </w:tr>
      <w:tr>
        <w:trPr>
          <w:trHeight w:val="21"/>
        </w:trPr>
        <w:tc>
          <w:tcPr>
            <w:tcW w:w="39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95"/>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equity shareholders of the</w:t>
            </w:r>
          </w:p>
        </w:tc>
        <w:tc>
          <w:tcPr>
            <w:tcW w:w="1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50"/>
        </w:trPr>
        <w:tc>
          <w:tcPr>
            <w:tcW w:w="394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r>
      <w:tr>
        <w:trPr>
          <w:trHeight w:val="23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1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228"/>
        </w:trPr>
        <w:tc>
          <w:tcPr>
            <w:tcW w:w="3940" w:type="dxa"/>
            <w:vAlign w:val="bottom"/>
          </w:tcPr>
          <w:p>
            <w:pPr>
              <w:ind w:left="140"/>
              <w:spacing w:after="0"/>
              <w:rPr>
                <w:sz w:val="20"/>
                <w:szCs w:val="20"/>
                <w:color w:val="auto"/>
              </w:rPr>
            </w:pPr>
            <w:r>
              <w:rPr>
                <w:rFonts w:ascii="Arial" w:cs="Arial" w:eastAsia="Arial" w:hAnsi="Arial"/>
                <w:sz w:val="16"/>
                <w:szCs w:val="16"/>
                <w:color w:val="auto"/>
              </w:rPr>
              <w:t>Basic</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9"/>
        </w:trPr>
        <w:tc>
          <w:tcPr>
            <w:tcW w:w="3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r>
      <w:tr>
        <w:trPr>
          <w:trHeight w:val="270"/>
        </w:trPr>
        <w:tc>
          <w:tcPr>
            <w:tcW w:w="3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15"/>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basic and diluted EPS attributable to equity</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w:t>
            </w:r>
          </w:p>
        </w:tc>
        <w:tc>
          <w:tcPr>
            <w:tcW w:w="1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21"/>
        </w:trPr>
        <w:tc>
          <w:tcPr>
            <w:tcW w:w="3940" w:type="dxa"/>
            <w:vAlign w:val="bottom"/>
          </w:tcPr>
          <w:p>
            <w:pPr>
              <w:ind w:left="140"/>
              <w:spacing w:after="0"/>
              <w:rPr>
                <w:sz w:val="20"/>
                <w:szCs w:val="20"/>
                <w:color w:val="auto"/>
              </w:rPr>
            </w:pPr>
            <w:r>
              <w:rPr>
                <w:rFonts w:ascii="Arial" w:cs="Arial" w:eastAsia="Arial" w:hAnsi="Arial"/>
                <w:sz w:val="16"/>
                <w:szCs w:val="16"/>
                <w:color w:val="auto"/>
              </w:rPr>
              <w:t>Basic</w:t>
            </w:r>
          </w:p>
        </w:tc>
        <w:tc>
          <w:tcPr>
            <w:tcW w:w="124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9"/>
        </w:trPr>
        <w:tc>
          <w:tcPr>
            <w:tcW w:w="39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0"/>
        </w:trPr>
        <w:tc>
          <w:tcPr>
            <w:tcW w:w="3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gridSpan w:val="4"/>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Land and</w:t>
            </w: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Building and</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Land</w:t>
            </w: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Leasehold</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Construction</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Improvements</w:t>
            </w:r>
          </w:p>
        </w:tc>
        <w:tc>
          <w:tcPr>
            <w:tcW w:w="18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Improvements</w:t>
            </w:r>
          </w:p>
        </w:tc>
        <w:tc>
          <w:tcPr>
            <w:tcW w:w="18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Equipment</w:t>
            </w:r>
          </w:p>
        </w:tc>
        <w:tc>
          <w:tcPr>
            <w:tcW w:w="1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Computer</w:t>
            </w:r>
          </w:p>
        </w:tc>
        <w:tc>
          <w:tcPr>
            <w:tcW w:w="18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Progress</w:t>
            </w: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2023</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7,635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24,277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1,512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33,964</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ind w:left="1200"/>
              <w:spacing w:after="0"/>
              <w:rPr>
                <w:sz w:val="20"/>
                <w:szCs w:val="20"/>
                <w:color w:val="auto"/>
              </w:rPr>
            </w:pPr>
            <w:r>
              <w:rPr>
                <w:rFonts w:ascii="Calibri" w:cs="Calibri" w:eastAsia="Calibri" w:hAnsi="Calibri"/>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Transfers from construction in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progress</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25,396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33,951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book value as of</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September 30,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8,950</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Accumulated Depreciation and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24,135</w:t>
            </w:r>
          </w:p>
        </w:tc>
        <w:tc>
          <w:tcPr>
            <w:tcW w:w="0" w:type="dxa"/>
            <w:vAlign w:val="bottom"/>
          </w:tcPr>
          <w:p>
            <w:pPr>
              <w:spacing w:after="0"/>
              <w:rPr>
                <w:sz w:val="1"/>
                <w:szCs w:val="1"/>
                <w:color w:val="auto"/>
              </w:rPr>
            </w:pPr>
          </w:p>
        </w:tc>
      </w:tr>
      <w:tr>
        <w:trPr>
          <w:trHeight w:val="227"/>
        </w:trPr>
        <w:tc>
          <w:tcPr>
            <w:tcW w:w="25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9"/>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Disposals</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8"/>
        </w:trPr>
        <w:tc>
          <w:tcPr>
            <w:tcW w:w="25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9"/>
        </w:trPr>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25,001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the three months ended September 30, 2024 and 2023, depreciation expense of property, plant and equipment was $342 million and $319 million, respectively. For the nine months ended September 30, 2024 and 2023, depreciation expense of property, plant and equipment was $1,038 million and $907 million, respectively.</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Restructuring</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Company incurred $1 million and $17 million of restructuring charges during the three months ended September 30, 2024 and 2023, respectively. The Company incurred $6 million and $41 million of restructuring charges during the nine months ended September 30, 2024 and 2023, respectively. These costs are included in restructuring expenses in the Company’s consolidated statements of operations and unpaid amounts are included in provisions within current liabilities on the consolidated statements of financial position.</w:t>
      </w:r>
    </w:p>
    <w:p>
      <w:pPr>
        <w:spacing w:after="0" w:line="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changes to the restructuring provisions recorded on the consolidated statements of financial position as of September 30, 2024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9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 as of December 31, 2023</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27"/>
        </w:trPr>
        <w:tc>
          <w:tcPr>
            <w:tcW w:w="7900" w:type="dxa"/>
            <w:vAlign w:val="bottom"/>
          </w:tcPr>
          <w:p>
            <w:pPr>
              <w:ind w:left="20"/>
              <w:spacing w:after="0"/>
              <w:rPr>
                <w:sz w:val="20"/>
                <w:szCs w:val="20"/>
                <w:color w:val="auto"/>
              </w:rPr>
            </w:pPr>
            <w:r>
              <w:rPr>
                <w:rFonts w:ascii="Arial" w:cs="Arial" w:eastAsia="Arial" w:hAnsi="Arial"/>
                <w:sz w:val="16"/>
                <w:szCs w:val="16"/>
                <w:color w:val="auto"/>
              </w:rPr>
              <w:t>Provision</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paid</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50"/>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Ending balance as of September 30, 2024</w:t>
            </w:r>
          </w:p>
        </w:tc>
        <w:tc>
          <w:tcPr>
            <w:tcW w:w="96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1"/>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Note 8. Receivables, Prepayments and Other Assets</w:t>
            </w:r>
          </w:p>
        </w:tc>
        <w:tc>
          <w:tcPr>
            <w:tcW w:w="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3"/>
        </w:trPr>
        <w:tc>
          <w:tcPr>
            <w:tcW w:w="79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90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2024</w:t>
            </w:r>
          </w:p>
        </w:tc>
        <w:tc>
          <w:tcPr>
            <w:tcW w:w="16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9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Trade receivables, other than related parties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56"/>
        </w:trPr>
        <w:tc>
          <w:tcPr>
            <w:tcW w:w="7900" w:type="dxa"/>
            <w:vAlign w:val="bottom"/>
          </w:tcPr>
          <w:p>
            <w:pPr>
              <w:ind w:left="20"/>
              <w:spacing w:after="0"/>
              <w:rPr>
                <w:sz w:val="20"/>
                <w:szCs w:val="20"/>
                <w:color w:val="auto"/>
              </w:rPr>
            </w:pPr>
            <w:r>
              <w:rPr>
                <w:rFonts w:ascii="Arial" w:cs="Arial" w:eastAsia="Arial" w:hAnsi="Arial"/>
                <w:sz w:val="16"/>
                <w:szCs w:val="16"/>
                <w:color w:val="auto"/>
              </w:rPr>
              <w:t>Unbilled accounts receivable</w:t>
            </w:r>
            <w:r>
              <w:rPr>
                <w:rFonts w:ascii="Arial" w:cs="Arial" w:eastAsia="Arial" w:hAnsi="Arial"/>
                <w:sz w:val="21"/>
                <w:szCs w:val="21"/>
                <w:color w:val="auto"/>
                <w:vertAlign w:val="superscript"/>
              </w:rPr>
              <w:t>(1)</w:t>
            </w:r>
          </w:p>
        </w:tc>
        <w:tc>
          <w:tcPr>
            <w:tcW w:w="9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Receivables from related parties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financial assets</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1,323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1,420</w:t>
            </w:r>
          </w:p>
        </w:tc>
        <w:tc>
          <w:tcPr>
            <w:tcW w:w="0" w:type="dxa"/>
            <w:vAlign w:val="bottom"/>
          </w:tcPr>
          <w:p>
            <w:pPr>
              <w:spacing w:after="0"/>
              <w:rPr>
                <w:sz w:val="1"/>
                <w:szCs w:val="1"/>
                <w:color w:val="auto"/>
              </w:rPr>
            </w:pPr>
          </w:p>
        </w:tc>
      </w:tr>
      <w:tr>
        <w:trPr>
          <w:trHeight w:val="21"/>
        </w:trPr>
        <w:tc>
          <w:tcPr>
            <w:tcW w:w="7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w:t>
            </w:r>
          </w:p>
        </w:tc>
        <w:tc>
          <w:tcPr>
            <w:tcW w:w="9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Advances to suppliers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Receivables from government grants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8"/>
        </w:trPr>
        <w:tc>
          <w:tcPr>
            <w:tcW w:w="7900" w:type="dxa"/>
            <w:vAlign w:val="bottom"/>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9"/>
        </w:trPr>
        <w:tc>
          <w:tcPr>
            <w:tcW w:w="7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22" w:lineRule="auto"/>
        <w:tabs>
          <w:tab w:leader="none" w:pos="185"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Unbilled accounts receivable represents amounts recognized on revenue contracts less associated advances and progress billings. These amounts will be billed in accordance with the agreed-upon contractual terms or rendering services.</w:t>
      </w:r>
    </w:p>
    <w:p>
      <w:pPr>
        <w:spacing w:after="0" w:line="22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 summarizes the activity in the Company’s unbilled accounts receivable for the nine months ended September 30, 2024 and for the twelve months ended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2024</w:t>
            </w:r>
          </w:p>
        </w:tc>
        <w:tc>
          <w:tcPr>
            <w:tcW w:w="12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
        </w:trPr>
        <w:tc>
          <w:tcPr>
            <w:tcW w:w="7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Balance, beginning of period</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8"/>
        </w:trPr>
        <w:tc>
          <w:tcPr>
            <w:tcW w:w="7800" w:type="dxa"/>
            <w:vAlign w:val="bottom"/>
            <w:gridSpan w:val="2"/>
          </w:tcPr>
          <w:p>
            <w:pPr>
              <w:ind w:left="80"/>
              <w:spacing w:after="0"/>
              <w:rPr>
                <w:sz w:val="20"/>
                <w:szCs w:val="20"/>
                <w:color w:val="auto"/>
              </w:rPr>
            </w:pPr>
            <w:r>
              <w:rPr>
                <w:rFonts w:ascii="Arial" w:cs="Arial" w:eastAsia="Arial" w:hAnsi="Arial"/>
                <w:sz w:val="16"/>
                <w:szCs w:val="16"/>
                <w:color w:val="auto"/>
              </w:rPr>
              <w:t>Revenue recognized during the period</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Amounts invoiced</w:t>
            </w:r>
          </w:p>
        </w:tc>
        <w:tc>
          <w:tcPr>
            <w:tcW w:w="6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50"/>
        </w:trPr>
        <w:tc>
          <w:tcPr>
            <w:tcW w:w="780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 end of period</w:t>
            </w: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9. Inventories</w:t>
            </w: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9"/>
        </w:trPr>
        <w:tc>
          <w:tcPr>
            <w:tcW w:w="78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2024</w:t>
            </w:r>
          </w:p>
        </w:tc>
        <w:tc>
          <w:tcPr>
            <w:tcW w:w="120" w:type="dxa"/>
            <w:vAlign w:val="bottom"/>
          </w:tcPr>
          <w:p>
            <w:pPr>
              <w:spacing w:after="0"/>
              <w:rPr>
                <w:sz w:val="24"/>
                <w:szCs w:val="24"/>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
        </w:trPr>
        <w:tc>
          <w:tcPr>
            <w:tcW w:w="7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Work in progress</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28"/>
        </w:trPr>
        <w:tc>
          <w:tcPr>
            <w:tcW w:w="7800" w:type="dxa"/>
            <w:vAlign w:val="bottom"/>
            <w:gridSpan w:val="2"/>
          </w:tcPr>
          <w:p>
            <w:pPr>
              <w:ind w:left="80"/>
              <w:spacing w:after="0"/>
              <w:rPr>
                <w:sz w:val="20"/>
                <w:szCs w:val="20"/>
                <w:color w:val="auto"/>
              </w:rPr>
            </w:pPr>
            <w:r>
              <w:rPr>
                <w:rFonts w:ascii="Arial" w:cs="Arial" w:eastAsia="Arial" w:hAnsi="Arial"/>
                <w:sz w:val="16"/>
                <w:szCs w:val="16"/>
                <w:color w:val="auto"/>
              </w:rPr>
              <w:t>Raw materials and supplies</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Inventory reserves</w:t>
            </w: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50"/>
        </w:trPr>
        <w:tc>
          <w:tcPr>
            <w:tcW w:w="778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1,802</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1,487</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movement in the inventory reserves for the nine months ended September 30, 2024 and for the twelve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respectively: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2024</w:t>
            </w:r>
          </w:p>
        </w:tc>
        <w:tc>
          <w:tcPr>
            <w:tcW w:w="12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December 31 2023</w:t>
            </w:r>
          </w:p>
        </w:tc>
      </w:tr>
      <w:tr>
        <w:trPr>
          <w:trHeight w:val="21"/>
        </w:trPr>
        <w:tc>
          <w:tcPr>
            <w:tcW w:w="78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28"/>
        </w:trPr>
        <w:tc>
          <w:tcPr>
            <w:tcW w:w="7860" w:type="dxa"/>
            <w:vAlign w:val="bottom"/>
          </w:tcPr>
          <w:p>
            <w:pPr>
              <w:ind w:left="20"/>
              <w:spacing w:after="0"/>
              <w:rPr>
                <w:sz w:val="20"/>
                <w:szCs w:val="20"/>
                <w:color w:val="auto"/>
              </w:rPr>
            </w:pPr>
            <w:r>
              <w:rPr>
                <w:rFonts w:ascii="Arial" w:cs="Arial" w:eastAsia="Arial" w:hAnsi="Arial"/>
                <w:sz w:val="16"/>
                <w:szCs w:val="16"/>
                <w:color w:val="auto"/>
              </w:rPr>
              <w:t>Additions</w:t>
            </w:r>
          </w:p>
        </w:tc>
        <w:tc>
          <w:tcPr>
            <w:tcW w:w="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9"/>
        </w:trPr>
        <w:tc>
          <w:tcPr>
            <w:tcW w:w="7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Written-off and scrapped</w:t>
            </w:r>
          </w:p>
        </w:tc>
        <w:tc>
          <w:tcPr>
            <w:tcW w:w="7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7"/>
        </w:trPr>
        <w:tc>
          <w:tcPr>
            <w:tcW w:w="7860" w:type="dxa"/>
            <w:vAlign w:val="bottom"/>
          </w:tcPr>
          <w:p>
            <w:pPr>
              <w:ind w:left="20"/>
              <w:spacing w:after="0"/>
              <w:rPr>
                <w:sz w:val="20"/>
                <w:szCs w:val="20"/>
                <w:color w:val="auto"/>
              </w:rPr>
            </w:pPr>
            <w:r>
              <w:rPr>
                <w:rFonts w:ascii="Arial" w:cs="Arial" w:eastAsia="Arial" w:hAnsi="Arial"/>
                <w:sz w:val="16"/>
                <w:szCs w:val="16"/>
                <w:color w:val="auto"/>
              </w:rPr>
              <w:t>Elimination of reserves upon sale of inventory</w:t>
            </w:r>
          </w:p>
        </w:tc>
        <w:tc>
          <w:tcPr>
            <w:tcW w:w="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78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143</w:t>
            </w:r>
          </w:p>
        </w:tc>
      </w:tr>
      <w:tr>
        <w:trPr>
          <w:trHeight w:val="20"/>
        </w:trPr>
        <w:tc>
          <w:tcPr>
            <w:tcW w:w="7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per share amounts or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Leases</w:t>
      </w:r>
    </w:p>
    <w:p>
      <w:pPr>
        <w:spacing w:after="0" w:line="26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has various lease agreements for certain of its offices, facilities and equipment, with a weighted average remaining lease term of 12.3 years and weighted average discount rate of 4.4% as of September 30, 2024. Leases may include one or more options to renew. Renewal terms are not included in the determination of the lease term unless the renewals are deemed to be reasonably certain at the time of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20"/>
                <w:szCs w:val="20"/>
                <w:color w:val="auto"/>
              </w:rPr>
            </w:pPr>
            <w:r>
              <w:rPr>
                <w:rFonts w:ascii="Arial" w:cs="Arial" w:eastAsia="Arial" w:hAnsi="Arial"/>
                <w:sz w:val="16"/>
                <w:szCs w:val="16"/>
                <w:color w:val="auto"/>
              </w:rPr>
              <w:t>The following table outlines the carrying amounts of right-of-use assets: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508"/>
        </w:trPr>
        <w:tc>
          <w:tcPr>
            <w:tcW w:w="7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September 30 2024</w:t>
            </w:r>
          </w:p>
        </w:tc>
        <w:tc>
          <w:tcPr>
            <w:tcW w:w="120" w:type="dxa"/>
            <w:vAlign w:val="bottom"/>
          </w:tcPr>
          <w:p>
            <w:pPr>
              <w:spacing w:after="0"/>
              <w:rPr>
                <w:sz w:val="24"/>
                <w:szCs w:val="24"/>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 2023</w:t>
            </w:r>
          </w:p>
        </w:tc>
      </w:tr>
      <w:tr>
        <w:trPr>
          <w:trHeight w:val="21"/>
        </w:trPr>
        <w:tc>
          <w:tcPr>
            <w:tcW w:w="7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0"/>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7780" w:type="dxa"/>
            <w:vAlign w:val="bottom"/>
          </w:tcPr>
          <w:p>
            <w:pPr>
              <w:ind w:left="80"/>
              <w:spacing w:after="0"/>
              <w:rPr>
                <w:sz w:val="20"/>
                <w:szCs w:val="20"/>
                <w:color w:val="auto"/>
              </w:rPr>
            </w:pPr>
            <w:r>
              <w:rPr>
                <w:rFonts w:ascii="Arial" w:cs="Arial" w:eastAsia="Arial" w:hAnsi="Arial"/>
                <w:sz w:val="16"/>
                <w:szCs w:val="16"/>
                <w:color w:val="auto"/>
              </w:rPr>
              <w:t>Building and leasehold improvements</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9"/>
        </w:trPr>
        <w:tc>
          <w:tcPr>
            <w:tcW w:w="7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depreciation of right-of-use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9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7"/>
                <w:szCs w:val="17"/>
                <w:color w:val="auto"/>
              </w:rPr>
            </w:pPr>
          </w:p>
        </w:tc>
      </w:tr>
      <w:tr>
        <w:trPr>
          <w:trHeight w:val="223"/>
        </w:trPr>
        <w:tc>
          <w:tcPr>
            <w:tcW w:w="4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8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9"/>
                <w:szCs w:val="19"/>
                <w:color w:val="auto"/>
              </w:rPr>
            </w:pPr>
          </w:p>
        </w:tc>
      </w:tr>
      <w:tr>
        <w:trPr>
          <w:trHeight w:val="21"/>
        </w:trPr>
        <w:tc>
          <w:tcPr>
            <w:tcW w:w="4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9"/>
        </w:trPr>
        <w:tc>
          <w:tcPr>
            <w:tcW w:w="4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460" w:type="dxa"/>
            <w:vAlign w:val="bottom"/>
          </w:tcPr>
          <w:p>
            <w:pPr>
              <w:spacing w:after="0"/>
              <w:rPr>
                <w:sz w:val="19"/>
                <w:szCs w:val="19"/>
                <w:color w:val="auto"/>
              </w:rPr>
            </w:pPr>
          </w:p>
        </w:tc>
      </w:tr>
      <w:tr>
        <w:trPr>
          <w:trHeight w:val="21"/>
        </w:trPr>
        <w:tc>
          <w:tcPr>
            <w:tcW w:w="42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0"/>
        </w:trPr>
        <w:tc>
          <w:tcPr>
            <w:tcW w:w="4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Land and improvements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8"/>
        </w:trPr>
        <w:tc>
          <w:tcPr>
            <w:tcW w:w="4260" w:type="dxa"/>
            <w:vAlign w:val="bottom"/>
          </w:tcPr>
          <w:p>
            <w:pPr>
              <w:ind w:left="80"/>
              <w:spacing w:after="0"/>
              <w:rPr>
                <w:sz w:val="20"/>
                <w:szCs w:val="20"/>
                <w:color w:val="auto"/>
              </w:rPr>
            </w:pPr>
            <w:r>
              <w:rPr>
                <w:rFonts w:ascii="Arial" w:cs="Arial" w:eastAsia="Arial" w:hAnsi="Arial"/>
                <w:sz w:val="16"/>
                <w:szCs w:val="16"/>
                <w:color w:val="auto"/>
              </w:rPr>
              <w:t>Building and leasehold improvements</w:t>
            </w: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9"/>
        </w:trPr>
        <w:tc>
          <w:tcPr>
            <w:tcW w:w="42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For the three months ended September 30, 2024 and 2023, the additions to right-of-use assets were $3 million and $8 million, respectively. For the nine months ended September 30, 2024 and 2023, the additions to right-of-use assets were $214 million and $62 million, respectively.</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three months ended September 30, 2024 and 2023, interest expense was $5 million and $5 million, respectively. For the nine months ended September 30, 2024 and 2023, interest expense was $20 million and $16 million, respectively.</w:t>
      </w:r>
    </w:p>
    <w:p>
      <w:pPr>
        <w:spacing w:after="0" w:line="18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the three months ended September 30, 2024 and 2023, cash outflow for leases was $18 million and $20 million, respectively. For the nine months ended September 30, 2024 and 2023, cash outflow for leases was $42 million and $57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share amounts and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Long Term Debt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terms and carrying amounts of the Company’s debt: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Nominal Interest</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Year</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560" w:type="dxa"/>
            <w:vAlign w:val="bottom"/>
            <w:vMerge w:val="restart"/>
          </w:tcPr>
          <w:p>
            <w:pPr>
              <w:ind w:left="700"/>
              <w:spacing w:after="0"/>
              <w:rPr>
                <w:sz w:val="20"/>
                <w:szCs w:val="20"/>
                <w:color w:val="auto"/>
              </w:rPr>
            </w:pPr>
            <w:r>
              <w:rPr>
                <w:rFonts w:ascii="Arial" w:cs="Arial" w:eastAsia="Arial" w:hAnsi="Arial"/>
                <w:sz w:val="16"/>
                <w:szCs w:val="16"/>
                <w:b w:val="1"/>
                <w:bCs w:val="1"/>
                <w:color w:val="auto"/>
              </w:rPr>
              <w:t>Currency</w:t>
            </w: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Rate</w:t>
            </w:r>
          </w:p>
        </w:tc>
        <w:tc>
          <w:tcPr>
            <w:tcW w:w="1160" w:type="dxa"/>
            <w:vAlign w:val="bottom"/>
            <w:vMerge w:val="continue"/>
          </w:tcPr>
          <w:p>
            <w:pPr>
              <w:spacing w:after="0"/>
              <w:rPr>
                <w:sz w:val="2"/>
                <w:szCs w:val="2"/>
                <w:color w:val="auto"/>
              </w:rPr>
            </w:pPr>
          </w:p>
        </w:tc>
        <w:tc>
          <w:tcPr>
            <w:tcW w:w="17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September 30 2024</w:t>
            </w:r>
          </w:p>
        </w:tc>
        <w:tc>
          <w:tcPr>
            <w:tcW w:w="120" w:type="dxa"/>
            <w:vAlign w:val="bottom"/>
          </w:tcPr>
          <w:p>
            <w:pPr>
              <w:spacing w:after="0"/>
              <w:rPr>
                <w:sz w:val="2"/>
                <w:szCs w:val="2"/>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line="20" w:lineRule="exact"/>
              <w:rPr>
                <w:sz w:val="1"/>
                <w:szCs w:val="1"/>
                <w:color w:val="auto"/>
              </w:rPr>
            </w:pPr>
          </w:p>
        </w:tc>
      </w:tr>
      <w:tr>
        <w:trPr>
          <w:trHeight w:val="216"/>
        </w:trPr>
        <w:tc>
          <w:tcPr>
            <w:tcW w:w="35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Maturity</w:t>
            </w:r>
          </w:p>
        </w:tc>
        <w:tc>
          <w:tcPr>
            <w:tcW w:w="176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EUR Dresden Equipment Financing</w:t>
            </w:r>
          </w:p>
        </w:tc>
        <w:tc>
          <w:tcPr>
            <w:tcW w:w="1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6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7"/>
        </w:trPr>
        <w:tc>
          <w:tcPr>
            <w:tcW w:w="350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560" w:type="dxa"/>
            <w:vAlign w:val="bottom"/>
          </w:tcPr>
          <w:p>
            <w:pPr>
              <w:ind w:left="5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1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EUR, 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2024-2026</w:t>
            </w:r>
          </w:p>
        </w:tc>
        <w:tc>
          <w:tcPr>
            <w:tcW w:w="6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Current total</w:t>
            </w: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541</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571</w:t>
            </w:r>
          </w:p>
        </w:tc>
        <w:tc>
          <w:tcPr>
            <w:tcW w:w="0" w:type="dxa"/>
            <w:vAlign w:val="bottom"/>
          </w:tcPr>
          <w:p>
            <w:pPr>
              <w:spacing w:after="0"/>
              <w:rPr>
                <w:sz w:val="1"/>
                <w:szCs w:val="1"/>
                <w:color w:val="auto"/>
              </w:rPr>
            </w:pPr>
          </w:p>
        </w:tc>
      </w:tr>
      <w:tr>
        <w:trPr>
          <w:trHeight w:val="21"/>
        </w:trPr>
        <w:tc>
          <w:tcPr>
            <w:tcW w:w="35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00" w:type="dxa"/>
            <w:vAlign w:val="bottom"/>
          </w:tcPr>
          <w:p>
            <w:pPr>
              <w:ind w:left="20"/>
              <w:spacing w:after="0"/>
              <w:rPr>
                <w:sz w:val="20"/>
                <w:szCs w:val="20"/>
                <w:color w:val="auto"/>
              </w:rPr>
            </w:pPr>
            <w:r>
              <w:rPr>
                <w:rFonts w:ascii="Arial" w:cs="Arial" w:eastAsia="Arial" w:hAnsi="Arial"/>
                <w:sz w:val="16"/>
                <w:szCs w:val="16"/>
                <w:color w:val="auto"/>
              </w:rPr>
              <w:t>USD Term Loan A</w:t>
            </w:r>
          </w:p>
        </w:tc>
        <w:tc>
          <w:tcPr>
            <w:tcW w:w="1560" w:type="dxa"/>
            <w:vAlign w:val="bottom"/>
          </w:tcPr>
          <w:p>
            <w:pPr>
              <w:ind w:left="500"/>
              <w:spacing w:after="0"/>
              <w:rPr>
                <w:sz w:val="20"/>
                <w:szCs w:val="20"/>
                <w:color w:val="auto"/>
              </w:rPr>
            </w:pPr>
            <w:r>
              <w:rPr>
                <w:rFonts w:ascii="Arial" w:cs="Arial" w:eastAsia="Arial" w:hAnsi="Arial"/>
                <w:sz w:val="16"/>
                <w:szCs w:val="16"/>
                <w:color w:val="auto"/>
              </w:rPr>
              <w:t>USD</w:t>
            </w:r>
          </w:p>
        </w:tc>
        <w:tc>
          <w:tcPr>
            <w:tcW w:w="1580" w:type="dxa"/>
            <w:vAlign w:val="bottom"/>
          </w:tcPr>
          <w:p>
            <w:pPr>
              <w:jc w:val="center"/>
              <w:spacing w:after="0"/>
              <w:rPr>
                <w:sz w:val="20"/>
                <w:szCs w:val="20"/>
                <w:color w:val="auto"/>
              </w:rPr>
            </w:pPr>
            <w:r>
              <w:rPr>
                <w:rFonts w:ascii="Arial" w:cs="Arial" w:eastAsia="Arial" w:hAnsi="Arial"/>
                <w:sz w:val="14"/>
                <w:szCs w:val="14"/>
                <w:color w:val="auto"/>
              </w:rPr>
              <w:t xml:space="preserve">SOFR </w:t>
            </w:r>
            <w:r>
              <w:rPr>
                <w:rFonts w:ascii="Arial" w:cs="Arial" w:eastAsia="Arial" w:hAnsi="Arial"/>
                <w:sz w:val="16"/>
                <w:szCs w:val="16"/>
                <w:color w:val="auto"/>
              </w:rPr>
              <w:t>+ 2.90%</w:t>
            </w:r>
          </w:p>
        </w:tc>
        <w:tc>
          <w:tcPr>
            <w:tcW w:w="1160" w:type="dxa"/>
            <w:vAlign w:val="bottom"/>
          </w:tcPr>
          <w:p>
            <w:pPr>
              <w:jc w:val="center"/>
              <w:spacing w:after="0"/>
              <w:rPr>
                <w:sz w:val="20"/>
                <w:szCs w:val="20"/>
                <w:color w:val="auto"/>
              </w:rPr>
            </w:pPr>
            <w:r>
              <w:rPr>
                <w:rFonts w:ascii="Arial" w:cs="Arial" w:eastAsia="Arial" w:hAnsi="Arial"/>
                <w:sz w:val="16"/>
                <w:szCs w:val="16"/>
                <w:color w:val="auto"/>
              </w:rPr>
              <w:t>2025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 EUR Dresden Equipment Financing</w:t>
            </w:r>
          </w:p>
        </w:tc>
        <w:tc>
          <w:tcPr>
            <w:tcW w:w="1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EUR</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 xml:space="preserve">EURIBOR </w:t>
            </w:r>
            <w:r>
              <w:rPr>
                <w:rFonts w:ascii="Arial" w:cs="Arial" w:eastAsia="Arial" w:hAnsi="Arial"/>
                <w:sz w:val="16"/>
                <w:szCs w:val="16"/>
                <w:color w:val="auto"/>
              </w:rPr>
              <w:t>+ 1.75%</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2026</w:t>
            </w:r>
          </w:p>
        </w:tc>
        <w:tc>
          <w:tcPr>
            <w:tcW w:w="6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7"/>
        </w:trPr>
        <w:tc>
          <w:tcPr>
            <w:tcW w:w="3500" w:type="dxa"/>
            <w:vAlign w:val="bottom"/>
          </w:tcPr>
          <w:p>
            <w:pPr>
              <w:ind w:left="20"/>
              <w:spacing w:after="0"/>
              <w:rPr>
                <w:sz w:val="20"/>
                <w:szCs w:val="20"/>
                <w:color w:val="auto"/>
              </w:rPr>
            </w:pPr>
            <w:r>
              <w:rPr>
                <w:rFonts w:ascii="Arial" w:cs="Arial" w:eastAsia="Arial" w:hAnsi="Arial"/>
                <w:sz w:val="16"/>
                <w:szCs w:val="16"/>
                <w:color w:val="auto"/>
              </w:rPr>
              <w:t>2021 SGD EDB Loan</w:t>
            </w:r>
          </w:p>
        </w:tc>
        <w:tc>
          <w:tcPr>
            <w:tcW w:w="1560" w:type="dxa"/>
            <w:vAlign w:val="bottom"/>
          </w:tcPr>
          <w:p>
            <w:pPr>
              <w:ind w:left="500"/>
              <w:spacing w:after="0"/>
              <w:rPr>
                <w:sz w:val="20"/>
                <w:szCs w:val="20"/>
                <w:color w:val="auto"/>
              </w:rPr>
            </w:pPr>
            <w:r>
              <w:rPr>
                <w:rFonts w:ascii="Arial" w:cs="Arial" w:eastAsia="Arial" w:hAnsi="Arial"/>
                <w:sz w:val="16"/>
                <w:szCs w:val="16"/>
                <w:color w:val="auto"/>
              </w:rPr>
              <w:t>SGD</w:t>
            </w:r>
          </w:p>
        </w:tc>
        <w:tc>
          <w:tcPr>
            <w:tcW w:w="1580" w:type="dxa"/>
            <w:vAlign w:val="bottom"/>
          </w:tcPr>
          <w:p>
            <w:pPr>
              <w:jc w:val="center"/>
              <w:spacing w:after="0"/>
              <w:rPr>
                <w:sz w:val="20"/>
                <w:szCs w:val="20"/>
                <w:color w:val="auto"/>
              </w:rPr>
            </w:pPr>
            <w:r>
              <w:rPr>
                <w:rFonts w:ascii="Arial" w:cs="Arial" w:eastAsia="Arial" w:hAnsi="Arial"/>
                <w:sz w:val="16"/>
                <w:szCs w:val="16"/>
                <w:color w:val="auto"/>
              </w:rPr>
              <w:t>1.40%</w:t>
            </w:r>
          </w:p>
        </w:tc>
        <w:tc>
          <w:tcPr>
            <w:tcW w:w="1160" w:type="dxa"/>
            <w:vAlign w:val="bottom"/>
          </w:tcPr>
          <w:p>
            <w:pPr>
              <w:jc w:val="center"/>
              <w:spacing w:after="0"/>
              <w:rPr>
                <w:sz w:val="20"/>
                <w:szCs w:val="20"/>
                <w:color w:val="auto"/>
              </w:rPr>
            </w:pPr>
            <w:r>
              <w:rPr>
                <w:rFonts w:ascii="Arial" w:cs="Arial" w:eastAsia="Arial" w:hAnsi="Arial"/>
                <w:sz w:val="16"/>
                <w:szCs w:val="16"/>
                <w:color w:val="auto"/>
              </w:rPr>
              <w:t>2041</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1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EUR, USD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Various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2024-2027</w:t>
            </w:r>
          </w:p>
        </w:tc>
        <w:tc>
          <w:tcPr>
            <w:tcW w:w="6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Non-current total</w:t>
            </w: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1,772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1,801</w:t>
            </w:r>
          </w:p>
        </w:tc>
        <w:tc>
          <w:tcPr>
            <w:tcW w:w="0" w:type="dxa"/>
            <w:vAlign w:val="bottom"/>
          </w:tcPr>
          <w:p>
            <w:pPr>
              <w:spacing w:after="0"/>
              <w:rPr>
                <w:sz w:val="1"/>
                <w:szCs w:val="1"/>
                <w:color w:val="auto"/>
              </w:rPr>
            </w:pPr>
          </w:p>
        </w:tc>
      </w:tr>
      <w:tr>
        <w:trPr>
          <w:trHeight w:val="21"/>
        </w:trPr>
        <w:tc>
          <w:tcPr>
            <w:tcW w:w="35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5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unutilized credit facilities available to the Company to maintain liquidity necessary to fund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2024</w:t>
            </w:r>
          </w:p>
        </w:tc>
        <w:tc>
          <w:tcPr>
            <w:tcW w:w="16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 2023</w:t>
            </w:r>
          </w:p>
        </w:tc>
      </w:tr>
      <w:tr>
        <w:trPr>
          <w:trHeight w:val="21"/>
        </w:trPr>
        <w:tc>
          <w:tcPr>
            <w:tcW w:w="7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7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Revolving Credit Facility</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r>
      <w:tr>
        <w:trPr>
          <w:trHeight w:val="228"/>
        </w:trPr>
        <w:tc>
          <w:tcPr>
            <w:tcW w:w="7920" w:type="dxa"/>
            <w:vAlign w:val="bottom"/>
          </w:tcPr>
          <w:p>
            <w:pPr>
              <w:ind w:left="20"/>
              <w:spacing w:after="0"/>
              <w:rPr>
                <w:sz w:val="20"/>
                <w:szCs w:val="20"/>
                <w:color w:val="auto"/>
              </w:rPr>
            </w:pPr>
            <w:r>
              <w:rPr>
                <w:rFonts w:ascii="Arial" w:cs="Arial" w:eastAsia="Arial" w:hAnsi="Arial"/>
                <w:sz w:val="16"/>
                <w:szCs w:val="16"/>
                <w:color w:val="auto"/>
              </w:rPr>
              <w:t>Uncommitted Credit Facilities</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9"/>
        </w:trPr>
        <w:tc>
          <w:tcPr>
            <w:tcW w:w="79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Related Party Disclosures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total amounts of $11 million and $12 million due from related parties as of September 30, 2024 and December 31, 2023, respectively, have been included in receivables, prepayments and other assets (see Note 8). The $11 million and $10 million due to related parties as of September 30, 2024 and December 31, 2023, respectively, have been included in trade and other payables.</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Related party balances disclosed in the interim financial statements relate to Mubadala Technology Investment Company and Silicon Manufacturing Partners Pte Ltd. ("SMP"). SMP is a joint venture with LSI Technology (Singapore) Pte. Ltd. The Company holds a 49% interest in SMP and manages all aspects of its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related party transactions included in the interim condensed consolidated statements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32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080" w:type="dxa"/>
            <w:vAlign w:val="bottom"/>
          </w:tcPr>
          <w:p>
            <w:pPr>
              <w:spacing w:after="0"/>
              <w:rPr>
                <w:sz w:val="17"/>
                <w:szCs w:val="17"/>
                <w:color w:val="auto"/>
              </w:rPr>
            </w:pPr>
          </w:p>
        </w:tc>
      </w:tr>
      <w:tr>
        <w:trPr>
          <w:trHeight w:val="223"/>
        </w:trPr>
        <w:tc>
          <w:tcPr>
            <w:tcW w:w="3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Pr>
          <w:p>
            <w:pPr>
              <w:spacing w:after="0"/>
              <w:rPr>
                <w:sz w:val="19"/>
                <w:szCs w:val="19"/>
                <w:color w:val="auto"/>
              </w:rPr>
            </w:pPr>
          </w:p>
        </w:tc>
      </w:tr>
      <w:tr>
        <w:trPr>
          <w:trHeight w:val="21"/>
        </w:trPr>
        <w:tc>
          <w:tcPr>
            <w:tcW w:w="3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9"/>
        </w:trPr>
        <w:tc>
          <w:tcPr>
            <w:tcW w:w="37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ind w:right="639"/>
              <w:spacing w:after="0"/>
              <w:rPr>
                <w:sz w:val="20"/>
                <w:szCs w:val="20"/>
                <w:color w:val="auto"/>
              </w:rPr>
            </w:pPr>
            <w:r>
              <w:rPr>
                <w:rFonts w:ascii="Arial" w:cs="Arial" w:eastAsia="Arial" w:hAnsi="Arial"/>
                <w:sz w:val="16"/>
                <w:szCs w:val="16"/>
                <w:b w:val="1"/>
                <w:bCs w:val="1"/>
                <w:color w:val="auto"/>
                <w:w w:val="95"/>
              </w:rPr>
              <w:t>2023</w:t>
            </w:r>
          </w:p>
        </w:tc>
      </w:tr>
      <w:tr>
        <w:trPr>
          <w:trHeight w:val="21"/>
        </w:trPr>
        <w:tc>
          <w:tcPr>
            <w:tcW w:w="37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Purchases from: *</w:t>
            </w:r>
          </w:p>
        </w:tc>
        <w:tc>
          <w:tcPr>
            <w:tcW w:w="1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8"/>
        </w:trPr>
        <w:tc>
          <w:tcPr>
            <w:tcW w:w="3760" w:type="dxa"/>
            <w:vAlign w:val="bottom"/>
          </w:tcPr>
          <w:p>
            <w:pPr>
              <w:ind w:left="20"/>
              <w:spacing w:after="0"/>
              <w:rPr>
                <w:sz w:val="20"/>
                <w:szCs w:val="20"/>
                <w:color w:val="auto"/>
              </w:rPr>
            </w:pPr>
            <w:r>
              <w:rPr>
                <w:rFonts w:ascii="Arial" w:cs="Arial" w:eastAsia="Arial" w:hAnsi="Arial"/>
                <w:sz w:val="16"/>
                <w:szCs w:val="16"/>
                <w:color w:val="auto"/>
              </w:rPr>
              <w:t>SMP</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6"/>
        </w:trPr>
        <w:tc>
          <w:tcPr>
            <w:tcW w:w="37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43"/>
        </w:trPr>
        <w:tc>
          <w:tcPr>
            <w:tcW w:w="3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5"/>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Other transactions with:</w:t>
            </w: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
        </w:trPr>
        <w:tc>
          <w:tcPr>
            <w:tcW w:w="3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5"/>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SMP (reimbursement of expenses and contribution</w:t>
            </w:r>
          </w:p>
        </w:tc>
        <w:tc>
          <w:tcPr>
            <w:tcW w:w="1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 tools)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Mubadala Technology (reimbursement of</w:t>
            </w: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7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5"/>
        </w:trPr>
        <w:tc>
          <w:tcPr>
            <w:tcW w:w="37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 Purchases from SMP were primarily comprised of wafers.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Commitments and Contingencies</w:t>
      </w: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color w:val="auto"/>
        </w:rPr>
        <w:t>– The Company enters into several purchase agreements and supplementary agreements with its third-party manufacturers and suppliers for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deliveries of equipment and components. In addition, the Company enters into intellectual property and licensing agreements with third parties. The total future payments under these agreements amounted to $591 million and $1.1 billion, as of September 30, 2024 and December 31, 2023, respectively. Unconditional purchase commitments of $368 million are due within the next 12 months.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the Company obtained letters of credit to primarily guarantee payments for utility suppliers and foreign statutory payroll related charges. The Company has obtained letters of credit of $30 million and $23 million as of September 30, 2024 and December 31, 2023, respectively, and has drawn down bank guarantees of $4 million and $54 million as of September 30, 2024 and December 31, 2023, respectively.</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From time to time, the Company is a party to claims that arise in the normal course of business. These claims include allegations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financial statements.</w:t>
      </w:r>
    </w:p>
    <w:p>
      <w:pPr>
        <w:spacing w:after="0" w:line="10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201F1E"/>
        </w:rPr>
        <w:t xml:space="preserve">On April 28, 2021, IBM sent the Company a letter alleging for the first time that it did not fulfill its obligations under the contracts entered into with IBM in 2014 and 2015 associated with the acquisition of IBM’s Microelectronics division. IBM asserted that the Company engaged in fraudulent misrepresentations during the underlying negotiations, and claimed the Company owed them </w:t>
      </w:r>
      <w:r>
        <w:rPr>
          <w:rFonts w:ascii="Arial" w:cs="Arial" w:eastAsia="Arial" w:hAnsi="Arial"/>
          <w:sz w:val="16"/>
          <w:szCs w:val="16"/>
          <w:color w:val="000000"/>
        </w:rPr>
        <w:t>$2.5 billion</w:t>
      </w:r>
      <w:r>
        <w:rPr>
          <w:rFonts w:ascii="Arial" w:cs="Arial" w:eastAsia="Arial" w:hAnsi="Arial"/>
          <w:sz w:val="16"/>
          <w:szCs w:val="16"/>
          <w:color w:val="201F1E"/>
        </w:rPr>
        <w:t xml:space="preserve"> in damages and restitution. On June 7, 2021, the Company filed a complaint with the New York State Supreme Court (the “Court”) seeking a declaratory judgment that the Company did not breach the relevant contracts. IBM subsequently filed its complaint with the Court on June 8, 2021. On September 14, 2021, the Court granted the Company’s motion to dismiss IBM’s claims of fraud, unjust enrichment and breach of the implied covenant of good faith and fair dealing. IBM appealed the dismissal of its fraud claim, and on April 7, 2022, the New York Appellate Division reversed the Court’s decision. Discovery and dispositive motion practice have been completed and the trial is scheduled to commence on February 3, 2025. The Company believes, based on discussions with legal counsel, that it has meritorious defenses against IBM’s claims and intends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Fair Value Measurements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spacing w:after="0" w:line="9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30" w:lineRule="exact"/>
        <w:rPr>
          <w:rFonts w:ascii="Arial" w:cs="Arial" w:eastAsia="Arial" w:hAnsi="Arial"/>
          <w:sz w:val="16"/>
          <w:szCs w:val="16"/>
          <w:color w:val="auto"/>
        </w:rPr>
      </w:pPr>
    </w:p>
    <w:p>
      <w:pPr>
        <w:jc w:val="both"/>
        <w:ind w:left="660" w:right="20" w:hanging="328"/>
        <w:spacing w:after="0" w:line="25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w:t>
      </w:r>
    </w:p>
    <w:p>
      <w:pPr>
        <w:ind w:left="660" w:hanging="328"/>
        <w:spacing w:after="0" w:line="27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Unobservable inputs for which little or no market data exists, therefore requiring management judgment to develop the Company’s own models with estimates and assumptions.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Cash Equivalents </w:t>
      </w:r>
      <w:r>
        <w:rPr>
          <w:rFonts w:ascii="Arial" w:cs="Arial" w:eastAsia="Arial" w:hAnsi="Arial"/>
          <w:sz w:val="16"/>
          <w:szCs w:val="16"/>
          <w:color w:val="auto"/>
        </w:rPr>
        <w:t>– Cash equivalents include investments in government obligation-based money market funds, other money market instruments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interest-bearing deposits with initial or remaining terms of three months or less. The fair value of cash equivalents approximates its carrying value due to the short-term nature of these instruments.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 Marketable securities utilizing Level 1 and Level 2 inputs include U.S. Treasury Securities, U.S. Government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Enterprises, floating rate securities, money market mutual funds, corporate debt instruments and other Notes, bonds or debt securities issued by non-U.S. sovereign or multilateral entities, as these securities all have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assets and liabilities measured at fair value on a recurring basis: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Quoted Prices</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Identical Assets/</w:t>
            </w: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Significant Other</w:t>
            </w:r>
          </w:p>
        </w:tc>
        <w:tc>
          <w:tcPr>
            <w:tcW w:w="300" w:type="dxa"/>
            <w:vAlign w:val="bottom"/>
          </w:tcPr>
          <w:p>
            <w:pPr>
              <w:spacing w:after="0"/>
              <w:rPr>
                <w:sz w:val="17"/>
                <w:szCs w:val="17"/>
                <w:color w:val="auto"/>
              </w:rPr>
            </w:pPr>
          </w:p>
        </w:tc>
        <w:tc>
          <w:tcPr>
            <w:tcW w:w="1460" w:type="dxa"/>
            <w:vAlign w:val="bottom"/>
          </w:tcPr>
          <w:p>
            <w:pPr>
              <w:jc w:val="center"/>
              <w:ind w:right="219"/>
              <w:spacing w:after="0"/>
              <w:rPr>
                <w:sz w:val="20"/>
                <w:szCs w:val="20"/>
                <w:color w:val="auto"/>
              </w:rPr>
            </w:pPr>
            <w:r>
              <w:rPr>
                <w:rFonts w:ascii="Arial" w:cs="Arial" w:eastAsia="Arial" w:hAnsi="Arial"/>
                <w:sz w:val="16"/>
                <w:szCs w:val="16"/>
                <w:b w:val="1"/>
                <w:bCs w:val="1"/>
                <w:color w:val="auto"/>
              </w:rPr>
              <w:t>Significant</w:t>
            </w:r>
          </w:p>
        </w:tc>
      </w:tr>
      <w:tr>
        <w:trPr>
          <w:trHeight w:val="223"/>
        </w:trPr>
        <w:tc>
          <w:tcPr>
            <w:tcW w:w="4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Inputs</w:t>
            </w:r>
          </w:p>
        </w:tc>
        <w:tc>
          <w:tcPr>
            <w:tcW w:w="17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57"/>
        </w:trPr>
        <w:tc>
          <w:tcPr>
            <w:tcW w:w="4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22"/>
                <w:szCs w:val="22"/>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22"/>
                <w:szCs w:val="22"/>
                <w:color w:val="auto"/>
              </w:rPr>
            </w:pPr>
          </w:p>
        </w:tc>
        <w:tc>
          <w:tcPr>
            <w:tcW w:w="14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(Level 3)</w:t>
            </w:r>
          </w:p>
        </w:tc>
      </w:tr>
      <w:tr>
        <w:trPr>
          <w:trHeight w:val="21"/>
        </w:trPr>
        <w:tc>
          <w:tcPr>
            <w:tcW w:w="4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2023</w:t>
            </w: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5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September 30, 2024</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6"/>
        </w:trPr>
        <w:tc>
          <w:tcPr>
            <w:tcW w:w="4040" w:type="dxa"/>
            <w:vAlign w:val="bottom"/>
          </w:tcPr>
          <w:p>
            <w:pPr>
              <w:ind w:left="20"/>
              <w:spacing w:after="0"/>
              <w:rPr>
                <w:sz w:val="20"/>
                <w:szCs w:val="20"/>
                <w:color w:val="auto"/>
              </w:rPr>
            </w:pPr>
            <w:r>
              <w:rPr>
                <w:rFonts w:ascii="Arial" w:cs="Arial" w:eastAsia="Arial" w:hAnsi="Arial"/>
                <w:sz w:val="16"/>
                <w:szCs w:val="16"/>
                <w:color w:val="auto"/>
              </w:rPr>
              <w:t>Investments in equity instruments</w:t>
            </w:r>
            <w:r>
              <w:rPr>
                <w:rFonts w:ascii="Arial" w:cs="Arial" w:eastAsia="Arial" w:hAnsi="Arial"/>
                <w:sz w:val="21"/>
                <w:szCs w:val="21"/>
                <w:color w:val="auto"/>
                <w:vertAlign w:val="superscript"/>
              </w:rPr>
              <w:t>(2)</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56"/>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marketable securities</w:t>
            </w:r>
            <w:r>
              <w:rPr>
                <w:rFonts w:ascii="Arial" w:cs="Arial" w:eastAsia="Arial" w:hAnsi="Arial"/>
                <w:sz w:val="21"/>
                <w:szCs w:val="21"/>
                <w:color w:val="auto"/>
                <w:vertAlign w:val="superscript"/>
              </w:rPr>
              <w:t>(4)</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0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5"/>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
        </w:trPr>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Derivatives</w:t>
            </w:r>
            <w:r>
              <w:rPr>
                <w:rFonts w:ascii="Arial" w:cs="Arial" w:eastAsia="Arial" w:hAnsi="Arial"/>
                <w:sz w:val="21"/>
                <w:szCs w:val="21"/>
                <w:color w:val="auto"/>
                <w:vertAlign w:val="superscript"/>
              </w:rPr>
              <w:t>(3)</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4"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Included in cash and cash equivalents on the Company’s interim condensed consolidated statements of financial position.</w:t>
      </w:r>
    </w:p>
    <w:p>
      <w:pPr>
        <w:spacing w:after="0" w:line="120"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Included in current and non-current receivables, prepayments and other assets on the Company’s interim condensed consolidated statements of financial position.</w:t>
      </w:r>
    </w:p>
    <w:p>
      <w:pPr>
        <w:spacing w:after="0" w:line="122" w:lineRule="exact"/>
        <w:rPr>
          <w:rFonts w:ascii="Arial" w:cs="Arial" w:eastAsia="Arial" w:hAnsi="Arial"/>
          <w:sz w:val="9"/>
          <w:szCs w:val="9"/>
          <w:color w:val="auto"/>
        </w:rPr>
      </w:pPr>
    </w:p>
    <w:p>
      <w:pPr>
        <w:ind w:left="180" w:hanging="172"/>
        <w:spacing w:after="0" w:line="305" w:lineRule="auto"/>
        <w:tabs>
          <w:tab w:leader="none" w:pos="179" w:val="left"/>
        </w:tabs>
        <w:numPr>
          <w:ilvl w:val="0"/>
          <w:numId w:val="5"/>
        </w:numPr>
        <w:rPr>
          <w:rFonts w:ascii="Arial" w:cs="Arial" w:eastAsia="Arial" w:hAnsi="Arial"/>
          <w:sz w:val="9"/>
          <w:szCs w:val="9"/>
          <w:color w:val="auto"/>
        </w:rPr>
      </w:pPr>
      <w:r>
        <w:rPr>
          <w:rFonts w:ascii="Arial" w:cs="Arial" w:eastAsia="Arial" w:hAnsi="Arial"/>
          <w:sz w:val="14"/>
          <w:szCs w:val="14"/>
          <w:color w:val="auto"/>
        </w:rPr>
        <w:t>Consists of foreign currency forward contracts, interest rate swaps, cross currency swaps and commodity hedges. Included in other current and non-current financial assets and other current and non-current liabilities on the Company’s interim condensed consolidated statements of financial position.</w:t>
      </w:r>
    </w:p>
    <w:p>
      <w:pPr>
        <w:spacing w:after="0" w:line="33" w:lineRule="exact"/>
        <w:rPr>
          <w:rFonts w:ascii="Arial" w:cs="Arial" w:eastAsia="Arial" w:hAnsi="Arial"/>
          <w:sz w:val="9"/>
          <w:szCs w:val="9"/>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Included in current and non-current marketable securities on the Company's interim condensed consolidated statements of financial position.</w:t>
      </w:r>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nine months ended September 30, 2024 and the year ended December 31, 2023, there were no transfers between Level 1, Level 2 or Level 3 fair value measurements.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Measured and Recorded at Fair Value on a Non-Recurring Basis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assets and liabilities, such as equity method investments, intangible assets and property, plant and equipment, and other non-financial assets are recorded at fair value only if an impairment or observable price adjustment is recognized in the current period.</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millions except for per share amount and otherwise stated)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 Not Recorded at Fair Value on a Recurring Basis</w:t>
      </w:r>
    </w:p>
    <w:p>
      <w:pPr>
        <w:spacing w:after="0" w:line="26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Financial instruments not recorded at fair value on a recurring basis include grants receivable, loans receivable, lease obligations and the Company’s current and non-current portion of long-term debt.</w:t>
      </w:r>
    </w:p>
    <w:p>
      <w:pPr>
        <w:spacing w:after="0" w:line="7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carrying amounts and fair values of the Company’s financial instruments not recorded at fair value on a recurring basis are presented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0" w:type="dxa"/>
            <w:vAlign w:val="bottom"/>
            <w:gridSpan w:val="5"/>
          </w:tcPr>
          <w:p>
            <w:pPr>
              <w:ind w:left="700"/>
              <w:spacing w:after="0"/>
              <w:rPr>
                <w:sz w:val="20"/>
                <w:szCs w:val="20"/>
                <w:color w:val="auto"/>
              </w:rPr>
            </w:pPr>
            <w:r>
              <w:rPr>
                <w:rFonts w:ascii="Arial" w:cs="Arial" w:eastAsia="Arial" w:hAnsi="Arial"/>
                <w:sz w:val="16"/>
                <w:szCs w:val="16"/>
                <w:b w:val="1"/>
                <w:bCs w:val="1"/>
                <w:color w:val="auto"/>
              </w:rPr>
              <w:t>September 30, 2024</w:t>
            </w:r>
          </w:p>
        </w:tc>
        <w:tc>
          <w:tcPr>
            <w:tcW w:w="180" w:type="dxa"/>
            <w:vAlign w:val="bottom"/>
          </w:tcPr>
          <w:p>
            <w:pPr>
              <w:spacing w:after="0"/>
              <w:rPr>
                <w:sz w:val="19"/>
                <w:szCs w:val="19"/>
                <w:color w:val="auto"/>
              </w:rPr>
            </w:pPr>
          </w:p>
        </w:tc>
        <w:tc>
          <w:tcPr>
            <w:tcW w:w="3120" w:type="dxa"/>
            <w:vAlign w:val="bottom"/>
            <w:gridSpan w:val="4"/>
          </w:tcPr>
          <w:p>
            <w:pPr>
              <w:jc w:val="right"/>
              <w:ind w:right="839"/>
              <w:spacing w:after="0"/>
              <w:rPr>
                <w:sz w:val="20"/>
                <w:szCs w:val="20"/>
                <w:color w:val="auto"/>
              </w:rPr>
            </w:pPr>
            <w:r>
              <w:rPr>
                <w:rFonts w:ascii="Arial" w:cs="Arial" w:eastAsia="Arial" w:hAnsi="Arial"/>
                <w:sz w:val="16"/>
                <w:szCs w:val="16"/>
                <w:b w:val="1"/>
                <w:bCs w:val="1"/>
                <w:color w:val="auto"/>
              </w:rPr>
              <w:t>December 31, 2023</w:t>
            </w:r>
          </w:p>
        </w:tc>
      </w:tr>
      <w:tr>
        <w:trPr>
          <w:trHeight w:val="21"/>
        </w:trPr>
        <w:tc>
          <w:tcPr>
            <w:tcW w:w="4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21"/>
        </w:trPr>
        <w:tc>
          <w:tcPr>
            <w:tcW w:w="456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Other long-term debt</w:t>
            </w:r>
          </w:p>
        </w:tc>
        <w:tc>
          <w:tcPr>
            <w:tcW w:w="1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2,256</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2,319</w:t>
            </w:r>
          </w:p>
        </w:tc>
      </w:tr>
      <w:tr>
        <w:trPr>
          <w:trHeight w:val="29"/>
        </w:trPr>
        <w:tc>
          <w:tcPr>
            <w:tcW w:w="4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2,319</w:t>
            </w:r>
          </w:p>
        </w:tc>
      </w:tr>
      <w:tr>
        <w:trPr>
          <w:trHeight w:val="20"/>
        </w:trPr>
        <w:tc>
          <w:tcPr>
            <w:tcW w:w="4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Estimated fair values of long-term debt are based on quoted prices for similar liabilities for which significant inputs are observable and represent a Level 2 valuation. The fair values are estimated based on the type of debt and their maturities. The Company estimates the fair value using market interest rates of debts with similar maturities.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Share-Based Compensation</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measure and recognize compensation expense related to share-based transactions, including employee, consultant, and non-employee director share option awards, in our consolidated financial statements based on fair value. The fair value of each award is estimated on the date of grant using the Black-Scholes option pricing model for options, and the Monte Carlo simulation model for the performance share units and a share price at the grant date for the restricted share units. The Black-Scholes model and Monte Carlo model both require management to make certain assumptions of future expectations based on historical and current data. The assumptions include the expected term of the awards, expected volatility, dividend yield and risk-free interest rate. The expected term represents the amount of time that awards granted are expected to be outstanding, based on forecasted exercise behavior. The option pricing model requires the input of highly subjective assumptions, including the estimated fair value of the Company’s stock, expected term of the awards, expected volatility of the price of the Company’s shares, risk free interest rate and the expected dividend yield of ordinary shares. The assumptions used to determine the fair value of the option awards represent management’s best estimates. These estimates involve inherent uncertainties and the application of management’s judgment. The Company estimates the expected forfeiture for options utilizing historical data, and only recognizes expense when a defined liquidity event (change in control or IPO) is deemed probable on the number of awards that are expected to vest. After applying a forfeiture estimate during each reporting period for when they are probable of vesting, the Company recognizes expense on a graded attribution basis for each tranche of the award over the period from the grant date to the later of the one-year anniversary of estimated time following a liquidity event or the legal vesting dates.</w:t>
      </w:r>
    </w:p>
    <w:p>
      <w:pPr>
        <w:spacing w:after="0" w:line="31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offers an Employee Stock Purchase Plan which provides eligible employees with an opportunity to purchase our ordinary shares through payroll deductions of up to 10% of their eligible compensation. A participant may purchase a maximum of 2,500 ordinary shares during the purchase period. Amounts deducted and accumulated by the participant are used to purchase ordinary shares at the end of each six-month period, with the Company matching 20% of each employee's contributions on an after-tax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Equity</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22, 2024, the Company announced a share repurchase of 3.9 million ordinary shares from Mubadala Technology Investment Company ("MTIC"), a majority shareholder, at the price of $50.75 per share, for an aggregate purchase amount of $200 million. We completed the share repurchase on May 28, 2024.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On May 28, 2024, our Board of Directors resolved to cancel the 3.9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8"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wars in Ukraine and Israel; domestic political developments, including with respect to the U.S. presidential election; the market for our products may develop or recover more slowly than expected or than it has in the past; we may fail to achieve the full benefits of our restructuring plan;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increasing interest rates, rising inflation and any potential recession; and our expected results and planned expansions and operations may not proceed as planned if funding we expect to receive (including the planned awards under the U.S. CHIPS and Science Act and New York State Green CHIPS)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2023 Annual Report on Form 20-F, current reports on Form 6-K and other reports filed with the Securities and Exchange Commission (“SEC”). Copies of our SEC filings are available on our Investor Relations website, investors.gf.com, or from the SEC website,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9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AND FINANCIAL REVIEWS AND PROSPECTS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GlobalFoundries Inc. (“we,” “GF,” or the “Company”) is one of the world’s leading semiconductor foundries. We manufacture complex, essential integrated circuits (“ICs”) that are used in billions of electronic devices across various industries. Our specialized foundry manufacturing processes, extensive library of qualified circuit-building block designs (known as IP titles or IP blocks), and advanced transistor and device technology allow us to serve a wide range of customers, including the global leaders in IC design. We focus on providing optimized solutions for critical applications that drive key secular growth end markets, ensuring function, performance, and power requirements are met. As the only scaled pure-play foundry with a global footprint that is not based in China or Taiwan, we offer our customers the advantage of mitigating geopolitical risk and ensuring greater supply chain certainty. Our definition of a scaled pure-play foundry is a company that specializes in producing ICs for other companies, with annual foundry revenue exceeding $2.5 billion. Our differentiated foundry solutions redefine the industry by offering essential chip solutions that empower our customers to develop innovative products for a wide range of applications in diverse markets.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We focus on essential devices that include digital, analog, mixed-signal, radio frequency (“RF”), ultra-low power and embedded memory solutions that connect, secure and process data, and efficiently power the digital world around us. Our core technology portfolio includes a range of differentiated technology platforms, including our industry-leading RF silicon-on-insulator solutions, advanced high-performance Fin Field-Effect Transistor, Complementary Metal-Oxide Semiconductor, our proprietary FDX</w:t>
      </w:r>
      <w:r>
        <w:rPr>
          <w:rFonts w:ascii="Arial" w:cs="Arial" w:eastAsia="Arial" w:hAnsi="Arial"/>
          <w:sz w:val="21"/>
          <w:szCs w:val="21"/>
          <w:color w:val="auto"/>
          <w:vertAlign w:val="superscript"/>
        </w:rPr>
        <w:t>TM</w:t>
      </w:r>
      <w:r>
        <w:rPr>
          <w:rFonts w:ascii="Arial" w:cs="Arial" w:eastAsia="Arial" w:hAnsi="Arial"/>
          <w:sz w:val="16"/>
          <w:szCs w:val="16"/>
          <w:color w:val="auto"/>
        </w:rPr>
        <w:t>, high-performance Silicon Germanium and Gallium Nitride (“GaN”) products and Silicon Photonics, all of which can be purposely engineered, innovated and designed for a broad set of demanding applications.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principal source of our revenue is wafer fabrication and sales of finished semiconductor wafers, which accounted for approximately 90% of our net revenue for both the three and nine months ended September 30, 2024. The rest of our net revenue was mainly derived from photomask manufacturing, sourcing services and pre-fab manufacturing services.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business has experienced weaker demand across several of the end markets within which we operate, as our customers managed elevated inventory levels, amid an uncertain macro-economic environment, which has adversely impacted our revenues. Despite a modest improvement in quarterly revenue during 2024, demand remains below the levels in 2022 and 2023, as macro-economic uncertainties continue. As discussed in Item 3.D. “Key Information - Risk Factors,” in our Annual Report on From 20-F for the fiscal year ended December 31, 2023, we have chosen to renegotiate certain of our long term agreements (“LTAs”) with existing customers to reflect lower volume commitments and/or longer commitment timelines, and we expect that we will continue to renegotiate additional LTAs through the remainder of 2024.</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remain cautious as the global macroeconomic uncertainty continues, reflecting the impacts of inflation, high historic interest rates, and geopolitical conflicts. Although we are starting to see the inflationary headwinds moderate, the recent macro-economic environment has led to a prolonged and deeper cyclical downturn than was first anticipated. The extent to which these uncertainties will impact our business activities will depend on future developments that cannot be predicted at this time. We continue to collaborate closely with our customers to support the acceleration of their inventory depletion, while seeking to preserve the economic value of the commercial agreements we have entered into.</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generate the majority of our revenue from sales of finished semiconductor wafers, which are priced on a per-wafer basis for the applicable design, and breakage fees or settlement fees arising from not meeting the minimum purchase requirements under certain LTAs with customers. We also generate revenue from the rendering of non-recurring engineering (“NRE”) services, mask production and post-fabrication services such as bump, test and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9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Cost of revenue consists primarily of material expenses, depreciation and amortization, employee-related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spacing w:after="0" w:line="2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 We expect our cost of revenue as a percentage of revenue to decrease sequentially in the fourth quarter of 2024.</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operating expenses consist of research and development (“R&amp;D”), selling, general and administrative expense (“SG&amp;A”), and restructuring charges. Personnel costs are the most significant component of our operating expenses, and consist of salaries, benefits, bonuses, share-based compensation and commissions.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R&amp;D efforts are focused on developing highly differentiated process technologies and solutions. Our R&amp;D expense includes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We expect our R&amp;D as a percentage of revenue to modestly decrease sequentially in the fourth quarter of 2024.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SG&amp;A expenses consist primarily of personnel-related costs, including sales commissions to independent sales representatives and professional fees, including the costs of accounting, audit, legal, regulatory and tax compliance. Additionally, costs related to advertising, trade shows, corporate marketing and allocated overhead costs are also included in SG&amp;A expenses. Beginning in the third quarter of 2023, SG&amp;A expenses also include certain contract cancellation fees, (gain) loss on tool sales and withholding taxes. Certain contract cancellation fees and (gain) loss on tool sales were previously included in other income (expense) while withholding taxes were previously recorded in income tax expense. We expect our SG&amp;A as a percentage of revenue to modestly increase sequentially in the fourth quarter of 2024.</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Charges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Restructuring charges primarily relate to reductions in our global workforce, leased workspace and consultants we engage for strategic support of the restructuring.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Operating Charges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Finance Income (Expense), net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Finance income (expense), net consists of interest earned on our cash and cash equivalents and marketable securities, net of any interest expense on borrowings, amortization of debt issuance costs under our term loans, revolving credit facility, finance leases and other credit facilities we maintain with various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8"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(expense), net consists of our share of profit of our joint venture, one-time gains and losses and other miscellaneous income and expense items unrelated to our core operations. Included are gains and losses relating to hedging activities. Prior to the third quarter of 2023, other income (expense), net also included (gain) loss on tool sales and certain contract cancellation fees.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Income tax expense consists primarily of income taxes in jurisdictions in which we conduct business, which mainly include Germany, Singapore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Results of Operations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Comparison of Three and Nine months ended September 30, 2024 and 2023, (in millions).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620" w:type="dxa"/>
            <w:vAlign w:val="bottom"/>
          </w:tcPr>
          <w:p>
            <w:pPr>
              <w:spacing w:after="0"/>
              <w:rPr>
                <w:sz w:val="20"/>
                <w:szCs w:val="20"/>
                <w:color w:val="auto"/>
              </w:rPr>
            </w:pPr>
            <w:r>
              <w:rPr>
                <w:rFonts w:ascii="Arial" w:cs="Arial" w:eastAsia="Arial" w:hAnsi="Arial"/>
                <w:sz w:val="16"/>
                <w:szCs w:val="16"/>
                <w:b w:val="1"/>
                <w:bCs w:val="1"/>
                <w:i w:val="1"/>
                <w:iCs w:val="1"/>
                <w:color w:val="auto"/>
              </w:rPr>
              <w:t>Net Revenue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83"/>
        </w:trPr>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Three Months Ended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Nine Months Ended</w:t>
            </w:r>
          </w:p>
        </w:tc>
        <w:tc>
          <w:tcPr>
            <w:tcW w:w="1220" w:type="dxa"/>
            <w:vAlign w:val="bottom"/>
          </w:tcPr>
          <w:p>
            <w:pPr>
              <w:spacing w:after="0"/>
              <w:rPr>
                <w:sz w:val="15"/>
                <w:szCs w:val="15"/>
                <w:color w:val="auto"/>
              </w:rPr>
            </w:pPr>
          </w:p>
        </w:tc>
      </w:tr>
      <w:tr>
        <w:trPr>
          <w:trHeight w:val="216"/>
        </w:trPr>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rPr>
              <w:t>September 30</w:t>
            </w:r>
          </w:p>
        </w:tc>
        <w:tc>
          <w:tcPr>
            <w:tcW w:w="1220" w:type="dxa"/>
            <w:vAlign w:val="bottom"/>
            <w:tcBorders>
              <w:bottom w:val="single" w:sz="8" w:color="auto"/>
            </w:tcBorders>
          </w:tcPr>
          <w:p>
            <w:pPr>
              <w:spacing w:after="0"/>
              <w:rPr>
                <w:sz w:val="18"/>
                <w:szCs w:val="18"/>
                <w:color w:val="auto"/>
              </w:rPr>
            </w:pPr>
          </w:p>
        </w:tc>
      </w:tr>
      <w:tr>
        <w:trPr>
          <w:trHeight w:val="220"/>
        </w:trPr>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ind w:left="22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16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29"/>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(6.1)%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bl>
    <w:p>
      <w:pPr>
        <w:spacing w:after="0" w:line="31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revenue decreased by $113 million, or 6.1%, for the three months ended September 30, 2024 compared to the three months ended September 30, 2023. The decrease from the prior period was primarily driven by wafer shipment volume totaling 549 thousand (300mm equivalent), a 5% decrease from prior period. This was principally the result of elevated inventory levels for several of our customers across certain end markets that we serve, which has resulted in lower customer demand in the Home and Industrial IOT, Communications Infrastructure &amp; Datacenter, and Automotive end-markets. This has been partially offset by increased customer demand in the Smart Mobile Devices end-market.</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revenue decreased by $618 million, or 11.2%, for the nine months ended September 30, 2024 compared to the nine months ended September 30, 2023. The decrease from the prior period was primarily driven by wafer shipment volume totaling 1,529 thousand (300mm equivalent), an 8% decrease from prior period. Wafer shipment volume decline was primarily the result of elevated inventory levels for several of our customers across certain end markets that we serve, which has resulted in lower customer demand in the Communications Infrastructure &amp; Datacenter, and Home and Industrial IOT end-markets. This has been partially offset by increased customer demand in the Automotive and Smart Mobile Devices end-markets. Additionally, average selling prices decreased by 2% from prior period, primarily due to mix shifts.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End Markets: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Nine Months Ended</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7"/>
        </w:trPr>
        <w:tc>
          <w:tcPr>
            <w:tcW w:w="178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1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6"/>
                <w:szCs w:val="16"/>
                <w:color w:val="auto"/>
              </w:rPr>
              <w:t>Smart Mobile Devices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Communications</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Infrastructure &amp;</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Datacenter</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line="162" w:lineRule="exact"/>
              <w:rPr>
                <w:sz w:val="20"/>
                <w:szCs w:val="20"/>
                <w:color w:val="auto"/>
              </w:rPr>
            </w:pPr>
            <w:r>
              <w:rPr>
                <w:rFonts w:ascii="Arial" w:cs="Arial" w:eastAsia="Arial" w:hAnsi="Arial"/>
                <w:sz w:val="16"/>
                <w:szCs w:val="16"/>
                <w:color w:val="auto"/>
              </w:rPr>
              <w:t>Home and Industrial</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5"/>
        </w:trPr>
        <w:tc>
          <w:tcPr>
            <w:tcW w:w="1780" w:type="dxa"/>
            <w:vAlign w:val="bottom"/>
          </w:tcPr>
          <w:p>
            <w:pPr>
              <w:ind w:left="20"/>
              <w:spacing w:after="0"/>
              <w:rPr>
                <w:sz w:val="20"/>
                <w:szCs w:val="20"/>
                <w:color w:val="auto"/>
              </w:rPr>
            </w:pPr>
            <w:r>
              <w:rPr>
                <w:rFonts w:ascii="Arial" w:cs="Arial" w:eastAsia="Arial" w:hAnsi="Arial"/>
                <w:sz w:val="16"/>
                <w:szCs w:val="16"/>
                <w:color w:val="auto"/>
              </w:rPr>
              <w:t>IoT</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Automotive</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 wafer revenue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24"/>
        </w:trPr>
        <w:tc>
          <w:tcPr>
            <w:tcW w:w="1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9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66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3"/>
        </w:trPr>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Nine Months Ended</w:t>
            </w:r>
          </w:p>
        </w:tc>
        <w:tc>
          <w:tcPr>
            <w:tcW w:w="116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Borders>
              <w:bottom w:val="single" w:sz="8" w:color="auto"/>
            </w:tcBorders>
          </w:tcPr>
          <w:p>
            <w:pPr>
              <w:spacing w:after="0"/>
              <w:rPr>
                <w:sz w:val="18"/>
                <w:szCs w:val="18"/>
                <w:color w:val="auto"/>
              </w:rPr>
            </w:pPr>
          </w:p>
        </w:tc>
      </w:tr>
      <w:tr>
        <w:trPr>
          <w:trHeight w:val="220"/>
        </w:trPr>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1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29"/>
        </w:trPr>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3,718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4"/>
        </w:trPr>
        <w:tc>
          <w:tcPr>
            <w:tcW w:w="1660" w:type="dxa"/>
            <w:vAlign w:val="bottom"/>
          </w:tcPr>
          <w:p>
            <w:pPr>
              <w:ind w:left="20"/>
              <w:spacing w:after="0"/>
              <w:rPr>
                <w:sz w:val="20"/>
                <w:szCs w:val="20"/>
                <w:color w:val="auto"/>
              </w:rPr>
            </w:pPr>
            <w:r>
              <w:rPr>
                <w:rFonts w:ascii="Arial" w:cs="Arial" w:eastAsia="Arial" w:hAnsi="Arial"/>
                <w:sz w:val="16"/>
                <w:szCs w:val="16"/>
                <w:i w:val="1"/>
                <w:iCs w:val="1"/>
                <w:color w:val="auto"/>
              </w:rPr>
              <w:t>Gross margin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i w:val="1"/>
                <w:iCs w:val="1"/>
                <w:color w:val="auto"/>
              </w:rPr>
              <w:t>23.8 %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28.6 %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i w:val="1"/>
                <w:iCs w:val="1"/>
                <w:color w:val="auto"/>
              </w:rPr>
              <w:t>(480)bps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i w:val="1"/>
                <w:iCs w:val="1"/>
                <w:color w:val="auto"/>
              </w:rPr>
              <w:t>24.4 %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28.5 %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4"/>
                <w:szCs w:val="14"/>
                <w:i w:val="1"/>
                <w:iCs w:val="1"/>
                <w:color w:val="auto"/>
              </w:rPr>
              <w:t>(410)bps</w:t>
            </w:r>
          </w:p>
        </w:tc>
        <w:tc>
          <w:tcPr>
            <w:tcW w:w="1160" w:type="dxa"/>
            <w:vAlign w:val="bottom"/>
          </w:tcPr>
          <w:p>
            <w:pPr>
              <w:spacing w:after="0"/>
              <w:rPr>
                <w:sz w:val="18"/>
                <w:szCs w:val="18"/>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Cost of revenue increased by $2 million, or 0.2%, for the three months ended September 30, 2024 compared to the three months ended September 30, 2023. The change was driven by an unfavorable increase in manufacturing variances due to reduced absorption of fixed costs, partially offset by a 5% lower shipment volume.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Gross margin decreased to 23.8% for the three months ended September 30, 2024 from 28.6% for the three months ended September 30, 2023. The decrease of 480 basis points was primarily driven by reduced factory utilization and unfavorable absorption of fixed manufacturing costs, which resulted primarily from a 6% reduction in revenue.</w:t>
      </w:r>
    </w:p>
    <w:p>
      <w:pPr>
        <w:spacing w:after="0" w:line="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Cost of revenue decreased by $244 million, or 6.2%, for the nine months ended September 30, 2024 compared to the nine months ended September 30, 2023. The change was driven by 8% lower shipment volume, partially offset by an unfavorable increase in manufacturing variances due to reduced absorption of fixed costs.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Gross margin decreased to 24.4% for the nine months ended September 30, 2024 from 28.5% for the nine months ended September 30, 2023. The decrease of 410 basis points was primarily driven by reduced factory utilization and unfavorable absorption of fixed manufacturing costs, which resulted primarily from an 11% reduction in revenue.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Nine Months Ended</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6"/>
                <w:szCs w:val="16"/>
                <w:b w:val="1"/>
                <w:bCs w:val="1"/>
                <w:color w:val="auto"/>
              </w:rPr>
              <w:t>September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60" w:type="dxa"/>
            <w:vAlign w:val="bottom"/>
          </w:tcPr>
          <w:p>
            <w:pPr>
              <w:ind w:left="20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07"/>
        </w:trPr>
        <w:tc>
          <w:tcPr>
            <w:tcW w:w="18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6"/>
                <w:szCs w:val="16"/>
                <w:color w:val="auto"/>
              </w:rPr>
            </w:pPr>
          </w:p>
        </w:tc>
        <w:tc>
          <w:tcPr>
            <w:tcW w:w="14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20.4 %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0" w:type="dxa"/>
            <w:vAlign w:val="bottom"/>
          </w:tcPr>
          <w:p>
            <w:pPr>
              <w:spacing w:after="0"/>
              <w:rPr>
                <w:sz w:val="1"/>
                <w:szCs w:val="1"/>
                <w:color w:val="auto"/>
              </w:rPr>
            </w:pPr>
          </w:p>
        </w:tc>
      </w:tr>
      <w:tr>
        <w:trPr>
          <w:trHeight w:val="120"/>
        </w:trPr>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development expense</w:t>
            </w:r>
          </w:p>
        </w:tc>
        <w:tc>
          <w:tcPr>
            <w:tcW w:w="26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80" w:type="dxa"/>
            <w:vAlign w:val="bottom"/>
            <w:gridSpan w:val="3"/>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0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80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i w:val="1"/>
                <w:iCs w:val="1"/>
                <w:color w:val="auto"/>
              </w:rPr>
              <w:t>7.5 %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5.8 %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i w:val="1"/>
                <w:iCs w:val="1"/>
                <w:color w:val="auto"/>
              </w:rPr>
              <w:t>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i w:val="1"/>
                <w:iCs w:val="1"/>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R&amp;D expense increased by $22 million, or 20.4%, for the three months ended September 30, 2024 compared to the three months ended September 30, 2023. The increase was primarily due to $7 million higher R&amp;D portfolio investments, $15 million higher employee-related expense associated with higher bonus accrual and $1 million higher share-based compensation.</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R&amp;D expense increased by $52 million, or 16.1%, for the nine months ended September 30, 2024 compared to the nine months ended September 30, 2023. The change was primarily a result of $22 million higher R&amp;D portfolio investments, $24 million higher employee-related expenses and $6 million higher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8"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Selling, General and Administrative Expense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Three Months Ended</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Nine Months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ind w:left="140"/>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3"/>
        </w:trPr>
        <w:tc>
          <w:tcPr>
            <w:tcW w:w="25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6"/>
                <w:szCs w:val="16"/>
                <w:color w:val="auto"/>
              </w:rPr>
            </w:pPr>
          </w:p>
        </w:tc>
        <w:tc>
          <w:tcPr>
            <w:tcW w:w="13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(31.5)%  $</w:t>
            </w:r>
          </w:p>
        </w:tc>
        <w:tc>
          <w:tcPr>
            <w:tcW w:w="8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334</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2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administrative expense</w:t>
            </w:r>
          </w:p>
        </w:tc>
        <w:tc>
          <w:tcPr>
            <w:tcW w:w="22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gridSpan w:val="3"/>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50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As a % of revenue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5.6 %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7.7 %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7.0 %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SG&amp;A expenses decreased by $45 million or 31.5%, for the three months ended September 30, 2024 compared to the three months ended September 30, 2023. The change was primarily a result of $25 million decrease in withholding tax expense related to an intercompany loan and $16 million advanced manufacturing investment tax credits (“AMITC”).</w:t>
      </w:r>
    </w:p>
    <w:p>
      <w:pPr>
        <w:spacing w:after="0" w:line="21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SG&amp;A expenses decreased by $52 million or 13.5%, for the nine months ended September 30, 2024 compared to the nine months ended September 30, 2023. The change was primarily a result of $46 million AMITC and $8 million decrease in withholding tax expense related to an intercompany loan.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Arial" w:cs="Arial" w:eastAsia="Arial" w:hAnsi="Arial"/>
                <w:sz w:val="16"/>
                <w:szCs w:val="16"/>
                <w:b w:val="1"/>
                <w:bCs w:val="1"/>
                <w:i w:val="1"/>
                <w:iCs w:val="1"/>
                <w:color w:val="auto"/>
              </w:rPr>
              <w:t>Restructuring charges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26"/>
        </w:trPr>
        <w:tc>
          <w:tcPr>
            <w:tcW w:w="2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6"/>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1100" w:type="dxa"/>
            <w:vAlign w:val="bottom"/>
          </w:tcPr>
          <w:p>
            <w:pPr>
              <w:spacing w:after="0"/>
              <w:rPr>
                <w:sz w:val="24"/>
                <w:szCs w:val="24"/>
                <w:color w:val="auto"/>
              </w:rPr>
            </w:pPr>
          </w:p>
        </w:tc>
      </w:tr>
      <w:tr>
        <w:trPr>
          <w:trHeight w:val="216"/>
        </w:trPr>
        <w:tc>
          <w:tcPr>
            <w:tcW w:w="25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September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September 30</w:t>
            </w:r>
          </w:p>
        </w:tc>
        <w:tc>
          <w:tcPr>
            <w:tcW w:w="1100" w:type="dxa"/>
            <w:vAlign w:val="bottom"/>
            <w:tcBorders>
              <w:bottom w:val="single" w:sz="8" w:color="auto"/>
            </w:tcBorders>
          </w:tcPr>
          <w:p>
            <w:pPr>
              <w:spacing w:after="0"/>
              <w:rPr>
                <w:sz w:val="18"/>
                <w:szCs w:val="18"/>
                <w:color w:val="auto"/>
              </w:rPr>
            </w:pPr>
          </w:p>
        </w:tc>
      </w:tr>
      <w:tr>
        <w:trPr>
          <w:trHeight w:val="220"/>
        </w:trPr>
        <w:tc>
          <w:tcPr>
            <w:tcW w:w="2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253"/>
        </w:trPr>
        <w:tc>
          <w:tcPr>
            <w:tcW w:w="25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r>
    </w:tbl>
    <w:p>
      <w:pPr>
        <w:spacing w:after="0" w:line="200" w:lineRule="exact"/>
        <w:rPr>
          <w:sz w:val="20"/>
          <w:szCs w:val="20"/>
          <w:color w:val="auto"/>
        </w:rPr>
      </w:pPr>
    </w:p>
    <w:p>
      <w:pPr>
        <w:spacing w:after="0" w:line="2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Restructuring charges decreased by $16 million or 94.1%, for the three months ended September 30, 2024 compared to the three months ended September 30, 2023. The change was driven by a decrease in employee-related expenses associated with the reduction in our global workforce in the current period compared to the prior period.</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Restructuring charges decreased $35 million or 85.4%, for the nine months ended September 30, 2024 compared to the nine months ended September 30, 2023. The change was driven by a decrease in employee-related expenses associated with the reduction in our global workforce in the current period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9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600" w:type="dxa"/>
            <w:vAlign w:val="bottom"/>
          </w:tcPr>
          <w:p>
            <w:pPr>
              <w:spacing w:after="0"/>
              <w:rPr>
                <w:sz w:val="20"/>
                <w:szCs w:val="20"/>
                <w:color w:val="auto"/>
              </w:rPr>
            </w:pPr>
            <w:r>
              <w:rPr>
                <w:rFonts w:ascii="Arial" w:cs="Arial" w:eastAsia="Arial" w:hAnsi="Arial"/>
                <w:sz w:val="16"/>
                <w:szCs w:val="16"/>
                <w:b w:val="1"/>
                <w:bCs w:val="1"/>
                <w:i w:val="1"/>
                <w:iCs w:val="1"/>
                <w:color w:val="auto"/>
              </w:rPr>
              <w:t>Finance income (expense), net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3"/>
        </w:trPr>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Nine Months Ended</w:t>
            </w:r>
          </w:p>
        </w:tc>
        <w:tc>
          <w:tcPr>
            <w:tcW w:w="980" w:type="dxa"/>
            <w:vAlign w:val="bottom"/>
          </w:tcPr>
          <w:p>
            <w:pPr>
              <w:spacing w:after="0"/>
              <w:rPr>
                <w:sz w:val="24"/>
                <w:szCs w:val="24"/>
                <w:color w:val="auto"/>
              </w:rPr>
            </w:pPr>
          </w:p>
        </w:tc>
      </w:tr>
      <w:tr>
        <w:trPr>
          <w:trHeight w:val="216"/>
        </w:trPr>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8"/>
                <w:szCs w:val="18"/>
                <w:color w:val="auto"/>
              </w:rPr>
            </w:pPr>
          </w:p>
        </w:tc>
      </w:tr>
      <w:tr>
        <w:trPr>
          <w:trHeight w:val="220"/>
        </w:trPr>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00" w:type="dxa"/>
            <w:vAlign w:val="bottom"/>
          </w:tcPr>
          <w:p>
            <w:pPr>
              <w:ind w:left="16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ind w:left="100"/>
              <w:spacing w:after="0"/>
              <w:rPr>
                <w:sz w:val="20"/>
                <w:szCs w:val="20"/>
                <w:color w:val="auto"/>
              </w:rPr>
            </w:pPr>
            <w:r>
              <w:rPr>
                <w:rFonts w:ascii="Arial" w:cs="Arial" w:eastAsia="Arial" w:hAnsi="Arial"/>
                <w:sz w:val="16"/>
                <w:szCs w:val="16"/>
                <w:b w:val="1"/>
                <w:bCs w:val="1"/>
                <w:color w:val="auto"/>
              </w:rPr>
              <w:t>% Change</w:t>
            </w:r>
          </w:p>
        </w:tc>
      </w:tr>
      <w:tr>
        <w:trPr>
          <w:trHeight w:val="307"/>
        </w:trPr>
        <w:tc>
          <w:tcPr>
            <w:tcW w:w="26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income (expense),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400.0 %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NM</w:t>
            </w:r>
          </w:p>
        </w:tc>
      </w:tr>
    </w:tbl>
    <w:p>
      <w:pPr>
        <w:spacing w:after="0" w:line="3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Finance income (expense), net increased by $12 million for the three months ended September 30, 2024 compared to the three months ended September 30, 2023. The increase was primarily a result of $13 million higher interest income generated from money market funds and investments in marketable securities.</w:t>
      </w:r>
    </w:p>
    <w:p>
      <w:pPr>
        <w:spacing w:after="0" w:line="38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Finance income (expense), net increased by $37 million for the nine months ended September 30, 2024 compared to the nine months ended September 30, 2023. The increase was primarily a result of $47 million higher interest income generated from money market funds and investments in marketable securities, partially offset by $10 million higher interest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60" w:type="dxa"/>
            <w:vAlign w:val="bottom"/>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561"/>
        </w:trPr>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tcPr>
          <w:p>
            <w:pPr>
              <w:jc w:val="right"/>
              <w:ind w:right="300"/>
              <w:spacing w:after="0"/>
              <w:rPr>
                <w:sz w:val="20"/>
                <w:szCs w:val="20"/>
                <w:color w:val="auto"/>
              </w:rPr>
            </w:pPr>
            <w:r>
              <w:rPr>
                <w:rFonts w:ascii="Arial" w:cs="Arial" w:eastAsia="Arial" w:hAnsi="Arial"/>
                <w:sz w:val="16"/>
                <w:szCs w:val="16"/>
                <w:b w:val="1"/>
                <w:bCs w:val="1"/>
                <w:color w:val="auto"/>
              </w:rPr>
              <w:t>Nine Months Ended</w:t>
            </w:r>
          </w:p>
        </w:tc>
        <w:tc>
          <w:tcPr>
            <w:tcW w:w="112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Borders>
              <w:bottom w:val="single" w:sz="8" w:color="auto"/>
            </w:tcBorders>
          </w:tcPr>
          <w:p>
            <w:pPr>
              <w:spacing w:after="0"/>
              <w:rPr>
                <w:sz w:val="18"/>
                <w:szCs w:val="18"/>
                <w:color w:val="auto"/>
              </w:rPr>
            </w:pPr>
          </w:p>
        </w:tc>
      </w:tr>
      <w:tr>
        <w:trPr>
          <w:trHeight w:val="220"/>
        </w:trPr>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ind w:left="10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ind w:left="16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Change</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 Change</w:t>
            </w:r>
          </w:p>
        </w:tc>
      </w:tr>
      <w:tr>
        <w:trPr>
          <w:trHeight w:val="307"/>
        </w:trPr>
        <w:tc>
          <w:tcPr>
            <w:tcW w:w="24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76.2 %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(45)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75.6 %</w:t>
            </w:r>
          </w:p>
        </w:tc>
      </w:tr>
    </w:tbl>
    <w:p>
      <w:pPr>
        <w:spacing w:after="0" w:line="3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Other income (expense), net increased by $16 million for the three months ended September 30, 2024 compared to the three months ended September 30, 2023. The increase was primarily driven by a $14 million reduction in foreign exchange currency losses.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income (expense), net increased by $34 million for the nine months ended September 30, 2024 compared to the nine months ended September 30, 2023. The increase was primarily driven by $46 million reduction in foreign exchange currency losses, partially offset by a $12 million decrease in gains on tool sales.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00" w:type="dxa"/>
            <w:vAlign w:val="bottom"/>
          </w:tcPr>
          <w:p>
            <w:pPr>
              <w:spacing w:after="0"/>
              <w:rPr>
                <w:sz w:val="20"/>
                <w:szCs w:val="20"/>
                <w:color w:val="auto"/>
              </w:rPr>
            </w:pPr>
            <w:r>
              <w:rPr>
                <w:rFonts w:ascii="Arial" w:cs="Arial" w:eastAsia="Arial" w:hAnsi="Arial"/>
                <w:sz w:val="16"/>
                <w:szCs w:val="16"/>
                <w:b w:val="1"/>
                <w:bCs w:val="1"/>
                <w:i w:val="1"/>
                <w:iCs w:val="1"/>
                <w:color w:val="auto"/>
              </w:rPr>
              <w:t>Income Tax Expense</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6"/>
        </w:trPr>
        <w:tc>
          <w:tcPr>
            <w:tcW w:w="3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0" w:type="dxa"/>
            <w:vAlign w:val="bottom"/>
            <w:gridSpan w:val="6"/>
          </w:tcPr>
          <w:p>
            <w:pPr>
              <w:jc w:val="center"/>
              <w:ind w:left="79"/>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left="559"/>
              <w:spacing w:after="0"/>
              <w:rPr>
                <w:sz w:val="20"/>
                <w:szCs w:val="20"/>
                <w:color w:val="auto"/>
              </w:rPr>
            </w:pPr>
            <w:r>
              <w:rPr>
                <w:rFonts w:ascii="Arial" w:cs="Arial" w:eastAsia="Arial" w:hAnsi="Arial"/>
                <w:sz w:val="16"/>
                <w:szCs w:val="16"/>
                <w:b w:val="1"/>
                <w:bCs w:val="1"/>
                <w:color w:val="auto"/>
              </w:rPr>
              <w:t>Nine Months Ended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20"/>
        </w:trPr>
        <w:tc>
          <w:tcPr>
            <w:tcW w:w="39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r>
      <w:tr>
        <w:trPr>
          <w:trHeight w:val="307"/>
        </w:trPr>
        <w:tc>
          <w:tcPr>
            <w:tcW w:w="39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9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Income tax expense increased by $23 million for the three months ended September 30, 2024 compared to the three months ended September 30, 2023, primarily due to a $25 million reclassification of withholding tax expense accrued in the United States from income tax expense in the third quarter of 2023 and the accrual of a $5 million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98"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corporate alternative minimum tax in the current period, partially offset by a reduction in income tax expense due to a decrease in global earnings before tax.</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Income tax expense increased by $5 million for the nine months ended September 30, 2024 compared to the nine months ended September 30, 2023, primarily due to the accrual of a $13 million United States corporate alternative minimum tax in the current period, partially offset by a reduction in income tax expense due to a decrease in global earnings before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9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GlobalFoundries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3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historically financed operations primarily through cash and cash equivalents and marketable securities, as well as cash generated from our business operations, including prepayments under LTAs, debt and government grants. As of September 30, 2024, our cash, cash equivalents and marketable securities balances of approximately $4.3 billion included $2.3 billion of cash and cash equivalents and approximately $2.0 billion of marketable securities.</w:t>
      </w:r>
    </w:p>
    <w:p>
      <w:pPr>
        <w:spacing w:after="0" w:line="3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September 30, 2024 and December 31, 2023, we had an undrawn revolving credit facility of $1.0 billion. In addition to our available revolver, we had $2.3 billion and $2.4 billion of debt outstanding as of September 30, 2024 and December 31, 2023, respectively, which was primarily comprised of multiple term loans in various currencies. Our future capital requirements will depend on many factors, including our revenue growth rate, the timing and the amount of payments we receive from customers pursuant to our LTAs and other business arrangements, the timing and extent of spending to support development efforts, the introduction of new and enhanced products and solutions, the continuing market adoption of our platform, and our obligations to repay our indebtedness from time to time. We may from time to time seek to raise additional capital to support our growth. As of September 30, 2024, we believe that our existing cash, cash equivalents, marketable securities, credit under our revolving credit facility and expected cash generated from operations are sufficient to meet our capital requirements for at least the next 12 months and beyond.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40" w:type="dxa"/>
            <w:vAlign w:val="bottom"/>
          </w:tcPr>
          <w:p>
            <w:pPr>
              <w:spacing w:after="0"/>
              <w:rPr>
                <w:sz w:val="20"/>
                <w:szCs w:val="20"/>
                <w:color w:val="auto"/>
              </w:rPr>
            </w:pPr>
            <w:r>
              <w:rPr>
                <w:rFonts w:ascii="Arial" w:cs="Arial" w:eastAsia="Arial" w:hAnsi="Arial"/>
                <w:sz w:val="16"/>
                <w:szCs w:val="16"/>
                <w:b w:val="1"/>
                <w:bCs w:val="1"/>
                <w:color w:val="auto"/>
              </w:rPr>
              <w:t>Cash Flows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4"/>
        </w:trPr>
        <w:tc>
          <w:tcPr>
            <w:tcW w:w="7340" w:type="dxa"/>
            <w:vAlign w:val="bottom"/>
          </w:tcPr>
          <w:p>
            <w:pPr>
              <w:spacing w:after="0"/>
              <w:rPr>
                <w:sz w:val="20"/>
                <w:szCs w:val="20"/>
                <w:color w:val="auto"/>
              </w:rPr>
            </w:pPr>
            <w:r>
              <w:rPr>
                <w:rFonts w:ascii="Arial" w:cs="Arial" w:eastAsia="Arial" w:hAnsi="Arial"/>
                <w:sz w:val="16"/>
                <w:szCs w:val="16"/>
                <w:color w:val="auto"/>
              </w:rPr>
              <w:t>The following table shows a summary of our cash flows for the periods presented:</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21"/>
        </w:trPr>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560" w:type="dxa"/>
            <w:vAlign w:val="bottom"/>
            <w:tcBorders>
              <w:bottom w:val="single" w:sz="8" w:color="auto"/>
            </w:tcBorders>
          </w:tcPr>
          <w:p>
            <w:pPr>
              <w:spacing w:after="0"/>
              <w:rPr>
                <w:sz w:val="24"/>
                <w:szCs w:val="24"/>
                <w:color w:val="auto"/>
              </w:rPr>
            </w:pPr>
          </w:p>
        </w:tc>
      </w:tr>
      <w:tr>
        <w:trPr>
          <w:trHeight w:val="223"/>
        </w:trPr>
        <w:tc>
          <w:tcPr>
            <w:tcW w:w="734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560" w:type="dxa"/>
            <w:vAlign w:val="bottom"/>
          </w:tcPr>
          <w:p>
            <w:pPr>
              <w:spacing w:after="0"/>
              <w:rPr>
                <w:sz w:val="19"/>
                <w:szCs w:val="19"/>
                <w:color w:val="auto"/>
              </w:rPr>
            </w:pPr>
          </w:p>
        </w:tc>
      </w:tr>
      <w:tr>
        <w:trPr>
          <w:trHeight w:val="209"/>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w:t>
            </w:r>
          </w:p>
        </w:tc>
      </w:tr>
      <w:tr>
        <w:trPr>
          <w:trHeight w:val="215"/>
        </w:trPr>
        <w:tc>
          <w:tcPr>
            <w:tcW w:w="734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(1,787)</w:t>
            </w: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9"/>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1320" w:type="dxa"/>
            <w:vAlign w:val="bottom"/>
            <w:tcBorders>
              <w:bottom w:val="single" w:sz="8" w:color="auto"/>
            </w:tcBorders>
            <w:gridSpan w:val="2"/>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(472)</w:t>
            </w: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Cash provided by operating activities for the nine months ended September 30, 2024 of $1,265 million decreased $176 million compared to the $1,441 million provided for the nine month period ended September 30, 2023. The decrease was primarily due to $273 million in lower net income related to reduced sales offset by non-cash adjustments of $115 million mainly driven by $142 million of higher depreciation related to the expansion of our manufacturing capacity and $23 million of higher share-based compensation partially offset by decreased finance income of $47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Cash used in investing activities for the nine months ended September 30, 2024 of $1,033 million decreased $754 million compared to the cash used of $1,787 million for the nine month period ended September 30, 2023. The decrease was primarily driven by $1,108 million lower capital and intangible expenditures related to the expansion of our fabrication facilities. Partially offsetting this decrease was $238 million of proceeds from the sale of the East Fishkill facility, received in January 2023, an increase of $41 million for net purchases of marketable securities and $69 million related to acquisition costs.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Cash used in financing activities for the nine months ended September 30, 2024 of $333 million increased $208 million compared to the cash used of $125 million for the nine months ended September 30, 2023. The change was primarily attributable to $200 million purchase of treasury shares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2024-11-05T06:50:55Z</dcterms:created>
  <dcterms:modified xsi:type="dcterms:W3CDTF">2024-11-05T06:50:55Z</dcterms:modified>
</cp:coreProperties>
</file>