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0587.xml.htm"/>
      <w:bookmarkStart w:id="1" w:name="kswkform4_17855305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OBEID CARLOS ANTOINE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5"/>
        <w:gridCol w:w="774"/>
        <w:gridCol w:w="601"/>
        <w:gridCol w:w="348"/>
        <w:gridCol w:w="888"/>
        <w:gridCol w:w="453"/>
        <w:gridCol w:w="755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49.02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and settlement of restricted stock units (RSUs) into 5,567 ordinary shares on July 29,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3,291 RSUs, which vest on July 28, 2027, subject to the reporting person's continued service through the vesting date. Each RSU represents a contingent right to receive one share of the issuer's ordinary shares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withholding of shares by the issuer to satisfy the reporting person's tax withholding obligations in connection with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6902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3577</Characters>
  <CharactersWithSpaces>4158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