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2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40"/>
        <w:spacing w:after="0"/>
        <w:rPr>
          <w:sz w:val="20"/>
          <w:szCs w:val="20"/>
          <w:color w:val="auto"/>
        </w:rPr>
      </w:pPr>
      <w:r>
        <w:rPr>
          <w:rFonts w:ascii="Georgia" w:cs="Georgia" w:eastAsia="Georgia" w:hAnsi="Georgia"/>
          <w:sz w:val="22"/>
          <w:szCs w:val="22"/>
          <w:b w:val="1"/>
          <w:bCs w:val="1"/>
          <w:color w:val="auto"/>
        </w:rPr>
        <w:t xml:space="preserve">REPORT OF FOREIGN PRIVATE ISSUER PURSUANT TO RULE 13a-16 OR </w:t>
      </w:r>
      <w:r>
        <w:rPr>
          <w:rFonts w:ascii="Times New Roman" w:cs="Times New Roman" w:eastAsia="Times New Roman" w:hAnsi="Times New Roman"/>
          <w:sz w:val="22"/>
          <w:szCs w:val="22"/>
          <w:b w:val="1"/>
          <w:bCs w:val="1"/>
          <w:color w:val="auto"/>
        </w:rPr>
        <w:t>15d-16 UNDER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4"/>
          <w:szCs w:val="24"/>
          <w:color w:val="auto"/>
        </w:rPr>
      </w:pPr>
    </w:p>
    <w:p>
      <w:pPr>
        <w:ind w:left="180" w:right="204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Exhibit 99.1</w:t>
            </w:r>
          </w:p>
        </w:tc>
        <w:tc>
          <w:tcPr>
            <w:tcW w:w="1100" w:type="dxa"/>
            <w:vAlign w:val="bottom"/>
          </w:tcPr>
          <w:p>
            <w:pPr>
              <w:spacing w:after="0"/>
              <w:rPr>
                <w:sz w:val="18"/>
                <w:szCs w:val="18"/>
                <w:color w:val="auto"/>
              </w:rPr>
            </w:pPr>
          </w:p>
        </w:tc>
        <w:tc>
          <w:tcPr>
            <w:tcW w:w="91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Unaudited Interim Condensed Consolidated Financial Statements as of June 30, 2025 and December 31, 2024 and for the three</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and six months ended June 30, 2025 and 2024, and Management's Discussion and Analysis of Financial Condition and Results</w:t>
            </w:r>
          </w:p>
        </w:tc>
        <w:tc>
          <w:tcPr>
            <w:tcW w:w="100" w:type="dxa"/>
            <w:vAlign w:val="bottom"/>
            <w:gridSpan w:val="2"/>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of Operations for the three and six months ended June 30, 2025 and 2024.</w:t>
            </w:r>
          </w:p>
        </w:tc>
      </w:tr>
      <w:tr>
        <w:trPr>
          <w:trHeight w:val="2093"/>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320" w:type="dxa"/>
            <w:vAlign w:val="bottom"/>
            <w:tcBorders>
              <w:top w:val="single" w:sz="8" w:color="0000FF"/>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86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70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Hollister</w:t>
            </w:r>
          </w:p>
        </w:tc>
      </w:tr>
      <w:tr>
        <w:trPr>
          <w:trHeight w:val="40"/>
        </w:trPr>
        <w:tc>
          <w:tcPr>
            <w:tcW w:w="32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260" w:type="dxa"/>
            <w:vAlign w:val="bottom"/>
          </w:tcPr>
          <w:p>
            <w:pPr>
              <w:spacing w:after="0"/>
              <w:rPr>
                <w:sz w:val="20"/>
                <w:szCs w:val="20"/>
                <w:color w:val="auto"/>
              </w:rPr>
            </w:pP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Hollister</w:t>
            </w:r>
          </w:p>
        </w:tc>
      </w:tr>
      <w:tr>
        <w:trPr>
          <w:trHeight w:val="283"/>
        </w:trPr>
        <w:tc>
          <w:tcPr>
            <w:tcW w:w="3260" w:type="dxa"/>
            <w:vAlign w:val="bottom"/>
          </w:tcPr>
          <w:p>
            <w:pPr>
              <w:spacing w:after="0"/>
              <w:rPr>
                <w:sz w:val="24"/>
                <w:szCs w:val="24"/>
                <w:color w:val="auto"/>
              </w:rPr>
            </w:pPr>
          </w:p>
        </w:tc>
        <w:tc>
          <w:tcPr>
            <w:tcW w:w="2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920" w:type="dxa"/>
            <w:vAlign w:val="bottom"/>
            <w:gridSpan w:val="8"/>
          </w:tcPr>
          <w:p>
            <w:pPr>
              <w:spacing w:after="0"/>
              <w:rPr>
                <w:sz w:val="20"/>
                <w:szCs w:val="20"/>
                <w:color w:val="auto"/>
              </w:rPr>
            </w:pPr>
            <w:r>
              <w:rPr>
                <w:rFonts w:ascii="Arial" w:cs="Arial" w:eastAsia="Arial" w:hAnsi="Arial"/>
                <w:sz w:val="18"/>
                <w:szCs w:val="18"/>
                <w:b w:val="1"/>
                <w:bCs w:val="1"/>
                <w:color w:val="auto"/>
              </w:rPr>
              <w:t>Part 1 - Unaudited Financial Statements</w:t>
            </w:r>
          </w:p>
        </w:tc>
        <w:tc>
          <w:tcPr>
            <w:tcW w:w="1300" w:type="dxa"/>
            <w:vAlign w:val="bottom"/>
            <w:gridSpan w:val="5"/>
          </w:tcPr>
          <w:p>
            <w:pPr>
              <w:ind w:left="440"/>
              <w:spacing w:after="0"/>
              <w:rPr>
                <w:sz w:val="20"/>
                <w:szCs w:val="20"/>
                <w:color w:val="auto"/>
              </w:rPr>
            </w:pPr>
            <w:r>
              <w:rPr>
                <w:rFonts w:ascii="Arial" w:cs="Arial" w:eastAsia="Arial" w:hAnsi="Arial"/>
                <w:sz w:val="18"/>
                <w:szCs w:val="18"/>
                <w:b w:val="1"/>
                <w:bCs w:val="1"/>
                <w:color w:val="auto"/>
              </w:rPr>
              <w:t>Page</w:t>
            </w:r>
          </w:p>
        </w:tc>
      </w:tr>
      <w:tr>
        <w:trPr>
          <w:trHeight w:val="29"/>
        </w:trPr>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4"/>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3</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0000FF"/>
              </w:rPr>
              <w:t>Interim Condensed Consolidated Statements of Comprehensive Income (Loss)</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4</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1500" w:type="dxa"/>
            <w:vAlign w:val="bottom"/>
            <w:gridSpan w:val="4"/>
          </w:tcPr>
          <w:p>
            <w:pPr>
              <w:spacing w:after="0"/>
              <w:rPr>
                <w:sz w:val="22"/>
                <w:szCs w:val="22"/>
                <w:color w:val="auto"/>
              </w:rPr>
            </w:pPr>
          </w:p>
        </w:tc>
        <w:tc>
          <w:tcPr>
            <w:tcW w:w="364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5</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gridSpan w:val="5"/>
          </w:tcPr>
          <w:p>
            <w:pPr>
              <w:spacing w:after="0"/>
              <w:rPr>
                <w:sz w:val="20"/>
                <w:szCs w:val="20"/>
                <w:color w:val="auto"/>
              </w:rPr>
            </w:pPr>
            <w:r>
              <w:rPr>
                <w:rFonts w:ascii="Arial" w:cs="Arial" w:eastAsia="Arial" w:hAnsi="Arial"/>
                <w:sz w:val="18"/>
                <w:szCs w:val="18"/>
                <w:color w:val="0000FF"/>
                <w:w w:val="99"/>
              </w:rPr>
              <w:t>Interim Condensed Consolidated Statements of Changes in Equity</w:t>
            </w:r>
          </w:p>
        </w:tc>
        <w:tc>
          <w:tcPr>
            <w:tcW w:w="4620" w:type="dxa"/>
            <w:vAlign w:val="bottom"/>
            <w:gridSpan w:val="3"/>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6</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220" w:type="dxa"/>
            <w:vAlign w:val="bottom"/>
            <w:gridSpan w:val="2"/>
          </w:tcPr>
          <w:p>
            <w:pPr>
              <w:spacing w:after="0"/>
              <w:rPr>
                <w:sz w:val="22"/>
                <w:szCs w:val="22"/>
                <w:color w:val="auto"/>
              </w:rPr>
            </w:pPr>
          </w:p>
        </w:tc>
        <w:tc>
          <w:tcPr>
            <w:tcW w:w="4620" w:type="dxa"/>
            <w:vAlign w:val="bottom"/>
            <w:gridSpan w:val="3"/>
          </w:tcPr>
          <w:p>
            <w:pPr>
              <w:spacing w:after="0"/>
              <w:rPr>
                <w:sz w:val="22"/>
                <w:szCs w:val="22"/>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17</w:t>
            </w: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Part 2</w:t>
            </w:r>
          </w:p>
        </w:tc>
        <w:tc>
          <w:tcPr>
            <w:tcW w:w="4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8"/>
                <w:szCs w:val="18"/>
                <w:b w:val="1"/>
                <w:bCs w:val="1"/>
                <w:color w:val="auto"/>
              </w:rPr>
              <w:t>Page</w:t>
            </w:r>
          </w:p>
        </w:tc>
      </w:tr>
      <w:tr>
        <w:trPr>
          <w:trHeight w:val="28"/>
        </w:trPr>
        <w:tc>
          <w:tcPr>
            <w:tcW w:w="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00" w:type="dxa"/>
            <w:vAlign w:val="bottom"/>
            <w:gridSpan w:val="5"/>
          </w:tcPr>
          <w:p>
            <w:pPr>
              <w:ind w:left="420"/>
              <w:spacing w:after="0"/>
              <w:rPr>
                <w:sz w:val="20"/>
                <w:szCs w:val="20"/>
                <w:color w:val="auto"/>
              </w:rPr>
            </w:pPr>
            <w:r>
              <w:rPr>
                <w:rFonts w:ascii="Arial" w:cs="Arial" w:eastAsia="Arial" w:hAnsi="Arial"/>
                <w:sz w:val="18"/>
                <w:szCs w:val="18"/>
                <w:color w:val="0000FF"/>
              </w:rPr>
              <w:t>18</w:t>
            </w:r>
            <w:r>
              <w:rPr>
                <w:rFonts w:ascii="Arial" w:cs="Arial" w:eastAsia="Arial" w:hAnsi="Arial"/>
                <w:sz w:val="18"/>
                <w:szCs w:val="18"/>
                <w:color w:val="000000"/>
              </w:rPr>
              <w:t>-</w:t>
            </w:r>
            <w:r>
              <w:rPr>
                <w:rFonts w:ascii="Arial" w:cs="Arial" w:eastAsia="Arial" w:hAnsi="Arial"/>
                <w:sz w:val="18"/>
                <w:szCs w:val="18"/>
                <w:color w:val="0000FF"/>
              </w:rPr>
              <w:t>24</w:t>
            </w: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spacing w:after="0" w:line="228" w:lineRule="auto"/>
        <w:rPr>
          <w:sz w:val="20"/>
          <w:szCs w:val="20"/>
          <w:color w:val="auto"/>
        </w:rPr>
      </w:pPr>
      <w:r>
        <w:rPr>
          <w:rFonts w:ascii="Arial" w:cs="Arial" w:eastAsia="Arial" w:hAnsi="Arial"/>
          <w:sz w:val="16"/>
          <w:szCs w:val="16"/>
          <w:b w:val="1"/>
          <w:bCs w:val="1"/>
          <w:color w:val="auto"/>
        </w:rPr>
        <w:t>As of June 30, 2025 and December 31, 2024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share and per share amounts)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60" w:type="dxa"/>
            <w:vAlign w:val="bottom"/>
          </w:tcPr>
          <w:p>
            <w:pPr>
              <w:spacing w:after="0"/>
              <w:rPr>
                <w:sz w:val="19"/>
                <w:szCs w:val="19"/>
                <w:color w:val="auto"/>
              </w:rPr>
            </w:pPr>
          </w:p>
        </w:tc>
      </w:tr>
      <w:tr>
        <w:trPr>
          <w:trHeight w:val="21"/>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7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21"/>
        </w:trPr>
        <w:tc>
          <w:tcPr>
            <w:tcW w:w="7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1,624</w:t>
            </w:r>
          </w:p>
        </w:tc>
      </w:tr>
      <w:tr>
        <w:trPr>
          <w:trHeight w:val="29"/>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6,356</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6,416</w:t>
            </w:r>
          </w:p>
        </w:tc>
      </w:tr>
      <w:tr>
        <w:trPr>
          <w:trHeight w:val="19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7,505</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7,762</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839</w:t>
            </w: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w:t>
            </w: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financial assets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10,447</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10,383</w:t>
            </w: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16,803</w:t>
            </w:r>
          </w:p>
        </w:tc>
        <w:tc>
          <w:tcPr>
            <w:tcW w:w="80" w:type="dxa"/>
            <w:vAlign w:val="bottom"/>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16,799</w:t>
            </w:r>
          </w:p>
        </w:tc>
      </w:tr>
      <w:tr>
        <w:trPr>
          <w:trHeight w:val="257"/>
        </w:trPr>
        <w:tc>
          <w:tcPr>
            <w:tcW w:w="7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2,092</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29"/>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2,414</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3,044</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240"/>
          </w:cols>
          <w:pgMar w:left="320" w:top="98" w:right="339" w:bottom="574" w:gutter="0" w:footer="0" w:header="0"/>
        </w:sectPr>
      </w:pPr>
    </w:p>
    <w:p>
      <w:pPr>
        <w:ind w:left="20"/>
        <w:spacing w:after="0"/>
        <w:rPr>
          <w:sz w:val="20"/>
          <w:szCs w:val="20"/>
          <w:color w:val="auto"/>
        </w:rPr>
      </w:pPr>
      <w:r>
        <w:rPr>
          <w:rFonts w:ascii="Arial" w:cs="Arial" w:eastAsia="Arial" w:hAnsi="Arial"/>
          <w:sz w:val="16"/>
          <w:szCs w:val="16"/>
          <w:color w:val="auto"/>
        </w:rPr>
        <w:t>Non-current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deferred income from government grants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non-current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6044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6044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 capital</w:t>
      </w:r>
    </w:p>
    <w:p>
      <w:pPr>
        <w:spacing w:after="0" w:line="73" w:lineRule="exact"/>
        <w:rPr>
          <w:sz w:val="20"/>
          <w:szCs w:val="20"/>
          <w:color w:val="auto"/>
        </w:rPr>
      </w:pPr>
    </w:p>
    <w:p>
      <w:pPr>
        <w:ind w:left="20"/>
        <w:spacing w:after="0" w:line="299" w:lineRule="auto"/>
        <w:rPr>
          <w:sz w:val="20"/>
          <w:szCs w:val="20"/>
          <w:color w:val="auto"/>
        </w:rPr>
      </w:pPr>
      <w:r>
        <w:rPr>
          <w:rFonts w:ascii="Arial" w:cs="Arial" w:eastAsia="Arial" w:hAnsi="Arial"/>
          <w:sz w:val="16"/>
          <w:szCs w:val="16"/>
          <w:color w:val="auto"/>
        </w:rPr>
        <w:t>Ordinary shares, $0.02 par value, 554,971,650 and 552,912,823 shares issued and outstanding as of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6044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Additional paid-in capital</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other comprehensive income</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1,115</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990</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432</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219</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165</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2,921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011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ind w:left="1103" w:hanging="1103"/>
        <w:spacing w:after="0"/>
        <w:tabs>
          <w:tab w:leader="none" w:pos="110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5,335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43" w:hanging="1343"/>
        <w:spacing w:after="0"/>
        <w:tabs>
          <w:tab w:leader="none" w:pos="1343" w:val="left"/>
        </w:tabs>
        <w:numPr>
          <w:ilvl w:val="0"/>
          <w:numId w:val="2"/>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1003"/>
        <w:spacing w:after="0"/>
        <w:rPr>
          <w:rFonts w:ascii="Arial" w:cs="Arial" w:eastAsia="Arial" w:hAnsi="Arial"/>
          <w:sz w:val="16"/>
          <w:szCs w:val="16"/>
          <w:color w:val="auto"/>
        </w:rPr>
      </w:pPr>
      <w:r>
        <w:rPr>
          <w:rFonts w:ascii="Arial" w:cs="Arial" w:eastAsia="Arial" w:hAnsi="Arial"/>
          <w:sz w:val="16"/>
          <w:szCs w:val="16"/>
          <w:color w:val="auto"/>
        </w:rPr>
        <w:t>24,096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(12,828)</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011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1,022</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235</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2,931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ind w:left="1100" w:hanging="1095"/>
        <w:spacing w:after="0"/>
        <w:tabs>
          <w:tab w:leader="none" w:pos="11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337820</wp:posOffset>
            </wp:positionV>
            <wp:extent cx="101155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1555" cy="16319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15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40" w:hanging="1335"/>
        <w:spacing w:after="0"/>
        <w:tabs>
          <w:tab w:leader="none" w:pos="1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24,014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101155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1555" cy="162560"/>
                    </a:xfrm>
                    <a:prstGeom prst="rect">
                      <a:avLst/>
                    </a:prstGeom>
                    <a:noFill/>
                  </pic:spPr>
                </pic:pic>
              </a:graphicData>
            </a:graphic>
          </wp:anchor>
        </w:drawing>
      </w:r>
    </w:p>
    <w:p>
      <w:pPr>
        <w:spacing w:after="0" w:line="5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(13,266)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1555" cy="162560"/>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3">
            <w:col w:w="7280" w:space="697"/>
            <w:col w:w="1543" w:space="140"/>
            <w:col w:w="1580"/>
          </w:cols>
          <w:pgMar w:left="320" w:top="98" w:right="339" w:bottom="574"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11,415</w:t>
            </w:r>
          </w:p>
        </w:tc>
      </w:tr>
      <w:tr>
        <w:trPr>
          <w:trHeight w:val="21"/>
        </w:trPr>
        <w:tc>
          <w:tcPr>
            <w:tcW w:w="7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5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11,468</w:t>
            </w: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16,803</w:t>
            </w:r>
          </w:p>
        </w:tc>
      </w:tr>
    </w:tbl>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b w:val="1"/>
          <w:bCs w:val="1"/>
          <w:color w:val="auto"/>
        </w:rPr>
        <w:t>10,776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10,824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1555" cy="188595"/>
                    </a:xfrm>
                    <a:prstGeom prst="rect">
                      <a:avLst/>
                    </a:prstGeom>
                    <a:noFill/>
                  </pic:spPr>
                </pic:pic>
              </a:graphicData>
            </a:graphic>
          </wp:anchor>
        </w:drawing>
      </w:r>
    </w:p>
    <w:p>
      <w:pPr>
        <w:spacing w:after="0" w:line="66" w:lineRule="exact"/>
        <w:rPr>
          <w:sz w:val="20"/>
          <w:szCs w:val="20"/>
          <w:color w:val="auto"/>
        </w:rPr>
      </w:pPr>
    </w:p>
    <w:p>
      <w:pPr>
        <w:ind w:left="1020" w:hanging="1015"/>
        <w:spacing w:after="0"/>
        <w:tabs>
          <w:tab w:leader="none" w:pos="102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16,799</w:t>
      </w:r>
    </w:p>
    <w:p>
      <w:pPr>
        <w:spacing w:after="0" w:line="298" w:lineRule="exact"/>
        <w:rPr>
          <w:sz w:val="20"/>
          <w:szCs w:val="20"/>
          <w:color w:val="auto"/>
        </w:rPr>
      </w:pPr>
    </w:p>
    <w:p>
      <w:pPr>
        <w:sectPr>
          <w:pgSz w:w="11900" w:h="16838" w:orient="portrait"/>
          <w:cols w:equalWidth="0" w:num="2">
            <w:col w:w="9560" w:space="100"/>
            <w:col w:w="1580"/>
          </w:cols>
          <w:pgMar w:left="320" w:top="98" w:right="339" w:bottom="5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574"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for the Three and Six Months Ended June 30, 2025 and </w:t>
      </w:r>
      <w:r>
        <w:rPr>
          <w:rFonts w:ascii="Arial" w:cs="Arial" w:eastAsia="Arial" w:hAnsi="Arial"/>
          <w:sz w:val="17"/>
          <w:szCs w:val="17"/>
          <w:b w:val="1"/>
          <w:bCs w:val="1"/>
          <w:color w:val="auto"/>
        </w:rPr>
        <w:t>2024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1"/>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9"/>
        </w:trPr>
        <w:tc>
          <w:tcPr>
            <w:tcW w:w="4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9"/>
                <w:szCs w:val="19"/>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8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1,632</w:t>
            </w:r>
          </w:p>
        </w:tc>
        <w:tc>
          <w:tcPr>
            <w:tcW w:w="12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3,181</w:t>
            </w: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1,280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1,237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2,393</w:t>
            </w:r>
          </w:p>
        </w:tc>
      </w:tr>
      <w:tr>
        <w:trPr>
          <w:trHeight w:val="29"/>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408</w:t>
            </w:r>
          </w:p>
        </w:tc>
        <w:tc>
          <w:tcPr>
            <w:tcW w:w="8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c>
          <w:tcPr>
            <w:tcW w:w="1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763</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788</w:t>
            </w:r>
          </w:p>
        </w:tc>
      </w:tr>
      <w:tr>
        <w:trPr>
          <w:trHeight w:val="221"/>
        </w:trPr>
        <w:tc>
          <w:tcPr>
            <w:tcW w:w="466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 and other</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35"/>
        </w:trPr>
        <w:tc>
          <w:tcPr>
            <w:tcW w:w="46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
        </w:trPr>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8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w:t>
            </w:r>
          </w:p>
        </w:tc>
        <w:tc>
          <w:tcPr>
            <w:tcW w:w="1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416</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c>
          <w:tcPr>
            <w:tcW w:w="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302</w:t>
            </w:r>
          </w:p>
        </w:tc>
      </w:tr>
      <w:tr>
        <w:trPr>
          <w:trHeight w:val="21"/>
        </w:trPr>
        <w:tc>
          <w:tcPr>
            <w:tcW w:w="4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8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12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416</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top w:val="single" w:sz="8" w:color="auto"/>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c>
          <w:tcPr>
            <w:tcW w:w="80" w:type="dxa"/>
            <w:vAlign w:val="bottom"/>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20" w:type="dxa"/>
            <w:vAlign w:val="bottom"/>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100" w:type="dxa"/>
            <w:vAlign w:val="bottom"/>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w:t>
            </w:r>
          </w:p>
        </w:tc>
      </w:tr>
      <w:tr>
        <w:trPr>
          <w:trHeight w:val="208"/>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6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c>
          <w:tcPr>
            <w:tcW w:w="80" w:type="dxa"/>
            <w:vAlign w:val="bottom"/>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20" w:type="dxa"/>
            <w:vAlign w:val="bottom"/>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w:t>
            </w:r>
          </w:p>
        </w:tc>
      </w:tr>
      <w:tr>
        <w:trPr>
          <w:trHeight w:val="19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 of</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the Company:</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
        </w:trPr>
        <w:tc>
          <w:tcPr>
            <w:tcW w:w="4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8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Diluted</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0.41</w:t>
            </w:r>
          </w:p>
        </w:tc>
        <w:tc>
          <w:tcPr>
            <w:tcW w:w="116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0.28</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0.79</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0.52</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Basic</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555</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8"/>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80" w:type="dxa"/>
            <w:vAlign w:val="bottom"/>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9"/>
        </w:trPr>
        <w:tc>
          <w:tcPr>
            <w:tcW w:w="4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ind w:left="360" w:right="1980"/>
        <w:spacing w:after="0" w:line="287" w:lineRule="auto"/>
        <w:rPr>
          <w:sz w:val="20"/>
          <w:szCs w:val="20"/>
          <w:color w:val="auto"/>
        </w:rPr>
      </w:pPr>
      <w:r>
        <w:rPr>
          <w:rFonts w:ascii="Arial" w:cs="Arial" w:eastAsia="Arial" w:hAnsi="Arial"/>
          <w:sz w:val="16"/>
          <w:szCs w:val="16"/>
          <w:b w:val="1"/>
          <w:bCs w:val="1"/>
          <w:color w:val="auto"/>
        </w:rPr>
        <w:t xml:space="preserve">INTERIM CONDENSED CONSOLIDATED STATEMENTS OF COMPREHENSIVE INCOME (LOSS) for the Three and Six Months Ended June 30, 2025 and </w:t>
      </w:r>
      <w:r>
        <w:rPr>
          <w:rFonts w:ascii="Arial" w:cs="Arial" w:eastAsia="Arial" w:hAnsi="Arial"/>
          <w:sz w:val="17"/>
          <w:szCs w:val="17"/>
          <w:b w:val="1"/>
          <w:bCs w:val="1"/>
          <w:color w:val="auto"/>
        </w:rPr>
        <w:t>2024</w:t>
      </w:r>
      <w:r>
        <w:rPr>
          <w:rFonts w:ascii="Arial" w:cs="Arial" w:eastAsia="Arial" w:hAnsi="Arial"/>
          <w:sz w:val="16"/>
          <w:szCs w:val="16"/>
          <w:b w:val="1"/>
          <w:bCs w:val="1"/>
          <w:color w:val="auto"/>
        </w:rPr>
        <w:t xml:space="preserve"> (Unaudited,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28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21"/>
        </w:trPr>
        <w:tc>
          <w:tcPr>
            <w:tcW w:w="4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9"/>
        </w:trPr>
        <w:tc>
          <w:tcPr>
            <w:tcW w:w="466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19"/>
                <w:szCs w:val="19"/>
                <w:color w:val="auto"/>
              </w:rPr>
            </w:pPr>
          </w:p>
        </w:tc>
        <w:tc>
          <w:tcPr>
            <w:tcW w:w="12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c>
          <w:tcPr>
            <w:tcW w:w="80" w:type="dxa"/>
            <w:vAlign w:val="bottom"/>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8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8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w:t>
            </w:r>
          </w:p>
        </w:tc>
      </w:tr>
      <w:tr>
        <w:trPr>
          <w:trHeight w:val="250"/>
        </w:trPr>
        <w:tc>
          <w:tcPr>
            <w:tcW w:w="46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6"/>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income:</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
        </w:trPr>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exchange fluctuation reserve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5"/>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gain (loss) on investments measured at fair value</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through other comprehensive income</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110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80" w:type="dxa"/>
            <w:vAlign w:val="bottom"/>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w:t>
            </w:r>
          </w:p>
        </w:tc>
        <w:tc>
          <w:tcPr>
            <w:tcW w:w="8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r>
      <w:tr>
        <w:trPr>
          <w:trHeight w:val="250"/>
        </w:trPr>
        <w:tc>
          <w:tcPr>
            <w:tcW w:w="466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w:t>
            </w:r>
          </w:p>
        </w:tc>
        <w:tc>
          <w:tcPr>
            <w:tcW w:w="80" w:type="dxa"/>
            <w:vAlign w:val="bottom"/>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w:t>
            </w:r>
          </w:p>
        </w:tc>
      </w:tr>
      <w:tr>
        <w:trPr>
          <w:trHeight w:val="208"/>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10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w:t>
            </w:r>
          </w:p>
        </w:tc>
        <w:tc>
          <w:tcPr>
            <w:tcW w:w="80" w:type="dxa"/>
            <w:vAlign w:val="bottom"/>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8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w:t>
            </w:r>
          </w:p>
        </w:tc>
        <w:tc>
          <w:tcPr>
            <w:tcW w:w="8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w:t>
            </w:r>
          </w:p>
        </w:tc>
      </w:tr>
      <w:tr>
        <w:trPr>
          <w:trHeight w:val="20"/>
        </w:trPr>
        <w:tc>
          <w:tcPr>
            <w:tcW w:w="4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INTERIM 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for the Six Months Ended June 30, 2025 and </w:t>
      </w:r>
      <w:r>
        <w:rPr>
          <w:rFonts w:ascii="Arial" w:cs="Arial" w:eastAsia="Arial" w:hAnsi="Arial"/>
          <w:sz w:val="17"/>
          <w:szCs w:val="17"/>
          <w:b w:val="1"/>
          <w:bCs w:val="1"/>
          <w:color w:val="auto"/>
        </w:rPr>
        <w:t>2024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29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Pr>
          <w:p>
            <w:pPr>
              <w:spacing w:after="0"/>
              <w:rPr>
                <w:sz w:val="19"/>
                <w:szCs w:val="19"/>
                <w:color w:val="auto"/>
              </w:rPr>
            </w:pPr>
          </w:p>
        </w:tc>
      </w:tr>
      <w:tr>
        <w:trPr>
          <w:trHeight w:val="21"/>
        </w:trPr>
        <w:tc>
          <w:tcPr>
            <w:tcW w:w="7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Pr>
          <w:p>
            <w:pPr>
              <w:spacing w:after="0"/>
              <w:rPr>
                <w:sz w:val="19"/>
                <w:szCs w:val="19"/>
                <w:color w:val="auto"/>
              </w:rPr>
            </w:pP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439</w:t>
            </w:r>
          </w:p>
        </w:tc>
        <w:tc>
          <w:tcPr>
            <w:tcW w:w="12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Gain on acquisition of joint venture interest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Finance expense</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Gain on disposal of property, plant and equipment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Change in assets and liabilities, net of acquisitions:</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and other payables</w:t>
            </w: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21"/>
        </w:trPr>
        <w:tc>
          <w:tcPr>
            <w:tcW w:w="7680" w:type="dxa"/>
            <w:vAlign w:val="bottom"/>
          </w:tcPr>
          <w:p>
            <w:pPr>
              <w:ind w:left="20"/>
              <w:spacing w:after="0"/>
              <w:rPr>
                <w:sz w:val="20"/>
                <w:szCs w:val="20"/>
                <w:color w:val="auto"/>
              </w:rPr>
            </w:pPr>
            <w:r>
              <w:rPr>
                <w:rFonts w:ascii="Arial" w:cs="Arial" w:eastAsia="Arial" w:hAnsi="Arial"/>
                <w:sz w:val="16"/>
                <w:szCs w:val="16"/>
                <w:color w:val="auto"/>
              </w:rPr>
              <w:t>Net change in working capital</w:t>
            </w:r>
          </w:p>
        </w:tc>
        <w:tc>
          <w:tcPr>
            <w:tcW w:w="1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received</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762</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890</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0"/>
        </w:trPr>
        <w:tc>
          <w:tcPr>
            <w:tcW w:w="76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35"/>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
        </w:trPr>
        <w:tc>
          <w:tcPr>
            <w:tcW w:w="7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joint venture interest, net of cash acquired</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and intangible assets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equity securities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sale of property plant and equipment and other</w:t>
            </w: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(418)</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(770)</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0"/>
        </w:trPr>
        <w:tc>
          <w:tcPr>
            <w:tcW w:w="76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
        </w:trPr>
        <w:tc>
          <w:tcPr>
            <w:tcW w:w="7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proceeds from borrowings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equity instruments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Purchase of treasury stock</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(752)</w:t>
            </w:r>
          </w:p>
        </w:tc>
        <w:tc>
          <w:tcPr>
            <w:tcW w:w="100" w:type="dxa"/>
            <w:vAlign w:val="bottom"/>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(402)</w:t>
            </w:r>
          </w:p>
        </w:tc>
        <w:tc>
          <w:tcPr>
            <w:tcW w:w="100" w:type="dxa"/>
            <w:vAlign w:val="bottom"/>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2,387</w:t>
            </w:r>
          </w:p>
        </w:tc>
      </w:tr>
      <w:tr>
        <w:trPr>
          <w:trHeight w:val="29"/>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14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1,790</w:t>
            </w:r>
          </w:p>
        </w:tc>
        <w:tc>
          <w:tcPr>
            <w:tcW w:w="100" w:type="dxa"/>
            <w:vAlign w:val="bottom"/>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02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for the Six Months Ended June 30, 2025 and </w:t>
      </w:r>
      <w:r>
        <w:rPr>
          <w:rFonts w:ascii="Arial" w:cs="Arial" w:eastAsia="Arial" w:hAnsi="Arial"/>
          <w:sz w:val="17"/>
          <w:szCs w:val="17"/>
          <w:b w:val="1"/>
          <w:bCs w:val="1"/>
          <w:color w:val="auto"/>
        </w:rPr>
        <w:t>2024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Equity attributable to shareholders of GLOBALFOUNDRIES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36195</wp:posOffset>
            </wp:positionV>
            <wp:extent cx="44831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Foreign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Currency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Translation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720" w:type="dxa"/>
            <w:vAlign w:val="bottom"/>
            <w:gridSpan w:val="3"/>
            <w:vMerge w:val="restart"/>
          </w:tcPr>
          <w:p>
            <w:pPr>
              <w:jc w:val="right"/>
              <w:ind w:right="197"/>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and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14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right"/>
              <w:ind w:right="97"/>
              <w:spacing w:after="0" w:line="106"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6"/>
                <w:szCs w:val="6"/>
                <w:color w:val="auto"/>
              </w:rPr>
            </w:pPr>
          </w:p>
        </w:tc>
        <w:tc>
          <w:tcPr>
            <w:tcW w:w="960" w:type="dxa"/>
            <w:vAlign w:val="bottom"/>
            <w:gridSpan w:val="2"/>
            <w:vMerge w:val="restart"/>
          </w:tcPr>
          <w:p>
            <w:pPr>
              <w:jc w:val="right"/>
              <w:ind w:right="17"/>
              <w:spacing w:after="0" w:line="106"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restart"/>
          </w:tcPr>
          <w:p>
            <w:pPr>
              <w:jc w:val="right"/>
              <w:ind w:right="137"/>
              <w:spacing w:after="0" w:line="106" w:lineRule="exact"/>
              <w:rPr>
                <w:sz w:val="20"/>
                <w:szCs w:val="20"/>
                <w:color w:val="auto"/>
              </w:rPr>
            </w:pPr>
            <w:r>
              <w:rPr>
                <w:rFonts w:ascii="Arial" w:cs="Arial" w:eastAsia="Arial" w:hAnsi="Arial"/>
                <w:sz w:val="12"/>
                <w:szCs w:val="12"/>
                <w:b w:val="1"/>
                <w:bCs w:val="1"/>
                <w:color w:val="auto"/>
              </w:rPr>
              <w:t>Hedging</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restart"/>
          </w:tcPr>
          <w:p>
            <w:pPr>
              <w:jc w:val="center"/>
              <w:ind w:right="37"/>
              <w:spacing w:after="0" w:line="106" w:lineRule="exact"/>
              <w:rPr>
                <w:sz w:val="20"/>
                <w:szCs w:val="20"/>
                <w:color w:val="auto"/>
              </w:rPr>
            </w:pPr>
            <w:r>
              <w:rPr>
                <w:rFonts w:ascii="Arial" w:cs="Arial" w:eastAsia="Arial" w:hAnsi="Arial"/>
                <w:sz w:val="12"/>
                <w:szCs w:val="12"/>
                <w:b w:val="1"/>
                <w:bCs w:val="1"/>
                <w:color w:val="auto"/>
              </w:rPr>
              <w:t>Investments</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center"/>
              <w:ind w:right="37"/>
              <w:spacing w:after="0" w:line="106" w:lineRule="exact"/>
              <w:rPr>
                <w:sz w:val="20"/>
                <w:szCs w:val="20"/>
                <w:color w:val="auto"/>
              </w:rPr>
            </w:pPr>
            <w:r>
              <w:rPr>
                <w:rFonts w:ascii="Arial" w:cs="Arial" w:eastAsia="Arial" w:hAnsi="Arial"/>
                <w:sz w:val="12"/>
                <w:szCs w:val="12"/>
                <w:b w:val="1"/>
                <w:bCs w:val="1"/>
                <w:color w:val="auto"/>
              </w:rPr>
              <w:t>Controlling</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9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Reserve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Reserves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554</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24,027</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(13,001)</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11,104</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11,151</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Arial" w:cs="Arial" w:eastAsia="Arial" w:hAnsi="Arial"/>
                <w:sz w:val="13"/>
                <w:szCs w:val="13"/>
                <w:color w:val="auto"/>
              </w:rPr>
              <w:t>Proceeds from issuance of equity</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3"/>
                <w:szCs w:val="13"/>
                <w:color w:val="auto"/>
                <w:w w:val="99"/>
              </w:rPr>
              <w:t>instruments, net of withholding taxes</w:t>
            </w: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Treasury shares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w:t>
            </w:r>
          </w:p>
        </w:tc>
        <w:tc>
          <w:tcPr>
            <w:tcW w:w="30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2024</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552</w:t>
            </w:r>
          </w:p>
        </w:tc>
        <w:tc>
          <w:tcPr>
            <w:tcW w:w="80" w:type="dxa"/>
            <w:vAlign w:val="bottom"/>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23,914</w:t>
            </w:r>
          </w:p>
        </w:tc>
        <w:tc>
          <w:tcPr>
            <w:tcW w:w="80" w:type="dxa"/>
            <w:vAlign w:val="bottom"/>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(12,713)</w:t>
            </w:r>
          </w:p>
        </w:tc>
        <w:tc>
          <w:tcPr>
            <w:tcW w:w="80" w:type="dxa"/>
            <w:vAlign w:val="bottom"/>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c>
          <w:tcPr>
            <w:tcW w:w="100" w:type="dxa"/>
            <w:vAlign w:val="bottom"/>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w:t>
            </w:r>
          </w:p>
        </w:tc>
        <w:tc>
          <w:tcPr>
            <w:tcW w:w="80" w:type="dxa"/>
            <w:vAlign w:val="bottom"/>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11,252</w:t>
            </w:r>
          </w:p>
        </w:tc>
        <w:tc>
          <w:tcPr>
            <w:tcW w:w="80" w:type="dxa"/>
            <w:vAlign w:val="bottom"/>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11,299</w:t>
            </w: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24,014</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(13,266)</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10,776</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10,824</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Arial" w:cs="Arial" w:eastAsia="Arial" w:hAnsi="Arial"/>
                <w:sz w:val="13"/>
                <w:szCs w:val="13"/>
                <w:color w:val="auto"/>
              </w:rPr>
              <w:t>Proceeds from issuance of equity</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3"/>
                <w:szCs w:val="13"/>
                <w:color w:val="auto"/>
                <w:w w:val="99"/>
              </w:rPr>
              <w:t>instruments, net of withholding taxes</w:t>
            </w: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205"/>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June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555</w:t>
            </w: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24,096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(12,828)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11,415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11,468</w:t>
            </w: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microcontrollers and power management units.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Summary of Material Accounting Policies and Critical Judgements, Estimates and Assumptions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interim condensed consolidated financial statements ("interim financial statements") have been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International Accounting Standards ("IAS") 34</w:t>
      </w:r>
      <w:r>
        <w:rPr>
          <w:rFonts w:ascii="Arial" w:cs="Arial" w:eastAsia="Arial" w:hAnsi="Arial"/>
          <w:sz w:val="16"/>
          <w:szCs w:val="16"/>
          <w:i w:val="1"/>
          <w:iCs w:val="1"/>
          <w:color w:val="auto"/>
        </w:rPr>
        <w:t>, Interim Financial Reporting</w:t>
      </w:r>
      <w:r>
        <w:rPr>
          <w:rFonts w:ascii="Arial" w:cs="Arial" w:eastAsia="Arial" w:hAnsi="Arial"/>
          <w:sz w:val="16"/>
          <w:szCs w:val="16"/>
          <w:color w:val="auto"/>
        </w:rPr>
        <w:t xml:space="preserve"> ("IAS 34"), as issued by the International Accounting Standards Board ("IASB"). Certain information and footnote disclosures normally included in the annual audited consolidated financial statements prepared in accordance with International Financial Reporting Standards (“IFRS”) Accounting Standards, as issued by the IASB, have been omitted or condensed. These interim financial statements should be read in conjunction with the consolidated financial statements and notes thereto included in GlobalFoundries' Annual Report on Form 20-F for the year ended December 31, 2024. The interim financial statements have been prepared on a basis consistent with the accounting policies disclosed in the December 31, 2024 audited consolidated financial statements.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interim financial statements are unaudited and reflect adjustments (consisting of normal recurring adjustments) that are, in the opinion of management, necessary to provide a fair statement of results for the interim periods in accordance with IAS 34 as issued by the IASB.</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interim financial statements were authorized by the Audit, Risk and Compliance Committee of GlobalFoundries’ Board of Directors on August 03, 2025, to be issued and subsequent events have been evaluated for their potential effect on the interim financial statements through August 05, 2025.</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Summary of Material Accounting Policies and Critical Judgments, Estimates and Assumptions — </w:t>
      </w:r>
      <w:r>
        <w:rPr>
          <w:rFonts w:ascii="Arial" w:cs="Arial" w:eastAsia="Arial" w:hAnsi="Arial"/>
          <w:sz w:val="16"/>
          <w:szCs w:val="16"/>
          <w:color w:val="auto"/>
        </w:rPr>
        <w:t>The summary of material accounting policies and</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critical judgments, estimates and assumptions adopted in the preparation of the interim financial statements are consistent with those followed in the preparation of the Company's annual audited consolidated financial statements contained in our Annual Report on Form 20-F for the year ended December 31, 2024.</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Adopted: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adopted the following new, revised or amended IFRS standards that have been issued by the IASB that are not yet effective: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Classification and Measurement of Financial Instruments (Amendments to IFRS 9,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Disclosures</w:t>
      </w:r>
      <w:r>
        <w:rPr>
          <w:rFonts w:ascii="Arial" w:cs="Arial" w:eastAsia="Arial" w:hAnsi="Arial"/>
          <w:sz w:val="16"/>
          <w:szCs w:val="16"/>
          <w:b w:val="1"/>
          <w:bCs w:val="1"/>
          <w:color w:val="auto"/>
        </w:rPr>
        <w:t>)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amendments clarify the requirements for the timing of recognition and derecognition of certain financial assets and liabilities, add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guidance for assessing whether a financial asset meets the solely payments of principal and interest criterion and add new disclosures for certain instruments with contractual terms that can change cash flows. The effective date for adoption of these amendments is annual periods beginning on or after January 1, 2026.</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Annual Improvements to IFRS Accounting Standards — Volume 11 — </w:t>
      </w:r>
      <w:r>
        <w:rPr>
          <w:rFonts w:ascii="Arial" w:cs="Arial" w:eastAsia="Arial" w:hAnsi="Arial"/>
          <w:sz w:val="16"/>
          <w:szCs w:val="16"/>
          <w:color w:val="auto"/>
        </w:rPr>
        <w:t>These narrow-scope amendments relate to clarifications, simplifications,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corrections or changes to improve consistency in the following IFRSs: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xml:space="preserve">,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10, </w:t>
      </w:r>
      <w:r>
        <w:rPr>
          <w:rFonts w:ascii="Arial" w:cs="Arial" w:eastAsia="Arial" w:hAnsi="Arial"/>
          <w:sz w:val="16"/>
          <w:szCs w:val="16"/>
          <w:i w:val="1"/>
          <w:iCs w:val="1"/>
          <w:color w:val="auto"/>
        </w:rPr>
        <w:t xml:space="preserve">Consolidated Financial Instruments </w:t>
      </w:r>
      <w:r>
        <w:rPr>
          <w:rFonts w:ascii="Arial" w:cs="Arial" w:eastAsia="Arial" w:hAnsi="Arial"/>
          <w:sz w:val="16"/>
          <w:szCs w:val="16"/>
          <w:color w:val="auto"/>
        </w:rPr>
        <w:t>and IAS 7,</w:t>
      </w:r>
      <w:r>
        <w:rPr>
          <w:rFonts w:ascii="Arial" w:cs="Arial" w:eastAsia="Arial" w:hAnsi="Arial"/>
          <w:sz w:val="16"/>
          <w:szCs w:val="16"/>
          <w:i w:val="1"/>
          <w:iCs w:val="1"/>
          <w:color w:val="auto"/>
        </w:rPr>
        <w:t xml:space="preserve"> Statement of Cash Flows</w:t>
      </w:r>
      <w:r>
        <w:rPr>
          <w:rFonts w:ascii="Arial" w:cs="Arial" w:eastAsia="Arial" w:hAnsi="Arial"/>
          <w:sz w:val="16"/>
          <w:szCs w:val="16"/>
          <w:color w:val="auto"/>
        </w:rPr>
        <w:t>. The effective date for adoption of these amendments is annual periods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on or after January 1, 2026.</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Contracts Referencing Nature-dependent Electricity — Amendments to IFRS 9 and IFRS 7 — </w:t>
      </w:r>
      <w:r>
        <w:rPr>
          <w:rFonts w:ascii="Arial" w:cs="Arial" w:eastAsia="Arial" w:hAnsi="Arial"/>
          <w:sz w:val="16"/>
          <w:szCs w:val="16"/>
          <w:color w:val="auto"/>
        </w:rPr>
        <w:t>These amendments help entities better report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effects of nature-dependent electricity contracts, which are often structured as power purchase agreements. The amendments include clarifying the application of the own-use requirements, permitted hedge accounting if these contracts are used as hedging instruments and adding new disclosure requirements to enable investors to understand the effect of these contracts on an entity’s financial performance and cash flows. The amendments are effective for annual periods beginning on or after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IFRS 18, </w:t>
      </w:r>
      <w:r>
        <w:rPr>
          <w:rFonts w:ascii="Arial" w:cs="Arial" w:eastAsia="Arial" w:hAnsi="Arial"/>
          <w:sz w:val="16"/>
          <w:szCs w:val="16"/>
          <w:b w:val="1"/>
          <w:bCs w:val="1"/>
          <w:i w:val="1"/>
          <w:iCs w:val="1"/>
          <w:color w:val="auto"/>
        </w:rPr>
        <w:t>Presentation and Disclosure in Financial Statements</w:t>
      </w:r>
      <w:r>
        <w:rPr>
          <w:rFonts w:ascii="Arial" w:cs="Arial" w:eastAsia="Arial" w:hAnsi="Arial"/>
          <w:sz w:val="16"/>
          <w:szCs w:val="16"/>
          <w:b w:val="1"/>
          <w:bCs w:val="1"/>
          <w:color w:val="auto"/>
        </w:rPr>
        <w:t xml:space="preserve"> ("IFRS 18") — </w:t>
      </w:r>
      <w:r>
        <w:rPr>
          <w:rFonts w:ascii="Arial" w:cs="Arial" w:eastAsia="Arial" w:hAnsi="Arial"/>
          <w:sz w:val="16"/>
          <w:szCs w:val="16"/>
          <w:color w:val="auto"/>
        </w:rPr>
        <w:t>This new standard will replace IAS 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of Financial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Statements. </w:t>
      </w:r>
      <w:r>
        <w:rPr>
          <w:rFonts w:ascii="Arial" w:cs="Arial" w:eastAsia="Arial" w:hAnsi="Arial"/>
          <w:sz w:val="16"/>
          <w:szCs w:val="16"/>
          <w:color w:val="auto"/>
        </w:rPr>
        <w:t>The key concepts in IFRS 18 relate to the structure of the statement of profit or loss, required disclosures in the financial statements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management-defined performance measures and enhanced principles on aggregation and disaggregation which apply to the primary financial statements and notes in general.</w:t>
      </w:r>
    </w:p>
    <w:p>
      <w:pPr>
        <w:spacing w:after="0" w:line="78" w:lineRule="exact"/>
        <w:rPr>
          <w:sz w:val="20"/>
          <w:szCs w:val="20"/>
          <w:color w:val="auto"/>
        </w:rPr>
      </w:pPr>
    </w:p>
    <w:p>
      <w:pPr>
        <w:jc w:val="both"/>
        <w:ind w:left="660" w:hanging="328"/>
        <w:spacing w:after="0" w:line="26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IFRS 18 introduces new requirements for presentation within the statement of profit or loss, including specified totals and subtotals. Entities are required to classify all income and expenses within the statement of profit or loss into one of five categories: operating, investing, financing, income taxes and discontinued operations, whereof the first three are new.</w:t>
      </w:r>
    </w:p>
    <w:p>
      <w:pPr>
        <w:spacing w:after="0" w:line="7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IFRS 18 also requires disclosure of newly defined management-defined performance measures, subtotals of income and expenses, and includes new requirements for aggregation and disaggregation of financial information based on the identified ‘roles’ of the primary financial statements and the notes to the financial statements.</w:t>
      </w:r>
    </w:p>
    <w:p>
      <w:pPr>
        <w:spacing w:after="0" w:line="5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addition, narrow-scope amendments have been made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 date for adoption of this standard is annual periods beginning on or after January 1, 2027, and earlier adoption is permitted. Retrospective application is required.</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the date the accompanying financial statements were authorized for issue, the Company continues to evaluate the impact of the aforementioned standards on its financial position and performance and related applicable periods.</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New Legislation — </w:t>
      </w:r>
      <w:r>
        <w:rPr>
          <w:rFonts w:ascii="Arial" w:cs="Arial" w:eastAsia="Arial" w:hAnsi="Arial"/>
          <w:sz w:val="16"/>
          <w:szCs w:val="16"/>
          <w:color w:val="auto"/>
        </w:rPr>
        <w:t>On July 4, 2025, the One Big Beautiful Bill Act ("OBBBA") was signed into law in the United States. This budget reconciliation bill</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significant tax legislation updates which may affect our U.S. corporate tax position in the future. The Company is currently evaluating the impact of the new legislation, including the increase in the advanced manufacturing investment tax credit ("AMITC") from 25% to 35% for qualifying assets placed into service in 2026 but an estimate cannot be made at this time.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following table presents the Company’s revenue disaggregated based on revenue source, timing of revenue recognition and end markets that we serve, for the three and six month periods ended June 30, 2025 and </w:t>
      </w:r>
      <w:r>
        <w:rPr>
          <w:rFonts w:ascii="Arial" w:cs="Arial" w:eastAsia="Arial" w:hAnsi="Arial"/>
          <w:sz w:val="17"/>
          <w:szCs w:val="17"/>
          <w:color w:val="auto"/>
        </w:rPr>
        <w:t>2024</w:t>
      </w:r>
      <w:r>
        <w:rPr>
          <w:rFonts w:ascii="Arial" w:cs="Arial" w:eastAsia="Arial" w:hAnsi="Arial"/>
          <w:sz w:val="16"/>
          <w:szCs w:val="16"/>
          <w:color w:val="auto"/>
        </w:rPr>
        <w:t>. The Company believes these categories best depict the nature and timing of revenue: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tcPr>
          <w:p>
            <w:pPr>
              <w:spacing w:after="0"/>
              <w:rPr>
                <w:sz w:val="19"/>
                <w:szCs w:val="19"/>
                <w:color w:val="auto"/>
              </w:rPr>
            </w:pPr>
          </w:p>
        </w:tc>
        <w:tc>
          <w:tcPr>
            <w:tcW w:w="29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21"/>
        </w:trPr>
        <w:tc>
          <w:tcPr>
            <w:tcW w:w="4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9"/>
        </w:trPr>
        <w:tc>
          <w:tcPr>
            <w:tcW w:w="4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9"/>
                <w:szCs w:val="19"/>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
        </w:trPr>
        <w:tc>
          <w:tcPr>
            <w:tcW w:w="4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Type of goods and services:</w:t>
            </w:r>
          </w:p>
        </w:tc>
        <w:tc>
          <w:tcPr>
            <w:tcW w:w="1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Wafer revenue</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1,522</w:t>
            </w:r>
          </w:p>
        </w:tc>
        <w:tc>
          <w:tcPr>
            <w:tcW w:w="124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1,481</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2,919</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2,856</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wafer revenue</w:t>
            </w: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29"/>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1,688</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3,273</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3,181</w:t>
            </w:r>
          </w:p>
        </w:tc>
      </w:tr>
      <w:tr>
        <w:trPr>
          <w:trHeight w:val="21"/>
        </w:trPr>
        <w:tc>
          <w:tcPr>
            <w:tcW w:w="4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4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recognized over time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Revenue recognized at a point in time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2,924</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1,688</w:t>
            </w:r>
          </w:p>
        </w:tc>
        <w:tc>
          <w:tcPr>
            <w:tcW w:w="100" w:type="dxa"/>
            <w:vAlign w:val="bottom"/>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1,632</w:t>
            </w:r>
          </w:p>
        </w:tc>
        <w:tc>
          <w:tcPr>
            <w:tcW w:w="10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3,273</w:t>
            </w:r>
          </w:p>
        </w:tc>
        <w:tc>
          <w:tcPr>
            <w:tcW w:w="100" w:type="dxa"/>
            <w:vAlign w:val="bottom"/>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3,181</w:t>
            </w:r>
          </w:p>
        </w:tc>
      </w:tr>
      <w:tr>
        <w:trPr>
          <w:trHeight w:val="196"/>
        </w:trPr>
        <w:tc>
          <w:tcPr>
            <w:tcW w:w="43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Markets:</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Smart Mobile Devices</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683</w:t>
            </w:r>
          </w:p>
        </w:tc>
        <w:tc>
          <w:tcPr>
            <w:tcW w:w="124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762</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1,269</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1,442</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Home and Industrial IoT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Non wafer revenue and other</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1,688</w:t>
            </w:r>
          </w:p>
        </w:tc>
        <w:tc>
          <w:tcPr>
            <w:tcW w:w="100" w:type="dxa"/>
            <w:vAlign w:val="bottom"/>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1,632</w:t>
            </w:r>
          </w:p>
        </w:tc>
        <w:tc>
          <w:tcPr>
            <w:tcW w:w="10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3,273</w:t>
            </w:r>
          </w:p>
        </w:tc>
        <w:tc>
          <w:tcPr>
            <w:tcW w:w="100" w:type="dxa"/>
            <w:vAlign w:val="bottom"/>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3,181</w:t>
            </w:r>
          </w:p>
        </w:tc>
      </w:tr>
      <w:tr>
        <w:trPr>
          <w:trHeight w:val="20"/>
        </w:trPr>
        <w:tc>
          <w:tcPr>
            <w:tcW w:w="4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Income taxes</w:t>
      </w:r>
    </w:p>
    <w:p>
      <w:pPr>
        <w:spacing w:after="0" w:line="100"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For tax reporting purposes, the Company consolidates its entities under GLOBALFOUNDRIES Inc., a Cayman Islands entity. As a Cayman Islands entity, the Company’s domestic statutory income tax rate is 0.0%. The difference between the Company’s domestic statutory income tax rate and its effective income tax rate reflected in income tax benefit or income tax expense is primarily due to the effect of tax rates and permanent differences in other jurisdictions in which the Company operates. Applicable to tax years beginning in 2025, the Company's effective tax rate is impacted by Pillar Two minimum top-up taxes, primarily related to Singapore. The Company is currently evaluating the impacts of OBBBA that was signed into law in the United States and an estimate cannot be made at this time.</w:t>
      </w:r>
    </w:p>
    <w:p>
      <w:pPr>
        <w:spacing w:after="0" w:line="7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The effective tax rate was (3.2)% and 7.2% for the three months ended June 30, 2025 and </w:t>
      </w:r>
      <w:r>
        <w:rPr>
          <w:rFonts w:ascii="Arial" w:cs="Arial" w:eastAsia="Arial" w:hAnsi="Arial"/>
          <w:sz w:val="17"/>
          <w:szCs w:val="17"/>
          <w:color w:val="auto"/>
        </w:rPr>
        <w:t>2024</w:t>
      </w:r>
      <w:r>
        <w:rPr>
          <w:rFonts w:ascii="Arial" w:cs="Arial" w:eastAsia="Arial" w:hAnsi="Arial"/>
          <w:sz w:val="16"/>
          <w:szCs w:val="16"/>
          <w:color w:val="auto"/>
        </w:rPr>
        <w:t xml:space="preserve">, respectively, and was (5.5)% and 10.2% for the six months ended June 30, 2025 and </w:t>
      </w:r>
      <w:r>
        <w:rPr>
          <w:rFonts w:ascii="Arial" w:cs="Arial" w:eastAsia="Arial" w:hAnsi="Arial"/>
          <w:sz w:val="17"/>
          <w:szCs w:val="17"/>
          <w:color w:val="auto"/>
        </w:rPr>
        <w:t>2024</w:t>
      </w:r>
      <w:r>
        <w:rPr>
          <w:rFonts w:ascii="Arial" w:cs="Arial" w:eastAsia="Arial" w:hAnsi="Arial"/>
          <w:sz w:val="16"/>
          <w:szCs w:val="16"/>
          <w:color w:val="auto"/>
        </w:rPr>
        <w:t>, respectively. The decrease in effective tax rate for the three and six month periods was primarily the result of tax benefits related to exchange rate differences on the base of certain non-monetary assets in Germany and tax benefit from recognition of German deferred tax assets net of contingencies, offset by tax expense related primarily to an anticipated qualified domestic top-up tax liability in Singapore.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Earnings Per Share</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30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21"/>
        </w:trPr>
        <w:tc>
          <w:tcPr>
            <w:tcW w:w="4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9"/>
        </w:trPr>
        <w:tc>
          <w:tcPr>
            <w:tcW w:w="432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9"/>
                <w:szCs w:val="19"/>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1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b w:val="1"/>
                <w:bCs w:val="1"/>
                <w:color w:val="auto"/>
              </w:rPr>
              <w:t>Net income attributable to equity shareholders of the</w:t>
            </w: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4320" w:type="dxa"/>
            <w:vAlign w:val="bottom"/>
          </w:tcPr>
          <w:p>
            <w:pPr>
              <w:ind w:left="140"/>
              <w:spacing w:after="0"/>
              <w:rPr>
                <w:sz w:val="20"/>
                <w:szCs w:val="20"/>
                <w:color w:val="auto"/>
              </w:rPr>
            </w:pPr>
            <w:r>
              <w:rPr>
                <w:rFonts w:ascii="Arial" w:cs="Arial" w:eastAsia="Arial" w:hAnsi="Arial"/>
                <w:sz w:val="16"/>
                <w:szCs w:val="16"/>
                <w:b w:val="1"/>
                <w:bCs w:val="1"/>
                <w:color w:val="auto"/>
              </w:rPr>
              <w:t>Company</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w:t>
            </w:r>
          </w:p>
        </w:tc>
        <w:tc>
          <w:tcPr>
            <w:tcW w:w="1300" w:type="dxa"/>
            <w:vAlign w:val="bottom"/>
            <w:gridSpan w:val="2"/>
          </w:tcPr>
          <w:p>
            <w:pPr>
              <w:jc w:val="right"/>
              <w:ind w:right="9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155</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438</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4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8"/>
        </w:trPr>
        <w:tc>
          <w:tcPr>
            <w:tcW w:w="432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9"/>
        </w:trPr>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ordinary shares outstanding</w:t>
            </w:r>
          </w:p>
        </w:tc>
        <w:tc>
          <w:tcPr>
            <w:tcW w:w="1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Effect of potentially dilutive shares from employee equity</w:t>
            </w: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plans</w:t>
            </w: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4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ordinary shares outstanding</w:t>
            </w:r>
          </w:p>
        </w:tc>
        <w:tc>
          <w:tcPr>
            <w:tcW w:w="1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70"/>
        </w:trPr>
        <w:tc>
          <w:tcPr>
            <w:tcW w:w="4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w:t>
            </w: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1"/>
        </w:trPr>
        <w:tc>
          <w:tcPr>
            <w:tcW w:w="4320" w:type="dxa"/>
            <w:vAlign w:val="bottom"/>
          </w:tcPr>
          <w:p>
            <w:pPr>
              <w:ind w:left="140"/>
              <w:spacing w:after="0"/>
              <w:rPr>
                <w:sz w:val="20"/>
                <w:szCs w:val="20"/>
                <w:color w:val="auto"/>
              </w:rPr>
            </w:pPr>
            <w:r>
              <w:rPr>
                <w:rFonts w:ascii="Arial" w:cs="Arial" w:eastAsia="Arial" w:hAnsi="Arial"/>
                <w:sz w:val="16"/>
                <w:szCs w:val="16"/>
                <w:color w:val="auto"/>
              </w:rPr>
              <w:t>Basic</w:t>
            </w: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0.52</w:t>
            </w:r>
          </w:p>
        </w:tc>
      </w:tr>
      <w:tr>
        <w:trPr>
          <w:trHeight w:val="29"/>
        </w:trPr>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18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r>
      <w:tr>
        <w:trPr>
          <w:trHeight w:val="20"/>
        </w:trPr>
        <w:tc>
          <w:tcPr>
            <w:tcW w:w="4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gridSpan w:val="3"/>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1"/>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Land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Building and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Land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Leasehold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Construction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0"/>
        </w:trPr>
        <w:tc>
          <w:tcPr>
            <w:tcW w:w="1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Computer</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 Progress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2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7,769</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25,248</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458</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33,780</w:t>
            </w:r>
          </w:p>
        </w:tc>
      </w:tr>
      <w:tr>
        <w:trPr>
          <w:trHeight w:val="21"/>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Acquisition of joint</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venture interest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from</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50"/>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As of June 30, 2025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7,800</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24,873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33,583</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2"/>
        </w:trPr>
        <w:tc>
          <w:tcPr>
            <w:tcW w:w="17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Net book value as of</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2,647</w:t>
            </w:r>
          </w:p>
        </w:tc>
        <w:tc>
          <w:tcPr>
            <w:tcW w:w="8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4,423</w:t>
            </w: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7,505</w:t>
            </w: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5,038</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20,510</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26,018</w:t>
            </w:r>
          </w:p>
        </w:tc>
      </w:tr>
      <w:tr>
        <w:trPr>
          <w:trHeight w:val="21"/>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Transfers from</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6"/>
                <w:szCs w:val="16"/>
                <w:color w:val="auto"/>
              </w:rPr>
              <w:t>construction in</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Effect of exchange rate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changes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5,153</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20,450</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433</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26,078</w:t>
            </w: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For the three months ended June 30, 2025 and </w:t>
      </w:r>
      <w:r>
        <w:rPr>
          <w:rFonts w:ascii="Arial" w:cs="Arial" w:eastAsia="Arial" w:hAnsi="Arial"/>
          <w:sz w:val="17"/>
          <w:szCs w:val="17"/>
          <w:color w:val="auto"/>
        </w:rPr>
        <w:t>2024</w:t>
      </w:r>
      <w:r>
        <w:rPr>
          <w:rFonts w:ascii="Arial" w:cs="Arial" w:eastAsia="Arial" w:hAnsi="Arial"/>
          <w:sz w:val="16"/>
          <w:szCs w:val="16"/>
          <w:color w:val="auto"/>
        </w:rPr>
        <w:t xml:space="preserve">, depreciation expense of property, plant and equipment was $292 million and $350 million, respectively. For the six months ended June 30, 2025 and </w:t>
      </w:r>
      <w:r>
        <w:rPr>
          <w:rFonts w:ascii="Arial" w:cs="Arial" w:eastAsia="Arial" w:hAnsi="Arial"/>
          <w:sz w:val="17"/>
          <w:szCs w:val="17"/>
          <w:color w:val="auto"/>
        </w:rPr>
        <w:t>2024</w:t>
      </w:r>
      <w:r>
        <w:rPr>
          <w:rFonts w:ascii="Arial" w:cs="Arial" w:eastAsia="Arial" w:hAnsi="Arial"/>
          <w:sz w:val="16"/>
          <w:szCs w:val="16"/>
          <w:color w:val="auto"/>
        </w:rPr>
        <w:t>, depreciation expense of property, plant and equipment was $602 million and $696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60" w:type="dxa"/>
            <w:vAlign w:val="bottom"/>
          </w:tcPr>
          <w:p>
            <w:pPr>
              <w:spacing w:after="0"/>
              <w:rPr>
                <w:sz w:val="20"/>
                <w:szCs w:val="20"/>
                <w:color w:val="auto"/>
              </w:rPr>
            </w:pPr>
            <w:r>
              <w:rPr>
                <w:rFonts w:ascii="Arial" w:cs="Arial" w:eastAsia="Arial" w:hAnsi="Arial"/>
                <w:sz w:val="16"/>
                <w:szCs w:val="16"/>
                <w:b w:val="1"/>
                <w:bCs w:val="1"/>
                <w:color w:val="auto"/>
              </w:rPr>
              <w:t>Note 7. Receivables, Prepayments and Other Assets</w:t>
            </w:r>
          </w:p>
        </w:tc>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1"/>
        </w:trPr>
        <w:tc>
          <w:tcPr>
            <w:tcW w:w="69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June 30, 2025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6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28"/>
        </w:trPr>
        <w:tc>
          <w:tcPr>
            <w:tcW w:w="6960" w:type="dxa"/>
            <w:vAlign w:val="bottom"/>
          </w:tcPr>
          <w:p>
            <w:pPr>
              <w:ind w:left="100"/>
              <w:spacing w:after="0"/>
              <w:rPr>
                <w:sz w:val="20"/>
                <w:szCs w:val="20"/>
                <w:color w:val="auto"/>
              </w:rPr>
            </w:pPr>
            <w:r>
              <w:rPr>
                <w:rFonts w:ascii="Arial" w:cs="Arial" w:eastAsia="Arial" w:hAnsi="Arial"/>
                <w:sz w:val="16"/>
                <w:szCs w:val="16"/>
                <w:color w:val="auto"/>
              </w:rPr>
              <w:t>Trade receivables, other than related parties</w:t>
            </w:r>
          </w:p>
        </w:tc>
        <w:tc>
          <w:tcPr>
            <w:tcW w:w="1660" w:type="dxa"/>
            <w:vAlign w:val="bottom"/>
          </w:tcPr>
          <w:p>
            <w:pPr>
              <w:jc w:val="right"/>
              <w:ind w:right="14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874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9"/>
        </w:trPr>
        <w:tc>
          <w:tcPr>
            <w:tcW w:w="6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receivables</w:t>
            </w:r>
          </w:p>
        </w:tc>
        <w:tc>
          <w:tcPr>
            <w:tcW w:w="16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57"/>
        </w:trPr>
        <w:tc>
          <w:tcPr>
            <w:tcW w:w="6960" w:type="dxa"/>
            <w:vAlign w:val="bottom"/>
          </w:tcPr>
          <w:p>
            <w:pPr>
              <w:ind w:left="10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16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6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Receivables from government grants</w:t>
            </w:r>
          </w:p>
        </w:tc>
        <w:tc>
          <w:tcPr>
            <w:tcW w:w="16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27"/>
        </w:trPr>
        <w:tc>
          <w:tcPr>
            <w:tcW w:w="6960" w:type="dxa"/>
            <w:vAlign w:val="bottom"/>
          </w:tcPr>
          <w:p>
            <w:pPr>
              <w:ind w:left="100"/>
              <w:spacing w:after="0"/>
              <w:rPr>
                <w:sz w:val="20"/>
                <w:szCs w:val="20"/>
                <w:color w:val="auto"/>
              </w:rPr>
            </w:pPr>
            <w:r>
              <w:rPr>
                <w:rFonts w:ascii="Arial" w:cs="Arial" w:eastAsia="Arial" w:hAnsi="Arial"/>
                <w:sz w:val="16"/>
                <w:szCs w:val="16"/>
                <w:color w:val="auto"/>
              </w:rPr>
              <w:t>Other current financial assets and other</w:t>
            </w:r>
          </w:p>
        </w:tc>
        <w:tc>
          <w:tcPr>
            <w:tcW w:w="1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top w:val="single" w:sz="8" w:color="auto"/>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1,535</w:t>
            </w:r>
          </w:p>
        </w:tc>
        <w:tc>
          <w:tcPr>
            <w:tcW w:w="80" w:type="dxa"/>
            <w:vAlign w:val="bottom"/>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1,406</w:t>
            </w:r>
          </w:p>
        </w:tc>
      </w:tr>
      <w:tr>
        <w:trPr>
          <w:trHeight w:val="216"/>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Non-current:</w:t>
            </w:r>
          </w:p>
        </w:tc>
        <w:tc>
          <w:tcPr>
            <w:tcW w:w="8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1"/>
        </w:trPr>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Advances to suppliers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27"/>
        </w:trPr>
        <w:tc>
          <w:tcPr>
            <w:tcW w:w="6960" w:type="dxa"/>
            <w:vAlign w:val="bottom"/>
          </w:tcPr>
          <w:p>
            <w:pPr>
              <w:ind w:left="100"/>
              <w:spacing w:after="0"/>
              <w:rPr>
                <w:sz w:val="20"/>
                <w:szCs w:val="20"/>
                <w:color w:val="auto"/>
              </w:rPr>
            </w:pPr>
            <w:r>
              <w:rPr>
                <w:rFonts w:ascii="Arial" w:cs="Arial" w:eastAsia="Arial" w:hAnsi="Arial"/>
                <w:sz w:val="16"/>
                <w:szCs w:val="16"/>
                <w:color w:val="auto"/>
              </w:rPr>
              <w:t>Receivables from government grants</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9"/>
        </w:trPr>
        <w:tc>
          <w:tcPr>
            <w:tcW w:w="6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6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29"/>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480</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351</w:t>
            </w:r>
          </w:p>
        </w:tc>
      </w:tr>
      <w:tr>
        <w:trPr>
          <w:trHeight w:val="21"/>
        </w:trPr>
        <w:tc>
          <w:tcPr>
            <w:tcW w:w="6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31" w:lineRule="auto"/>
        <w:tabs>
          <w:tab w:leader="none" w:pos="185"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summarizes the activity in the Company’s unbilled accounts receivable for the six months ended June 30, 2025 and for the twelve months ended December 31, 2024, respectively: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June 30, 2025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Balance, beginning of period</w:t>
            </w:r>
          </w:p>
        </w:tc>
        <w:tc>
          <w:tcPr>
            <w:tcW w:w="1580" w:type="dxa"/>
            <w:vAlign w:val="bottom"/>
            <w:tcBorders>
              <w:bottom w:val="single" w:sz="8" w:color="CCEEFF"/>
            </w:tcBorders>
            <w:shd w:val="clear" w:color="auto" w:fill="CCEEFF"/>
          </w:tcPr>
          <w:p>
            <w:pPr>
              <w:jc w:val="right"/>
              <w:ind w:right="14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8"/>
        </w:trPr>
        <w:tc>
          <w:tcPr>
            <w:tcW w:w="6980" w:type="dxa"/>
            <w:vAlign w:val="bottom"/>
            <w:gridSpan w:val="2"/>
          </w:tcPr>
          <w:p>
            <w:pPr>
              <w:ind w:left="80"/>
              <w:spacing w:after="0"/>
              <w:rPr>
                <w:sz w:val="20"/>
                <w:szCs w:val="20"/>
                <w:color w:val="auto"/>
              </w:rPr>
            </w:pPr>
            <w:r>
              <w:rPr>
                <w:rFonts w:ascii="Arial" w:cs="Arial" w:eastAsia="Arial" w:hAnsi="Arial"/>
                <w:sz w:val="16"/>
                <w:szCs w:val="16"/>
                <w:color w:val="auto"/>
              </w:rPr>
              <w:t>Revenue recognized during the period</w:t>
            </w:r>
          </w:p>
        </w:tc>
        <w:tc>
          <w:tcPr>
            <w:tcW w:w="1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9"/>
        </w:trPr>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Amounts invoiced</w:t>
            </w:r>
          </w:p>
        </w:tc>
        <w:tc>
          <w:tcPr>
            <w:tcW w:w="1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50"/>
        </w:trPr>
        <w:tc>
          <w:tcPr>
            <w:tcW w:w="698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 end of period</w:t>
            </w:r>
          </w:p>
        </w:tc>
        <w:tc>
          <w:tcPr>
            <w:tcW w:w="1580" w:type="dxa"/>
            <w:vAlign w:val="bottom"/>
            <w:tcBorders>
              <w:top w:val="single" w:sz="8" w:color="auto"/>
              <w:bottom w:val="single" w:sz="8" w:color="auto"/>
            </w:tcBorders>
          </w:tcPr>
          <w:p>
            <w:pPr>
              <w:jc w:val="right"/>
              <w:ind w:right="1401"/>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1"/>
        </w:trPr>
        <w:tc>
          <w:tcPr>
            <w:tcW w:w="6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8. Inventories</w:t>
            </w: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4"/>
        </w:trPr>
        <w:tc>
          <w:tcPr>
            <w:tcW w:w="698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9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June 30, 2025</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Work in progress</w:t>
            </w:r>
          </w:p>
        </w:tc>
        <w:tc>
          <w:tcPr>
            <w:tcW w:w="1580" w:type="dxa"/>
            <w:vAlign w:val="bottom"/>
            <w:tcBorders>
              <w:bottom w:val="single" w:sz="8" w:color="CCEEFF"/>
            </w:tcBorders>
            <w:shd w:val="clear" w:color="auto" w:fill="CCEEFF"/>
          </w:tcPr>
          <w:p>
            <w:pPr>
              <w:jc w:val="right"/>
              <w:ind w:right="142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1,061</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28"/>
        </w:trPr>
        <w:tc>
          <w:tcPr>
            <w:tcW w:w="6980" w:type="dxa"/>
            <w:vAlign w:val="bottom"/>
            <w:gridSpan w:val="2"/>
          </w:tcPr>
          <w:p>
            <w:pPr>
              <w:ind w:left="80"/>
              <w:spacing w:after="0"/>
              <w:rPr>
                <w:sz w:val="20"/>
                <w:szCs w:val="20"/>
                <w:color w:val="auto"/>
              </w:rPr>
            </w:pPr>
            <w:r>
              <w:rPr>
                <w:rFonts w:ascii="Arial" w:cs="Arial" w:eastAsia="Arial" w:hAnsi="Arial"/>
                <w:sz w:val="16"/>
                <w:szCs w:val="16"/>
                <w:color w:val="auto"/>
              </w:rPr>
              <w:t>Raw materials and supplies</w:t>
            </w:r>
          </w:p>
        </w:tc>
        <w:tc>
          <w:tcPr>
            <w:tcW w:w="1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9"/>
        </w:trPr>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Inventory reserves</w:t>
            </w:r>
          </w:p>
        </w:tc>
        <w:tc>
          <w:tcPr>
            <w:tcW w:w="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50"/>
        </w:trPr>
        <w:tc>
          <w:tcPr>
            <w:tcW w:w="696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1421"/>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1,726</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the three months ended June 30, 2025 and 2024, the Company recognized $6 million and $1 million, respectively, within cost of revenue to write down certain inventories to their estimated net realizable value.</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six months ended June 30, 2025 and 2024, the Company recognized $23 million and $30 million, respectively, within cost of revenue to write down certain inventories to their estimated net realizable value.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Leases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various lease agreements for certain of its offices, facilities and equipment, with a weighted average remaining lease term of 13.9 years and weighted average discount rate of 4.4% as of June 30, 2025. Leases may include one or more options to renew. Renewal terms are not included in the determination of the lease term unless the renewals are deemed to be reasonably certain at the time of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spacing w:after="0"/>
              <w:rPr>
                <w:sz w:val="20"/>
                <w:szCs w:val="20"/>
                <w:color w:val="auto"/>
              </w:rPr>
            </w:pPr>
            <w:r>
              <w:rPr>
                <w:rFonts w:ascii="Arial" w:cs="Arial" w:eastAsia="Arial" w:hAnsi="Arial"/>
                <w:sz w:val="16"/>
                <w:szCs w:val="16"/>
                <w:color w:val="auto"/>
              </w:rPr>
              <w:t>The following table outlines the carrying amounts of right-of-use assets:</w:t>
            </w: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59"/>
        </w:trPr>
        <w:tc>
          <w:tcPr>
            <w:tcW w:w="69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June 30, 2025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69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0"/>
        </w:trPr>
        <w:tc>
          <w:tcPr>
            <w:tcW w:w="6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640" w:type="dxa"/>
            <w:vAlign w:val="bottom"/>
            <w:tcBorders>
              <w:bottom w:val="single" w:sz="8" w:color="CCEEFF"/>
            </w:tcBorders>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27"/>
        </w:trPr>
        <w:tc>
          <w:tcPr>
            <w:tcW w:w="6980" w:type="dxa"/>
            <w:vAlign w:val="bottom"/>
          </w:tcPr>
          <w:p>
            <w:pPr>
              <w:ind w:left="80"/>
              <w:spacing w:after="0"/>
              <w:rPr>
                <w:sz w:val="20"/>
                <w:szCs w:val="20"/>
                <w:color w:val="auto"/>
              </w:rPr>
            </w:pPr>
            <w:r>
              <w:rPr>
                <w:rFonts w:ascii="Arial" w:cs="Arial" w:eastAsia="Arial" w:hAnsi="Arial"/>
                <w:sz w:val="16"/>
                <w:szCs w:val="16"/>
                <w:color w:val="auto"/>
              </w:rPr>
              <w:t>Building and leasehold improvements and other</w:t>
            </w:r>
          </w:p>
        </w:tc>
        <w:tc>
          <w:tcPr>
            <w:tcW w:w="1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29"/>
        </w:trPr>
        <w:tc>
          <w:tcPr>
            <w:tcW w:w="6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r>
      <w:tr>
        <w:trPr>
          <w:trHeight w:val="275"/>
        </w:trPr>
        <w:tc>
          <w:tcPr>
            <w:tcW w:w="69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640" w:type="dxa"/>
            <w:vAlign w:val="bottom"/>
            <w:tcBorders>
              <w:top w:val="single" w:sz="8" w:color="auto"/>
              <w:bottom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495</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depreciation of right-of-use assets: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28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1"/>
        </w:trPr>
        <w:tc>
          <w:tcPr>
            <w:tcW w:w="4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0"/>
        </w:trPr>
        <w:tc>
          <w:tcPr>
            <w:tcW w:w="4740" w:type="dxa"/>
            <w:vAlign w:val="bottom"/>
          </w:tcPr>
          <w:p>
            <w:pPr>
              <w:spacing w:after="0"/>
              <w:rPr>
                <w:sz w:val="23"/>
                <w:szCs w:val="23"/>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420" w:type="dxa"/>
            <w:vAlign w:val="bottom"/>
          </w:tcPr>
          <w:p>
            <w:pPr>
              <w:spacing w:after="0"/>
              <w:rPr>
                <w:sz w:val="23"/>
                <w:szCs w:val="23"/>
                <w:color w:val="auto"/>
              </w:rPr>
            </w:pPr>
          </w:p>
        </w:tc>
        <w:tc>
          <w:tcPr>
            <w:tcW w:w="12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1"/>
        </w:trPr>
        <w:tc>
          <w:tcPr>
            <w:tcW w:w="47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7"/>
        </w:trPr>
        <w:tc>
          <w:tcPr>
            <w:tcW w:w="4740" w:type="dxa"/>
            <w:vAlign w:val="bottom"/>
          </w:tcPr>
          <w:p>
            <w:pPr>
              <w:ind w:left="80"/>
              <w:spacing w:after="0"/>
              <w:rPr>
                <w:sz w:val="20"/>
                <w:szCs w:val="20"/>
                <w:color w:val="auto"/>
              </w:rPr>
            </w:pPr>
            <w:r>
              <w:rPr>
                <w:rFonts w:ascii="Arial" w:cs="Arial" w:eastAsia="Arial" w:hAnsi="Arial"/>
                <w:sz w:val="16"/>
                <w:szCs w:val="16"/>
                <w:color w:val="auto"/>
              </w:rPr>
              <w:t>Building and leasehold improvements and other</w:t>
            </w: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9"/>
        </w:trPr>
        <w:tc>
          <w:tcPr>
            <w:tcW w:w="4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7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June 30, 2025 and 2024, the additions to right-of-use assets were $9 million and $0, respectively. For the six months ended June 30, 2025 and 2024, the additions to right-of-use assets were $22 million and $211 million, respectively.</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June 30, 2025 and 2024, interest expense was $5 million and $7 million, respectively. For the six months ended June 30, 2025 and 2024, interest expense was $11 million and $15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2025 and 2024, cash outflow for leases was $56 million and $24 million,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60" w:type="dxa"/>
            <w:vAlign w:val="bottom"/>
          </w:tcPr>
          <w:p>
            <w:pPr>
              <w:spacing w:after="0"/>
              <w:rPr>
                <w:sz w:val="20"/>
                <w:szCs w:val="20"/>
                <w:color w:val="auto"/>
              </w:rPr>
            </w:pPr>
            <w:r>
              <w:rPr>
                <w:rFonts w:ascii="Arial" w:cs="Arial" w:eastAsia="Arial" w:hAnsi="Arial"/>
                <w:sz w:val="16"/>
                <w:szCs w:val="16"/>
                <w:b w:val="1"/>
                <w:bCs w:val="1"/>
                <w:color w:val="auto"/>
              </w:rPr>
              <w:t>Note 10. Trade Payables and Other Liabilities</w:t>
            </w:r>
          </w:p>
        </w:tc>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1"/>
        </w:trPr>
        <w:tc>
          <w:tcPr>
            <w:tcW w:w="69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June 30, 2025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6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28"/>
        </w:trPr>
        <w:tc>
          <w:tcPr>
            <w:tcW w:w="696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1660" w:type="dxa"/>
            <w:vAlign w:val="bottom"/>
          </w:tcPr>
          <w:p>
            <w:pPr>
              <w:jc w:val="right"/>
              <w:ind w:right="14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389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9"/>
        </w:trPr>
        <w:tc>
          <w:tcPr>
            <w:tcW w:w="6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6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56"/>
        </w:trPr>
        <w:tc>
          <w:tcPr>
            <w:tcW w:w="6960" w:type="dxa"/>
            <w:vAlign w:val="bottom"/>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16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901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840</w:t>
            </w:r>
          </w:p>
        </w:tc>
      </w:tr>
      <w:tr>
        <w:trPr>
          <w:trHeight w:val="25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Advances and deposits</w:t>
            </w:r>
            <w:r>
              <w:rPr>
                <w:rFonts w:ascii="Arial" w:cs="Arial" w:eastAsia="Arial" w:hAnsi="Arial"/>
                <w:sz w:val="21"/>
                <w:szCs w:val="21"/>
                <w:color w:val="auto"/>
                <w:vertAlign w:val="superscript"/>
              </w:rPr>
              <w:t>(2)</w:t>
            </w:r>
          </w:p>
        </w:tc>
        <w:tc>
          <w:tcPr>
            <w:tcW w:w="16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28"/>
        </w:trPr>
        <w:tc>
          <w:tcPr>
            <w:tcW w:w="6960" w:type="dxa"/>
            <w:vAlign w:val="bottom"/>
          </w:tcPr>
          <w:p>
            <w:pPr>
              <w:ind w:left="140"/>
              <w:spacing w:after="0"/>
              <w:rPr>
                <w:sz w:val="20"/>
                <w:szCs w:val="20"/>
                <w:color w:val="auto"/>
              </w:rPr>
            </w:pPr>
            <w:r>
              <w:rPr>
                <w:rFonts w:ascii="Arial" w:cs="Arial" w:eastAsia="Arial" w:hAnsi="Arial"/>
                <w:sz w:val="16"/>
                <w:szCs w:val="16"/>
                <w:color w:val="auto"/>
              </w:rPr>
              <w:t>Payables for property, plant and equipment and intangible assets</w:t>
            </w:r>
          </w:p>
        </w:tc>
        <w:tc>
          <w:tcPr>
            <w:tcW w:w="1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9"/>
        </w:trPr>
        <w:tc>
          <w:tcPr>
            <w:tcW w:w="6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6"/>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6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860" w:type="dxa"/>
            <w:vAlign w:val="bottom"/>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2,186</w:t>
            </w:r>
          </w:p>
        </w:tc>
        <w:tc>
          <w:tcPr>
            <w:tcW w:w="94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2,092</w:t>
            </w: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8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28"/>
        </w:trPr>
        <w:tc>
          <w:tcPr>
            <w:tcW w:w="6960" w:type="dxa"/>
            <w:vAlign w:val="bottom"/>
          </w:tcPr>
          <w:p>
            <w:pPr>
              <w:ind w:left="140"/>
              <w:spacing w:after="0"/>
              <w:rPr>
                <w:sz w:val="20"/>
                <w:szCs w:val="20"/>
                <w:color w:val="auto"/>
              </w:rPr>
            </w:pPr>
            <w:r>
              <w:rPr>
                <w:rFonts w:ascii="Arial" w:cs="Arial" w:eastAsia="Arial" w:hAnsi="Arial"/>
                <w:sz w:val="16"/>
                <w:szCs w:val="16"/>
                <w:color w:val="auto"/>
              </w:rPr>
              <w:t>Payables for intangible assets</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9"/>
        </w:trPr>
        <w:tc>
          <w:tcPr>
            <w:tcW w:w="6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8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80" w:type="dxa"/>
            <w:vAlign w:val="bottom"/>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56"/>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8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w:t>
            </w:r>
          </w:p>
        </w:tc>
        <w:tc>
          <w:tcPr>
            <w:tcW w:w="80" w:type="dxa"/>
            <w:vAlign w:val="bottom"/>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1,022</w:t>
            </w:r>
          </w:p>
        </w:tc>
      </w:tr>
      <w:tr>
        <w:trPr>
          <w:trHeight w:val="20"/>
        </w:trPr>
        <w:tc>
          <w:tcPr>
            <w:tcW w:w="6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77"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Contract liabilities comprise contractual obligations for payments received in advance of the satisfaction of performance obligations for wafers, as well as NRE services.</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Advances and deposits include advances from customers of $22 million (2024: $36 million) collected for purchase orders.</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Other includes other financial liabilities, due from related parties, deferred tax liabilities and non-current advances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gridSpan w:val="2"/>
          </w:tcPr>
          <w:p>
            <w:pPr>
              <w:spacing w:after="0"/>
              <w:rPr>
                <w:sz w:val="20"/>
                <w:szCs w:val="20"/>
                <w:color w:val="auto"/>
              </w:rPr>
            </w:pPr>
            <w:r>
              <w:rPr>
                <w:rFonts w:ascii="Arial" w:cs="Arial" w:eastAsia="Arial" w:hAnsi="Arial"/>
                <w:sz w:val="16"/>
                <w:szCs w:val="16"/>
                <w:color w:val="auto"/>
              </w:rPr>
              <w:t>The following table presents the activities in contract liabilities as of June 30, 2025 and December 31, 2024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7"/>
        </w:trPr>
        <w:tc>
          <w:tcPr>
            <w:tcW w:w="69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June 30, 2025</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contract liabilities balance</w:t>
            </w:r>
          </w:p>
        </w:tc>
        <w:tc>
          <w:tcPr>
            <w:tcW w:w="1600" w:type="dxa"/>
            <w:vAlign w:val="bottom"/>
            <w:tcBorders>
              <w:bottom w:val="single" w:sz="8" w:color="CCEEFF"/>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1,584</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28"/>
        </w:trPr>
        <w:tc>
          <w:tcPr>
            <w:tcW w:w="6960" w:type="dxa"/>
            <w:vAlign w:val="bottom"/>
          </w:tcPr>
          <w:p>
            <w:pPr>
              <w:ind w:left="20"/>
              <w:spacing w:after="0"/>
              <w:rPr>
                <w:sz w:val="20"/>
                <w:szCs w:val="20"/>
                <w:color w:val="auto"/>
              </w:rPr>
            </w:pPr>
            <w:r>
              <w:rPr>
                <w:rFonts w:ascii="Arial" w:cs="Arial" w:eastAsia="Arial" w:hAnsi="Arial"/>
                <w:sz w:val="16"/>
                <w:szCs w:val="16"/>
                <w:color w:val="auto"/>
              </w:rPr>
              <w:t>Cash receipts in advance of satisfaction of performance obligations</w:t>
            </w:r>
          </w:p>
        </w:tc>
        <w:tc>
          <w:tcPr>
            <w:tcW w:w="1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9"/>
        </w:trPr>
        <w:tc>
          <w:tcPr>
            <w:tcW w:w="6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Released to the consolidated statements of operations</w:t>
            </w:r>
          </w:p>
        </w:tc>
        <w:tc>
          <w:tcPr>
            <w:tcW w:w="1600" w:type="dxa"/>
            <w:vAlign w:val="bottom"/>
            <w:shd w:val="clear" w:color="auto" w:fill="CCEEFF"/>
          </w:tcPr>
          <w:p>
            <w:pPr>
              <w:spacing w:after="0"/>
              <w:rPr>
                <w:sz w:val="24"/>
                <w:szCs w:val="2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104"/>
        </w:trPr>
        <w:tc>
          <w:tcPr>
            <w:tcW w:w="6960" w:type="dxa"/>
            <w:vAlign w:val="bottom"/>
            <w:tcBorders>
              <w:bottom w:val="single" w:sz="8" w:color="CCEEFF"/>
            </w:tcBorders>
            <w:shd w:val="clear" w:color="auto" w:fill="CCEEFF"/>
          </w:tcPr>
          <w:p>
            <w:pPr>
              <w:spacing w:after="0"/>
              <w:rPr>
                <w:sz w:val="9"/>
                <w:szCs w:val="9"/>
                <w:color w:val="auto"/>
              </w:rPr>
            </w:pPr>
          </w:p>
        </w:tc>
        <w:tc>
          <w:tcPr>
            <w:tcW w:w="160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8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contract liabilities balance</w:t>
            </w:r>
          </w:p>
        </w:tc>
        <w:tc>
          <w:tcPr>
            <w:tcW w:w="1600" w:type="dxa"/>
            <w:vAlign w:val="bottom"/>
            <w:tcBorders>
              <w:bottom w:val="single" w:sz="8" w:color="CCEEFF"/>
            </w:tcBorders>
            <w:shd w:val="clear" w:color="auto" w:fill="CCEEFF"/>
          </w:tcPr>
          <w:p>
            <w:pPr>
              <w:jc w:val="right"/>
              <w:ind w:right="141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1,568</w:t>
            </w:r>
          </w:p>
        </w:tc>
        <w:tc>
          <w:tcPr>
            <w:tcW w:w="8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600" w:type="dxa"/>
            <w:vAlign w:val="bottom"/>
            <w:tcBorders>
              <w:bottom w:val="single" w:sz="8" w:color="CCEEFF"/>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28"/>
        </w:trPr>
        <w:tc>
          <w:tcPr>
            <w:tcW w:w="696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1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9"/>
        </w:trPr>
        <w:tc>
          <w:tcPr>
            <w:tcW w:w="6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00" w:type="dxa"/>
            <w:vAlign w:val="bottom"/>
            <w:tcBorders>
              <w:top w:val="single" w:sz="8" w:color="auto"/>
              <w:bottom w:val="single" w:sz="8" w:color="CCEEFF"/>
            </w:tcBorders>
            <w:shd w:val="clear" w:color="auto" w:fill="CCEEFF"/>
          </w:tcPr>
          <w:p>
            <w:pPr>
              <w:jc w:val="right"/>
              <w:ind w:right="141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1,568</w:t>
            </w:r>
          </w:p>
        </w:tc>
        <w:tc>
          <w:tcPr>
            <w:tcW w:w="8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80" w:hanging="172"/>
        <w:spacing w:after="0" w:line="241" w:lineRule="auto"/>
        <w:tabs>
          <w:tab w:leader="none" w:pos="173"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Includes $14 million and $18 million primarily due to the unbilled accounts receivable balance applied against the related contract liabilities for a certain customer's non-recurring engineering arrangement as of June 30, 2025 and December 31, 2024, respectively.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Long Term Debt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Currency</w:t>
            </w:r>
          </w:p>
        </w:tc>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Nominal Interest Rate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Interest Payment</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Payment</w:t>
            </w:r>
          </w:p>
        </w:tc>
        <w:tc>
          <w:tcPr>
            <w:tcW w:w="1180" w:type="dxa"/>
            <w:vAlign w:val="bottom"/>
            <w:gridSpan w:val="2"/>
          </w:tcPr>
          <w:p>
            <w:pPr>
              <w:jc w:val="right"/>
              <w:ind w:right="497"/>
              <w:spacing w:after="0"/>
              <w:rPr>
                <w:sz w:val="20"/>
                <w:szCs w:val="20"/>
                <w:color w:val="auto"/>
              </w:rPr>
            </w:pPr>
            <w:r>
              <w:rPr>
                <w:rFonts w:ascii="Arial" w:cs="Arial" w:eastAsia="Arial" w:hAnsi="Arial"/>
                <w:sz w:val="13"/>
                <w:szCs w:val="13"/>
                <w:b w:val="1"/>
                <w:bCs w:val="1"/>
                <w:color w:val="auto"/>
              </w:rPr>
              <w:t>Year</w:t>
            </w:r>
          </w:p>
        </w:tc>
        <w:tc>
          <w:tcPr>
            <w:tcW w:w="980" w:type="dxa"/>
            <w:vAlign w:val="bottom"/>
          </w:tcPr>
          <w:p>
            <w:pPr>
              <w:jc w:val="right"/>
              <w:ind w:right="297"/>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5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2"/>
        </w:trPr>
        <w:tc>
          <w:tcPr>
            <w:tcW w:w="25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Terms</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2"/>
              </w:rPr>
              <w:t>Terms</w:t>
            </w:r>
          </w:p>
        </w:tc>
        <w:tc>
          <w:tcPr>
            <w:tcW w:w="1180" w:type="dxa"/>
            <w:vAlign w:val="bottom"/>
            <w:gridSpan w:val="2"/>
          </w:tcPr>
          <w:p>
            <w:pPr>
              <w:jc w:val="right"/>
              <w:ind w:right="317"/>
              <w:spacing w:after="0"/>
              <w:rPr>
                <w:sz w:val="20"/>
                <w:szCs w:val="20"/>
                <w:color w:val="auto"/>
              </w:rPr>
            </w:pPr>
            <w:r>
              <w:rPr>
                <w:rFonts w:ascii="Arial" w:cs="Arial" w:eastAsia="Arial" w:hAnsi="Arial"/>
                <w:sz w:val="13"/>
                <w:szCs w:val="13"/>
                <w:b w:val="1"/>
                <w:bCs w:val="1"/>
                <w:color w:val="auto"/>
              </w:rPr>
              <w:t>of Maturity</w:t>
            </w:r>
          </w:p>
        </w:tc>
        <w:tc>
          <w:tcPr>
            <w:tcW w:w="980" w:type="dxa"/>
            <w:vAlign w:val="bottom"/>
          </w:tcPr>
          <w:p>
            <w:pPr>
              <w:jc w:val="right"/>
              <w:ind w:right="397"/>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2"/>
        </w:trPr>
        <w:tc>
          <w:tcPr>
            <w:tcW w:w="25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USD Term Loan A</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SOFR + 2.90%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Quarterly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EUR Term Loan A</w:t>
            </w:r>
          </w:p>
        </w:tc>
        <w:tc>
          <w:tcPr>
            <w:tcW w:w="900" w:type="dxa"/>
            <w:vAlign w:val="bottom"/>
          </w:tcPr>
          <w:p>
            <w:pPr>
              <w:jc w:val="center"/>
              <w:ind w:left="17"/>
              <w:spacing w:after="0"/>
              <w:rPr>
                <w:sz w:val="20"/>
                <w:szCs w:val="20"/>
                <w:color w:val="auto"/>
              </w:rPr>
            </w:pPr>
            <w:r>
              <w:rPr>
                <w:rFonts w:ascii="Arial" w:cs="Arial" w:eastAsia="Arial" w:hAnsi="Arial"/>
                <w:sz w:val="13"/>
                <w:szCs w:val="13"/>
                <w:color w:val="auto"/>
                <w:w w:val="94"/>
              </w:rPr>
              <w:t>EUR</w:t>
            </w:r>
          </w:p>
        </w:tc>
        <w:tc>
          <w:tcPr>
            <w:tcW w:w="1540" w:type="dxa"/>
            <w:vAlign w:val="bottom"/>
          </w:tcPr>
          <w:p>
            <w:pPr>
              <w:jc w:val="center"/>
              <w:spacing w:after="0"/>
              <w:rPr>
                <w:sz w:val="20"/>
                <w:szCs w:val="20"/>
                <w:color w:val="auto"/>
              </w:rPr>
            </w:pPr>
            <w:r>
              <w:rPr>
                <w:rFonts w:ascii="Arial" w:cs="Arial" w:eastAsia="Arial" w:hAnsi="Arial"/>
                <w:sz w:val="13"/>
                <w:szCs w:val="13"/>
                <w:color w:val="auto"/>
                <w:w w:val="97"/>
              </w:rPr>
              <w:t>EURIBOR + 2.60%</w:t>
            </w:r>
          </w:p>
        </w:tc>
        <w:tc>
          <w:tcPr>
            <w:tcW w:w="136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220" w:type="dxa"/>
            <w:vAlign w:val="bottom"/>
          </w:tcPr>
          <w:p>
            <w:pPr>
              <w:spacing w:after="0"/>
              <w:rPr>
                <w:sz w:val="15"/>
                <w:szCs w:val="15"/>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USD Dresden Equipment Financing</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SOFR + 2.25%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3"/>
                <w:szCs w:val="13"/>
                <w:color w:val="auto"/>
                <w:w w:val="96"/>
              </w:rPr>
              <w:t>2020</w:t>
            </w:r>
          </w:p>
        </w:tc>
        <w:tc>
          <w:tcPr>
            <w:tcW w:w="2200" w:type="dxa"/>
            <w:vAlign w:val="bottom"/>
          </w:tcPr>
          <w:p>
            <w:pPr>
              <w:ind w:left="20"/>
              <w:spacing w:after="0"/>
              <w:rPr>
                <w:sz w:val="20"/>
                <w:szCs w:val="20"/>
                <w:color w:val="auto"/>
              </w:rPr>
            </w:pPr>
            <w:r>
              <w:rPr>
                <w:rFonts w:ascii="Arial" w:cs="Arial" w:eastAsia="Arial" w:hAnsi="Arial"/>
                <w:sz w:val="13"/>
                <w:szCs w:val="13"/>
                <w:color w:val="auto"/>
              </w:rPr>
              <w:t>USD Equipment Financing</w:t>
            </w:r>
          </w:p>
        </w:tc>
        <w:tc>
          <w:tcPr>
            <w:tcW w:w="900" w:type="dxa"/>
            <w:vAlign w:val="bottom"/>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Pr>
          <w:p>
            <w:pPr>
              <w:jc w:val="center"/>
              <w:spacing w:after="0"/>
              <w:rPr>
                <w:sz w:val="20"/>
                <w:szCs w:val="20"/>
                <w:color w:val="auto"/>
              </w:rPr>
            </w:pPr>
            <w:r>
              <w:rPr>
                <w:rFonts w:ascii="Arial" w:cs="Arial" w:eastAsia="Arial" w:hAnsi="Arial"/>
                <w:sz w:val="13"/>
                <w:szCs w:val="13"/>
                <w:color w:val="auto"/>
                <w:w w:val="95"/>
              </w:rPr>
              <w:t>SOFR + 1.90%</w:t>
            </w:r>
          </w:p>
        </w:tc>
        <w:tc>
          <w:tcPr>
            <w:tcW w:w="136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146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220" w:type="dxa"/>
            <w:vAlign w:val="bottom"/>
          </w:tcPr>
          <w:p>
            <w:pPr>
              <w:spacing w:after="0"/>
              <w:rPr>
                <w:sz w:val="15"/>
                <w:szCs w:val="15"/>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EUR Dresden Equipment Financing</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EUR</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EURIBOR + 2.25%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Various</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EUR, USD</w:t>
            </w:r>
          </w:p>
        </w:tc>
        <w:tc>
          <w:tcPr>
            <w:tcW w:w="1540" w:type="dxa"/>
            <w:vAlign w:val="bottom"/>
          </w:tcPr>
          <w:p>
            <w:pPr>
              <w:jc w:val="center"/>
              <w:spacing w:after="0"/>
              <w:rPr>
                <w:sz w:val="20"/>
                <w:szCs w:val="20"/>
                <w:color w:val="auto"/>
              </w:rPr>
            </w:pPr>
            <w:r>
              <w:rPr>
                <w:rFonts w:ascii="Arial" w:cs="Arial" w:eastAsia="Arial" w:hAnsi="Arial"/>
                <w:sz w:val="13"/>
                <w:szCs w:val="13"/>
                <w:color w:val="auto"/>
                <w:w w:val="90"/>
              </w:rPr>
              <w:t>Various</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2025-2031</w:t>
            </w:r>
          </w:p>
        </w:tc>
        <w:tc>
          <w:tcPr>
            <w:tcW w:w="220" w:type="dxa"/>
            <w:vAlign w:val="bottom"/>
          </w:tcPr>
          <w:p>
            <w:pPr>
              <w:spacing w:after="0"/>
              <w:rPr>
                <w:sz w:val="15"/>
                <w:szCs w:val="15"/>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41"/>
        </w:trPr>
        <w:tc>
          <w:tcPr>
            <w:tcW w:w="2520" w:type="dxa"/>
            <w:vAlign w:val="bottom"/>
            <w:tcBorders>
              <w:bottom w:val="single" w:sz="8" w:color="CCEEFF"/>
            </w:tcBorders>
            <w:gridSpan w:val="2"/>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total</w:t>
            </w:r>
          </w:p>
        </w:tc>
        <w:tc>
          <w:tcPr>
            <w:tcW w:w="9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60</w:t>
            </w:r>
          </w:p>
        </w:tc>
        <w:tc>
          <w:tcPr>
            <w:tcW w:w="8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USD Dresden Equipment Financing</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SOFR + 2.25%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2021 SGD EDB Loan</w:t>
            </w: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SGD</w:t>
            </w:r>
          </w:p>
        </w:tc>
        <w:tc>
          <w:tcPr>
            <w:tcW w:w="1540" w:type="dxa"/>
            <w:vAlign w:val="bottom"/>
          </w:tcPr>
          <w:p>
            <w:pPr>
              <w:jc w:val="center"/>
              <w:spacing w:after="0"/>
              <w:rPr>
                <w:sz w:val="20"/>
                <w:szCs w:val="20"/>
                <w:color w:val="auto"/>
              </w:rPr>
            </w:pPr>
            <w:r>
              <w:rPr>
                <w:rFonts w:ascii="Arial" w:cs="Arial" w:eastAsia="Arial" w:hAnsi="Arial"/>
                <w:sz w:val="13"/>
                <w:szCs w:val="13"/>
                <w:color w:val="auto"/>
                <w:w w:val="97"/>
              </w:rPr>
              <w:t>1.40%</w:t>
            </w:r>
          </w:p>
        </w:tc>
        <w:tc>
          <w:tcPr>
            <w:tcW w:w="136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2041</w:t>
            </w:r>
          </w:p>
        </w:tc>
        <w:tc>
          <w:tcPr>
            <w:tcW w:w="220" w:type="dxa"/>
            <w:vAlign w:val="bottom"/>
          </w:tcPr>
          <w:p>
            <w:pPr>
              <w:spacing w:after="0"/>
              <w:rPr>
                <w:sz w:val="15"/>
                <w:szCs w:val="15"/>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Various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EUR, 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Various</w:t>
            </w:r>
          </w:p>
        </w:tc>
        <w:tc>
          <w:tcPr>
            <w:tcW w:w="13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2025-2031</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b w:val="1"/>
                <w:bCs w:val="1"/>
                <w:color w:val="auto"/>
              </w:rPr>
              <w:t>Non-current total</w:t>
            </w: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1,115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1,053</w:t>
            </w:r>
          </w:p>
        </w:tc>
        <w:tc>
          <w:tcPr>
            <w:tcW w:w="0" w:type="dxa"/>
            <w:vAlign w:val="bottom"/>
          </w:tcPr>
          <w:p>
            <w:pPr>
              <w:spacing w:after="0"/>
              <w:rPr>
                <w:sz w:val="1"/>
                <w:szCs w:val="1"/>
                <w:color w:val="auto"/>
              </w:rPr>
            </w:pPr>
          </w:p>
        </w:tc>
      </w:tr>
      <w:tr>
        <w:trPr>
          <w:trHeight w:val="35"/>
        </w:trPr>
        <w:tc>
          <w:tcPr>
            <w:tcW w:w="320" w:type="dxa"/>
            <w:vAlign w:val="bottom"/>
            <w:tcBorders>
              <w:bottom w:val="single" w:sz="8" w:color="CCEEFF"/>
            </w:tcBorders>
          </w:tcPr>
          <w:p>
            <w:pPr>
              <w:spacing w:after="0"/>
              <w:rPr>
                <w:sz w:val="3"/>
                <w:szCs w:val="3"/>
                <w:color w:val="auto"/>
              </w:rPr>
            </w:pPr>
          </w:p>
        </w:tc>
        <w:tc>
          <w:tcPr>
            <w:tcW w:w="220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9"/>
              </w:rPr>
              <w:t>Total</w:t>
            </w:r>
          </w:p>
        </w:tc>
        <w:tc>
          <w:tcPr>
            <w:tcW w:w="2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1,175</w:t>
            </w:r>
          </w:p>
        </w:tc>
        <w:tc>
          <w:tcPr>
            <w:tcW w:w="8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1,806</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January 2, 2025, the Company prepaid all of its outstanding loans under the Term Loan A. The total amount of the prepayment was $664 million, comprising all outstanding loans and interest accrued through the date of prepayment. Upon the prepayment, assets pledged as common security under certain of the Company’s senior facilities and the revolving credit facility were irrevocably and unconditionally released in accordance with the terms. The revolving credit facility continues to be available to the Company on an unsecured basis following the release of the common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to fund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June 30, 2025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6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580" w:type="dxa"/>
            <w:vAlign w:val="bottom"/>
            <w:tcBorders>
              <w:bottom w:val="single" w:sz="8" w:color="CCEEFF"/>
            </w:tcBorders>
            <w:shd w:val="clear" w:color="auto" w:fill="CCEEFF"/>
          </w:tcPr>
          <w:p>
            <w:pPr>
              <w:jc w:val="right"/>
              <w:ind w:right="13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1,011</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27"/>
        </w:trPr>
        <w:tc>
          <w:tcPr>
            <w:tcW w:w="6980" w:type="dxa"/>
            <w:vAlign w:val="bottom"/>
          </w:tcPr>
          <w:p>
            <w:pPr>
              <w:ind w:left="20"/>
              <w:spacing w:after="0"/>
              <w:rPr>
                <w:sz w:val="20"/>
                <w:szCs w:val="20"/>
                <w:color w:val="auto"/>
              </w:rPr>
            </w:pPr>
            <w:r>
              <w:rPr>
                <w:rFonts w:ascii="Arial" w:cs="Arial" w:eastAsia="Arial" w:hAnsi="Arial"/>
                <w:sz w:val="16"/>
                <w:szCs w:val="16"/>
                <w:color w:val="auto"/>
              </w:rPr>
              <w:t>Uncommitted Credit Facilities</w:t>
            </w:r>
          </w:p>
        </w:tc>
        <w:tc>
          <w:tcPr>
            <w:tcW w:w="1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9"/>
        </w:trPr>
        <w:tc>
          <w:tcPr>
            <w:tcW w:w="6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r>
      <w:tr>
        <w:trPr>
          <w:trHeight w:val="275"/>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top w:val="single" w:sz="8" w:color="auto"/>
              <w:bottom w:val="single" w:sz="8" w:color="auto"/>
            </w:tcBorders>
            <w:shd w:val="clear" w:color="auto" w:fill="CCEEFF"/>
          </w:tcPr>
          <w:p>
            <w:pPr>
              <w:jc w:val="right"/>
              <w:ind w:right="13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1,116</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Related Party Disclosures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total amounts of $0 and $9 million due from related parties as of June 30, 2025 and December 31, 2024, respectively, have been included in receivables, prepayments and other assets. The $5 million and $20 million due to related parties as of June 30, 2025 and December 31, 2024, respectively, have been included in trade and other payables.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Related party balances disclosed in the interim financial statements relate to MDC General Services Holding Company LLC, Mamoura Holdings (US) LLC, and Silicon Manufacturing Partners Pte Ltd. ("SMP"). As of December 31, 2024, we held a 49% interest in SMP, a joint venture with Avago Technologies International Sales Pte. Limited ("Avago Singapore"), and managed all aspects of its manufacturing operations. In the first quarter of 2025, we acquired the remaining 51% of the shares in the share capital of SMP from Avago Singapore, thereby making SMP a wholly-owned subsidiary of GlobalFoundries. Consequently, SMP no longer qualifies as a related party due to this change in ownership structure.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w:t>
      </w:r>
    </w:p>
    <w:p>
      <w:pPr>
        <w:sectPr>
          <w:pgSz w:w="11900" w:h="16838" w:orient="portrait"/>
          <w:cols w:equalWidth="0" w:num="1">
            <w:col w:w="11240"/>
          </w:cols>
          <w:pgMar w:left="320" w:top="98" w:right="339" w:bottom="1440" w:gutter="0" w:footer="0" w:header="0"/>
        </w:sectPr>
      </w:pPr>
    </w:p>
    <w:p>
      <w:pPr>
        <w:spacing w:after="0" w:line="167"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38100</wp:posOffset>
            </wp:positionV>
            <wp:extent cx="23399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6" w:lineRule="exact"/>
        <w:rPr>
          <w:sz w:val="20"/>
          <w:szCs w:val="20"/>
          <w:color w:val="auto"/>
        </w:rPr>
      </w:pPr>
    </w:p>
    <w:p>
      <w:pPr>
        <w:ind w:left="4480"/>
        <w:spacing w:after="0"/>
        <w:tabs>
          <w:tab w:leader="none" w:pos="634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38100</wp:posOffset>
            </wp:positionV>
            <wp:extent cx="2348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6"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40" w:lineRule="exact"/>
        <w:rPr>
          <w:sz w:val="20"/>
          <w:szCs w:val="20"/>
          <w:color w:val="auto"/>
        </w:rPr>
      </w:pPr>
    </w:p>
    <w:p>
      <w:pPr>
        <w:sectPr>
          <w:pgSz w:w="11900" w:h="16838" w:orient="portrait"/>
          <w:cols w:equalWidth="0" w:num="2">
            <w:col w:w="7540" w:space="720"/>
            <w:col w:w="2980"/>
          </w:cols>
          <w:pgMar w:left="320" w:top="98"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8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228"/>
        </w:trPr>
        <w:tc>
          <w:tcPr>
            <w:tcW w:w="3760" w:type="dxa"/>
            <w:vAlign w:val="bottom"/>
          </w:tcPr>
          <w:p>
            <w:pPr>
              <w:ind w:left="20"/>
              <w:spacing w:after="0"/>
              <w:rPr>
                <w:sz w:val="20"/>
                <w:szCs w:val="20"/>
                <w:color w:val="auto"/>
              </w:rPr>
            </w:pPr>
            <w:r>
              <w:rPr>
                <w:rFonts w:ascii="Arial" w:cs="Arial" w:eastAsia="Arial" w:hAnsi="Arial"/>
                <w:sz w:val="16"/>
                <w:szCs w:val="16"/>
                <w:color w:val="auto"/>
              </w:rPr>
              <w:t>SMP</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940" w:type="dxa"/>
            <w:vAlign w:val="bottom"/>
            <w:gridSpan w:val="2"/>
          </w:tcPr>
          <w:p>
            <w:pPr>
              <w:jc w:val="right"/>
              <w:ind w:right="6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6"/>
        </w:trPr>
        <w:tc>
          <w:tcPr>
            <w:tcW w:w="37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37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5"/>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
        </w:trPr>
        <w:tc>
          <w:tcPr>
            <w:tcW w:w="3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5"/>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 contribution</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tools)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Mamoura Holdings (US) LLC (consulting service</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fees)</w:t>
            </w: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3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5"/>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MDC General Services Holding Company LLC</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(recharge of expenses)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3760" w:type="dxa"/>
            <w:vAlign w:val="bottom"/>
          </w:tcPr>
          <w:p>
            <w:pPr>
              <w:spacing w:after="0"/>
              <w:rPr>
                <w:sz w:val="19"/>
                <w:szCs w:val="19"/>
                <w:color w:val="auto"/>
              </w:rPr>
            </w:pP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3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Purchases from SMP were primarily comprised of wafers.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Commitments and Contingencies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 enters into several purchase agreements and supplementary agreements with its third-party manufacturers and suppliers for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deliveries of equipment and components. In addition, the Company enters into intellectual property and licensing agreements with third parties. The total future payments under these agreements amounted to $598 million as of June 30, 2025. Purchase commitments of $384 million are due within the next 12 months.</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the Company obtained letters of credit and bank guarantees to guarantee payments for utility suppliers, foreign statutory payroll related charges, and other purposes. The Company has obtained total facilities of $133 million and $129 million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financial statements.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determined that due to the complexity of calculation of the Advanced Manufacturing Investment Tax Credit ("AMITC") under the Internal Revenue Code Section 48D, and uncertainties regarding compliance with program conditions, it is probable that a portion of AMITC computed and claimed in the United States may be repayable. Management recorded its best estimate of the amount of the AMITC that may be repayable totaling $36 million as of June 30, 2025. The amount of the reserve may change depending on future assessments by tax authorities.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Fair Value Measurements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9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21" w:lineRule="exact"/>
        <w:rPr>
          <w:rFonts w:ascii="Arial" w:cs="Arial" w:eastAsia="Arial" w:hAnsi="Arial"/>
          <w:sz w:val="16"/>
          <w:szCs w:val="16"/>
          <w:color w:val="auto"/>
        </w:rPr>
      </w:pPr>
    </w:p>
    <w:p>
      <w:pPr>
        <w:jc w:val="both"/>
        <w:ind w:left="660" w:right="20" w:hanging="328"/>
        <w:spacing w:after="0" w:line="252"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w:t>
      </w:r>
    </w:p>
    <w:p>
      <w:pPr>
        <w:ind w:left="660" w:hanging="328"/>
        <w:spacing w:after="0" w:line="283"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and Level 2 inputs include U.S. Treasury Securities, U.S. Government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Quoted Prices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 Other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23"/>
        </w:trPr>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Inputs</w:t>
            </w:r>
          </w:p>
        </w:tc>
        <w:tc>
          <w:tcPr>
            <w:tcW w:w="8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2,033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1,496</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2025</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2,128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530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1,598</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0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85"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Included in cash and cash equivalents on the Company’s interim condensed consolidated statements of financial position.</w:t>
      </w:r>
    </w:p>
    <w:p>
      <w:pPr>
        <w:spacing w:after="0" w:line="111" w:lineRule="exact"/>
        <w:rPr>
          <w:rFonts w:ascii="Arial" w:cs="Arial" w:eastAsia="Arial" w:hAnsi="Arial"/>
          <w:sz w:val="16"/>
          <w:szCs w:val="16"/>
          <w:color w:val="auto"/>
          <w:vertAlign w:val="superscript"/>
        </w:rPr>
      </w:pPr>
    </w:p>
    <w:p>
      <w:pPr>
        <w:ind w:left="220" w:hanging="212"/>
        <w:spacing w:after="0"/>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79" w:lineRule="exact"/>
        <w:rPr>
          <w:rFonts w:ascii="Arial" w:cs="Arial" w:eastAsia="Arial" w:hAnsi="Arial"/>
          <w:sz w:val="19"/>
          <w:szCs w:val="19"/>
          <w:color w:val="auto"/>
          <w:vertAlign w:val="superscript"/>
        </w:rPr>
      </w:pPr>
    </w:p>
    <w:p>
      <w:pPr>
        <w:ind w:left="180" w:hanging="172"/>
        <w:spacing w:after="0" w:line="305" w:lineRule="auto"/>
        <w:tabs>
          <w:tab w:leader="none" w:pos="249" w:val="left"/>
        </w:tabs>
        <w:numPr>
          <w:ilvl w:val="0"/>
          <w:numId w:val="11"/>
        </w:numPr>
        <w:rPr>
          <w:rFonts w:ascii="Arial" w:cs="Arial" w:eastAsia="Arial" w:hAnsi="Arial"/>
          <w:sz w:val="9"/>
          <w:szCs w:val="9"/>
          <w:color w:val="auto"/>
        </w:rPr>
      </w:pPr>
      <w:r>
        <w:rPr>
          <w:rFonts w:ascii="Arial" w:cs="Arial" w:eastAsia="Arial" w:hAnsi="Arial"/>
          <w:sz w:val="14"/>
          <w:szCs w:val="14"/>
          <w:color w:val="auto"/>
        </w:rPr>
        <w:t>Consists of foreign currency forward contracts, interest rate swaps, cross currency swaps and commodity swaps. Included in other current and non-current financial assets and other current and non-current liabilities on the Company’s interim condensed consolidated statements of financial position.</w:t>
      </w:r>
    </w:p>
    <w:p>
      <w:pPr>
        <w:spacing w:after="0" w:line="49" w:lineRule="exact"/>
        <w:rPr>
          <w:rFonts w:ascii="Arial" w:cs="Arial" w:eastAsia="Arial" w:hAnsi="Arial"/>
          <w:sz w:val="9"/>
          <w:szCs w:val="9"/>
          <w:color w:val="auto"/>
        </w:rPr>
      </w:pPr>
    </w:p>
    <w:p>
      <w:pPr>
        <w:ind w:left="180" w:hanging="172"/>
        <w:spacing w:after="0" w:line="231" w:lineRule="auto"/>
        <w:tabs>
          <w:tab w:leader="none" w:pos="26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Consists of investments in marketable debt securities such as government, agency, and corporate bonds. Included in current and non-current marketable securities on the Company's interim condensed consolidated statements of financial position.</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six months ended June 30, 2025, there were no transfers between Level 1, Level 2 or Level 3 fair value measurements. During the six months ended June 30, 2024, marketable securities with carrying amounts of $646 million, were transferred from Level 1 to Level 2. These transfers occurred as the Company reassessed the market activity of these securities.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assets such as equity method investments, intangible assets and property, plant and equipment, and other non-financial assets, are recorded at fair value only if an impairment or observable price adjustment is recognized in the current period.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Financial instruments not recorded at fair value on a recurring basis include non-marketable equity securities measured at cost, and grants receivable, loans receivable, lease obligations and the current and non-current portions of the Company’s long-term debt which are measured at amortized cost.</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shows the carrying amounts and fair values of the Company’s financial liabilities at amortized cost ("FLAC") not recorded at fair value on a recurring basis. It does not include fair value information for financial assets and financial liabilities not measured at fair value if the carrying amount is a reasonable approximation of fair value.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2200" w:type="dxa"/>
            <w:vAlign w:val="bottom"/>
            <w:gridSpan w:val="3"/>
          </w:tcPr>
          <w:p>
            <w:pPr>
              <w:ind w:left="1120"/>
              <w:spacing w:after="0"/>
              <w:rPr>
                <w:sz w:val="20"/>
                <w:szCs w:val="20"/>
                <w:color w:val="auto"/>
              </w:rPr>
            </w:pPr>
            <w:r>
              <w:rPr>
                <w:rFonts w:ascii="Arial" w:cs="Arial" w:eastAsia="Arial" w:hAnsi="Arial"/>
                <w:sz w:val="16"/>
                <w:szCs w:val="16"/>
                <w:b w:val="1"/>
                <w:bCs w:val="1"/>
                <w:color w:val="auto"/>
              </w:rPr>
              <w:t>June 30, 2025</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45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5"/>
        </w:trPr>
        <w:tc>
          <w:tcPr>
            <w:tcW w:w="4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Carrying Amount</w:t>
            </w:r>
          </w:p>
        </w:tc>
        <w:tc>
          <w:tcPr>
            <w:tcW w:w="8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Carrying Amount</w:t>
            </w:r>
          </w:p>
        </w:tc>
        <w:tc>
          <w:tcPr>
            <w:tcW w:w="100" w:type="dxa"/>
            <w:vAlign w:val="bottom"/>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21"/>
        </w:trPr>
        <w:tc>
          <w:tcPr>
            <w:tcW w:w="45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1,736</w:t>
            </w:r>
          </w:p>
        </w:tc>
      </w:tr>
    </w:tbl>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 a Level 2 valuation. The fair values are estimated based on the type of loan and maturity. The Company estimates the fair value using market interest rates for debts with similar maturities.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Share-Based Compensation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The fair value of each award is estimated on the date of grant using the Black-Scholes option pricing model for options, and the Monte Carlo simulation model for the performance share units and a share price at the grant date for the restricted share units. The Black-Scholes model and Monte Carlo model both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awards,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they are probable of vesting, the Company recognizes expense on a graded attribution basis for each tranche of the award over the period from the grant date to the later of the one-year anniversary of estimated time following a liquidity event or the legal vesting dates.</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offers an Employee Stock Purchase Plan which provides eligible employees with an opportunity to purchase our ordinary shares through payroll deductions of up to 10% of their eligible compensation. A participant may purchase a maximum of 2,500 ordinary shares during the purchase period. Amounts deducted and accumulated by the participant are used to purchase ordinary shares at the end of each six-month period, with the Company matching 20% of each employee's contributions on an after-tax basis.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Equity</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May 22, 2024, the Company announced a share repurchase of 3.9 million ordinary shares from Mubadala Technology Investment Company ("MTIC"), a majority shareholder, at the price of $50.75 per share, for an aggregate purchase amount of $200 million. We completed the share repurchase on May 28, 2024.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On May 28, 2024, our Board of Directors resolved to cancel the 3.9 million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Subsequent Events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July 8, 2025, we announced an agreement to acquire MIPS Holding, Inc., a leading supplier of AI and processor IP. This strategic acquisition will expand GF’s portfolio of customizable IP offerings, allowing it to further differentiate its process technologies with IP and software capabilities. The transaction is subject to the satisfaction of customary closing conditions, including the receipt of required regulatory approvals and is expected to close in the second half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900"/>
        <w:spacing w:after="0" w:line="396" w:lineRule="auto"/>
        <w:rPr>
          <w:sz w:val="20"/>
          <w:szCs w:val="20"/>
          <w:color w:val="auto"/>
        </w:rPr>
      </w:pPr>
      <w:r>
        <w:rPr>
          <w:rFonts w:ascii="Arial" w:cs="Arial" w:eastAsia="Arial" w:hAnsi="Arial"/>
          <w:sz w:val="16"/>
          <w:szCs w:val="16"/>
          <w:b w:val="1"/>
          <w:bCs w:val="1"/>
          <w:color w:val="auto"/>
        </w:rPr>
        <w:t xml:space="preserve">MANAGEMENT’S DISCUSSION AND ANALYSIS OF FINANCIAL CONDITION AND RESULTS OF OPERATIONS </w:t>
      </w:r>
      <w:r>
        <w:rPr>
          <w:rFonts w:ascii="Arial" w:cs="Arial" w:eastAsia="Arial" w:hAnsi="Arial"/>
          <w:sz w:val="16"/>
          <w:szCs w:val="16"/>
          <w:b w:val="1"/>
          <w:bCs w:val="1"/>
          <w:u w:val="single" w:color="auto"/>
          <w:color w:val="auto"/>
        </w:rPr>
        <w:t>Forward-looking Statements</w:t>
      </w:r>
    </w:p>
    <w:p>
      <w:pPr>
        <w:jc w:val="both"/>
        <w:spacing w:after="0" w:line="255"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Ukraine and Israel; ongoing political developments in the United States, and in particular, any political and policy-related changes that may impact our industry and the market generally; the imposition of trade controls, tariffs and counter-tariffs between the United States and its trade partners;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our expected results and planned expansions and operations may not proceed as planned if funding we expect to receive (including the planned awards under the U.S. CHIPS and Science Act and New York State Green CHIPS)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2024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essential integrated circuits (“ICs”) that are used in billions of electronic devices across various industries. Our specialized foundry manufacturing processes, extensive library of qualified circuit-building block designs (known as IP titles or IP blocks), and advanced transistor and device technology allow us to serve a wide range of customers, including the global leaders in IC design. We focus on providing optimized solutions for critical applications that drive key secular growth end markets, ensuring function, performance, and power requirements are met. As the only scaled pure-play foundry (defined as a company specializing in producing ICs for other companies with annual foundry revenue exceeding $3 billion) with a global footprint that is not based in China or Taiwan, we offer our customers the advantage of mitigating geopolitical risk and ensuring greater supply chain certainty and security Since our founding in 2009, we have invested in over $23 billion to create a global manufacturing footprint with state-of-the-art facilities across three continents. Our differentiated foundry solutions redefine the industry by offering essential chip solutions that empower our customers to develop innovative products for a wide range of applications in diverse markets and bring their products to market quickly and cost effectively.</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focus on essential devices that include digital, analog, mixed-signal, radio frequency (“RF”), ultra-low power and embedded memory solutions that connect, secure and process data, and efficiently power the digital world around us. To meet the needs of our customers, we devote our research and development ("R&amp;D") efforts to a diversified range of differentiated technology platforms in these key categories: Complementary Metal-Oxide Semiconductor (“CMOS”) for both Feature-Rich and Ultra-Low Power, RF, Power and Silicon Photonics (“SiPh”). Specifically within these categories, our key technology platforms include RF SOI, FDX</w:t>
      </w:r>
      <w:r>
        <w:rPr>
          <w:rFonts w:ascii="Arial" w:cs="Arial" w:eastAsia="Arial" w:hAnsi="Arial"/>
          <w:sz w:val="21"/>
          <w:szCs w:val="21"/>
          <w:color w:val="auto"/>
          <w:vertAlign w:val="superscript"/>
        </w:rPr>
        <w:t>TM</w:t>
      </w:r>
      <w:r>
        <w:rPr>
          <w:rFonts w:ascii="Arial" w:cs="Arial" w:eastAsia="Arial" w:hAnsi="Arial"/>
          <w:sz w:val="16"/>
          <w:szCs w:val="16"/>
          <w:color w:val="auto"/>
        </w:rPr>
        <w:t>, Fin Field-Effect Transistor (“FinFET”), Bipolar-CMOS-DMOS (“BCD”), BCDLite, Silicon Germanium (“SiGe”) and Gallium Nitride (“GaN”) products.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90% and 89% of our net revenue for the three and six months ended June 30, 2025, respectively. The rest of our net revenue was mainly derived from photomask manufacturing, sourcing services and pre-fab manufacturing services.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Starting in 2023, our business has experienced an industry-wide cyclical downturn that led to weaker demand across several of the end markets within which we operate. Exacerbated by geopolitical conflicts and inflation, this prolonged semiconductor downturn impacted our revenue as customers adjusted their inventory levels to match softer end demand.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the start of 2025, we saw indications of the bottoming of the cycle, including improving customer inventory levels and recovering consumer demand. This was evidenced by year-over-year revenue growth in three out of four of our key end markets during the three and six months ended June 30, 2025. However, increased macroeconomic and policy uncertainty driven by tariff announcements have broadened the range of business outcomes across the semiconductor industry. Geopolitical tensions have emphasized for our customers the importance of supply resilience, flexibility and dependability. As a result, we have started to see increased customer interest in accessing our diversified manufacturing capabilities.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the majority of our revenue from volume production and sales of finished semiconductor wafers, which are priced on a per-wafer basis for the applicable design. We also generate revenue from rendering of non-recurring engineering (“NRE”) services, mask production and pre-fabrication services such as bump, test and packaging.</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restructuring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operating expenses consist of research and development ("R&amp;D"), selling, general and administrative expenses (“SG&amp;A”), and restructuring charges. Personnel costs are the most significant component of our operating expenses, and consist of salaries, benefits, bonuses, share-based compensation and commissions.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expenses include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as a percentage of revenue to be relatively stable over time as expenses grow in line with increased revenue.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costs of accounting, audit, legal, regulatory and tax compliance. Additionally, costs related to advertising, trade shows, corporate marketing, certain contract cancellation fees, gains and losses on tool sales, withholding taxes and allocated overhead costs are also included in SG&amp;A expenses. We expect our SG&amp;A as a percentage of revenue to be relatively stable over time as expenses grow in line with increased revenue.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Restructuring charges primarily relate to reductions in our global workforce, leased workspace and consultants we engage for strategic support of the restructuring.</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consists of interest earned on our cash and cash equivalents and marketable securities, net of any interest expense on borrowings, amortization of debt issuance costs under our term loans, revolving credit facility, finance leases and other credit facilities we maintain with various financial institutions.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income (expense), net consists of our share of profit of our joint venture, one-time gains and losses and other miscellaneous income and expense items unrelated to our core operations. Included are gains and losses relating to hedging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federal and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Three and Six months ended June 30, 2025 and 2024, (in millions).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gridSpan w:val="9"/>
          </w:tcPr>
          <w:p>
            <w:pPr>
              <w:jc w:val="right"/>
              <w:ind w:right="33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8"/>
          </w:tcPr>
          <w:p>
            <w:pPr>
              <w:ind w:left="580"/>
              <w:spacing w:after="0"/>
              <w:rPr>
                <w:sz w:val="20"/>
                <w:szCs w:val="20"/>
                <w:color w:val="auto"/>
              </w:rPr>
            </w:pPr>
            <w:r>
              <w:rPr>
                <w:rFonts w:ascii="Arial" w:cs="Arial" w:eastAsia="Arial" w:hAnsi="Arial"/>
                <w:sz w:val="16"/>
                <w:szCs w:val="16"/>
                <w:b w:val="1"/>
                <w:bCs w:val="1"/>
                <w:color w:val="auto"/>
              </w:rPr>
              <w:t>Six Months Ended June 30</w:t>
            </w:r>
          </w:p>
        </w:tc>
      </w:tr>
      <w:tr>
        <w:trPr>
          <w:trHeight w:val="21"/>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9"/>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ind w:left="700"/>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1"/>
        </w:trPr>
        <w:tc>
          <w:tcPr>
            <w:tcW w:w="2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3,181</w:t>
            </w:r>
          </w:p>
        </w:tc>
      </w:tr>
      <w:tr>
        <w:trPr>
          <w:trHeight w:val="228"/>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2,393</w:t>
            </w:r>
          </w:p>
        </w:tc>
      </w:tr>
      <w:tr>
        <w:trPr>
          <w:trHeight w:val="29"/>
        </w:trPr>
        <w:tc>
          <w:tcPr>
            <w:tcW w:w="2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408</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c>
          <w:tcPr>
            <w:tcW w:w="100" w:type="dxa"/>
            <w:vAlign w:val="bottom"/>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763</w:t>
            </w:r>
          </w:p>
        </w:tc>
        <w:tc>
          <w:tcPr>
            <w:tcW w:w="8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788</w:t>
            </w:r>
          </w:p>
        </w:tc>
      </w:tr>
      <w:tr>
        <w:trPr>
          <w:trHeight w:val="221"/>
        </w:trPr>
        <w:tc>
          <w:tcPr>
            <w:tcW w:w="3080" w:type="dxa"/>
            <w:vAlign w:val="bottom"/>
            <w:gridSpan w:val="4"/>
          </w:tcPr>
          <w:p>
            <w:pPr>
              <w:ind w:left="20"/>
              <w:spacing w:after="0"/>
              <w:rPr>
                <w:sz w:val="20"/>
                <w:szCs w:val="20"/>
                <w:color w:val="auto"/>
              </w:rPr>
            </w:pPr>
            <w:r>
              <w:rPr>
                <w:rFonts w:ascii="Arial" w:cs="Arial" w:eastAsia="Arial" w:hAnsi="Arial"/>
                <w:sz w:val="16"/>
                <w:szCs w:val="16"/>
                <w:color w:val="auto"/>
              </w:rPr>
              <w:t>Research and development expenses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9"/>
        </w:trPr>
        <w:tc>
          <w:tcPr>
            <w:tcW w:w="206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27"/>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2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416</w:t>
            </w:r>
          </w:p>
        </w:tc>
        <w:tc>
          <w:tcPr>
            <w:tcW w:w="8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w:t>
            </w:r>
          </w:p>
        </w:tc>
      </w:tr>
      <w:tr>
        <w:trPr>
          <w:trHeight w:val="229"/>
        </w:trPr>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302</w:t>
            </w:r>
          </w:p>
        </w:tc>
      </w:tr>
      <w:tr>
        <w:trPr>
          <w:trHeight w:val="21"/>
        </w:trPr>
        <w:tc>
          <w:tcPr>
            <w:tcW w:w="2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2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8"/>
              </w:rPr>
              <w:t>16</w:t>
            </w:r>
          </w:p>
        </w:tc>
        <w:tc>
          <w:tcPr>
            <w:tcW w:w="100" w:type="dxa"/>
            <w:vAlign w:val="bottom"/>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28"/>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91"/>
              </w:rPr>
              <w:t>(4)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2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100" w:type="dxa"/>
            <w:vAlign w:val="bottom"/>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416</w:t>
            </w: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w:t>
            </w:r>
          </w:p>
        </w:tc>
      </w:tr>
      <w:tr>
        <w:trPr>
          <w:trHeight w:val="227"/>
        </w:trPr>
        <w:tc>
          <w:tcPr>
            <w:tcW w:w="2320" w:type="dxa"/>
            <w:vAlign w:val="bottom"/>
            <w:gridSpan w:val="3"/>
          </w:tcPr>
          <w:p>
            <w:pPr>
              <w:ind w:left="20"/>
              <w:spacing w:after="0"/>
              <w:rPr>
                <w:sz w:val="20"/>
                <w:szCs w:val="20"/>
                <w:color w:val="auto"/>
              </w:rPr>
            </w:pPr>
            <w:r>
              <w:rPr>
                <w:rFonts w:ascii="Arial" w:cs="Arial" w:eastAsia="Arial" w:hAnsi="Arial"/>
                <w:sz w:val="16"/>
                <w:szCs w:val="16"/>
                <w:color w:val="auto"/>
              </w:rPr>
              <w:t>Income tax (expense) benefit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9"/>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c>
          <w:tcPr>
            <w:tcW w:w="10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80" w:type="dxa"/>
            <w:vAlign w:val="bottom"/>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w:t>
            </w:r>
          </w:p>
        </w:tc>
      </w:tr>
      <w:tr>
        <w:trPr>
          <w:trHeight w:val="445"/>
        </w:trPr>
        <w:tc>
          <w:tcPr>
            <w:tcW w:w="20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351"/>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8"/>
          </w:tcPr>
          <w:p>
            <w:pPr>
              <w:spacing w:after="0"/>
              <w:rPr>
                <w:sz w:val="20"/>
                <w:szCs w:val="20"/>
                <w:color w:val="auto"/>
              </w:rPr>
            </w:pPr>
            <w:r>
              <w:rPr>
                <w:rFonts w:ascii="Arial" w:cs="Arial" w:eastAsia="Arial" w:hAnsi="Arial"/>
                <w:sz w:val="16"/>
                <w:szCs w:val="16"/>
                <w:b w:val="1"/>
                <w:bCs w:val="1"/>
                <w:color w:val="auto"/>
              </w:rPr>
              <w:t>Six Months Ended June 30</w:t>
            </w:r>
          </w:p>
        </w:tc>
        <w:tc>
          <w:tcPr>
            <w:tcW w:w="1160" w:type="dxa"/>
            <w:vAlign w:val="bottom"/>
          </w:tcPr>
          <w:p>
            <w:pPr>
              <w:spacing w:after="0"/>
              <w:rPr>
                <w:sz w:val="24"/>
                <w:szCs w:val="24"/>
                <w:color w:val="auto"/>
              </w:rPr>
            </w:pPr>
          </w:p>
        </w:tc>
      </w:tr>
      <w:tr>
        <w:trPr>
          <w:trHeight w:val="21"/>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20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Change</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7"/>
        </w:trPr>
        <w:tc>
          <w:tcPr>
            <w:tcW w:w="20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r>
      <w:tr>
        <w:trPr>
          <w:trHeight w:val="228"/>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8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9"/>
        </w:trPr>
        <w:tc>
          <w:tcPr>
            <w:tcW w:w="2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Net revenue increased by $56 million, or 3.4%, for the three months ended June 30, 2025 compared to the three months ended June 30, 2024. The increase from the prior period was primarily driven by wafer shipment volume totaling 581 thousand (300mm equivalent), a 12% increase from prior period. This was offset by an 8.5% year-over-year decline in average selling prices, primarily driven by lower year-over-year underutilization payments from customers as well as changes in product mix.</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For the three months ended June 30, 2025, we experienced growth in three of our four end markets compared to the three months ended June 30, 2024. The Automotive end market increased 36.3% year-over-year, driven by continued content expansion and share gains across multiple automotive applications. Communications, Infrastructure &amp; Datacenter grew 11.0% year-over-year, driven by growth in several areas, including satellite communications and Silicon Photonics. Home and Industrial IoT grew 1.7% year over year, with signs of stabilization in core industrial IoT markets. Offsetting this growth, Smart Mobile Device declined 10.4% year-over-year driven primarily due to lower underutilization payments from customers and changes in product mix. Additionally, non-wafer revenue increased 9.9% year-over-year, driven by higher license activity.</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revenue increased by $92 million, or 2.9%, for the six months ended June 30, 2025, compared to the six months ended June 30, 2024. The increase was primarily driven by higher wafer shipment volumes totaling 1,124 thousand (300mm equivalent), a 14.7% increase from the prior period. This was offset by a 11.1% year-over-year decline in average selling prices, primarily driven by year-over-year lower underutilization payments from customers as well as changes in product mix.</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the six months ended June 30, 2025, we experienced growth in three of our four end markets. Automotive increased 26.3% year-over-year, driven by continued content expansion and share gains and supported by strong ramps at key customers. Communications, Infrastructure &amp; Datacenter grew 25.9% year-over-year, supported by growth in optical networking and satellite communications. Home and Industrial IoT grew 4.0% year over year, driven by early signs of stabilization in smart home and industrial markets. This growth was partially offset by a 12.0% year-over-year decline in Smart Mobile Devices, primarily due to lower underutilization payments from customers and changes in product mix. Additionally, non-wafer revenue increased 8.9% year-over-year, driven by higher license activity.</w:t>
      </w:r>
    </w:p>
    <w:p>
      <w:pPr>
        <w:sectPr>
          <w:pgSz w:w="11900" w:h="16838" w:orient="portrait"/>
          <w:cols w:equalWidth="0" w:num="1">
            <w:col w:w="11240"/>
          </w:cols>
          <w:pgMar w:left="320" w:top="2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End Markets: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Six Months Ended June 30</w:t>
            </w:r>
          </w:p>
        </w:tc>
        <w:tc>
          <w:tcPr>
            <w:tcW w:w="1140" w:type="dxa"/>
            <w:vAlign w:val="bottom"/>
          </w:tcPr>
          <w:p>
            <w:pPr>
              <w:spacing w:after="0"/>
              <w:rPr>
                <w:sz w:val="19"/>
                <w:szCs w:val="19"/>
                <w:color w:val="auto"/>
              </w:rPr>
            </w:pPr>
          </w:p>
        </w:tc>
      </w:tr>
      <w:tr>
        <w:trPr>
          <w:trHeight w:val="21"/>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0"/>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7"/>
        </w:trPr>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r>
      <w:tr>
        <w:trPr>
          <w:trHeight w:val="256"/>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Smart Mobile Devices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80" w:type="dxa"/>
            <w:vAlign w:val="bottom"/>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left w:val="single" w:sz="8" w:color="CCEEFF"/>
            </w:tcBorders>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Borders>
              <w:left w:val="single" w:sz="8" w:color="CCEEFF"/>
            </w:tcBorders>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80" w:type="dxa"/>
            <w:vAlign w:val="bottom"/>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right w:val="single" w:sz="8" w:color="CCEEFF"/>
            </w:tcBorders>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175"/>
        </w:trPr>
        <w:tc>
          <w:tcPr>
            <w:tcW w:w="1920" w:type="dxa"/>
            <w:vAlign w:val="bottom"/>
          </w:tcPr>
          <w:p>
            <w:pPr>
              <w:ind w:left="20"/>
              <w:spacing w:after="0" w:line="175" w:lineRule="exact"/>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6"/>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Infrastructure &amp; Datacenter</w:t>
            </w: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25.9 %</w:t>
            </w:r>
          </w:p>
        </w:tc>
      </w:tr>
      <w:tr>
        <w:trPr>
          <w:trHeight w:val="264"/>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and Industrial IoT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left w:val="single" w:sz="8" w:color="CCEEFF"/>
            </w:tcBorders>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60" w:type="dxa"/>
            <w:vAlign w:val="bottom"/>
            <w:tcBorders>
              <w:left w:val="single" w:sz="8" w:color="CCEEFF"/>
            </w:tcBorders>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80" w:type="dxa"/>
            <w:vAlign w:val="bottom"/>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right w:val="single" w:sz="8" w:color="CCEEFF"/>
            </w:tcBorders>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49"/>
        </w:trPr>
        <w:tc>
          <w:tcPr>
            <w:tcW w:w="192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36.3 %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26.3 %</w:t>
            </w:r>
          </w:p>
        </w:tc>
      </w:tr>
      <w:tr>
        <w:trPr>
          <w:trHeight w:val="223"/>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wafer revenue and</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tcBorders>
              <w:left w:val="single" w:sz="8" w:color="CCEEFF"/>
            </w:tcBorders>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CCEEFF"/>
            </w:tcBorders>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4"/>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left w:val="single" w:sz="8" w:color="CCEEFF"/>
            </w:tcBorders>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60" w:type="dxa"/>
            <w:vAlign w:val="bottom"/>
            <w:tcBorders>
              <w:left w:val="single" w:sz="8" w:color="CCEEFF"/>
            </w:tcBorders>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right w:val="single" w:sz="8" w:color="CCEEFF"/>
            </w:tcBorders>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29"/>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1,688</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1,632</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3.4 %</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3,273</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3,181</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2.9 %</w:t>
            </w:r>
          </w:p>
        </w:tc>
      </w:tr>
      <w:tr>
        <w:trPr>
          <w:trHeight w:val="432"/>
        </w:trPr>
        <w:tc>
          <w:tcPr>
            <w:tcW w:w="192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20" w:type="dxa"/>
            <w:vAlign w:val="bottom"/>
            <w:gridSpan w:val="9"/>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7"/>
          </w:tcPr>
          <w:p>
            <w:pPr>
              <w:jc w:val="right"/>
              <w:ind w:right="140"/>
              <w:spacing w:after="0"/>
              <w:rPr>
                <w:sz w:val="20"/>
                <w:szCs w:val="20"/>
                <w:color w:val="auto"/>
              </w:rPr>
            </w:pPr>
            <w:r>
              <w:rPr>
                <w:rFonts w:ascii="Arial" w:cs="Arial" w:eastAsia="Arial" w:hAnsi="Arial"/>
                <w:sz w:val="16"/>
                <w:szCs w:val="16"/>
                <w:b w:val="1"/>
                <w:bCs w:val="1"/>
                <w:color w:val="auto"/>
              </w:rPr>
              <w:t>Six Months Ended June 30</w:t>
            </w:r>
          </w:p>
        </w:tc>
        <w:tc>
          <w:tcPr>
            <w:tcW w:w="1140" w:type="dxa"/>
            <w:vAlign w:val="bottom"/>
          </w:tcPr>
          <w:p>
            <w:pPr>
              <w:spacing w:after="0"/>
              <w:rPr>
                <w:sz w:val="21"/>
                <w:szCs w:val="21"/>
                <w:color w:val="auto"/>
              </w:rPr>
            </w:pPr>
          </w:p>
        </w:tc>
      </w:tr>
      <w:tr>
        <w:trPr>
          <w:trHeight w:val="21"/>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0"/>
        </w:trPr>
        <w:tc>
          <w:tcPr>
            <w:tcW w:w="1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7"/>
        </w:trPr>
        <w:tc>
          <w:tcPr>
            <w:tcW w:w="19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r>
      <w:tr>
        <w:trPr>
          <w:trHeight w:val="23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1,280</w:t>
            </w:r>
          </w:p>
        </w:tc>
        <w:tc>
          <w:tcPr>
            <w:tcW w:w="120" w:type="dxa"/>
            <w:vAlign w:val="bottom"/>
            <w:tcBorders>
              <w:right w:val="single" w:sz="8" w:color="CCEEFF"/>
            </w:tcBorders>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1,237</w:t>
            </w:r>
          </w:p>
        </w:tc>
        <w:tc>
          <w:tcPr>
            <w:tcW w:w="8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right w:val="single" w:sz="8" w:color="CCEEFF"/>
            </w:tcBorders>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60" w:type="dxa"/>
            <w:vAlign w:val="bottom"/>
            <w:tcBorders>
              <w:right w:val="single" w:sz="8" w:color="CCEEFF"/>
            </w:tcBorders>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2,510</w:t>
            </w:r>
          </w:p>
        </w:tc>
        <w:tc>
          <w:tcPr>
            <w:tcW w:w="10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2,393</w:t>
            </w:r>
          </w:p>
        </w:tc>
        <w:tc>
          <w:tcPr>
            <w:tcW w:w="80" w:type="dxa"/>
            <w:vAlign w:val="bottom"/>
            <w:tcBorders>
              <w:left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left w:val="single" w:sz="8" w:color="CCEEFF"/>
            </w:tcBorders>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14"/>
        </w:trPr>
        <w:tc>
          <w:tcPr>
            <w:tcW w:w="192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24.2 %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24.2 %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i w:val="1"/>
                <w:iCs w:val="1"/>
                <w:color w:val="auto"/>
              </w:rPr>
              <w:t>0bps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23.3 %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24.8 %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(150)bps</w:t>
            </w:r>
          </w:p>
        </w:tc>
        <w:tc>
          <w:tcPr>
            <w:tcW w:w="1140" w:type="dxa"/>
            <w:vAlign w:val="bottom"/>
          </w:tcPr>
          <w:p>
            <w:pPr>
              <w:spacing w:after="0"/>
              <w:rPr>
                <w:sz w:val="18"/>
                <w:szCs w:val="18"/>
                <w:color w:val="auto"/>
              </w:rPr>
            </w:pPr>
          </w:p>
        </w:tc>
      </w:tr>
    </w:tbl>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Cost of revenue increased by $43 million, or 3.5%, for the three months ended June 30, 2025 compared to the three months ended June 30, 2024. The change was driven primarily by a 12.4% higher shipment volume, offset by approximately 16.7% lower depreciation and amortization expense.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Gross margin remained flat for the three months ended June 30, 2025 and 2024.</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Cost of revenue increased by $117 million, or 4.9%, for the six months ended June 30, 2025 compared to the six months ended June 30, 2024. The change was driven by a 14.7% higher shipment volume, partially offset by approximately 13.5% lower depreciation and amortization expense.</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Gross margin decreased to 23.3% for the six months ended June 30, 2025 from 24.8% for the six months ended June 30, 2024. The decrease of 150 basis points was primarily driven by lower customer underutilization payments as well as changes in product mix.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4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1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Six Months Ended June 30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20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6"/>
                <w:szCs w:val="16"/>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6"/>
                <w:szCs w:val="16"/>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120"/>
        </w:trPr>
        <w:tc>
          <w:tcPr>
            <w:tcW w:w="20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development expenses</w:t>
            </w:r>
          </w:p>
        </w:tc>
        <w:tc>
          <w:tcPr>
            <w:tcW w:w="24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4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7.9 %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7.4 %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i w:val="1"/>
                <w:iCs w:val="1"/>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i w:val="1"/>
                <w:iCs w:val="1"/>
                <w:color w:val="auto"/>
              </w:rPr>
              <w:t>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R&amp;D expenses increased by $13 million, or 10.7%, for the three months ended June 30, 2025 compared to the three months ended June 30, 2024. The increase was primarily due to $9 million higher R&amp;D product portfolio investments, and $4 million higher employee-related expenses.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R&amp;D expense increased by $16 million, or 6.5%, for the six months ended June 30, 2025 compared to the six months ended June 30, 2024. The change was primarily a result of $12 million higher portfolio investments, and $4 million higher employee-related expenses.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gridSpan w:val="6"/>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60" w:type="dxa"/>
            <w:vAlign w:val="bottom"/>
            <w:gridSpan w:val="7"/>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gridSpan w:val="5"/>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2"/>
        </w:trPr>
        <w:tc>
          <w:tcPr>
            <w:tcW w:w="200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Selling, general and</w:t>
            </w: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4"/>
                <w:szCs w:val="14"/>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4"/>
                <w:szCs w:val="14"/>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4"/>
                <w:szCs w:val="14"/>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20"/>
        </w:trPr>
        <w:tc>
          <w:tcPr>
            <w:tcW w:w="20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administrative expenses</w:t>
            </w:r>
          </w:p>
        </w:tc>
        <w:tc>
          <w:tcPr>
            <w:tcW w:w="22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0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0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4.6 %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7.0 %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4.7 %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7.4 %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SG&amp;A expenses decreased by $36 million, or 31.6%, for the three months ended June 30, 2025 compared to the three months ended June 30, 2024. The decrease was primarily due to a $25 million increase in gains from tool sales, a $7 million decrease in withholding tax expense related to an intercompany loan and a $7 million decrease in digital transformation expenses, partially offset by a decrease of $4 million advanced manufacturing investment tax credits.</w:t>
      </w:r>
    </w:p>
    <w:p>
      <w:pPr>
        <w:spacing w:after="0" w:line="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SG&amp;A expenses decreased by $81 million or 34.3%, for the six months ended June 30, 2025 compared to the six months ended June 30, 2024. The decrease was primarily due to a $51 million increase in gains from tool sales, a $17 million decrease in withholding tax expense related to an intercompany loan, and a decrease of $10 million in digital transformation expenses.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20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Finance income</w:t>
            </w: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5"/>
                <w:szCs w:val="15"/>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0" w:type="dxa"/>
            <w:vAlign w:val="bottom"/>
          </w:tcPr>
          <w:p>
            <w:pPr>
              <w:spacing w:after="0"/>
              <w:rPr>
                <w:sz w:val="1"/>
                <w:szCs w:val="1"/>
                <w:color w:val="auto"/>
              </w:rPr>
            </w:pPr>
          </w:p>
        </w:tc>
      </w:tr>
      <w:tr>
        <w:trPr>
          <w:trHeight w:val="134"/>
        </w:trPr>
        <w:tc>
          <w:tcPr>
            <w:tcW w:w="20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32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increased by $1 million or 6.3%, for the three months ended June 30, 2025 compared to the three months ended June 30, 2024. The increase was primarily due to $14 million of reduced interest expense due to lower debt balances partially offset by $13 million of lower interest income generated from money market funds and investments in marketable securities.</w:t>
      </w:r>
    </w:p>
    <w:p>
      <w:pPr>
        <w:spacing w:after="0" w:line="7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Finance income (expense), net increased by $5 million or 19.2%, for the six months ended June 30, 2025 compared to the six months ended June 30, 2024. The increase was primarily due to $27 million of reduced interest expense due to lower debt balances compared to the first half of 2024 partially offset by $22 million lower interest income generated from money market funds and investments in marketable securities.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208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78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7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100" w:type="dxa"/>
            <w:vAlign w:val="bottom"/>
          </w:tcPr>
          <w:p>
            <w:pPr>
              <w:spacing w:after="0"/>
              <w:rPr>
                <w:sz w:val="16"/>
                <w:szCs w:val="16"/>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733.3 %</w:t>
            </w:r>
          </w:p>
        </w:tc>
        <w:tc>
          <w:tcPr>
            <w:tcW w:w="0" w:type="dxa"/>
            <w:vAlign w:val="bottom"/>
          </w:tcPr>
          <w:p>
            <w:pPr>
              <w:spacing w:after="0"/>
              <w:rPr>
                <w:sz w:val="1"/>
                <w:szCs w:val="1"/>
                <w:color w:val="auto"/>
              </w:rPr>
            </w:pPr>
          </w:p>
        </w:tc>
      </w:tr>
      <w:tr>
        <w:trPr>
          <w:trHeight w:val="120"/>
        </w:trPr>
        <w:tc>
          <w:tcPr>
            <w:tcW w:w="20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780" w:type="dxa"/>
            <w:vAlign w:val="bottom"/>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80" w:type="dxa"/>
            <w:vAlign w:val="bottom"/>
            <w:vMerge w:val="continue"/>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(expense), net increased by $12 million or 300%, for the three months ended June 30, 2025 compared to the three months ended June 30, 2024. The increase was primarily due to a nonrecurring gain of $24 million recognized in connection with the liquidation of one of the Company's manufacturing plants, offset by contingency loss of $9 million.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Other income (expense), net increased by $44 million or 733.3%, for the six months ended June 30, 2025 compared to the six months ended June 30, 2024. The increase was primarily due to a $31 million step-acquisition of the remaining equity interest of a joint venture and a nonrecurring gain of $24 million recognized in connection with the liquidation of one of the Company's manufacturing plants. This was partially offset by a $9 million contingency loss recognized during the quarter.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Six Months Ended June 30</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58"/>
        </w:trPr>
        <w:tc>
          <w:tcPr>
            <w:tcW w:w="208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Income tax (expense)</w:t>
            </w:r>
          </w:p>
        </w:tc>
        <w:tc>
          <w:tcPr>
            <w:tcW w:w="780" w:type="dxa"/>
            <w:vAlign w:val="bottom"/>
            <w:tcBorders>
              <w:top w:val="single" w:sz="8" w:color="auto"/>
            </w:tcBorders>
            <w:vMerge w:val="restart"/>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3"/>
                <w:szCs w:val="13"/>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158.3 %</w:t>
            </w:r>
          </w:p>
        </w:tc>
        <w:tc>
          <w:tcPr>
            <w:tcW w:w="100" w:type="dxa"/>
            <w:vAlign w:val="bottom"/>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169.7 %</w:t>
            </w:r>
          </w:p>
        </w:tc>
        <w:tc>
          <w:tcPr>
            <w:tcW w:w="0" w:type="dxa"/>
            <w:vAlign w:val="bottom"/>
          </w:tcPr>
          <w:p>
            <w:pPr>
              <w:spacing w:after="0"/>
              <w:rPr>
                <w:sz w:val="1"/>
                <w:szCs w:val="1"/>
                <w:color w:val="auto"/>
              </w:rPr>
            </w:pPr>
          </w:p>
        </w:tc>
      </w:tr>
      <w:tr>
        <w:trPr>
          <w:trHeight w:val="134"/>
        </w:trPr>
        <w:tc>
          <w:tcPr>
            <w:tcW w:w="20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benefit</w:t>
            </w:r>
          </w:p>
        </w:tc>
        <w:tc>
          <w:tcPr>
            <w:tcW w:w="78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80" w:type="dxa"/>
            <w:vAlign w:val="bottom"/>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Income tax expense decreased by $19 million for the three months ended June 30, 2025 compared to the three months ended June 30, 2024, primarily due to $38 million tax benefit related to exchange rate changes on the base of certain non-monetary assets in Germany, partially offset by a $18 million of tax expense related primarily to an anticipated qualified domestic top-up tax liability in Singapore.</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Income tax expense decreased by $56 million for the six months ended June 30, 2025 compared to the six months ended June 30, 2024, primarily due to $78 million of tax benefit related to exchange rate changes on the base of certain non-monetary assets in Germany and an $8 million of tax benefit from recognition of German deferred tax assets net of contingencies, partially offset by a $28 million of tax expense related primarily to an anticipated qualified domestic top-up tax liability in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historically financed operations primarily through cash and cash equivalents and marketable securities, as well as cash generated from our business operations, including prepayments under long term agreements ("LTAs"), debt, government grants and advanced manufacturing investment tax credits. As of June 30, 2025, our cash, cash equivalents and marketable securities balances of approximately $3.9 billion included $1.8 billion of cash and cash equivalents and approximately $2.1 billion of marketable securities.</w:t>
      </w:r>
    </w:p>
    <w:p>
      <w:pPr>
        <w:spacing w:after="0" w:line="6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June 30, 2025 and December 31, 2024, we had an undrawn revolving credit facility of $1.0 billion. In addition to our available revolver, we had $1.2 billion and $1.8 billion of debt outstanding as of June 30, 2025 and December 31, 2024, respectively, which was primarily comprised of multiple term loans in various currencies. Our future capital requirements will depend on many factors, including our revenue growth rate, the timing and amount of payments we receive from customers pursuant to our LTAs and other business arrangements, the timing and extent of spending to support development efforts, the timing and amount of reimbursements we receive under government grants, the introduction of new and enhanced products and solutions, the continuing market adoption of our platform, strategic transactions and our obligations to repay our indebtedness from time to time. We may from time to time seek to raise additional capital to support our growth. As of June 30, 2025, we believe that our existing cash, cash equivalents, marketable securities, credit under our revolving credit facility and expected cash generated from operations are sufficient to meet our capital requirements for at least the next 12 months and beyond.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03"/>
        </w:trPr>
        <w:tc>
          <w:tcPr>
            <w:tcW w:w="768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5"/>
        </w:trPr>
        <w:tc>
          <w:tcPr>
            <w:tcW w:w="7680" w:type="dxa"/>
            <w:vAlign w:val="bottom"/>
          </w:tcPr>
          <w:p>
            <w:pPr>
              <w:spacing w:after="0"/>
              <w:rPr>
                <w:sz w:val="23"/>
                <w:szCs w:val="23"/>
                <w:color w:val="auto"/>
              </w:rPr>
            </w:pPr>
          </w:p>
        </w:tc>
        <w:tc>
          <w:tcPr>
            <w:tcW w:w="30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June 30</w:t>
            </w:r>
          </w:p>
        </w:tc>
        <w:tc>
          <w:tcPr>
            <w:tcW w:w="540" w:type="dxa"/>
            <w:vAlign w:val="bottom"/>
          </w:tcPr>
          <w:p>
            <w:pPr>
              <w:spacing w:after="0"/>
              <w:rPr>
                <w:sz w:val="23"/>
                <w:szCs w:val="23"/>
                <w:color w:val="auto"/>
              </w:rPr>
            </w:pPr>
          </w:p>
        </w:tc>
      </w:tr>
      <w:tr>
        <w:trPr>
          <w:trHeight w:val="21"/>
        </w:trPr>
        <w:tc>
          <w:tcPr>
            <w:tcW w:w="7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9"/>
        </w:trPr>
        <w:tc>
          <w:tcPr>
            <w:tcW w:w="7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21"/>
        </w:trPr>
        <w:tc>
          <w:tcPr>
            <w:tcW w:w="7680" w:type="dxa"/>
            <w:vAlign w:val="bottom"/>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7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200" w:type="dxa"/>
            <w:vAlign w:val="bottom"/>
            <w:tcBorders>
              <w:top w:val="single" w:sz="8" w:color="auto"/>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(402)</w:t>
            </w:r>
          </w:p>
        </w:tc>
        <w:tc>
          <w:tcPr>
            <w:tcW w:w="100" w:type="dxa"/>
            <w:vAlign w:val="bottom"/>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r>
      <w:tr>
        <w:trPr>
          <w:trHeight w:val="20"/>
        </w:trPr>
        <w:tc>
          <w:tcPr>
            <w:tcW w:w="76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Cash provided by operating activities of $762 million decreased $128 million for the six months ended June 30, 2025, compared to $890 million for the six months ended June 30, 2024. The decrease was primarily driven by $113 million of lower deferred income taxes, primarily due to the recognition of German net deferred tax assets and foreign currency impacts, $107 million lower depreciation expenses as a result of prior year impairment charges, $66 million higher gains on the disposal of property, plant and equipment driven by tool sales, and $31 million gain from the step-acquisition of the remaining equity interest of a joint venture of the Company. This was partially offset by a $150 million increase in net income and a $25 million favorable change in other operating activities driven by non-cash foreign currency related losses. In addition, unfavorable changes in working capital of $15 million were primarily due to $320 million unfavorable changes in accounts receivable, prepayments and other current assets, driven by timing differences, partially offset by a $210 million decrease in cash used for inventory due to build up on inventory during the six months ended June 30, 2024 and the timing of LTAs and a $95 million decrease in current and non current trade and other payables primarily due to income tax payables and timing differences.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used in investing activities for the six months ended June 30, 2025 of $418 million decreased $352 million compared to the cash used in investing activities of $770 million for the six months ended June 30, 2024. The decrease was primarily driven by $262 million lower purchases of marketable securities, higher proceeds from sales and maturities of marketable securities of $102 million, and higher tool sales of $66 million. Offsetting these amounts were a $68 million increase in purchases of equity securities and $19 million in acquisition costs related to a joint venture of the Company.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2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Cash used in financing activities for the six months ended June 30, 2025 of $752 million increased $431 million compared to the cash used of $321 million for the six months ended June 30, 2024. The change was primarily attributable to a $639 million increase in repayments of debt and lease obligations primarily due to a $664 million prepayment of our Term Loan A, offset by a $200 million reduction in share repurchases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sectPr>
      <w:pgSz w:w="11900" w:h="16838" w:orient="portrait"/>
      <w:cols w:equalWidth="0" w:num="1">
        <w:col w:w="11240"/>
      </w:cols>
      <w:pgMar w:left="320" w:top="2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2025-08-05T08:46:24Z</dcterms:created>
  <dcterms:modified xsi:type="dcterms:W3CDTF">2025-08-05T08:46:24Z</dcterms:modified>
</cp:coreProperties>
</file>