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33" w:before="0" w:after="0"/>
        <w:jc w:val="center"/>
        <w:rPr/>
      </w:pPr>
      <w:r>
        <w:rPr>
          <w:rFonts w:ascii="Times New Roman;serif" w:hAnsi="Times New Roman;serif"/>
          <w:b/>
          <w:color w:val="000000"/>
          <w:sz w:val="22"/>
          <w:shd w:fill="FFFFFF" w:val="clear"/>
        </w:rPr>
        <w:t>UNITED STATES</w:t>
        <w:br/>
        <w:t>SECURITIES AND EXCHANGE COMMISSION</w:t>
        <w:br/>
      </w:r>
      <w:r>
        <w:rPr>
          <w:rFonts w:ascii="Times New Roman;serif" w:hAnsi="Times New Roman;serif"/>
          <w:b w:val="false"/>
          <w:color w:val="000000"/>
          <w:sz w:val="20"/>
          <w:shd w:fill="FFFFFF" w:val="clear"/>
        </w:rPr>
        <w:t>Washington, D.C. 20549</w:t>
      </w:r>
      <w:r>
        <w:rPr>
          <w:color w:val="000000"/>
        </w:rPr>
        <w:t xml:space="preserve"> </w:t>
      </w:r>
    </w:p>
    <w:p>
      <w:pPr>
        <w:pStyle w:val="TextBody"/>
        <w:bidi w:val="0"/>
        <w:spacing w:lineRule="auto" w:line="333" w:before="4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6-K</w:t>
      </w:r>
    </w:p>
    <w:p>
      <w:pPr>
        <w:pStyle w:val="TextBody"/>
        <w:bidi w:val="0"/>
        <w:spacing w:lineRule="auto" w:line="333" w:before="240" w:after="240"/>
        <w:ind w:left="0" w:right="0" w:hanging="90"/>
        <w:jc w:val="center"/>
        <w:rPr/>
      </w:pPr>
      <w:r>
        <w:rPr>
          <w:rFonts w:ascii="Georgia;serif" w:hAnsi="Georgia;serif"/>
          <w:b/>
          <w:color w:val="000000"/>
          <w:sz w:val="24"/>
          <w:shd w:fill="FFFFFF" w:val="clear"/>
        </w:rPr>
        <w:t xml:space="preserve">REPORT OF FOREIGN PRIVATE ISSUER PURSUANT TO RULE 13a-16 OR </w:t>
      </w:r>
      <w:r>
        <w:rPr>
          <w:rFonts w:ascii="Times New Roman;serif" w:hAnsi="Times New Roman;serif"/>
          <w:b/>
          <w:color w:val="000000"/>
          <w:sz w:val="24"/>
          <w:shd w:fill="FFFFFF" w:val="clear"/>
        </w:rPr>
        <w:t>15d-16 UNDER THE SECURITIES EXCHANGE ACT OF 1934</w:t>
      </w:r>
    </w:p>
    <w:p>
      <w:pPr>
        <w:pStyle w:val="TextBody"/>
        <w:bidi w:val="0"/>
        <w:spacing w:lineRule="auto" w:line="333" w:before="200" w:after="200"/>
        <w:jc w:val="center"/>
        <w:rPr/>
      </w:pPr>
      <w:r>
        <w:rPr>
          <w:rFonts w:ascii="Times New Roman;serif" w:hAnsi="Times New Roman;serif"/>
          <w:b w:val="false"/>
          <w:color w:val="000000"/>
          <w:sz w:val="20"/>
          <w:shd w:fill="FFFFFF" w:val="clear"/>
        </w:rPr>
        <w:t xml:space="preserve">For the month of </w:t>
      </w:r>
      <w:r>
        <w:rPr>
          <w:rFonts w:ascii="Times New Roman;serif" w:hAnsi="Times New Roman;serif"/>
          <w:b w:val="false"/>
          <w:color w:val="000000"/>
          <w:sz w:val="20"/>
        </w:rPr>
        <w:t>August 2026</w:t>
      </w:r>
    </w:p>
    <w:p>
      <w:pPr>
        <w:pStyle w:val="TextBody"/>
        <w:bidi w:val="0"/>
        <w:spacing w:lineRule="auto" w:line="333" w:before="20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 001-40974</w:t>
      </w:r>
    </w:p>
    <w:p>
      <w:pPr>
        <w:pStyle w:val="TextBody"/>
        <w:bidi w:val="0"/>
        <w:spacing w:lineRule="auto" w:line="333" w:before="320" w:after="3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GLOBALFOUNDRIES Inc.</w:t>
      </w:r>
    </w:p>
    <w:p>
      <w:pPr>
        <w:pStyle w:val="TextBody"/>
        <w:bidi w:val="0"/>
        <w:spacing w:lineRule="auto" w:line="333"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400 Stonebreak Road Extension</w:t>
      </w:r>
    </w:p>
    <w:p>
      <w:pPr>
        <w:pStyle w:val="TextBody"/>
        <w:bidi w:val="0"/>
        <w:spacing w:lineRule="auto" w:line="333"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Malta, NY 12020</w:t>
      </w:r>
    </w:p>
    <w:p>
      <w:pPr>
        <w:pStyle w:val="TextBody"/>
        <w:bidi w:val="0"/>
        <w:spacing w:lineRule="auto" w:line="333" w:before="200" w:after="200"/>
        <w:ind w:left="0" w:right="0" w:hanging="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files or will file annual reports under cover of Form 20-F or Form 40-F.</w:t>
      </w:r>
    </w:p>
    <w:p>
      <w:pPr>
        <w:pStyle w:val="TextBody"/>
        <w:bidi w:val="0"/>
        <w:spacing w:lineRule="auto" w:line="333" w:before="200" w:after="200"/>
        <w:jc w:val="left"/>
        <w:rPr/>
      </w:pPr>
      <w:r>
        <w:rPr>
          <w:color w:val="000000"/>
          <w:shd w:fill="FFFFFF" w:val="clear"/>
        </w:rPr>
        <w:t>    </w:t>
      </w:r>
      <w:r>
        <w:rPr>
          <w:rFonts w:ascii="Times New Roman;serif" w:hAnsi="Times New Roman;serif"/>
          <w:b w:val="false"/>
          <w:color w:val="000000"/>
          <w:sz w:val="20"/>
          <w:shd w:fill="FFFFFF" w:val="clear"/>
        </w:rPr>
        <w:t xml:space="preserve">Form 20-F </w:t>
      </w:r>
      <w:r>
        <w:rPr>
          <w:color w:val="000000"/>
          <w:shd w:fill="FFFFFF" w:val="clear"/>
        </w:rPr>
        <w:t>☒  </w:t>
      </w:r>
      <w:r>
        <w:rPr>
          <w:rFonts w:ascii="Times New Roman;serif" w:hAnsi="Times New Roman;serif"/>
          <w:b w:val="false"/>
          <w:color w:val="000000"/>
          <w:sz w:val="20"/>
          <w:shd w:fill="FFFFFF" w:val="clear"/>
        </w:rPr>
        <w:t xml:space="preserve">Form 40-F </w:t>
      </w:r>
      <w:r>
        <w:rPr>
          <w:color w:val="000000"/>
          <w:shd w:fill="FFFFFF" w:val="clear"/>
        </w:rPr>
        <w:t>☐    </w:t>
      </w:r>
    </w:p>
    <w:p>
      <w:pPr>
        <w:pStyle w:val="TextBody"/>
        <w:bidi w:val="0"/>
        <w:spacing w:before="0" w:after="0"/>
        <w:jc w:val="left"/>
        <w:rPr/>
      </w:pPr>
      <w:r>
        <w:rPr/>
      </w:r>
    </w:p>
    <w:p>
      <w:pPr>
        <w:pStyle w:val="TextBody"/>
        <w:bidi w:val="0"/>
        <w:spacing w:lineRule="auto" w:line="333" w:before="220" w:after="283"/>
        <w:ind w:left="0" w:right="0" w:hanging="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Attached hereto is the following exhibit.</w:t>
      </w:r>
    </w:p>
    <w:p>
      <w:pPr>
        <w:pStyle w:val="TextBody"/>
        <w:bidi w:val="0"/>
        <w:spacing w:before="0" w:after="0"/>
        <w:jc w:val="left"/>
        <w:rPr/>
      </w:pPr>
      <w:r>
        <w:rPr/>
      </w:r>
    </w:p>
    <w:tbl>
      <w:tblPr>
        <w:tblW w:w="5578" w:type="dxa"/>
        <w:jc w:val="left"/>
        <w:tblInd w:w="0" w:type="dxa"/>
        <w:tblLayout w:type="fixed"/>
        <w:tblCellMar>
          <w:top w:w="28" w:type="dxa"/>
          <w:left w:w="28" w:type="dxa"/>
          <w:bottom w:w="28" w:type="dxa"/>
          <w:right w:w="28" w:type="dxa"/>
        </w:tblCellMar>
      </w:tblPr>
      <w:tblGrid>
        <w:gridCol w:w="412"/>
        <w:gridCol w:w="362"/>
        <w:gridCol w:w="365"/>
        <w:gridCol w:w="1299"/>
        <w:gridCol w:w="1299"/>
        <w:gridCol w:w="1841"/>
      </w:tblGrid>
      <w:tr>
        <w:trPr/>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globalfoundries2q2026earni.htm">
              <w:r>
                <w:rPr>
                  <w:rStyle w:val="InternetLink"/>
                  <w:rFonts w:ascii="Times New Roman;serif" w:hAnsi="Times New Roman;serif"/>
                  <w:b w:val="false"/>
                  <w:color w:val="0A2299"/>
                  <w:sz w:val="20"/>
                  <w:u w:val="single"/>
                </w:rPr>
                <w:t>Exhibit 99.1</w:t>
              </w:r>
            </w:hyperlink>
          </w:p>
        </w:tc>
        <w:tc>
          <w:tcPr>
            <w:tcW w:w="4439"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globalfoundries2q2026earni.htm">
              <w:r>
                <w:rPr>
                  <w:rStyle w:val="InternetLink"/>
                  <w:rFonts w:ascii="Times New Roman;serif" w:hAnsi="Times New Roman;serif"/>
                  <w:b w:val="false"/>
                  <w:color w:val="0A2299"/>
                  <w:sz w:val="20"/>
                  <w:u w:val="single"/>
                </w:rPr>
                <w:t>Press release issued by Registrant on August 5, 2026.</w:t>
              </w:r>
            </w:hyperlink>
          </w:p>
        </w:tc>
      </w:tr>
    </w:tbl>
    <w:p>
      <w:pPr>
        <w:pStyle w:val="TextBody"/>
        <w:bidi w:val="0"/>
        <w:spacing w:before="160" w:after="283"/>
        <w:ind w:left="0" w:right="0" w:hanging="18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33"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393" w:type="dxa"/>
        <w:jc w:val="left"/>
        <w:tblInd w:w="0" w:type="dxa"/>
        <w:tblLayout w:type="fixed"/>
        <w:tblCellMar>
          <w:top w:w="28" w:type="dxa"/>
          <w:left w:w="28" w:type="dxa"/>
          <w:bottom w:w="28" w:type="dxa"/>
          <w:right w:w="28" w:type="dxa"/>
        </w:tblCellMar>
      </w:tblPr>
      <w:tblGrid>
        <w:gridCol w:w="667"/>
        <w:gridCol w:w="587"/>
        <w:gridCol w:w="590"/>
        <w:gridCol w:w="404"/>
        <w:gridCol w:w="404"/>
        <w:gridCol w:w="404"/>
        <w:gridCol w:w="654"/>
        <w:gridCol w:w="654"/>
        <w:gridCol w:w="657"/>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6"/>
            <w:tcBorders/>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color w:val="000000"/>
                <w:sz w:val="20"/>
              </w:rPr>
            </w:pPr>
            <w:r>
              <w:rPr>
                <w:rFonts w:ascii="Times New Roman;serif" w:hAnsi="Times New Roman;serif"/>
                <w:b/>
                <w:color w:val="000000"/>
                <w:sz w:val="20"/>
              </w:rPr>
              <w:t>GLOBALFOUNDRIES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212"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348" w:before="33"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33" w:after="20"/>
              <w:jc w:val="left"/>
              <w:rPr>
                <w:rFonts w:ascii="Times New Roman;serif" w:hAnsi="Times New Roman;serif"/>
                <w:b w:val="false"/>
                <w:color w:val="000000"/>
                <w:sz w:val="20"/>
              </w:rPr>
            </w:pPr>
            <w:r>
              <w:rPr>
                <w:rFonts w:ascii="Times New Roman;serif" w:hAnsi="Times New Roman;serif"/>
                <w:b w:val="false"/>
                <w:color w:val="000000"/>
                <w:sz w:val="20"/>
              </w:rPr>
              <w:t>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GlobalFoundries Reports Second Quarter 2026 Financial Results </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369" w:before="0" w:after="0"/>
        <w:jc w:val="both"/>
        <w:rPr/>
      </w:pPr>
      <w:r>
        <w:rPr>
          <w:rFonts w:ascii="Arial;sans-serif" w:hAnsi="Arial;sans-serif"/>
          <w:b/>
          <w:color w:val="000000"/>
          <w:sz w:val="18"/>
        </w:rPr>
        <w:t>Malta, New York</w:t>
      </w:r>
      <w:r>
        <w:rPr>
          <w:rFonts w:ascii="Arial;sans-serif" w:hAnsi="Arial;sans-serif"/>
          <w:b w:val="false"/>
          <w:color w:val="000000"/>
          <w:sz w:val="18"/>
        </w:rPr>
        <w:t>, August 5, 2026 - GLOBALFOUNDRIES Inc. (GF) (Nasdaq: GFS) today announced preliminary financial results for the second quarter ended June 30, 2026.</w:t>
      </w:r>
    </w:p>
    <w:p>
      <w:pPr>
        <w:pStyle w:val="TextBody"/>
        <w:bidi w:val="0"/>
        <w:spacing w:before="0" w:after="0"/>
        <w:jc w:val="both"/>
        <w:rPr/>
      </w:pPr>
      <w:r>
        <w:rPr/>
      </w:r>
    </w:p>
    <w:p>
      <w:pPr>
        <w:pStyle w:val="TextBody"/>
        <w:bidi w:val="0"/>
        <w:spacing w:lineRule="auto" w:line="369" w:before="0" w:after="0"/>
        <w:jc w:val="both"/>
        <w:rPr>
          <w:rFonts w:ascii="Arial;sans-serif" w:hAnsi="Arial;sans-serif"/>
          <w:b/>
          <w:color w:val="000000"/>
          <w:sz w:val="18"/>
        </w:rPr>
      </w:pPr>
      <w:r>
        <w:rPr>
          <w:rFonts w:ascii="Arial;sans-serif" w:hAnsi="Arial;sans-serif"/>
          <w:b/>
          <w:color w:val="000000"/>
          <w:sz w:val="18"/>
        </w:rPr>
        <w:t>Key Second Quarter Financial Highlights</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Revenue of $1.786 billion</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Gross margin of 28.3% and Non-IFRS gross margin</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29.9%</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Operating margin of 9.7% and Non-IFRS operating margin</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16.7%</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Net income of $167 million and Non-IFRS net income</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$256 million</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Diluted earnings per share of $0.30 and Non-IFRS diluted earnings per share</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$0.46</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Non-IFRS adjusted EBITDA</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$587 million</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Ending cash, cash equivalents and marketable securities of $3.3 billion</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Net cash provided by operating activities of $405 million and Non-IFRS adjusted free cash flow</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of $(3) million</w:t>
      </w:r>
    </w:p>
    <w:p>
      <w:pPr>
        <w:pStyle w:val="TextBody"/>
        <w:bidi w:val="0"/>
        <w:spacing w:before="0" w:after="0"/>
        <w:jc w:val="both"/>
        <w:rPr/>
      </w:pPr>
      <w:r>
        <w:rPr/>
      </w:r>
    </w:p>
    <w:p>
      <w:pPr>
        <w:pStyle w:val="TextBody"/>
        <w:bidi w:val="0"/>
        <w:spacing w:lineRule="auto" w:line="369" w:before="0" w:after="0"/>
        <w:jc w:val="both"/>
        <w:rPr>
          <w:rFonts w:ascii="Arial;sans-serif" w:hAnsi="Arial;sans-serif"/>
          <w:b w:val="false"/>
          <w:color w:val="000000"/>
          <w:sz w:val="18"/>
        </w:rPr>
      </w:pPr>
      <w:r>
        <w:rPr>
          <w:rFonts w:ascii="Arial;sans-serif" w:hAnsi="Arial;sans-serif"/>
          <w:b w:val="false"/>
          <w:color w:val="000000"/>
          <w:sz w:val="18"/>
        </w:rPr>
        <w:t>"GF delivered strong results in the second quarter, with revenue and Non-IFRS gross margin exceeding the high end of our guidance ranges,” said Tim Breen, CEO of GlobalFoundries. "We continue to see strong momentum, accelerating customer demand, and revenue growth across our strategic growth drivers, including Optical Networking within the AI data center, where our differentiated silicon photonics and silicon germanium technologies are driving meaningful value for our customers."</w:t>
      </w:r>
    </w:p>
    <w:p>
      <w:pPr>
        <w:pStyle w:val="TextBody"/>
        <w:bidi w:val="0"/>
        <w:spacing w:before="0" w:after="0"/>
        <w:jc w:val="both"/>
        <w:rPr/>
      </w:pPr>
      <w:r>
        <w:rPr/>
      </w:r>
    </w:p>
    <w:p>
      <w:pPr>
        <w:pStyle w:val="TextBody"/>
        <w:bidi w:val="0"/>
        <w:spacing w:lineRule="auto" w:line="369" w:before="0" w:after="0"/>
        <w:jc w:val="both"/>
        <w:rPr>
          <w:rFonts w:ascii="Arial;sans-serif" w:hAnsi="Arial;sans-serif"/>
          <w:b/>
          <w:color w:val="000000"/>
          <w:sz w:val="18"/>
        </w:rPr>
      </w:pPr>
      <w:r>
        <w:rPr>
          <w:rFonts w:ascii="Arial;sans-serif" w:hAnsi="Arial;sans-serif"/>
          <w:b/>
          <w:color w:val="000000"/>
          <w:sz w:val="18"/>
        </w:rPr>
        <w:t xml:space="preserve">Recent Business Highlights </w:t>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In July 2026, GF signed a letter of intent with the U.S. Department of Commerce for a $300 million award to accelerate U.S. silicon photonics leadership. Under the LOI, the Department’s CHIPS Research and Development Office is expected to award GF $300 million to advance next-generation optical materials, wafer technologies and advanced packaging, reinforcing U.S. leadership in a technology essential to AI infrastructure.</w:t>
      </w:r>
    </w:p>
    <w:p>
      <w:pPr>
        <w:pStyle w:val="TextBody"/>
        <w:bidi w:val="0"/>
        <w:spacing w:before="0" w:after="0"/>
        <w:jc w:val="both"/>
        <w:rPr/>
      </w:pPr>
      <w:r>
        <w:rPr/>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In July 2026, GF completed the acquisition of Photeon Technologies' integrated voltage regulator (IVR) business, adding differentiated IVR technology, specialized engineering talent, and expanded R&amp;D capabilities. The acquisition complements GF's existing BCD, GaN and integrated inductor technologies and expands the company's capabilities in power delivery solutions for AI data center applications.</w:t>
      </w:r>
    </w:p>
    <w:p>
      <w:pPr>
        <w:pStyle w:val="TextBody"/>
        <w:bidi w:val="0"/>
        <w:spacing w:before="0" w:after="0"/>
        <w:jc w:val="both"/>
        <w:rPr/>
      </w:pPr>
      <w:r>
        <w:rPr/>
      </w:r>
    </w:p>
    <w:p>
      <w:pPr>
        <w:pStyle w:val="TextBody"/>
        <w:bidi w:val="0"/>
        <w:spacing w:lineRule="auto" w:line="369" w:before="0" w:after="0"/>
        <w:ind w:left="0" w:right="0" w:hanging="360"/>
        <w:jc w:val="both"/>
        <w:rPr/>
      </w:pPr>
      <w:r>
        <w:rPr>
          <w:color w:val="000000"/>
        </w:rPr>
        <w:t>•</w:t>
      </w:r>
      <w:r>
        <w:rPr>
          <w:rFonts w:ascii="Arial;sans-serif" w:hAnsi="Arial;sans-serif"/>
          <w:b w:val="false"/>
          <w:color w:val="000000"/>
          <w:sz w:val="18"/>
        </w:rPr>
        <w:t>In June 2026, GF completed its previously-announced acquisition of Synopsys’ ARC Processor IP Solutions business, which together with MIPS brings together RISC-V processor IP, software tools, custom design and advanced manufacturing into a single offering. This acquisition further enables GF as a leader in RISC-V IP solutions and establishes the Company as a holistic technology partner, offering customers a software-to-silicon capability for Physical AI and beyond.</w:t>
      </w:r>
    </w:p>
    <w:p>
      <w:pPr>
        <w:pStyle w:val="TextBody"/>
        <w:bidi w:val="0"/>
        <w:spacing w:before="0" w:after="0"/>
        <w:jc w:val="both"/>
        <w:rPr/>
      </w:pPr>
      <w:r>
        <w:rPr/>
      </w:r>
    </w:p>
    <w:p>
      <w:pPr>
        <w:pStyle w:val="TextBody"/>
        <w:bidi w:val="0"/>
        <w:spacing w:lineRule="auto" w:line="369"/>
        <w:ind w:left="0" w:right="0" w:hanging="360"/>
        <w:jc w:val="both"/>
        <w:rPr/>
      </w:pPr>
      <w:r>
        <w:rPr>
          <w:color w:val="000000"/>
        </w:rPr>
        <w:t>•</w:t>
      </w:r>
      <w:r>
        <w:rPr>
          <w:rFonts w:ascii="Arial;sans-serif" w:hAnsi="Arial;sans-serif"/>
          <w:b w:val="false"/>
          <w:color w:val="000000"/>
          <w:sz w:val="18"/>
        </w:rPr>
        <w:t xml:space="preserve">In May 2026, GF launched Quantum Technology Solutions (QTS), building upon over a decade of sustained investment in cryogenic CMOS, advanced packaging and materials science. Accelerated by an expected $375 million grant by the U.S. Department of Commerce, pursuant to a letter of intent, and supported by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 of 12</w:t>
                      </w:r>
                    </w:p>
                  </w:txbxContent>
                </v:textbox>
                <w10:wrap type="none"/>
              </v:rect>
            </w:pict>
          </mc:Fallback>
        </mc:AlternateContent>
      </w:r>
    </w:p>
    <w:p>
      <w:pPr>
        <w:pStyle w:val="TextBody"/>
        <w:bidi w:val="0"/>
        <w:spacing w:lineRule="auto" w:line="369" w:before="0" w:after="0"/>
        <w:jc w:val="both"/>
        <w:rPr>
          <w:rFonts w:ascii="Arial;sans-serif" w:hAnsi="Arial;sans-serif"/>
          <w:b w:val="false"/>
          <w:color w:val="000000"/>
          <w:sz w:val="18"/>
        </w:rPr>
      </w:pPr>
      <w:r>
        <w:rPr>
          <w:rFonts w:ascii="Arial;sans-serif" w:hAnsi="Arial;sans-serif"/>
          <w:b w:val="false"/>
          <w:color w:val="000000"/>
          <w:sz w:val="18"/>
        </w:rPr>
        <w:t>several of the leading quantum companies in the world, GF plans to manufacture at scale the complete hardware solutions that will power real-world quantum computing of the future.</w:t>
      </w:r>
    </w:p>
    <w:p>
      <w:pPr>
        <w:pStyle w:val="TextBody"/>
        <w:bidi w:val="0"/>
        <w:spacing w:before="0" w:after="0"/>
        <w:jc w:val="both"/>
        <w:rPr/>
      </w:pPr>
      <w:r>
        <w:rPr/>
      </w:r>
    </w:p>
    <w:p>
      <w:pPr>
        <w:pStyle w:val="TextBody"/>
        <w:bidi w:val="0"/>
        <w:spacing w:lineRule="auto" w:line="369" w:before="0" w:after="0"/>
        <w:jc w:val="both"/>
        <w:rPr>
          <w:rFonts w:ascii="Arial;sans-serif" w:hAnsi="Arial;sans-serif"/>
          <w:b/>
          <w:color w:val="000000"/>
          <w:sz w:val="18"/>
        </w:rPr>
      </w:pPr>
      <w:r>
        <w:rPr>
          <w:rFonts w:ascii="Arial;sans-serif" w:hAnsi="Arial;sans-serif"/>
          <w:b/>
          <w:color w:val="000000"/>
          <w:sz w:val="18"/>
        </w:rPr>
        <w:t>Dividend Payment</w:t>
      </w:r>
    </w:p>
    <w:p>
      <w:pPr>
        <w:pStyle w:val="TextBody"/>
        <w:bidi w:val="0"/>
        <w:spacing w:lineRule="auto" w:line="369" w:before="0" w:after="0"/>
        <w:jc w:val="both"/>
        <w:rPr>
          <w:rFonts w:ascii="Arial;sans-serif" w:hAnsi="Arial;sans-serif"/>
          <w:b w:val="false"/>
          <w:color w:val="000000"/>
          <w:sz w:val="18"/>
        </w:rPr>
      </w:pPr>
      <w:r>
        <w:rPr>
          <w:rFonts w:ascii="Arial;sans-serif" w:hAnsi="Arial;sans-serif"/>
          <w:b w:val="false"/>
          <w:color w:val="000000"/>
          <w:sz w:val="18"/>
        </w:rPr>
        <w:t>On July 14 2026, GF paid its first-ever quarterly cash dividend of $0.12 per share. In addition, the Board of Directors has approved a dividend of $0.12 per share payable on October 9, 2026 to shareholders of record as of September 23, 2026.</w:t>
      </w:r>
    </w:p>
    <w:p>
      <w:pPr>
        <w:pStyle w:val="TextBody"/>
        <w:bidi w:val="0"/>
        <w:spacing w:before="0" w:after="0"/>
        <w:jc w:val="both"/>
        <w:rPr/>
      </w:pPr>
      <w:r>
        <w:rPr/>
      </w:r>
    </w:p>
    <w:p>
      <w:pPr>
        <w:pStyle w:val="TextBody"/>
        <w:bidi w:val="0"/>
        <w:spacing w:lineRule="auto" w:line="288" w:before="0" w:after="120"/>
        <w:ind w:left="0" w:right="0" w:hanging="180"/>
        <w:jc w:val="both"/>
        <w:rPr/>
      </w:pPr>
      <w:r>
        <w:rPr>
          <w:rFonts w:ascii="Arial;sans-serif" w:hAnsi="Arial;sans-serif"/>
          <w:b w:val="false"/>
          <w:color w:val="000000"/>
          <w:sz w:val="9"/>
        </w:rPr>
        <w:t>(1)    </w:t>
      </w:r>
      <w:r>
        <w:rPr>
          <w:rFonts w:ascii="Arial;sans-serif" w:hAnsi="Arial;sans-serif"/>
          <w:b w:val="false"/>
          <w:color w:val="000000"/>
          <w:sz w:val="14"/>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pStyle w:val="TextBody"/>
        <w:bidi w:val="0"/>
        <w:spacing w:before="0" w:after="12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2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2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Summary Quarterly Results</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(Unaudited, in millions, except per share amounts and wafer shipments)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2"/>
        <w:gridCol w:w="485"/>
        <w:gridCol w:w="486"/>
        <w:gridCol w:w="109"/>
        <w:gridCol w:w="109"/>
        <w:gridCol w:w="109"/>
        <w:gridCol w:w="196"/>
        <w:gridCol w:w="571"/>
        <w:gridCol w:w="256"/>
        <w:gridCol w:w="109"/>
        <w:gridCol w:w="109"/>
        <w:gridCol w:w="109"/>
        <w:gridCol w:w="196"/>
        <w:gridCol w:w="571"/>
        <w:gridCol w:w="256"/>
        <w:gridCol w:w="109"/>
        <w:gridCol w:w="109"/>
        <w:gridCol w:w="109"/>
        <w:gridCol w:w="196"/>
        <w:gridCol w:w="571"/>
        <w:gridCol w:w="256"/>
        <w:gridCol w:w="109"/>
        <w:gridCol w:w="109"/>
        <w:gridCol w:w="109"/>
        <w:gridCol w:w="196"/>
        <w:gridCol w:w="494"/>
        <w:gridCol w:w="109"/>
        <w:gridCol w:w="109"/>
        <w:gridCol w:w="109"/>
        <w:gridCol w:w="109"/>
        <w:gridCol w:w="212"/>
        <w:gridCol w:w="212"/>
        <w:gridCol w:w="316"/>
        <w:gridCol w:w="109"/>
        <w:gridCol w:w="109"/>
        <w:gridCol w:w="109"/>
        <w:gridCol w:w="196"/>
        <w:gridCol w:w="486"/>
        <w:gridCol w:w="109"/>
        <w:gridCol w:w="109"/>
        <w:gridCol w:w="109"/>
        <w:gridCol w:w="109"/>
        <w:gridCol w:w="215"/>
        <w:gridCol w:w="215"/>
        <w:gridCol w:w="364"/>
      </w:tblGrid>
      <w:tr>
        <w:trPr/>
        <w:tc>
          <w:tcPr>
            <w:tcW w:w="7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Year-over-Year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Sequential</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Q1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Q2 2026 vs Q2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Q2 2026 vs Q1 2026</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1,786</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1,634</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1,688</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Gross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Gross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27.6 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+410bps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+70bps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gross profit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gross margin</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29.9 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29.0 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25.2 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+470bps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+90bps</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(130)bps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operating profit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operating margin</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+10bps</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Net income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(410)bps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+300bps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net income</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net income margin</w:t>
            </w:r>
            <w:r>
              <w:rPr>
                <w:color w:val="000000"/>
              </w:rPr>
              <w:t xml:space="preserve"> </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+40bps</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Diluted earnings per share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0.30</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0.18</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0.41</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0.12</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diluted EPS</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0.40</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0.42</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0.04</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adjusted EBITDA</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561</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w:t>
            </w:r>
            <w:r>
              <w:rPr>
                <w:color w:val="000000"/>
              </w:rPr>
              <w:t>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w:t>
            </w: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adjusted EBITDA margin</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34.7 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(140)bps</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(137)</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Wafer shipments (300mm equivalent)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625</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581</w:t>
            </w:r>
            <w:r>
              <w:rPr>
                <w:color w:val="000000"/>
              </w:rPr>
              <w:t>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1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both"/>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See “Reconciliation of IFRS to Non-IFRS" for a detailed reconciliation of Non-IFRS financial measures to the most directly comparable IFRS measure. See "Financial Measures (Non-IFRS)" for further discussion on these Non-IFRS measures and why we believe they are useful.</w:t>
      </w:r>
    </w:p>
    <w:p>
      <w:pPr>
        <w:pStyle w:val="TextBody"/>
        <w:bidi w:val="0"/>
        <w:spacing w:before="240" w:after="283"/>
        <w:jc w:val="both"/>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3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3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pPr>
      <w:r>
        <w:rPr>
          <w:rFonts w:ascii="Arial;sans-serif" w:hAnsi="Arial;sans-serif"/>
          <w:b/>
          <w:color w:val="000000"/>
          <w:sz w:val="18"/>
        </w:rPr>
        <w:t>Summary of Third Quarter 2026 Guidance</w:t>
      </w:r>
      <w:r>
        <w:rPr>
          <w:rFonts w:ascii="Arial;sans-serif" w:hAnsi="Arial;sans-serif"/>
          <w:b/>
          <w:color w:val="000000"/>
          <w:sz w:val="12"/>
        </w:rPr>
        <w:t>(1)</w:t>
      </w:r>
    </w:p>
    <w:p>
      <w:pPr>
        <w:pStyle w:val="TextBody"/>
        <w:bidi w:val="0"/>
        <w:spacing w:lineRule="auto" w:line="240" w:before="0" w:after="0"/>
        <w:jc w:val="center"/>
        <w:rPr/>
      </w:pPr>
      <w:r>
        <w:rPr>
          <w:rFonts w:ascii="Arial;sans-serif" w:hAnsi="Arial;sans-serif"/>
          <w:b/>
          <w:color w:val="000000"/>
          <w:sz w:val="18"/>
        </w:rPr>
        <w:t>(</w:t>
      </w:r>
      <w:r>
        <w:rPr>
          <w:rFonts w:ascii="Arial;sans-serif" w:hAnsi="Arial;sans-serif"/>
          <w:b/>
          <w:color w:val="000000"/>
          <w:sz w:val="16"/>
        </w:rPr>
        <w:t>Unaudited, in millions, except per share amounts)</w:t>
      </w:r>
    </w:p>
    <w:p>
      <w:pPr>
        <w:pStyle w:val="TextBody"/>
        <w:bidi w:val="0"/>
        <w:spacing w:before="0" w:after="0"/>
        <w:jc w:val="center"/>
        <w:rPr/>
      </w:pPr>
      <w:r>
        <w:rPr/>
      </w:r>
    </w:p>
    <w:tbl>
      <w:tblPr>
        <w:tblW w:w="8106" w:type="dxa"/>
        <w:jc w:val="center"/>
        <w:tblInd w:w="0" w:type="dxa"/>
        <w:tblLayout w:type="fixed"/>
        <w:tblCellMar>
          <w:top w:w="28" w:type="dxa"/>
          <w:left w:w="28" w:type="dxa"/>
          <w:bottom w:w="28" w:type="dxa"/>
          <w:right w:w="28" w:type="dxa"/>
        </w:tblCellMar>
      </w:tblPr>
      <w:tblGrid>
        <w:gridCol w:w="784"/>
        <w:gridCol w:w="687"/>
        <w:gridCol w:w="688"/>
        <w:gridCol w:w="427"/>
        <w:gridCol w:w="427"/>
        <w:gridCol w:w="435"/>
        <w:gridCol w:w="109"/>
        <w:gridCol w:w="109"/>
        <w:gridCol w:w="109"/>
        <w:gridCol w:w="889"/>
        <w:gridCol w:w="889"/>
        <w:gridCol w:w="891"/>
        <w:gridCol w:w="109"/>
        <w:gridCol w:w="109"/>
        <w:gridCol w:w="109"/>
        <w:gridCol w:w="390"/>
        <w:gridCol w:w="390"/>
        <w:gridCol w:w="555"/>
      </w:tblGrid>
      <w:tr>
        <w:trPr/>
        <w:tc>
          <w:tcPr>
            <w:tcW w:w="7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IFRS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Share-Based Compensation</w:t>
            </w:r>
            <w:r>
              <w:rPr>
                <w:rFonts w:ascii="Arial;sans-serif" w:hAnsi="Arial;sans-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Non-IFRS</w:t>
            </w:r>
            <w:r>
              <w:rPr>
                <w:rFonts w:ascii="Arial;sans-serif" w:hAnsi="Arial;sans-serif"/>
                <w:b/>
                <w:color w:val="000000"/>
                <w:sz w:val="12"/>
              </w:rPr>
              <w:t>(2)</w:t>
            </w:r>
          </w:p>
        </w:tc>
      </w:tr>
      <w:tr>
        <w:trPr/>
        <w:tc>
          <w:tcPr>
            <w:tcW w:w="215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128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$1,885 ± $25</w:t>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Gross margin</w:t>
            </w:r>
            <w:r>
              <w:rPr>
                <w:rFonts w:ascii="Arial;sans-serif" w:hAnsi="Arial;sans-serif"/>
                <w:b w:val="false"/>
                <w:i/>
                <w:color w:val="000000"/>
                <w:sz w:val="10"/>
              </w:rPr>
              <w:t>(2)</w:t>
            </w:r>
            <w:r>
              <w:rPr>
                <w:color w:val="000000"/>
              </w:rPr>
              <w:t xml:space="preserve">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29.5% ± 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30.5% ± 100bps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Operating expenses</w:t>
            </w:r>
            <w:r>
              <w:rPr>
                <w:rFonts w:ascii="Arial;sans-serif" w:hAnsi="Arial;sans-serif"/>
                <w:b/>
                <w:color w:val="000000"/>
                <w:sz w:val="10"/>
              </w:rPr>
              <w:t xml:space="preserve">(2)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$318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$260 ± $10</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Operating margin</w:t>
            </w:r>
            <w:r>
              <w:rPr>
                <w:rFonts w:ascii="Arial;sans-serif" w:hAnsi="Arial;sans-serif"/>
                <w:b w:val="false"/>
                <w:i/>
                <w:color w:val="000000"/>
                <w:sz w:val="10"/>
              </w:rPr>
              <w:t xml:space="preserve">(2) </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12.7% ± 170bps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~400bps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16.7% ± 170bps</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Diluted EPS</w:t>
            </w:r>
            <w:r>
              <w:rPr>
                <w:rFonts w:ascii="Arial;sans-serif" w:hAnsi="Arial;sans-serif"/>
                <w:b/>
                <w:color w:val="000000"/>
                <w:sz w:val="10"/>
              </w:rPr>
              <w:t>(2)(4)</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$0.37 ± $0.05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$0.51 ± $0.05</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Fully Diluted Share Count</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~556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ind w:left="0" w:right="0" w:hanging="180"/>
        <w:jc w:val="both"/>
        <w:rPr/>
      </w:pPr>
      <w:r>
        <w:rPr>
          <w:rFonts w:ascii="Arial;sans-serif" w:hAnsi="Arial;sans-serif"/>
          <w:b w:val="false"/>
          <w:color w:val="000000"/>
          <w:sz w:val="9"/>
        </w:rPr>
        <w:t xml:space="preserve">(1) </w:t>
      </w:r>
      <w:r>
        <w:rPr>
          <w:rFonts w:ascii="Arial;sans-serif" w:hAnsi="Arial;sans-serif"/>
          <w:b w:val="false"/>
          <w:color w:val="000000"/>
          <w:sz w:val="14"/>
        </w:rPr>
        <w:t xml:space="preserve">The Guidance provided contains forward-looking statements as defined in the U.S. Private Securities Litigation Act of 1995, and is subject to the safe harbors created therein. The Guidance includes management's beliefs and assumptions and is based on information that is available as of the date of this release. </w:t>
      </w:r>
    </w:p>
    <w:p>
      <w:pPr>
        <w:pStyle w:val="TextBody"/>
        <w:bidi w:val="0"/>
        <w:spacing w:lineRule="auto" w:line="288" w:before="120" w:after="120"/>
        <w:ind w:left="0" w:right="0" w:hanging="180"/>
        <w:jc w:val="both"/>
        <w:rPr/>
      </w:pPr>
      <w:r>
        <w:rPr>
          <w:rFonts w:ascii="Arial;sans-serif" w:hAnsi="Arial;sans-serif"/>
          <w:b w:val="false"/>
          <w:color w:val="000000"/>
          <w:sz w:val="9"/>
        </w:rPr>
        <w:t xml:space="preserve">(2) </w:t>
      </w:r>
      <w:r>
        <w:rPr>
          <w:rFonts w:ascii="Arial;sans-serif" w:hAnsi="Arial;sans-serif"/>
          <w:b w:val="false"/>
          <w:color w:val="000000"/>
          <w:sz w:val="14"/>
        </w:rPr>
        <w:t>Non-IFRS gross margin, Non-IFRS operating expenses, Non-IFRS operating margin and Non-IFRS diluted EPS are Non-IFRS measures and, for purposes of the Guidance only, are defined as gross profit as a percent of revenue, operating expenses, operating profit as a percent of revenue, and diluted EPS, all before share-based compensation, respectively. See "Financial Measures (Non-IFRS)" for further discussion on these Non-IFRS measures and why we believe they are useful.</w:t>
      </w:r>
    </w:p>
    <w:p>
      <w:pPr>
        <w:pStyle w:val="TextBody"/>
        <w:bidi w:val="0"/>
        <w:spacing w:lineRule="auto" w:line="288" w:before="120" w:after="120"/>
        <w:ind w:left="0" w:right="0" w:hanging="180"/>
        <w:jc w:val="both"/>
        <w:rPr/>
      </w:pPr>
      <w:r>
        <w:rPr>
          <w:rFonts w:ascii="Arial;sans-serif" w:hAnsi="Arial;sans-serif"/>
          <w:b w:val="false"/>
          <w:color w:val="000000"/>
          <w:sz w:val="9"/>
        </w:rPr>
        <w:t xml:space="preserve">(3) </w:t>
      </w:r>
      <w:r>
        <w:rPr>
          <w:rFonts w:ascii="Arial;sans-serif" w:hAnsi="Arial;sans-serif"/>
          <w:b w:val="false"/>
          <w:color w:val="000000"/>
          <w:sz w:val="14"/>
        </w:rPr>
        <w:t>We expect share-based compensation of $18 million and $58 million in cost of revenue and operating expenses, respectively. The Non-IFRS margin impacts are calculated by dividing share-based compensation by net revenue, and the Non-IFRS diluted EPS impact is calculated by dividing share-based compensation by the fully diluted share count.</w:t>
      </w:r>
    </w:p>
    <w:p>
      <w:pPr>
        <w:pStyle w:val="TextBody"/>
        <w:bidi w:val="0"/>
        <w:spacing w:lineRule="auto" w:line="240" w:before="0" w:after="0"/>
        <w:ind w:left="0" w:right="0" w:hanging="180"/>
        <w:jc w:val="both"/>
        <w:rPr/>
      </w:pPr>
      <w:r>
        <w:rPr>
          <w:rFonts w:ascii="Arial;sans-serif" w:hAnsi="Arial;sans-serif"/>
          <w:b w:val="false"/>
          <w:color w:val="000000"/>
          <w:sz w:val="9"/>
        </w:rPr>
        <w:t xml:space="preserve">(4) </w:t>
      </w:r>
      <w:r>
        <w:rPr>
          <w:rFonts w:ascii="Arial;sans-serif" w:hAnsi="Arial;sans-serif"/>
          <w:b w:val="false"/>
          <w:color w:val="000000"/>
          <w:sz w:val="14"/>
        </w:rPr>
        <w:t xml:space="preserve">Included in IFRS and Non-IFRS diluted EPS is net interest income (expense) and other income (expense) which we estimate will be between $3 million and $11 million for the third quarter 2026. Also included in IFRS and Non-IFRS diluted EPS is income tax expense which we estimate will be between $28 million and $52 million for the third quarter 2026.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4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4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Consolidated Statements of Operations</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(Unaudited, in millions, except per share amounts)</w:t>
      </w:r>
    </w:p>
    <w:p>
      <w:pPr>
        <w:pStyle w:val="TextBody"/>
        <w:bidi w:val="0"/>
        <w:spacing w:before="0" w:after="0"/>
        <w:jc w:val="center"/>
        <w:rPr/>
      </w:pPr>
      <w:r>
        <w:rPr/>
      </w:r>
    </w:p>
    <w:tbl>
      <w:tblPr>
        <w:tblW w:w="6099" w:type="dxa"/>
        <w:jc w:val="center"/>
        <w:tblInd w:w="0" w:type="dxa"/>
        <w:tblLayout w:type="fixed"/>
        <w:tblCellMar>
          <w:top w:w="28" w:type="dxa"/>
          <w:left w:w="28" w:type="dxa"/>
          <w:bottom w:w="28" w:type="dxa"/>
          <w:right w:w="28" w:type="dxa"/>
        </w:tblCellMar>
      </w:tblPr>
      <w:tblGrid>
        <w:gridCol w:w="951"/>
        <w:gridCol w:w="835"/>
        <w:gridCol w:w="838"/>
        <w:gridCol w:w="109"/>
        <w:gridCol w:w="109"/>
        <w:gridCol w:w="109"/>
        <w:gridCol w:w="262"/>
        <w:gridCol w:w="763"/>
        <w:gridCol w:w="145"/>
        <w:gridCol w:w="109"/>
        <w:gridCol w:w="109"/>
        <w:gridCol w:w="109"/>
        <w:gridCol w:w="262"/>
        <w:gridCol w:w="763"/>
        <w:gridCol w:w="145"/>
        <w:gridCol w:w="109"/>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1,786</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1,688</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Selling, 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212</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Operating profit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used in EPS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hanging="180"/>
        <w:jc w:val="left"/>
        <w:rPr/>
      </w:pPr>
      <w:r>
        <w:rPr/>
      </w:r>
    </w:p>
    <w:p>
      <w:pPr>
        <w:pStyle w:val="TextBody"/>
        <w:bidi w:val="0"/>
        <w:spacing w:before="120" w:after="12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5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5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Condensed Consolidated Statements of Financial Position</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(Unaudited, in millions)</w:t>
      </w:r>
    </w:p>
    <w:p>
      <w:pPr>
        <w:pStyle w:val="TextBody"/>
        <w:bidi w:val="0"/>
        <w:spacing w:before="0" w:after="0"/>
        <w:jc w:val="center"/>
        <w:rPr/>
      </w:pPr>
      <w:r>
        <w:rPr/>
      </w:r>
    </w:p>
    <w:tbl>
      <w:tblPr>
        <w:tblW w:w="6776" w:type="dxa"/>
        <w:jc w:val="center"/>
        <w:tblInd w:w="0" w:type="dxa"/>
        <w:tblLayout w:type="fixed"/>
        <w:tblCellMar>
          <w:top w:w="28" w:type="dxa"/>
          <w:left w:w="28" w:type="dxa"/>
          <w:bottom w:w="28" w:type="dxa"/>
          <w:right w:w="28" w:type="dxa"/>
        </w:tblCellMar>
      </w:tblPr>
      <w:tblGrid>
        <w:gridCol w:w="1166"/>
        <w:gridCol w:w="1022"/>
        <w:gridCol w:w="1036"/>
        <w:gridCol w:w="109"/>
        <w:gridCol w:w="109"/>
        <w:gridCol w:w="109"/>
        <w:gridCol w:w="237"/>
        <w:gridCol w:w="801"/>
        <w:gridCol w:w="132"/>
        <w:gridCol w:w="109"/>
        <w:gridCol w:w="109"/>
        <w:gridCol w:w="109"/>
        <w:gridCol w:w="319"/>
        <w:gridCol w:w="1078"/>
        <w:gridCol w:w="177"/>
        <w:gridCol w:w="154"/>
      </w:tblGrid>
      <w:tr>
        <w:trPr/>
        <w:tc>
          <w:tcPr>
            <w:tcW w:w="1166"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prepayments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5,468</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6,205</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11,420</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10,936</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16,888</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17,141</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2,209</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2,368</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2,805</w:t>
            </w: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2,790</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5,014</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5,158</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 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16,888</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17,141</w:t>
            </w:r>
            <w:r>
              <w:rPr>
                <w:color w:val="000000"/>
              </w:rPr>
              <w:t>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6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6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2"/>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Condensed Consolidated Statements of Cash Flows</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(Unaudited, in millions)</w:t>
      </w:r>
    </w:p>
    <w:p>
      <w:pPr>
        <w:pStyle w:val="TextBody"/>
        <w:bidi w:val="0"/>
        <w:spacing w:before="0" w:after="2"/>
        <w:jc w:val="center"/>
        <w:rPr/>
      </w:pPr>
      <w:r>
        <w:rPr/>
      </w:r>
    </w:p>
    <w:tbl>
      <w:tblPr>
        <w:tblW w:w="7822" w:type="dxa"/>
        <w:jc w:val="center"/>
        <w:tblInd w:w="0" w:type="dxa"/>
        <w:tblLayout w:type="fixed"/>
        <w:tblCellMar>
          <w:top w:w="28" w:type="dxa"/>
          <w:left w:w="28" w:type="dxa"/>
          <w:bottom w:w="28" w:type="dxa"/>
          <w:right w:w="28" w:type="dxa"/>
        </w:tblCellMar>
      </w:tblPr>
      <w:tblGrid>
        <w:gridCol w:w="1769"/>
        <w:gridCol w:w="1548"/>
        <w:gridCol w:w="1558"/>
        <w:gridCol w:w="109"/>
        <w:gridCol w:w="109"/>
        <w:gridCol w:w="109"/>
        <w:gridCol w:w="196"/>
        <w:gridCol w:w="631"/>
        <w:gridCol w:w="109"/>
        <w:gridCol w:w="109"/>
        <w:gridCol w:w="109"/>
        <w:gridCol w:w="109"/>
        <w:gridCol w:w="196"/>
        <w:gridCol w:w="571"/>
        <w:gridCol w:w="109"/>
        <w:gridCol w:w="109"/>
        <w:gridCol w:w="109"/>
        <w:gridCol w:w="109"/>
        <w:gridCol w:w="154"/>
      </w:tblGrid>
      <w:tr>
        <w:trPr/>
        <w:tc>
          <w:tcPr>
            <w:tcW w:w="176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Finance (income) expense, net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change in working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Purchases of property, plant and equipment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sales (purchases)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issuance of equity instruments, net of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(repayment) of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cash used in financing activities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the end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7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7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Reconciliation of IFRS to Non-IFRS</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(Unaudited, in millions, except per share amounts)</w:t>
      </w:r>
    </w:p>
    <w:tbl>
      <w:tblPr>
        <w:tblW w:w="11975" w:type="dxa"/>
        <w:jc w:val="left"/>
        <w:tblInd w:w="0" w:type="dxa"/>
        <w:tblLayout w:type="fixed"/>
        <w:tblCellMar>
          <w:top w:w="28" w:type="dxa"/>
          <w:left w:w="28" w:type="dxa"/>
          <w:bottom w:w="28" w:type="dxa"/>
          <w:right w:w="28" w:type="dxa"/>
        </w:tblCellMar>
      </w:tblPr>
      <w:tblGrid>
        <w:gridCol w:w="418"/>
        <w:gridCol w:w="367"/>
        <w:gridCol w:w="311"/>
        <w:gridCol w:w="109"/>
        <w:gridCol w:w="109"/>
        <w:gridCol w:w="109"/>
        <w:gridCol w:w="109"/>
        <w:gridCol w:w="109"/>
        <w:gridCol w:w="196"/>
        <w:gridCol w:w="436"/>
        <w:gridCol w:w="256"/>
        <w:gridCol w:w="109"/>
        <w:gridCol w:w="109"/>
        <w:gridCol w:w="109"/>
        <w:gridCol w:w="345"/>
        <w:gridCol w:w="768"/>
        <w:gridCol w:w="193"/>
        <w:gridCol w:w="109"/>
        <w:gridCol w:w="109"/>
        <w:gridCol w:w="109"/>
        <w:gridCol w:w="317"/>
        <w:gridCol w:w="706"/>
        <w:gridCol w:w="178"/>
        <w:gridCol w:w="109"/>
        <w:gridCol w:w="109"/>
        <w:gridCol w:w="109"/>
        <w:gridCol w:w="196"/>
        <w:gridCol w:w="436"/>
        <w:gridCol w:w="256"/>
        <w:gridCol w:w="109"/>
        <w:gridCol w:w="109"/>
        <w:gridCol w:w="109"/>
        <w:gridCol w:w="235"/>
        <w:gridCol w:w="415"/>
        <w:gridCol w:w="131"/>
        <w:gridCol w:w="109"/>
        <w:gridCol w:w="109"/>
        <w:gridCol w:w="109"/>
        <w:gridCol w:w="248"/>
        <w:gridCol w:w="439"/>
        <w:gridCol w:w="139"/>
        <w:gridCol w:w="109"/>
        <w:gridCol w:w="109"/>
        <w:gridCol w:w="109"/>
        <w:gridCol w:w="196"/>
        <w:gridCol w:w="436"/>
        <w:gridCol w:w="256"/>
        <w:gridCol w:w="109"/>
        <w:gridCol w:w="109"/>
        <w:gridCol w:w="109"/>
        <w:gridCol w:w="109"/>
        <w:gridCol w:w="109"/>
        <w:gridCol w:w="196"/>
        <w:gridCol w:w="481"/>
        <w:gridCol w:w="109"/>
        <w:gridCol w:w="109"/>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5" w:type="dxa"/>
            <w:gridSpan w:val="4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2026</w:t>
            </w:r>
          </w:p>
        </w:tc>
        <w:tc>
          <w:tcPr>
            <w:tcW w:w="1376"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Gross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Selling, general &amp; administrative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Research &amp; development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Operating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Other income (expense)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tax (expense) benefit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Structural optimization</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acquired intangibles and other acquisition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Revaluation and gain on sale of equity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Tax matters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rPr>
              <w:t>Non-IFRS measures</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w:t>
            </w:r>
            <w:r>
              <w:rPr>
                <w:color w:val="000000"/>
              </w:rPr>
              <w:t>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Non-IFRS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29.9 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11975" w:type="dxa"/>
        <w:jc w:val="left"/>
        <w:tblInd w:w="0" w:type="dxa"/>
        <w:tblLayout w:type="fixed"/>
        <w:tblCellMar>
          <w:top w:w="28" w:type="dxa"/>
          <w:left w:w="28" w:type="dxa"/>
          <w:bottom w:w="28" w:type="dxa"/>
          <w:right w:w="28" w:type="dxa"/>
        </w:tblCellMar>
      </w:tblPr>
      <w:tblGrid>
        <w:gridCol w:w="418"/>
        <w:gridCol w:w="367"/>
        <w:gridCol w:w="311"/>
        <w:gridCol w:w="109"/>
        <w:gridCol w:w="109"/>
        <w:gridCol w:w="109"/>
        <w:gridCol w:w="109"/>
        <w:gridCol w:w="109"/>
        <w:gridCol w:w="196"/>
        <w:gridCol w:w="436"/>
        <w:gridCol w:w="256"/>
        <w:gridCol w:w="109"/>
        <w:gridCol w:w="109"/>
        <w:gridCol w:w="109"/>
        <w:gridCol w:w="345"/>
        <w:gridCol w:w="768"/>
        <w:gridCol w:w="193"/>
        <w:gridCol w:w="109"/>
        <w:gridCol w:w="109"/>
        <w:gridCol w:w="109"/>
        <w:gridCol w:w="317"/>
        <w:gridCol w:w="706"/>
        <w:gridCol w:w="178"/>
        <w:gridCol w:w="109"/>
        <w:gridCol w:w="109"/>
        <w:gridCol w:w="109"/>
        <w:gridCol w:w="196"/>
        <w:gridCol w:w="436"/>
        <w:gridCol w:w="256"/>
        <w:gridCol w:w="109"/>
        <w:gridCol w:w="109"/>
        <w:gridCol w:w="109"/>
        <w:gridCol w:w="235"/>
        <w:gridCol w:w="415"/>
        <w:gridCol w:w="131"/>
        <w:gridCol w:w="109"/>
        <w:gridCol w:w="109"/>
        <w:gridCol w:w="109"/>
        <w:gridCol w:w="248"/>
        <w:gridCol w:w="439"/>
        <w:gridCol w:w="139"/>
        <w:gridCol w:w="109"/>
        <w:gridCol w:w="109"/>
        <w:gridCol w:w="109"/>
        <w:gridCol w:w="196"/>
        <w:gridCol w:w="436"/>
        <w:gridCol w:w="256"/>
        <w:gridCol w:w="109"/>
        <w:gridCol w:w="109"/>
        <w:gridCol w:w="109"/>
        <w:gridCol w:w="109"/>
        <w:gridCol w:w="109"/>
        <w:gridCol w:w="196"/>
        <w:gridCol w:w="481"/>
        <w:gridCol w:w="109"/>
        <w:gridCol w:w="109"/>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5" w:type="dxa"/>
            <w:gridSpan w:val="4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 2026</w:t>
            </w:r>
          </w:p>
        </w:tc>
        <w:tc>
          <w:tcPr>
            <w:tcW w:w="1376"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Gross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Selling, general &amp; administrative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Research &amp; development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Operating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Other income (expense)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tax (expense) benefit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180</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Structural optimization</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acquired intangibles and other acquisition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Tax matters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rPr>
              <w:t>Non-IFRS measures</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(49)</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Non-IFRS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29.0 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11975" w:type="dxa"/>
        <w:jc w:val="left"/>
        <w:tblInd w:w="0" w:type="dxa"/>
        <w:tblLayout w:type="fixed"/>
        <w:tblCellMar>
          <w:top w:w="28" w:type="dxa"/>
          <w:left w:w="28" w:type="dxa"/>
          <w:bottom w:w="28" w:type="dxa"/>
          <w:right w:w="28" w:type="dxa"/>
        </w:tblCellMar>
      </w:tblPr>
      <w:tblGrid>
        <w:gridCol w:w="418"/>
        <w:gridCol w:w="367"/>
        <w:gridCol w:w="311"/>
        <w:gridCol w:w="109"/>
        <w:gridCol w:w="109"/>
        <w:gridCol w:w="109"/>
        <w:gridCol w:w="109"/>
        <w:gridCol w:w="109"/>
        <w:gridCol w:w="196"/>
        <w:gridCol w:w="436"/>
        <w:gridCol w:w="256"/>
        <w:gridCol w:w="109"/>
        <w:gridCol w:w="109"/>
        <w:gridCol w:w="109"/>
        <w:gridCol w:w="393"/>
        <w:gridCol w:w="694"/>
        <w:gridCol w:w="219"/>
        <w:gridCol w:w="109"/>
        <w:gridCol w:w="109"/>
        <w:gridCol w:w="109"/>
        <w:gridCol w:w="317"/>
        <w:gridCol w:w="706"/>
        <w:gridCol w:w="178"/>
        <w:gridCol w:w="109"/>
        <w:gridCol w:w="109"/>
        <w:gridCol w:w="109"/>
        <w:gridCol w:w="196"/>
        <w:gridCol w:w="436"/>
        <w:gridCol w:w="256"/>
        <w:gridCol w:w="109"/>
        <w:gridCol w:w="109"/>
        <w:gridCol w:w="109"/>
        <w:gridCol w:w="272"/>
        <w:gridCol w:w="356"/>
        <w:gridCol w:w="153"/>
        <w:gridCol w:w="109"/>
        <w:gridCol w:w="109"/>
        <w:gridCol w:w="109"/>
        <w:gridCol w:w="248"/>
        <w:gridCol w:w="439"/>
        <w:gridCol w:w="139"/>
        <w:gridCol w:w="109"/>
        <w:gridCol w:w="109"/>
        <w:gridCol w:w="109"/>
        <w:gridCol w:w="196"/>
        <w:gridCol w:w="436"/>
        <w:gridCol w:w="256"/>
        <w:gridCol w:w="109"/>
        <w:gridCol w:w="109"/>
        <w:gridCol w:w="109"/>
        <w:gridCol w:w="109"/>
        <w:gridCol w:w="109"/>
        <w:gridCol w:w="196"/>
        <w:gridCol w:w="481"/>
        <w:gridCol w:w="109"/>
        <w:gridCol w:w="109"/>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5" w:type="dxa"/>
            <w:gridSpan w:val="4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 2025</w:t>
            </w:r>
          </w:p>
        </w:tc>
        <w:tc>
          <w:tcPr>
            <w:tcW w:w="1376"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Gross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Selling, general &amp; administrative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Research &amp; development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Operating profit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Other income (expense)</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Income tax (expense) benefit</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w:t>
            </w: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24.2 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Structural optimization</w:t>
            </w:r>
            <w:r>
              <w:rPr>
                <w:rFonts w:ascii="Arial;sans-serif" w:hAnsi="Arial;sans-serif"/>
                <w:b w:val="false"/>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acquired intangibles and other acquisition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Litigation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5"/>
              </w:rPr>
              <w:t>Tax matters</w:t>
            </w:r>
            <w:r>
              <w:rPr>
                <w:rFonts w:ascii="Arial;sans-serif" w:hAnsi="Arial;sans-serif"/>
                <w:b w:val="false"/>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rPr>
              <w:t>Non-IFRS measures</w:t>
            </w:r>
            <w:r>
              <w:rPr>
                <w:rFonts w:ascii="Arial;sans-serif" w:hAnsi="Arial;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w:t>
            </w:r>
            <w:r>
              <w:rPr>
                <w:color w:val="000000"/>
              </w:rPr>
              <w:t>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5"/>
              </w:rPr>
              <w:t>Non-IFRS margins</w:t>
            </w:r>
            <w:r>
              <w:rPr>
                <w:rFonts w:ascii="Arial;sans-serif" w:hAnsi="Arial;sans-serif"/>
                <w:b w:val="false"/>
                <w:i/>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Arial;sans-serif" w:hAnsi="Arial;sans-serif"/>
          <w:b w:val="false"/>
          <w:color w:val="000000"/>
          <w:sz w:val="9"/>
        </w:rPr>
        <w:t xml:space="preserve">(1     </w:t>
      </w:r>
      <w:r>
        <w:rPr>
          <w:rFonts w:ascii="Arial;sans-serif" w:hAnsi="Arial;sans-serif"/>
          <w:b w:val="false"/>
          <w:color w:val="000000"/>
          <w:sz w:val="14"/>
        </w:rPr>
        <w:t>See "Financial Measures (Non-IFRS)" for further discussion on these Non-IFRS measures and why we believe they are useful.</w:t>
      </w:r>
    </w:p>
    <w:p>
      <w:pPr>
        <w:pStyle w:val="TextBody"/>
        <w:bidi w:val="0"/>
        <w:spacing w:lineRule="auto" w:line="288" w:before="120" w:after="283"/>
        <w:ind w:left="0" w:right="0" w:hanging="180"/>
        <w:jc w:val="left"/>
        <w:rPr/>
      </w:pPr>
      <w:r>
        <w:rPr>
          <w:rFonts w:ascii="Arial;sans-serif" w:hAnsi="Arial;sans-serif"/>
          <w:b w:val="false"/>
          <w:color w:val="000000"/>
          <w:sz w:val="9"/>
        </w:rPr>
        <w:t>(2)    </w:t>
      </w:r>
      <w:r>
        <w:rPr>
          <w:rFonts w:ascii="Arial;sans-serif" w:hAnsi="Arial;sans-serif"/>
          <w:b w:val="false"/>
          <w:color w:val="000000"/>
          <w:sz w:val="14"/>
        </w:rPr>
        <w:t>Structural optimization represents costs associated with employee workforce reductions, manufacturing footprint alignment and liquidation charges.</w:t>
      </w:r>
    </w:p>
    <w:p>
      <w:pPr>
        <w:pStyle w:val="TextBody"/>
        <w:bidi w:val="0"/>
        <w:spacing w:lineRule="auto" w:line="288" w:before="120" w:after="283"/>
        <w:ind w:left="0" w:right="0" w:hanging="180"/>
        <w:jc w:val="both"/>
        <w:rPr/>
      </w:pPr>
      <w:r>
        <w:rPr>
          <w:rFonts w:ascii="Arial;sans-serif" w:hAnsi="Arial;sans-serif"/>
          <w:b w:val="false"/>
          <w:color w:val="000000"/>
          <w:sz w:val="9"/>
        </w:rPr>
        <w:t>(3)    </w:t>
      </w:r>
      <w:r>
        <w:rPr>
          <w:rFonts w:ascii="Arial;sans-serif" w:hAnsi="Arial;sans-serif"/>
          <w:b w:val="false"/>
          <w:color w:val="000000"/>
          <w:sz w:val="14"/>
        </w:rPr>
        <w:t>Includes $(10) million and $38 million tax impacts from foreign exchange revaluation of German deferred taxes for the three months ended June 30, 2026 and March 31, 2026, respectively, and $(38) million net deferred tax asset recognition and foreign exchange rate impact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8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8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Reconciliation of IFRS to Non-IFRS </w:t>
      </w:r>
    </w:p>
    <w:p>
      <w:pPr>
        <w:pStyle w:val="TextBody"/>
        <w:bidi w:val="0"/>
        <w:spacing w:lineRule="auto" w:line="240" w:before="0" w:after="0"/>
        <w:jc w:val="center"/>
        <w:rPr/>
      </w:pPr>
      <w:r>
        <w:rPr>
          <w:rFonts w:ascii="Arial;sans-serif" w:hAnsi="Arial;sans-serif"/>
          <w:b/>
          <w:color w:val="000000"/>
          <w:sz w:val="18"/>
        </w:rPr>
        <w:t>Non-IFRS Adjusted Free Cash Flow</w:t>
      </w:r>
      <w:r>
        <w:rPr>
          <w:rFonts w:ascii="Arial;sans-serif" w:hAnsi="Arial;sans-serif"/>
          <w:b/>
          <w:color w:val="000000"/>
          <w:sz w:val="12"/>
        </w:rPr>
        <w:t>(1)</w:t>
      </w:r>
    </w:p>
    <w:p>
      <w:pPr>
        <w:pStyle w:val="TextBody"/>
        <w:bidi w:val="0"/>
        <w:spacing w:lineRule="auto" w:line="240" w:before="0" w:after="0"/>
        <w:jc w:val="center"/>
        <w:rPr/>
      </w:pPr>
      <w:r>
        <w:rPr>
          <w:rFonts w:ascii="Arial;sans-serif" w:hAnsi="Arial;sans-serif"/>
          <w:b/>
          <w:color w:val="000000"/>
          <w:sz w:val="16"/>
        </w:rPr>
        <w:t>(Unaudited, in millions</w:t>
      </w:r>
      <w:r>
        <w:rPr>
          <w:rFonts w:ascii="Arial;sans-serif" w:hAnsi="Arial;sans-serif"/>
          <w:b/>
          <w:color w:val="000000"/>
          <w:sz w:val="18"/>
        </w:rPr>
        <w:t>)</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16"/>
        <w:gridCol w:w="1664"/>
        <w:gridCol w:w="1671"/>
        <w:gridCol w:w="109"/>
        <w:gridCol w:w="109"/>
        <w:gridCol w:w="109"/>
        <w:gridCol w:w="236"/>
        <w:gridCol w:w="591"/>
        <w:gridCol w:w="309"/>
        <w:gridCol w:w="109"/>
        <w:gridCol w:w="109"/>
        <w:gridCol w:w="109"/>
        <w:gridCol w:w="268"/>
        <w:gridCol w:w="597"/>
        <w:gridCol w:w="350"/>
        <w:gridCol w:w="109"/>
        <w:gridCol w:w="109"/>
        <w:gridCol w:w="109"/>
        <w:gridCol w:w="250"/>
        <w:gridCol w:w="557"/>
        <w:gridCol w:w="327"/>
        <w:gridCol w:w="109"/>
        <w:gridCol w:w="109"/>
        <w:gridCol w:w="109"/>
        <w:gridCol w:w="161"/>
      </w:tblGrid>
      <w:tr>
        <w:trPr/>
        <w:tc>
          <w:tcPr>
            <w:tcW w:w="1916"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405</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431</w:t>
            </w:r>
            <w:r>
              <w:rPr>
                <w:color w:val="000000"/>
              </w:rPr>
              <w:t>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Purchases of property, plant and equipment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 Proceeds from government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Non-IFRS total capital expenditures net of proceeds from government grants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adjusted free cash</w:t>
            </w:r>
            <w:r>
              <w:rPr>
                <w:color w:val="000000"/>
              </w:rPr>
              <w:t xml:space="preserve"> </w:t>
            </w:r>
            <w:r>
              <w:rPr>
                <w:rFonts w:ascii="Arial;sans-serif" w:hAnsi="Arial;sans-serif"/>
                <w:b/>
                <w:color w:val="000000"/>
                <w:sz w:val="16"/>
              </w:rPr>
              <w:t>flow</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277</w:t>
            </w: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adjusted free cash flow margin</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(0.2)</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14.3 </w:t>
            </w:r>
          </w:p>
        </w:tc>
        <w:tc>
          <w:tcPr>
            <w:tcW w:w="3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16.4 </w:t>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center"/>
        <w:rPr/>
      </w:pPr>
      <w:r>
        <w:rPr/>
      </w:r>
    </w:p>
    <w:p>
      <w:pPr>
        <w:pStyle w:val="TextBody"/>
        <w:bidi w:val="0"/>
        <w:spacing w:lineRule="auto" w:line="288" w:before="0" w:after="120"/>
        <w:ind w:left="0" w:right="0" w:hanging="180"/>
        <w:jc w:val="both"/>
        <w:rPr/>
      </w:pPr>
      <w:r>
        <w:rPr>
          <w:rFonts w:ascii="Arial;sans-serif" w:hAnsi="Arial;sans-serif"/>
          <w:b w:val="false"/>
          <w:color w:val="000000"/>
          <w:sz w:val="9"/>
        </w:rPr>
        <w:t>(1)    </w:t>
      </w:r>
      <w:r>
        <w:rPr>
          <w:rFonts w:ascii="Arial;sans-serif" w:hAnsi="Arial;sans-serif"/>
          <w:b w:val="false"/>
          <w:color w:val="000000"/>
          <w:sz w:val="14"/>
        </w:rPr>
        <w:t>See "Financial Measures (Non-IFRS)" for further discussion on this Non-IFRS measure and why we believe it is useful.</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Reconciliation of IFRS to Non-IFRS </w:t>
      </w:r>
    </w:p>
    <w:p>
      <w:pPr>
        <w:pStyle w:val="TextBody"/>
        <w:bidi w:val="0"/>
        <w:spacing w:lineRule="auto" w:line="240" w:before="0" w:after="0"/>
        <w:jc w:val="center"/>
        <w:rPr/>
      </w:pPr>
      <w:r>
        <w:rPr>
          <w:rFonts w:ascii="Arial;sans-serif" w:hAnsi="Arial;sans-serif"/>
          <w:b/>
          <w:color w:val="000000"/>
          <w:sz w:val="18"/>
        </w:rPr>
        <w:t>Non-IFRS Adjusted EBITDA</w:t>
      </w:r>
      <w:r>
        <w:rPr>
          <w:rFonts w:ascii="Arial;sans-serif" w:hAnsi="Arial;sans-serif"/>
          <w:b/>
          <w:color w:val="000000"/>
          <w:sz w:val="12"/>
        </w:rPr>
        <w:t>(1)</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(Unaudited, in millions)</w:t>
      </w:r>
    </w:p>
    <w:p>
      <w:pPr>
        <w:pStyle w:val="TextBody"/>
        <w:bidi w:val="0"/>
        <w:spacing w:before="0" w:after="0"/>
        <w:jc w:val="center"/>
        <w:rPr/>
      </w:pPr>
      <w:r>
        <w:rPr/>
      </w:r>
    </w:p>
    <w:tbl>
      <w:tblPr>
        <w:tblW w:w="8856" w:type="dxa"/>
        <w:jc w:val="center"/>
        <w:tblInd w:w="0" w:type="dxa"/>
        <w:tblLayout w:type="fixed"/>
        <w:tblCellMar>
          <w:top w:w="28" w:type="dxa"/>
          <w:left w:w="28" w:type="dxa"/>
          <w:bottom w:w="28" w:type="dxa"/>
          <w:right w:w="28" w:type="dxa"/>
        </w:tblCellMar>
      </w:tblPr>
      <w:tblGrid>
        <w:gridCol w:w="1375"/>
        <w:gridCol w:w="1208"/>
        <w:gridCol w:w="1212"/>
        <w:gridCol w:w="109"/>
        <w:gridCol w:w="109"/>
        <w:gridCol w:w="109"/>
        <w:gridCol w:w="224"/>
        <w:gridCol w:w="653"/>
        <w:gridCol w:w="293"/>
        <w:gridCol w:w="109"/>
        <w:gridCol w:w="109"/>
        <w:gridCol w:w="109"/>
        <w:gridCol w:w="241"/>
        <w:gridCol w:w="703"/>
        <w:gridCol w:w="315"/>
        <w:gridCol w:w="109"/>
        <w:gridCol w:w="109"/>
        <w:gridCol w:w="109"/>
        <w:gridCol w:w="224"/>
        <w:gridCol w:w="653"/>
        <w:gridCol w:w="293"/>
        <w:gridCol w:w="109"/>
        <w:gridCol w:w="109"/>
        <w:gridCol w:w="109"/>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1,786</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1,634</w:t>
            </w: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1,688</w:t>
            </w: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xml:space="preserve">Net income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9.4 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6.4 </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13.5 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Structural optimization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Revaluation and gain on sale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Litigation claims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acquisition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Non-IFRS adjusted EBITDA</w:t>
            </w:r>
            <w:r>
              <w:rPr>
                <w:rFonts w:ascii="Arial;sans-serif" w:hAnsi="Arial;sans-serif"/>
                <w:b/>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587</w:t>
            </w:r>
            <w:r>
              <w:rPr>
                <w:color w:val="000000"/>
              </w:rPr>
              <w: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561</w:t>
            </w:r>
            <w:r>
              <w:rPr>
                <w:color w:val="000000"/>
              </w:rPr>
              <w:t>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w:t>
            </w:r>
            <w:r>
              <w:rPr>
                <w:color w:val="000000"/>
              </w:rPr>
              <w:t>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6"/>
              </w:rPr>
              <w:t>Non-IFRS adjusted EBITDA margin</w:t>
            </w:r>
            <w:r>
              <w:rPr>
                <w:rFonts w:ascii="Arial;sans-serif" w:hAnsi="Arial;sans-serif"/>
                <w:b w:val="false"/>
                <w:i/>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32.9 </w:t>
            </w:r>
          </w:p>
        </w:tc>
        <w:tc>
          <w:tcPr>
            <w:tcW w:w="29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34.3 </w:t>
            </w:r>
          </w:p>
        </w:tc>
        <w:tc>
          <w:tcPr>
            <w:tcW w:w="315"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34.7 </w:t>
            </w:r>
          </w:p>
        </w:tc>
        <w:tc>
          <w:tcPr>
            <w:tcW w:w="29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rial;sans-serif" w:hAnsi="Arial;sans-serif"/>
          <w:b w:val="false"/>
          <w:color w:val="000000"/>
          <w:sz w:val="9"/>
        </w:rPr>
        <w:t>(1)    </w:t>
      </w:r>
      <w:r>
        <w:rPr>
          <w:rFonts w:ascii="Arial;sans-serif" w:hAnsi="Arial;sans-serif"/>
          <w:b w:val="false"/>
          <w:color w:val="000000"/>
          <w:sz w:val="14"/>
        </w:rPr>
        <w:t>See "Financial Measures (Non-IFRS)" for further discussion on this Non-IFRS measure and why we believe it is useful.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9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9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GLOBALFOUNDRIES Inc.</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Financial Measures (Non-IFRS)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 addition to the financial information presented in accordance with International Financial Reporting Standards ("IFRS"), this press release includes the following Non-IFRS financial measures: Non-IFRS gross profit, Non-IFRS operating profit, Non-IFRS operating expense, Non-IFRS net income, Non-IFRS selling, general and administrative, Non-IFRS research and development, Non-IFRS other income (expense), Non-IFRS income tax benefit (expense), Non-IFRS diluted earnings per share (“EPS”), Non-IFRS adjusted EBITDA, Non-IFRS adjusted free cash flow, Non-IFRS total capital expenditures net of proceeds from government grants, and any related margins. We define each of Non-IFRS gross profit, Non-IFRS selling, general and administrative, Non-IFRS research and development, Non-IFRS operating profit, Non-IFRS other income (expense), Non-IFRS income tax benefit (expense) and Non-IFRS net income as gross profit, selling, general and administrative, research and development, operating profit, other income (expense), income tax benefit (expense), and net income (loss), respectively, adjusted for share-based compensation, structural optimization, amortization of acquired intangibles and other acquisition related charges, impairment charges, revaluation of equity investments, restructuring charges, litigation claims, tax matters, and any associated income tax effects. We define Non-IFRS operating expense as Non-IFRS gross profit minus Non-IFRS operating profit. We define Non-IFRS diluted EPS as Non-IFRS net income divided by the diluted shares outstanding. We define Non-IFRS adjusted free cash flow as cash flow provided by (used in) operating activities less purchases of property, plant and equipment and intangible assets plus proceeds from government grants related to capital expenditures. We define Non-IFRS total capital expenditures net of proceeds from government grant as purchases of property, plant and equipment and intangible assets less proceeds of government grants. We define Non-IFRS adjusted EBITDA as net income adjusted for the impact of finance expense, finance income, income tax expense (benefit), depreciation and amortization, share-based compensation, restructuring charges, impairment charges, revaluation of equity investments, structural optimization, litigation claims and acquisition related charges. We define each of Non-IFRS gross margin, Non-IFRS operating margin, Non-IFRS net income margin, Non-IFRS adjusted free cash flow margin and Non-IFRS adjusted EBITDA margin as Non-IFRS gross profit, Non-IFRS operating profit, Non-IFRS net income, Non-IFRS adjusted free cash flow and Non-IFRS adjusted EBITDA, respectively, divided by net revenue. Any adjustments described above that are zero for a given period are excluded from the “Reconciliation of IFRS to Non-IFRS” table. See "Reconciliation of IFRS to Non-IFRS" section for a detailed reconciliation of Non-IFRS financial measures to the most directly comparable IFRS measure.</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that in addition to our results determined in accordance with IFRS, these Non-IFRS financial measures provide useful information to both management and investors in measuring our financial performance and highlight trends in our business that may not otherwise be apparent when relying solely on IFRS measures. These Non-IFRS financial measures provide supplemental information regarding our operating performance that excludes certain gains, losses and non-cash charges that occur relatively infrequently and/or that we consider to be unrelated to our core operations. Management believes that Non-IFRS adjusted free cash flow as a Non-IFRS measure is helpful to investors as it provides insights into the nature and amount of cash the Company generates in the period.</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Non-IFRS financial information is presented for supplemental informational purposes only and should not be considered in isolation or as a substitute for financial information presented in accordance with IFRS. Our presentation of Non-IFRS measures should not be construed as an inference that our future results will be unaffected by unusual or nonrecurring items. Other companies in our industry may calculate these measures differently, which may limit their usefulness as comparative measures.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Conference Call and Webcast Information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GF will host a conference call with the financial community on Wednesday, August 5, 2026 at 8:30 a.m. U.S. Eastern Time (ET) to review the second quarter 2026 results in detail. Interested parties may join the scheduled conference call by registering at https://edge.media-server.com/mmc/p/hgv6x3mg/</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The call will be webcast and can be accessed from the GF Investor Relations website https://investors.gf.com. A replay of the call will be available on the GF Investor Relations website within 24 hours of the actual call.</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GF uses its Investor Relations website at https://investors.gf.com as a means of disclosing material non-public information and for complying with its disclosure obligations under Regulation FD. Accordingly, investors should monitor this website, in addition to following GF's press releases, Securities and Exchange Commission (SEC) filings, public conference calls and webcasts.</w:t>
      </w:r>
    </w:p>
    <w:p>
      <w:pPr>
        <w:pStyle w:val="TextBody"/>
        <w:bidi w:val="0"/>
        <w:spacing w:before="0" w:after="0"/>
        <w:jc w:val="both"/>
        <w:rPr/>
      </w:pPr>
      <w:r>
        <w:rPr/>
      </w:r>
    </w:p>
    <w:p>
      <w:pPr>
        <w:pStyle w:val="TextBody"/>
        <w:bidi w:val="0"/>
        <w:jc w:val="both"/>
        <w:rPr/>
      </w:pPr>
      <w:r>
        <w:rPr/>
      </w:r>
    </w:p>
    <w:p>
      <w:pPr>
        <w:pStyle w:val="TextBody"/>
        <w:bidi w:val="0"/>
        <w:spacing w:before="0" w:after="2"/>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10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10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About GlobalFoundries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GlobalFoundries (GF) is a leading manufacturer of essential semiconductors, enabling AI at scale from the cloud to the physical world. Through deep partnerships with customers, GF delivers differentiated, power</w:t>
        <w:noBreakHyphen/>
        <w:t>efficient and high</w:t>
        <w:noBreakHyphen/>
        <w:t>performance solutions for automotive, aerospace and defense, data center, smart mobile devices, internet of things and other high</w:t>
        <w:noBreakHyphen/>
        <w:t>growth markets. With global manufacturing operations across the U.S., Europe and Asia, GF is a trusted and holistic technology partner for customers around the world. GF’s talented, global team remains focused every day on security, longevity and sustainability. For more information, visit www.gf.com. © 2026 GlobalFoundries Inc. GF®, GlobalFoundries®, the GF logos and other GF marks are trademarks of GlobalFoundries Inc. or its subsidiaries. All other trademarks are the property of their respective owners.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Arial;sans-serif" w:hAnsi="Arial;sans-serif"/>
          <w:b/>
          <w:color w:val="000000"/>
          <w:sz w:val="18"/>
          <w:u w:val="single"/>
        </w:rPr>
      </w:pPr>
      <w:r>
        <w:rPr>
          <w:rFonts w:ascii="Arial;sans-serif" w:hAnsi="Arial;sans-serif"/>
          <w:b/>
          <w:color w:val="000000"/>
          <w:sz w:val="18"/>
          <w:u w:val="single"/>
        </w:rPr>
        <w:t>Forward-looking Statements and Third Party Data</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This press release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the Middle East and Ukraine;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the market for our products may develop or recover more slowly than expected or than it has in the past; we may fail to achieve the full benefits of our strategic optimization efforts;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we may fail to achieve the anticipated results or benefits from funding received (including awards under the U.S. CHIPS and Science Act and New York State Green CHIPS) and our expected results and planned or further expansions and operations may not proceed as planned if funding we expect to receive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assumes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2025 Annual Report on Form 20-F, current reports on Form 6-K and other reports filed with the Securities and Exchange Commission (SEC). Copies of our SEC filings are available on our Investor Relations website, investors.gf.com, or from the SEC website, www.sec.gov.</w:t>
      </w:r>
    </w:p>
    <w:p>
      <w:pPr>
        <w:pStyle w:val="TextBody"/>
        <w:bidi w:val="0"/>
        <w:spacing w:before="0" w:after="0"/>
        <w:jc w:val="both"/>
        <w:rPr/>
      </w:pPr>
      <w:r>
        <w:rPr/>
      </w:r>
    </w:p>
    <w:p>
      <w:pPr>
        <w:pStyle w:val="TextBody"/>
        <w:bidi w:val="0"/>
        <w:jc w:val="both"/>
        <w:rPr/>
      </w:pPr>
      <w:r>
        <w:rPr/>
      </w:r>
    </w:p>
    <w:p>
      <w:pPr>
        <w:pStyle w:val="TextBody"/>
        <w:bidi w:val="0"/>
        <w:spacing w:before="0" w:after="2"/>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11 of 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11 of 12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18"/>
          <w:u w:val="single"/>
        </w:rPr>
      </w:pPr>
      <w:r>
        <w:rPr>
          <w:rFonts w:ascii="Arial;sans-serif" w:hAnsi="Arial;sans-serif"/>
          <w:b/>
          <w:color w:val="000000"/>
          <w:sz w:val="18"/>
          <w:u w:val="single"/>
        </w:rPr>
        <w:t>For further information, please contact:</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Investor Relations</w:t>
      </w:r>
    </w:p>
    <w:p>
      <w:pPr>
        <w:pStyle w:val="TextBody"/>
        <w:bidi w:val="0"/>
        <w:spacing w:lineRule="auto" w:line="288" w:before="0" w:after="0"/>
        <w:jc w:val="both"/>
        <w:rPr>
          <w:rFonts w:ascii="Arial;sans-serif" w:hAnsi="Arial;sans-serif"/>
          <w:b w:val="false"/>
          <w:color w:val="0000FF"/>
          <w:sz w:val="18"/>
          <w:u w:val="single"/>
        </w:rPr>
      </w:pPr>
      <w:r>
        <w:rPr>
          <w:rFonts w:ascii="Arial;sans-serif" w:hAnsi="Arial;sans-serif"/>
          <w:b w:val="false"/>
          <w:color w:val="0000FF"/>
          <w:sz w:val="18"/>
          <w:u w:val="single"/>
        </w:rPr>
        <w:t>ir@gf.com</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12 of 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Page 12 of 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4166</Words>
  <Characters>22566</Characters>
  <CharactersWithSpaces>26168</CharactersWithSpaces>
  <Paragraphs>1032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