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2130.xml.htm"/>
      <w:bookmarkStart w:id="1" w:name="kswkform4_17890721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Languille Camilla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5"/>
        <w:gridCol w:w="774"/>
        <w:gridCol w:w="601"/>
        <w:gridCol w:w="348"/>
        <w:gridCol w:w="888"/>
        <w:gridCol w:w="453"/>
        <w:gridCol w:w="755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45.21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and settlement of restricted stock units (RSUs) into 5,235 ordinary shares on September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3,291 RSUs, which vest on July 28, 2027, subject to the reporting person's continued service through the vesting date. Each RSU represents a contingent right to receive one share of the issuer's ordinary shares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withholding of shares by the issuer to satisfy the reporting person's tax withholding obligations in connection with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953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3579</Characters>
  <CharactersWithSpaces>4159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