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2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520"/>
        <w:spacing w:after="0"/>
        <w:rPr>
          <w:sz w:val="20"/>
          <w:szCs w:val="20"/>
          <w:color w:val="auto"/>
        </w:rPr>
      </w:pPr>
      <w:r>
        <w:rPr>
          <w:rFonts w:ascii="Georgia" w:cs="Georgia" w:eastAsia="Georgia" w:hAnsi="Georgia"/>
          <w:sz w:val="21"/>
          <w:szCs w:val="21"/>
          <w:b w:val="1"/>
          <w:bCs w:val="1"/>
          <w:color w:val="auto"/>
        </w:rPr>
        <w:t xml:space="preserve">REPORT OF FOREIGN PRIVATE ISSUER PURSUANT TO RULE 13a-16 OR </w:t>
      </w:r>
      <w:r>
        <w:rPr>
          <w:rFonts w:ascii="Times New Roman" w:cs="Times New Roman" w:eastAsia="Times New Roman" w:hAnsi="Times New Roman"/>
          <w:sz w:val="21"/>
          <w:szCs w:val="21"/>
          <w:b w:val="1"/>
          <w:bCs w:val="1"/>
          <w:color w:val="auto"/>
        </w:rPr>
        <w:t>15d-16 UNDER THE</w:t>
      </w:r>
    </w:p>
    <w:p>
      <w:pPr>
        <w:spacing w:after="0" w:line="4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 the month of February 2026</w:t>
      </w:r>
    </w:p>
    <w:p>
      <w:pPr>
        <w:spacing w:after="0" w:line="18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7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80" w:lineRule="exact"/>
        <w:rPr>
          <w:sz w:val="24"/>
          <w:szCs w:val="24"/>
          <w:color w:val="auto"/>
        </w:rPr>
      </w:pPr>
    </w:p>
    <w:p>
      <w:pPr>
        <w:ind w:left="160" w:right="152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320" w:lineRule="exact"/>
        <w:rPr>
          <w:sz w:val="24"/>
          <w:szCs w:val="24"/>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u w:val="single" w:color="auto"/>
          <w:color w:val="0000FF"/>
        </w:rPr>
        <w:t>Press release issued by Registrant on February 11, 2026.</w:t>
      </w:r>
    </w:p>
    <w:p>
      <w:pPr>
        <w:sectPr>
          <w:pgSz w:w="11900" w:h="16838" w:orient="portrait"/>
          <w:cols w:equalWidth="0" w:num="1">
            <w:col w:w="10700"/>
          </w:cols>
          <w:pgMar w:left="340" w:top="1440" w:right="859"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74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70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Sam Franklin</w:t>
            </w:r>
          </w:p>
        </w:tc>
      </w:tr>
      <w:tr>
        <w:trPr>
          <w:trHeight w:val="40"/>
        </w:trPr>
        <w:tc>
          <w:tcPr>
            <w:tcW w:w="3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380" w:type="dxa"/>
            <w:vAlign w:val="bottom"/>
          </w:tcPr>
          <w:p>
            <w:pPr>
              <w:spacing w:after="0"/>
              <w:rPr>
                <w:sz w:val="20"/>
                <w:szCs w:val="20"/>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 Franklin</w:t>
            </w:r>
          </w:p>
        </w:tc>
      </w:tr>
      <w:tr>
        <w:trPr>
          <w:trHeight w:val="283"/>
        </w:trPr>
        <w:tc>
          <w:tcPr>
            <w:tcW w:w="3380" w:type="dxa"/>
            <w:vAlign w:val="bottom"/>
          </w:tcPr>
          <w:p>
            <w:pPr>
              <w:spacing w:after="0"/>
              <w:rPr>
                <w:sz w:val="24"/>
                <w:szCs w:val="24"/>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GlobalFoundries Reports Fourth Quarter 2025</w:t>
      </w:r>
    </w:p>
    <w:p>
      <w:pPr>
        <w:jc w:val="center"/>
        <w:ind w:right="-19"/>
        <w:spacing w:after="0"/>
        <w:rPr>
          <w:sz w:val="20"/>
          <w:szCs w:val="20"/>
          <w:color w:val="auto"/>
        </w:rPr>
      </w:pPr>
      <w:r>
        <w:rPr>
          <w:rFonts w:ascii="Arial" w:cs="Arial" w:eastAsia="Arial" w:hAnsi="Arial"/>
          <w:sz w:val="22"/>
          <w:szCs w:val="22"/>
          <w:b w:val="1"/>
          <w:bCs w:val="1"/>
          <w:color w:val="auto"/>
        </w:rPr>
        <w:t>and Fiscal Year 2025 Financial Results</w:t>
      </w:r>
    </w:p>
    <w:p>
      <w:pPr>
        <w:spacing w:after="0" w:line="200" w:lineRule="exact"/>
        <w:rPr>
          <w:sz w:val="20"/>
          <w:szCs w:val="20"/>
          <w:color w:val="auto"/>
        </w:rPr>
      </w:pPr>
    </w:p>
    <w:p>
      <w:pPr>
        <w:spacing w:after="0" w:line="282" w:lineRule="exact"/>
        <w:rPr>
          <w:sz w:val="20"/>
          <w:szCs w:val="20"/>
          <w:color w:val="auto"/>
        </w:rPr>
      </w:pPr>
    </w:p>
    <w:p>
      <w:pPr>
        <w:ind w:right="20"/>
        <w:spacing w:after="0" w:line="374" w:lineRule="auto"/>
        <w:rPr>
          <w:sz w:val="20"/>
          <w:szCs w:val="20"/>
          <w:color w:val="auto"/>
        </w:rPr>
      </w:pPr>
      <w:r>
        <w:rPr>
          <w:rFonts w:ascii="Arial" w:cs="Arial" w:eastAsia="Arial" w:hAnsi="Arial"/>
          <w:sz w:val="16"/>
          <w:szCs w:val="16"/>
          <w:b w:val="1"/>
          <w:bCs w:val="1"/>
          <w:color w:val="auto"/>
        </w:rPr>
        <w:t>Malta, New York</w:t>
      </w:r>
      <w:r>
        <w:rPr>
          <w:rFonts w:ascii="Arial" w:cs="Arial" w:eastAsia="Arial" w:hAnsi="Arial"/>
          <w:sz w:val="16"/>
          <w:szCs w:val="16"/>
          <w:color w:val="auto"/>
        </w:rPr>
        <w:t>, February 11, 2026 - GLOBALFOUNDRIES Inc. (GF) (Nasdaq: GFS) today announced preliminary financial results for the fourth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and fiscal year ended December 31, 2025.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Fourth Quarter Financial Highlights</w:t>
      </w:r>
    </w:p>
    <w:p>
      <w:pPr>
        <w:spacing w:after="0" w:line="73"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 of $1.830 billion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Gross margin of 27.8% and Non-IFRS gross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29.0%</w:t>
      </w:r>
    </w:p>
    <w:p>
      <w:pPr>
        <w:spacing w:after="0" w:line="31" w:lineRule="exact"/>
        <w:rPr>
          <w:rFonts w:ascii="Arial" w:cs="Arial" w:eastAsia="Arial" w:hAnsi="Arial"/>
          <w:sz w:val="16"/>
          <w:szCs w:val="16"/>
          <w:color w:val="auto"/>
        </w:rPr>
      </w:pPr>
    </w:p>
    <w:p>
      <w:pPr>
        <w:ind w:left="640" w:hanging="308"/>
        <w:spacing w:after="0" w:line="238"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margin of 13.9% and Non-IFRS operating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18.3%</w:t>
      </w: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income of $200 million and Non-IFRS net income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$310 million</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Diluted earnings per share of $0.36 and Non-IFRS diluted 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$0.55</w:t>
      </w:r>
    </w:p>
    <w:p>
      <w:pPr>
        <w:spacing w:after="0" w:line="15"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Non-IFRS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$641 million</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Ending cash, cash equivalents and marketable securities of $4.0 billion</w:t>
      </w:r>
    </w:p>
    <w:p>
      <w:pPr>
        <w:spacing w:after="0" w:line="56"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cash provided by operating activities of $374 million and Non-IFRS adjusted free cash flow</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$264 million</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Full Year 2025 Financial Highlights</w:t>
      </w:r>
    </w:p>
    <w:p>
      <w:pPr>
        <w:spacing w:after="0" w:line="7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of $6.791 billion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margin of 24.9% and Non-IFRS gross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26.1%</w:t>
      </w:r>
    </w:p>
    <w:p>
      <w:pPr>
        <w:spacing w:after="0" w:line="31" w:lineRule="exact"/>
        <w:rPr>
          <w:rFonts w:ascii="Arial" w:cs="Arial" w:eastAsia="Arial" w:hAnsi="Arial"/>
          <w:sz w:val="16"/>
          <w:szCs w:val="16"/>
          <w:color w:val="auto"/>
        </w:rPr>
      </w:pPr>
    </w:p>
    <w:p>
      <w:pPr>
        <w:ind w:left="640" w:hanging="308"/>
        <w:spacing w:after="0" w:line="238"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margin of 11.7% and Non-IFRS operating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15.7%</w:t>
      </w: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income of $888 million and Non-IFRS net income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$965 million</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Diluted earnings per share of $1.59 and Non-IFRS diluted 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$1.72</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Non-IFRS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$2.357 billion</w:t>
      </w:r>
    </w:p>
    <w:p>
      <w:pPr>
        <w:spacing w:after="0" w:line="15"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Year to date net cash provided by operating activities of $1.731 billion and Non-IFRS adjusted free cash flow</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$1.157 billion</w:t>
      </w:r>
    </w:p>
    <w:p>
      <w:pPr>
        <w:spacing w:after="0" w:line="229"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"GF delivered a strong fourth quarter, with revenue, gross margin, operating margin and earnings per share at or above the high end of the guidance ranges,” said Tim Breen, CEO of GF. "As a result of the team's strong execution, disciplined cost management, and relentless focus on profitability, we grew Non-IFRS gross margin by nearly 400 basis points year-over-year in the fourth quarter. In addition, our recent acquisitions are expanding GF's capabilities into a diversified, holistic technology solutions provider, and our differentiated technology and footprint are proving an excellent fit serving the AI Data Center, physical AI, and on-shoring megatrends defining our industry."</w:t>
      </w:r>
    </w:p>
    <w:p>
      <w:pPr>
        <w:spacing w:after="0" w:line="201"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GF also announced today that its Board of Directors has approved a share repurchase authorization of up to $500 million of its common stock. Under the repurchase authorization, GF may purchase shares of its common stock on a discretionary basis from time to time through open market repurchases, in privately negotiated transactions, through purchases made in compliance with Rule 10b-18 and/or Rule 10b5-1 under the Exchange Act, or other means. The actual timing and amount of any share repurchases remains subject to a variety of factors, including stock price, trading volume, market conditions, compliance with applicable legal requirements, and other general business considerations. The authorization does not require GF to repurchase any specific number of shares of common stock. The authorization is valid for an initial period of 12 months and may be modified, suspended or terminated at any time.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Highlights</w:t>
      </w:r>
    </w:p>
    <w:p>
      <w:pPr>
        <w:spacing w:after="0" w:line="316" w:lineRule="exact"/>
        <w:rPr>
          <w:sz w:val="20"/>
          <w:szCs w:val="20"/>
          <w:color w:val="auto"/>
        </w:rPr>
      </w:pPr>
    </w:p>
    <w:p>
      <w:pPr>
        <w:jc w:val="both"/>
        <w:ind w:left="660" w:hanging="328"/>
        <w:spacing w:after="0" w:line="33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2026, GF announced it had entered into a definitive agreement to acquire Synopsys’ ARC Processor IP Solutions business. The proposed acquisition includes the ARC-V, ARC-Classic, ARC VPX-DSP and ARC NPX NPU product lines as well as the applications-specific instruction set (ASIP) processor tools including ASIP Designer and ASIP Programmer. Upon closing, these assets and expert teams will be integrated with MIPS, a GlobalFoundries company, to deliver a comprehensive processor IP suite, especially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13</w:t>
      </w:r>
    </w:p>
    <w:p>
      <w:pPr>
        <w:sectPr>
          <w:pgSz w:w="11900" w:h="16838" w:orient="portrait"/>
          <w:cols w:equalWidth="0" w:num="1">
            <w:col w:w="11240"/>
          </w:cols>
          <w:pgMar w:left="320" w:top="1095" w:right="339" w:bottom="1440" w:gutter="0" w:footer="0" w:header="0"/>
        </w:sectPr>
      </w:pPr>
    </w:p>
    <w:bookmarkStart w:id="3" w:name="page4"/>
    <w:bookmarkEnd w:id="3"/>
    <w:p>
      <w:pPr>
        <w:ind w:left="660"/>
        <w:spacing w:after="0" w:line="356" w:lineRule="auto"/>
        <w:rPr>
          <w:sz w:val="20"/>
          <w:szCs w:val="20"/>
          <w:color w:val="auto"/>
        </w:rPr>
      </w:pPr>
      <w:r>
        <w:rPr>
          <w:rFonts w:ascii="Arial" w:cs="Arial" w:eastAsia="Arial" w:hAnsi="Arial"/>
          <w:sz w:val="16"/>
          <w:szCs w:val="16"/>
          <w:color w:val="auto"/>
        </w:rPr>
        <w:t>tailored for physical AI applications. The expanded offering will enhance engagement through IP licensing and software, enabling faster time-to-market for GF’s customers. The acquisition is expected to close in the second half of 2026.</w:t>
      </w:r>
    </w:p>
    <w:p>
      <w:pPr>
        <w:spacing w:after="0" w:line="197" w:lineRule="exact"/>
        <w:rPr>
          <w:sz w:val="20"/>
          <w:szCs w:val="20"/>
          <w:color w:val="auto"/>
        </w:rPr>
      </w:pPr>
    </w:p>
    <w:p>
      <w:pPr>
        <w:jc w:val="both"/>
        <w:ind w:left="660" w:hanging="328"/>
        <w:spacing w:after="0" w:line="336"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November 2025, GF announced a long-term strategic partnership with Navitas to strengthen and accelerate U.S.-based gallium nitride (GaN) technology, design and manufacturing. Together, the companies will collaborate, develop and deliver advanced solutions for critical applications in high power markets that demand the highest efficiency and power density, including AI datacenters, performance computing, energy and grid infrastructure and industrial electrification.</w:t>
      </w:r>
    </w:p>
    <w:p>
      <w:pPr>
        <w:spacing w:after="0" w:line="211" w:lineRule="exact"/>
        <w:rPr>
          <w:rFonts w:ascii="Arial" w:cs="Arial" w:eastAsia="Arial" w:hAnsi="Arial"/>
          <w:sz w:val="16"/>
          <w:szCs w:val="16"/>
          <w:color w:val="auto"/>
        </w:rPr>
      </w:pPr>
    </w:p>
    <w:p>
      <w:pPr>
        <w:jc w:val="both"/>
        <w:ind w:left="660" w:hanging="328"/>
        <w:spacing w:after="0" w:line="336"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November 2025, GF acquired Advanced Micro Foundry (AMF), a dedicated silicon photonics company based in Singapore, with strong manufacturing expertise and proprietary technical innovation that serve growth areas such as AI data centers and advanced telecom networks. The acquisition is expected to accelerate GF's silicon photonics roadmap, broaden its customer base, and drive opportunities for scale and geographic synergies in Singapore.</w:t>
      </w:r>
    </w:p>
    <w:p>
      <w:pPr>
        <w:spacing w:after="0" w:line="211" w:lineRule="exact"/>
        <w:rPr>
          <w:rFonts w:ascii="Arial" w:cs="Arial" w:eastAsia="Arial" w:hAnsi="Arial"/>
          <w:sz w:val="16"/>
          <w:szCs w:val="16"/>
          <w:color w:val="auto"/>
        </w:rPr>
      </w:pPr>
    </w:p>
    <w:p>
      <w:pPr>
        <w:jc w:val="both"/>
        <w:ind w:left="660" w:hanging="328"/>
        <w:spacing w:after="0" w:line="238" w:lineRule="exact"/>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November 2025, GF acquired Infinilink, a design-focused company with deep expertise in high-speed connectivity chips, including SerDes, optical transceiver chipsets and monolithic silicon photonics. Based in Egypt, Infinilink's engineering talent and IP enhance GF’s in</w:t>
      </w:r>
      <w:r>
        <w:rPr>
          <w:rFonts w:ascii="MS PGothic" w:cs="MS PGothic" w:eastAsia="MS PGothic" w:hAnsi="MS PGothic"/>
          <w:sz w:val="16"/>
          <w:szCs w:val="16"/>
          <w:color w:val="auto"/>
        </w:rPr>
        <w:t>‑</w:t>
      </w:r>
      <w:r>
        <w:rPr>
          <w:rFonts w:ascii="Arial" w:cs="Arial" w:eastAsia="Arial" w:hAnsi="Arial"/>
          <w:sz w:val="16"/>
          <w:szCs w:val="16"/>
          <w:color w:val="auto"/>
        </w:rPr>
        <w:t>house design capabilities and will help a broad range of customers strengthen their optical roadmaps and design into GF.</w:t>
      </w:r>
    </w:p>
    <w:p>
      <w:pPr>
        <w:spacing w:after="0" w:line="241" w:lineRule="exact"/>
        <w:rPr>
          <w:rFonts w:ascii="Arial" w:cs="Arial" w:eastAsia="Arial" w:hAnsi="Arial"/>
          <w:sz w:val="16"/>
          <w:szCs w:val="16"/>
          <w:color w:val="auto"/>
        </w:rPr>
      </w:pPr>
    </w:p>
    <w:p>
      <w:pPr>
        <w:ind w:left="180" w:hanging="172"/>
        <w:spacing w:after="0" w:line="226"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 of 13</w:t>
      </w:r>
    </w:p>
    <w:p>
      <w:pPr>
        <w:sectPr>
          <w:pgSz w:w="11900" w:h="16838" w:orient="portrait"/>
          <w:cols w:equalWidth="0" w:num="1">
            <w:col w:w="11240"/>
          </w:cols>
          <w:pgMar w:left="320" w:top="11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Quarterly Results</w:t>
      </w:r>
    </w:p>
    <w:p>
      <w:pPr>
        <w:jc w:val="center"/>
        <w:spacing w:after="0"/>
        <w:rPr>
          <w:sz w:val="20"/>
          <w:szCs w:val="20"/>
          <w:color w:val="auto"/>
        </w:rPr>
      </w:pPr>
      <w:r>
        <w:rPr>
          <w:rFonts w:ascii="Arial" w:cs="Arial" w:eastAsia="Arial" w:hAnsi="Arial"/>
          <w:sz w:val="14"/>
          <w:szCs w:val="14"/>
          <w:b w:val="1"/>
          <w:bCs w:val="1"/>
          <w:color w:val="auto"/>
        </w:rPr>
        <w:t>(Unaudited, in millions, except per share amounts and wafer shipments)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w w:val="99"/>
              </w:rPr>
              <w:t>Year-over-year</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rPr>
              <w:t>Sequential</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Q4'25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Q3'25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Q4'24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Q4'25 vs Q4'24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6"/>
          </w:tcPr>
          <w:p>
            <w:pPr>
              <w:jc w:val="center"/>
              <w:ind w:right="268"/>
              <w:spacing w:after="0"/>
              <w:rPr>
                <w:sz w:val="20"/>
                <w:szCs w:val="20"/>
                <w:color w:val="auto"/>
              </w:rPr>
            </w:pPr>
            <w:r>
              <w:rPr>
                <w:rFonts w:ascii="Arial" w:cs="Arial" w:eastAsia="Arial" w:hAnsi="Arial"/>
                <w:sz w:val="14"/>
                <w:szCs w:val="14"/>
                <w:b w:val="1"/>
                <w:bCs w:val="1"/>
                <w:color w:val="auto"/>
              </w:rPr>
              <w:t>Q4'25 vs Q3'25</w:t>
            </w:r>
          </w:p>
        </w:tc>
        <w:tc>
          <w:tcPr>
            <w:tcW w:w="0" w:type="dxa"/>
            <w:vAlign w:val="bottom"/>
          </w:tcPr>
          <w:p>
            <w:pPr>
              <w:spacing w:after="0"/>
              <w:rPr>
                <w:sz w:val="1"/>
                <w:szCs w:val="1"/>
                <w:color w:val="auto"/>
              </w:rPr>
            </w:pPr>
          </w:p>
        </w:tc>
      </w:tr>
      <w:tr>
        <w:trPr>
          <w:trHeight w:val="136"/>
        </w:trPr>
        <w:tc>
          <w:tcPr>
            <w:tcW w:w="3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0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1,830</w:t>
            </w:r>
          </w:p>
        </w:tc>
        <w:tc>
          <w:tcPr>
            <w:tcW w:w="100" w:type="dxa"/>
            <w:vAlign w:val="bottom"/>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1,688</w:t>
            </w:r>
          </w:p>
        </w:tc>
        <w:tc>
          <w:tcPr>
            <w:tcW w:w="80" w:type="dxa"/>
            <w:vAlign w:val="bottom"/>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1,830</w:t>
            </w:r>
          </w:p>
        </w:tc>
        <w:tc>
          <w:tcPr>
            <w:tcW w:w="100" w:type="dxa"/>
            <w:vAlign w:val="bottom"/>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8 %</w:t>
            </w:r>
          </w:p>
        </w:tc>
        <w:tc>
          <w:tcPr>
            <w:tcW w:w="0" w:type="dxa"/>
            <w:vAlign w:val="bottom"/>
          </w:tcPr>
          <w:p>
            <w:pPr>
              <w:spacing w:after="0"/>
              <w:rPr>
                <w:sz w:val="1"/>
                <w:szCs w:val="1"/>
                <w:color w:val="auto"/>
              </w:rPr>
            </w:pPr>
          </w:p>
        </w:tc>
      </w:tr>
      <w:tr>
        <w:trPr>
          <w:trHeight w:val="61"/>
        </w:trPr>
        <w:tc>
          <w:tcPr>
            <w:tcW w:w="31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508</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419</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449</w:t>
            </w:r>
          </w:p>
        </w:tc>
        <w:tc>
          <w:tcPr>
            <w:tcW w:w="10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13 %</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21 %</w:t>
            </w:r>
          </w:p>
        </w:tc>
        <w:tc>
          <w:tcPr>
            <w:tcW w:w="0" w:type="dxa"/>
            <w:vAlign w:val="bottom"/>
          </w:tcPr>
          <w:p>
            <w:pPr>
              <w:spacing w:after="0"/>
              <w:rPr>
                <w:sz w:val="1"/>
                <w:szCs w:val="1"/>
                <w:color w:val="auto"/>
              </w:rPr>
            </w:pPr>
          </w:p>
        </w:tc>
      </w:tr>
      <w:tr>
        <w:trPr>
          <w:trHeight w:val="26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Gross margin</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27.8 %</w:t>
            </w:r>
          </w:p>
        </w:tc>
        <w:tc>
          <w:tcPr>
            <w:tcW w:w="10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24.8 %</w:t>
            </w:r>
          </w:p>
        </w:tc>
        <w:tc>
          <w:tcPr>
            <w:tcW w:w="8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24.5 %</w:t>
            </w:r>
          </w:p>
        </w:tc>
        <w:tc>
          <w:tcPr>
            <w:tcW w:w="10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+330bps</w:t>
            </w:r>
          </w:p>
        </w:tc>
        <w:tc>
          <w:tcPr>
            <w:tcW w:w="8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+300bps</w:t>
            </w: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gross profit</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530</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439</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464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7"/>
                <w:szCs w:val="17"/>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14 %</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21 %</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Non-IFRS gross margin</w:t>
            </w:r>
            <w:r>
              <w:rPr>
                <w:rFonts w:ascii="Arial" w:cs="Arial" w:eastAsia="Arial" w:hAnsi="Arial"/>
                <w:sz w:val="18"/>
                <w:szCs w:val="18"/>
                <w:i w:val="1"/>
                <w:iCs w:val="1"/>
                <w:color w:val="auto"/>
                <w:vertAlign w:val="superscript"/>
              </w:rPr>
              <w:t>(1)</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29.0 %</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26.0 %</w:t>
            </w: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25.4 %</w:t>
            </w: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+360bps</w:t>
            </w: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+300bps</w:t>
            </w:r>
          </w:p>
        </w:tc>
        <w:tc>
          <w:tcPr>
            <w:tcW w:w="0" w:type="dxa"/>
            <w:vAlign w:val="bottom"/>
          </w:tcPr>
          <w:p>
            <w:pPr>
              <w:spacing w:after="0"/>
              <w:rPr>
                <w:sz w:val="1"/>
                <w:szCs w:val="1"/>
                <w:color w:val="auto"/>
              </w:rPr>
            </w:pPr>
          </w:p>
        </w:tc>
      </w:tr>
      <w:tr>
        <w:trPr>
          <w:trHeight w:val="61"/>
        </w:trPr>
        <w:tc>
          <w:tcPr>
            <w:tcW w:w="31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255</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195</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(701)</w:t>
            </w:r>
          </w:p>
        </w:tc>
        <w:tc>
          <w:tcPr>
            <w:tcW w:w="10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956</w:t>
            </w:r>
          </w:p>
        </w:tc>
        <w:tc>
          <w:tcPr>
            <w:tcW w:w="100" w:type="dxa"/>
            <w:vAlign w:val="bottom"/>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136 %</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31 %</w:t>
            </w:r>
          </w:p>
        </w:tc>
        <w:tc>
          <w:tcPr>
            <w:tcW w:w="0" w:type="dxa"/>
            <w:vAlign w:val="bottom"/>
          </w:tcPr>
          <w:p>
            <w:pPr>
              <w:spacing w:after="0"/>
              <w:rPr>
                <w:sz w:val="1"/>
                <w:szCs w:val="1"/>
                <w:color w:val="auto"/>
              </w:rPr>
            </w:pPr>
          </w:p>
        </w:tc>
      </w:tr>
      <w:tr>
        <w:trPr>
          <w:trHeight w:val="26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Operating margin</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13.9 %</w:t>
            </w:r>
          </w:p>
        </w:tc>
        <w:tc>
          <w:tcPr>
            <w:tcW w:w="10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11.6 %</w:t>
            </w:r>
          </w:p>
        </w:tc>
        <w:tc>
          <w:tcPr>
            <w:tcW w:w="8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(38.3)%</w:t>
            </w:r>
          </w:p>
        </w:tc>
        <w:tc>
          <w:tcPr>
            <w:tcW w:w="10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+5,220bps</w:t>
            </w:r>
          </w:p>
        </w:tc>
        <w:tc>
          <w:tcPr>
            <w:tcW w:w="8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+230bps</w:t>
            </w: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operating profit</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335</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260</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285</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18 %</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29 %</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Non-IFRS operating margin</w:t>
            </w:r>
            <w:r>
              <w:rPr>
                <w:rFonts w:ascii="Arial" w:cs="Arial" w:eastAsia="Arial" w:hAnsi="Arial"/>
                <w:sz w:val="18"/>
                <w:szCs w:val="18"/>
                <w:i w:val="1"/>
                <w:iCs w:val="1"/>
                <w:color w:val="auto"/>
                <w:vertAlign w:val="superscript"/>
              </w:rPr>
              <w:t>(1)</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18.3 %</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15.4 %</w:t>
            </w: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15.6 %</w:t>
            </w: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+270bps</w:t>
            </w: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+290bps</w:t>
            </w:r>
          </w:p>
        </w:tc>
        <w:tc>
          <w:tcPr>
            <w:tcW w:w="0" w:type="dxa"/>
            <w:vAlign w:val="bottom"/>
          </w:tcPr>
          <w:p>
            <w:pPr>
              <w:spacing w:after="0"/>
              <w:rPr>
                <w:sz w:val="1"/>
                <w:szCs w:val="1"/>
                <w:color w:val="auto"/>
              </w:rPr>
            </w:pPr>
          </w:p>
        </w:tc>
      </w:tr>
      <w:tr>
        <w:trPr>
          <w:trHeight w:val="61"/>
        </w:trPr>
        <w:tc>
          <w:tcPr>
            <w:tcW w:w="31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249</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(729)</w:t>
            </w:r>
          </w:p>
        </w:tc>
        <w:tc>
          <w:tcPr>
            <w:tcW w:w="10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929</w:t>
            </w:r>
          </w:p>
        </w:tc>
        <w:tc>
          <w:tcPr>
            <w:tcW w:w="100" w:type="dxa"/>
            <w:vAlign w:val="bottom"/>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127 %</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26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Net income (loss) margin</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10.9 %</w:t>
            </w:r>
          </w:p>
        </w:tc>
        <w:tc>
          <w:tcPr>
            <w:tcW w:w="10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14.8 %</w:t>
            </w:r>
          </w:p>
        </w:tc>
        <w:tc>
          <w:tcPr>
            <w:tcW w:w="8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(39.8)%</w:t>
            </w:r>
          </w:p>
        </w:tc>
        <w:tc>
          <w:tcPr>
            <w:tcW w:w="10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+5,070bps</w:t>
            </w:r>
          </w:p>
        </w:tc>
        <w:tc>
          <w:tcPr>
            <w:tcW w:w="8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(390)bps</w:t>
            </w: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net income</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310</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232</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256</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17"/>
                <w:szCs w:val="17"/>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21 %</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34 %</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 xml:space="preserve">Non-IFRS net income margin </w:t>
            </w:r>
            <w:r>
              <w:rPr>
                <w:rFonts w:ascii="Arial" w:cs="Arial" w:eastAsia="Arial" w:hAnsi="Arial"/>
                <w:sz w:val="18"/>
                <w:szCs w:val="18"/>
                <w:i w:val="1"/>
                <w:iCs w:val="1"/>
                <w:color w:val="auto"/>
                <w:vertAlign w:val="superscript"/>
              </w:rPr>
              <w:t>(1)</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16.9 %</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13.7 %</w:t>
            </w: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14.0 %</w:t>
            </w: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+290bps</w:t>
            </w: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+320bps</w:t>
            </w:r>
          </w:p>
        </w:tc>
        <w:tc>
          <w:tcPr>
            <w:tcW w:w="0" w:type="dxa"/>
            <w:vAlign w:val="bottom"/>
          </w:tcPr>
          <w:p>
            <w:pPr>
              <w:spacing w:after="0"/>
              <w:rPr>
                <w:sz w:val="1"/>
                <w:szCs w:val="1"/>
                <w:color w:val="auto"/>
              </w:rPr>
            </w:pPr>
          </w:p>
        </w:tc>
      </w:tr>
      <w:tr>
        <w:trPr>
          <w:trHeight w:val="61"/>
        </w:trPr>
        <w:tc>
          <w:tcPr>
            <w:tcW w:w="31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(loss) per share ("EPS")</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0.44</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127 %</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(0.08)</w:t>
            </w:r>
          </w:p>
        </w:tc>
        <w:tc>
          <w:tcPr>
            <w:tcW w:w="100" w:type="dxa"/>
            <w:vAlign w:val="bottom"/>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61"/>
        </w:trPr>
        <w:tc>
          <w:tcPr>
            <w:tcW w:w="31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diluted EPS</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0.55</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0.41</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0.46</w:t>
            </w:r>
          </w:p>
        </w:tc>
        <w:tc>
          <w:tcPr>
            <w:tcW w:w="10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0.09</w:t>
            </w:r>
          </w:p>
        </w:tc>
        <w:tc>
          <w:tcPr>
            <w:tcW w:w="100" w:type="dxa"/>
            <w:vAlign w:val="bottom"/>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20 %</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0.14</w:t>
            </w:r>
          </w:p>
        </w:tc>
        <w:tc>
          <w:tcPr>
            <w:tcW w:w="100" w:type="dxa"/>
            <w:vAlign w:val="bottom"/>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34 %</w:t>
            </w:r>
          </w:p>
        </w:tc>
        <w:tc>
          <w:tcPr>
            <w:tcW w:w="0" w:type="dxa"/>
            <w:vAlign w:val="bottom"/>
          </w:tcPr>
          <w:p>
            <w:pPr>
              <w:spacing w:after="0"/>
              <w:rPr>
                <w:sz w:val="1"/>
                <w:szCs w:val="1"/>
                <w:color w:val="auto"/>
              </w:rPr>
            </w:pPr>
          </w:p>
        </w:tc>
      </w:tr>
      <w:tr>
        <w:trPr>
          <w:trHeight w:val="61"/>
        </w:trPr>
        <w:tc>
          <w:tcPr>
            <w:tcW w:w="31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adjusted EBITDA</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641</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573</w:t>
            </w:r>
          </w:p>
        </w:tc>
        <w:tc>
          <w:tcPr>
            <w:tcW w:w="8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661</w:t>
            </w:r>
          </w:p>
        </w:tc>
        <w:tc>
          <w:tcPr>
            <w:tcW w:w="100" w:type="dxa"/>
            <w:vAlign w:val="bottom"/>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12 %</w:t>
            </w:r>
          </w:p>
        </w:tc>
        <w:tc>
          <w:tcPr>
            <w:tcW w:w="0" w:type="dxa"/>
            <w:vAlign w:val="bottom"/>
          </w:tcPr>
          <w:p>
            <w:pPr>
              <w:spacing w:after="0"/>
              <w:rPr>
                <w:sz w:val="1"/>
                <w:szCs w:val="1"/>
                <w:color w:val="auto"/>
              </w:rPr>
            </w:pPr>
          </w:p>
        </w:tc>
      </w:tr>
      <w:tr>
        <w:trPr>
          <w:trHeight w:val="269"/>
        </w:trPr>
        <w:tc>
          <w:tcPr>
            <w:tcW w:w="31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i w:val="1"/>
                <w:iCs w:val="1"/>
                <w:color w:val="auto"/>
              </w:rPr>
              <w:t>Non-IFRS adjusted EBITDA margin</w:t>
            </w:r>
            <w:r>
              <w:rPr>
                <w:rFonts w:ascii="Arial" w:cs="Arial" w:eastAsia="Arial" w:hAnsi="Arial"/>
                <w:sz w:val="18"/>
                <w:szCs w:val="18"/>
                <w:i w:val="1"/>
                <w:iCs w:val="1"/>
                <w:color w:val="auto"/>
                <w:vertAlign w:val="superscript"/>
              </w:rPr>
              <w:t>(1)</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35.0 %</w:t>
            </w:r>
          </w:p>
        </w:tc>
        <w:tc>
          <w:tcPr>
            <w:tcW w:w="10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33.9 %</w:t>
            </w:r>
          </w:p>
        </w:tc>
        <w:tc>
          <w:tcPr>
            <w:tcW w:w="8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36.1 %</w:t>
            </w:r>
          </w:p>
        </w:tc>
        <w:tc>
          <w:tcPr>
            <w:tcW w:w="100" w:type="dxa"/>
            <w:vAlign w:val="bottom"/>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(110)bps</w:t>
            </w:r>
          </w:p>
        </w:tc>
        <w:tc>
          <w:tcPr>
            <w:tcW w:w="8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+110bps</w:t>
            </w:r>
          </w:p>
        </w:tc>
        <w:tc>
          <w:tcPr>
            <w:tcW w:w="0" w:type="dxa"/>
            <w:vAlign w:val="bottom"/>
          </w:tcPr>
          <w:p>
            <w:pPr>
              <w:spacing w:after="0"/>
              <w:rPr>
                <w:sz w:val="1"/>
                <w:szCs w:val="1"/>
                <w:color w:val="auto"/>
              </w:rPr>
            </w:pPr>
          </w:p>
        </w:tc>
      </w:tr>
      <w:tr>
        <w:trPr>
          <w:trHeight w:val="201"/>
        </w:trPr>
        <w:tc>
          <w:tcPr>
            <w:tcW w:w="31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374</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595</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457</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7"/>
                <w:szCs w:val="17"/>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(221)</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89"/>
        </w:trPr>
        <w:tc>
          <w:tcPr>
            <w:tcW w:w="312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Wafer shipments (300mm equivalent)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619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602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595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4 %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180" w:hanging="172"/>
        <w:spacing w:after="0" w:line="236" w:lineRule="auto"/>
        <w:tabs>
          <w:tab w:leader="none" w:pos="153"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 of 13</w:t>
      </w:r>
    </w:p>
    <w:p>
      <w:pPr>
        <w:sectPr>
          <w:pgSz w:w="11900" w:h="16838" w:orient="portrait"/>
          <w:cols w:equalWidth="0" w:num="1">
            <w:col w:w="11240"/>
          </w:cols>
          <w:pgMar w:left="320" w:top="141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Annual Results</w:t>
      </w:r>
    </w:p>
    <w:p>
      <w:pPr>
        <w:jc w:val="center"/>
        <w:spacing w:after="0"/>
        <w:rPr>
          <w:sz w:val="20"/>
          <w:szCs w:val="20"/>
          <w:color w:val="auto"/>
        </w:rPr>
      </w:pPr>
      <w:r>
        <w:rPr>
          <w:rFonts w:ascii="Arial" w:cs="Arial" w:eastAsia="Arial" w:hAnsi="Arial"/>
          <w:sz w:val="14"/>
          <w:szCs w:val="14"/>
          <w:b w:val="1"/>
          <w:bCs w:val="1"/>
          <w:color w:val="auto"/>
        </w:rPr>
        <w:t>(Unaudited, in millions, except per share amounts and wafer shipments)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Year-over-year</w:t>
            </w:r>
          </w:p>
        </w:tc>
        <w:tc>
          <w:tcPr>
            <w:tcW w:w="700" w:type="dxa"/>
            <w:vAlign w:val="bottom"/>
          </w:tcPr>
          <w:p>
            <w:pPr>
              <w:spacing w:after="0"/>
              <w:rPr>
                <w:sz w:val="17"/>
                <w:szCs w:val="17"/>
                <w:color w:val="auto"/>
              </w:rPr>
            </w:pPr>
          </w:p>
        </w:tc>
      </w:tr>
      <w:tr>
        <w:trPr>
          <w:trHeight w:val="164"/>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FY2025</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FY2024</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FY2025 vs FY2024</w:t>
            </w:r>
          </w:p>
        </w:tc>
        <w:tc>
          <w:tcPr>
            <w:tcW w:w="700" w:type="dxa"/>
            <w:vAlign w:val="bottom"/>
          </w:tcPr>
          <w:p>
            <w:pPr>
              <w:spacing w:after="0"/>
              <w:rPr>
                <w:sz w:val="14"/>
                <w:szCs w:val="14"/>
                <w:color w:val="auto"/>
              </w:rPr>
            </w:pPr>
          </w:p>
        </w:tc>
      </w:tr>
      <w:tr>
        <w:trPr>
          <w:trHeight w:val="163"/>
        </w:trPr>
        <w:tc>
          <w:tcPr>
            <w:tcW w:w="5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20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40" w:type="dxa"/>
            <w:vAlign w:val="bottom"/>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6,791</w:t>
            </w:r>
          </w:p>
        </w:tc>
        <w:tc>
          <w:tcPr>
            <w:tcW w:w="140" w:type="dxa"/>
            <w:vAlign w:val="bottom"/>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6,750</w:t>
            </w:r>
          </w:p>
        </w:tc>
        <w:tc>
          <w:tcPr>
            <w:tcW w:w="160" w:type="dxa"/>
            <w:vAlign w:val="bottom"/>
          </w:tcPr>
          <w:p>
            <w:pPr>
              <w:spacing w:after="0"/>
              <w:rPr>
                <w:sz w:val="17"/>
                <w:szCs w:val="17"/>
                <w:color w:val="auto"/>
              </w:rPr>
            </w:pP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w:t>
            </w:r>
          </w:p>
        </w:tc>
        <w:tc>
          <w:tcPr>
            <w:tcW w:w="14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1 %</w:t>
            </w:r>
          </w:p>
        </w:tc>
      </w:tr>
      <w:tr>
        <w:trPr>
          <w:trHeight w:val="88"/>
        </w:trPr>
        <w:tc>
          <w:tcPr>
            <w:tcW w:w="540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203"/>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1,690</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1,651</w:t>
            </w:r>
          </w:p>
        </w:tc>
        <w:tc>
          <w:tcPr>
            <w:tcW w:w="160" w:type="dxa"/>
            <w:vAlign w:val="bottom"/>
          </w:tcPr>
          <w:p>
            <w:pPr>
              <w:spacing w:after="0"/>
              <w:rPr>
                <w:sz w:val="17"/>
                <w:szCs w:val="17"/>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w:t>
            </w:r>
          </w:p>
        </w:tc>
        <w:tc>
          <w:tcPr>
            <w:tcW w:w="14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2 %</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Gross margin</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24.9 %</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24.5 %</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+40bps</w:t>
            </w:r>
          </w:p>
        </w:tc>
      </w:tr>
      <w:tr>
        <w:trPr>
          <w:trHeight w:val="96"/>
        </w:trPr>
        <w:tc>
          <w:tcPr>
            <w:tcW w:w="540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03"/>
        </w:trPr>
        <w:tc>
          <w:tcPr>
            <w:tcW w:w="540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gross profit</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1,773</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1,709</w:t>
            </w:r>
          </w:p>
        </w:tc>
        <w:tc>
          <w:tcPr>
            <w:tcW w:w="160" w:type="dxa"/>
            <w:vAlign w:val="bottom"/>
          </w:tcPr>
          <w:p>
            <w:pPr>
              <w:spacing w:after="0"/>
              <w:rPr>
                <w:sz w:val="17"/>
                <w:szCs w:val="17"/>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w:t>
            </w:r>
          </w:p>
        </w:tc>
        <w:tc>
          <w:tcPr>
            <w:tcW w:w="14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4 %</w:t>
            </w:r>
          </w:p>
        </w:tc>
      </w:tr>
      <w:tr>
        <w:trPr>
          <w:trHeight w:val="252"/>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Non-IFRS gross margin</w:t>
            </w:r>
            <w:r>
              <w:rPr>
                <w:rFonts w:ascii="Arial" w:cs="Arial" w:eastAsia="Arial" w:hAnsi="Arial"/>
                <w:sz w:val="18"/>
                <w:szCs w:val="18"/>
                <w:i w:val="1"/>
                <w:iCs w:val="1"/>
                <w:color w:val="auto"/>
                <w:vertAlign w:val="superscript"/>
              </w:rPr>
              <w:t>(1)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26.1 %</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25.3 %</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+80bps</w:t>
            </w:r>
          </w:p>
        </w:tc>
      </w:tr>
      <w:tr>
        <w:trPr>
          <w:trHeight w:val="39"/>
        </w:trPr>
        <w:tc>
          <w:tcPr>
            <w:tcW w:w="54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3"/>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797</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(214)</w:t>
            </w:r>
          </w:p>
        </w:tc>
        <w:tc>
          <w:tcPr>
            <w:tcW w:w="160" w:type="dxa"/>
            <w:vAlign w:val="bottom"/>
          </w:tcPr>
          <w:p>
            <w:pPr>
              <w:spacing w:after="0"/>
              <w:rPr>
                <w:sz w:val="17"/>
                <w:szCs w:val="17"/>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1,011</w:t>
            </w:r>
          </w:p>
        </w:tc>
        <w:tc>
          <w:tcPr>
            <w:tcW w:w="14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472 %</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Operating margin</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11.7 %</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(3.2)%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+1,490bps</w:t>
            </w:r>
          </w:p>
        </w:tc>
      </w:tr>
      <w:tr>
        <w:trPr>
          <w:trHeight w:val="96"/>
        </w:trPr>
        <w:tc>
          <w:tcPr>
            <w:tcW w:w="540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03"/>
        </w:trPr>
        <w:tc>
          <w:tcPr>
            <w:tcW w:w="540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operating profit</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1,066</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920</w:t>
            </w:r>
          </w:p>
        </w:tc>
        <w:tc>
          <w:tcPr>
            <w:tcW w:w="160" w:type="dxa"/>
            <w:vAlign w:val="bottom"/>
          </w:tcPr>
          <w:p>
            <w:pPr>
              <w:spacing w:after="0"/>
              <w:rPr>
                <w:sz w:val="17"/>
                <w:szCs w:val="17"/>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146</w:t>
            </w:r>
          </w:p>
        </w:tc>
        <w:tc>
          <w:tcPr>
            <w:tcW w:w="14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r>
      <w:tr>
        <w:trPr>
          <w:trHeight w:val="252"/>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Non-IFRS operating margin</w:t>
            </w:r>
            <w:r>
              <w:rPr>
                <w:rFonts w:ascii="Arial" w:cs="Arial" w:eastAsia="Arial" w:hAnsi="Arial"/>
                <w:sz w:val="18"/>
                <w:szCs w:val="18"/>
                <w:i w:val="1"/>
                <w:iCs w:val="1"/>
                <w:color w:val="auto"/>
                <w:vertAlign w:val="superscript"/>
              </w:rPr>
              <w:t>(1)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15.7 %</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13.6 %</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+210bps</w:t>
            </w:r>
          </w:p>
        </w:tc>
      </w:tr>
      <w:tr>
        <w:trPr>
          <w:trHeight w:val="39"/>
        </w:trPr>
        <w:tc>
          <w:tcPr>
            <w:tcW w:w="54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3"/>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888</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(262)</w:t>
            </w:r>
          </w:p>
        </w:tc>
        <w:tc>
          <w:tcPr>
            <w:tcW w:w="160" w:type="dxa"/>
            <w:vAlign w:val="bottom"/>
          </w:tcPr>
          <w:p>
            <w:pPr>
              <w:spacing w:after="0"/>
              <w:rPr>
                <w:sz w:val="17"/>
                <w:szCs w:val="17"/>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1,150</w:t>
            </w:r>
          </w:p>
        </w:tc>
        <w:tc>
          <w:tcPr>
            <w:tcW w:w="14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439 %</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Net income (loss) margin</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13.1 %</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(3.9)%</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+1,700bps</w:t>
            </w:r>
          </w:p>
        </w:tc>
      </w:tr>
      <w:tr>
        <w:trPr>
          <w:trHeight w:val="96"/>
        </w:trPr>
        <w:tc>
          <w:tcPr>
            <w:tcW w:w="540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03"/>
        </w:trPr>
        <w:tc>
          <w:tcPr>
            <w:tcW w:w="540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net income</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965</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870</w:t>
            </w:r>
          </w:p>
        </w:tc>
        <w:tc>
          <w:tcPr>
            <w:tcW w:w="160" w:type="dxa"/>
            <w:vAlign w:val="bottom"/>
          </w:tcPr>
          <w:p>
            <w:pPr>
              <w:spacing w:after="0"/>
              <w:rPr>
                <w:sz w:val="17"/>
                <w:szCs w:val="17"/>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w:t>
            </w:r>
          </w:p>
        </w:tc>
        <w:tc>
          <w:tcPr>
            <w:tcW w:w="14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11 %</w:t>
            </w:r>
          </w:p>
        </w:tc>
      </w:tr>
      <w:tr>
        <w:trPr>
          <w:trHeight w:val="252"/>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Non-IFRS net income margin</w:t>
            </w:r>
            <w:r>
              <w:rPr>
                <w:rFonts w:ascii="Arial" w:cs="Arial" w:eastAsia="Arial" w:hAnsi="Arial"/>
                <w:sz w:val="18"/>
                <w:szCs w:val="18"/>
                <w:i w:val="1"/>
                <w:iCs w:val="1"/>
                <w:color w:val="auto"/>
                <w:vertAlign w:val="superscript"/>
              </w:rPr>
              <w:t>(1)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14.2 %</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12.9 %</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+130bps</w:t>
            </w:r>
          </w:p>
        </w:tc>
      </w:tr>
      <w:tr>
        <w:trPr>
          <w:trHeight w:val="39"/>
        </w:trPr>
        <w:tc>
          <w:tcPr>
            <w:tcW w:w="54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3"/>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EPS</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1.59</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(0.48)</w:t>
            </w:r>
          </w:p>
        </w:tc>
        <w:tc>
          <w:tcPr>
            <w:tcW w:w="160" w:type="dxa"/>
            <w:vAlign w:val="bottom"/>
          </w:tcPr>
          <w:p>
            <w:pPr>
              <w:spacing w:after="0"/>
              <w:rPr>
                <w:sz w:val="17"/>
                <w:szCs w:val="17"/>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2.07</w:t>
            </w:r>
          </w:p>
        </w:tc>
        <w:tc>
          <w:tcPr>
            <w:tcW w:w="14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431 %</w:t>
            </w:r>
          </w:p>
        </w:tc>
      </w:tr>
      <w:tr>
        <w:trPr>
          <w:trHeight w:val="88"/>
        </w:trPr>
        <w:tc>
          <w:tcPr>
            <w:tcW w:w="540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203"/>
        </w:trPr>
        <w:tc>
          <w:tcPr>
            <w:tcW w:w="540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diluted EPS</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1.72</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1.56</w:t>
            </w:r>
          </w:p>
        </w:tc>
        <w:tc>
          <w:tcPr>
            <w:tcW w:w="160" w:type="dxa"/>
            <w:vAlign w:val="bottom"/>
          </w:tcPr>
          <w:p>
            <w:pPr>
              <w:spacing w:after="0"/>
              <w:rPr>
                <w:sz w:val="17"/>
                <w:szCs w:val="17"/>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0.16</w:t>
            </w:r>
          </w:p>
        </w:tc>
        <w:tc>
          <w:tcPr>
            <w:tcW w:w="14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10 %</w:t>
            </w:r>
          </w:p>
        </w:tc>
      </w:tr>
      <w:tr>
        <w:trPr>
          <w:trHeight w:val="88"/>
        </w:trPr>
        <w:tc>
          <w:tcPr>
            <w:tcW w:w="540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203"/>
        </w:trPr>
        <w:tc>
          <w:tcPr>
            <w:tcW w:w="540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adjusted EBITDA</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2,357</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2,475</w:t>
            </w:r>
          </w:p>
        </w:tc>
        <w:tc>
          <w:tcPr>
            <w:tcW w:w="160" w:type="dxa"/>
            <w:vAlign w:val="bottom"/>
          </w:tcPr>
          <w:p>
            <w:pPr>
              <w:spacing w:after="0"/>
              <w:rPr>
                <w:sz w:val="17"/>
                <w:szCs w:val="17"/>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(118)</w:t>
            </w:r>
          </w:p>
        </w:tc>
        <w:tc>
          <w:tcPr>
            <w:tcW w:w="14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r>
      <w:tr>
        <w:trPr>
          <w:trHeight w:val="252"/>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Non-IFRS adjusted EBITDA margin</w:t>
            </w:r>
            <w:r>
              <w:rPr>
                <w:rFonts w:ascii="Arial" w:cs="Arial" w:eastAsia="Arial" w:hAnsi="Arial"/>
                <w:sz w:val="18"/>
                <w:szCs w:val="18"/>
                <w:i w:val="1"/>
                <w:iCs w:val="1"/>
                <w:color w:val="auto"/>
                <w:vertAlign w:val="superscript"/>
              </w:rPr>
              <w:t>(1)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34.7 %</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36.7 %</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(200)bps</w:t>
            </w:r>
          </w:p>
        </w:tc>
      </w:tr>
      <w:tr>
        <w:trPr>
          <w:trHeight w:val="39"/>
        </w:trPr>
        <w:tc>
          <w:tcPr>
            <w:tcW w:w="54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3"/>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1,731</w:t>
            </w:r>
          </w:p>
        </w:tc>
        <w:tc>
          <w:tcPr>
            <w:tcW w:w="14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1,722</w:t>
            </w:r>
          </w:p>
        </w:tc>
        <w:tc>
          <w:tcPr>
            <w:tcW w:w="160" w:type="dxa"/>
            <w:vAlign w:val="bottom"/>
          </w:tcPr>
          <w:p>
            <w:pPr>
              <w:spacing w:after="0"/>
              <w:rPr>
                <w:sz w:val="17"/>
                <w:szCs w:val="17"/>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w:t>
            </w:r>
          </w:p>
        </w:tc>
        <w:tc>
          <w:tcPr>
            <w:tcW w:w="14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1 %</w:t>
            </w:r>
          </w:p>
        </w:tc>
      </w:tr>
      <w:tr>
        <w:trPr>
          <w:trHeight w:val="88"/>
        </w:trPr>
        <w:tc>
          <w:tcPr>
            <w:tcW w:w="54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0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Wafer shipments (300mm equivalent) (in thousands)</w:t>
            </w:r>
          </w:p>
        </w:tc>
        <w:tc>
          <w:tcPr>
            <w:tcW w:w="14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2,345</w:t>
            </w:r>
          </w:p>
        </w:tc>
        <w:tc>
          <w:tcPr>
            <w:tcW w:w="14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2,124</w:t>
            </w:r>
          </w:p>
        </w:tc>
        <w:tc>
          <w:tcPr>
            <w:tcW w:w="16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221</w:t>
            </w:r>
          </w:p>
        </w:tc>
        <w:tc>
          <w:tcPr>
            <w:tcW w:w="14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10 %</w:t>
            </w:r>
          </w:p>
        </w:tc>
      </w:tr>
    </w:tbl>
    <w:p>
      <w:pPr>
        <w:spacing w:after="0" w:line="320" w:lineRule="exact"/>
        <w:rPr>
          <w:sz w:val="20"/>
          <w:szCs w:val="20"/>
          <w:color w:val="auto"/>
        </w:rPr>
      </w:pPr>
    </w:p>
    <w:p>
      <w:pPr>
        <w:ind w:left="300" w:right="140" w:hanging="170"/>
        <w:spacing w:after="0" w:line="236" w:lineRule="auto"/>
        <w:tabs>
          <w:tab w:leader="none" w:pos="276"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13</w:t>
      </w:r>
    </w:p>
    <w:p>
      <w:pPr>
        <w:sectPr>
          <w:pgSz w:w="11900" w:h="16838" w:orient="portrait"/>
          <w:cols w:equalWidth="0" w:num="1">
            <w:col w:w="11160"/>
          </w:cols>
          <w:pgMar w:left="360" w:top="1417"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of First Quarter 2026 Guidance</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b w:val="1"/>
          <w:bCs w:val="1"/>
          <w:color w:val="auto"/>
        </w:rPr>
        <w:t>Unaudited, in millions, except per share amounts)</w:t>
      </w: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2860" w:type="dxa"/>
            <w:vAlign w:val="bottom"/>
            <w:vMerge w:val="restart"/>
          </w:tcPr>
          <w:p>
            <w:pPr>
              <w:ind w:left="1480"/>
              <w:spacing w:after="0"/>
              <w:rPr>
                <w:sz w:val="20"/>
                <w:szCs w:val="20"/>
                <w:color w:val="auto"/>
              </w:rPr>
            </w:pPr>
            <w:r>
              <w:rPr>
                <w:rFonts w:ascii="Arial" w:cs="Arial" w:eastAsia="Arial" w:hAnsi="Arial"/>
                <w:sz w:val="16"/>
                <w:szCs w:val="16"/>
                <w:b w:val="1"/>
                <w:bCs w:val="1"/>
                <w:color w:val="auto"/>
              </w:rPr>
              <w:t>IFRS</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9"/>
              </w:rPr>
              <w:t>Share-based</w:t>
            </w:r>
          </w:p>
        </w:tc>
        <w:tc>
          <w:tcPr>
            <w:tcW w:w="2140" w:type="dxa"/>
            <w:vAlign w:val="bottom"/>
          </w:tcPr>
          <w:p>
            <w:pPr>
              <w:jc w:val="right"/>
              <w:ind w:right="450"/>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vMerge w:val="continue"/>
          </w:tcPr>
          <w:p>
            <w:pPr>
              <w:spacing w:after="0"/>
              <w:rPr>
                <w:sz w:val="19"/>
                <w:szCs w:val="19"/>
                <w:color w:val="auto"/>
              </w:rPr>
            </w:pPr>
          </w:p>
        </w:tc>
        <w:tc>
          <w:tcPr>
            <w:tcW w:w="2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8"/>
              </w:rPr>
              <w:t>compensation</w:t>
            </w:r>
            <w:r>
              <w:rPr>
                <w:rFonts w:ascii="Arial" w:cs="Arial" w:eastAsia="Arial" w:hAnsi="Arial"/>
                <w:sz w:val="21"/>
                <w:szCs w:val="21"/>
                <w:b w:val="1"/>
                <w:bCs w:val="1"/>
                <w:color w:val="auto"/>
                <w:w w:val="98"/>
                <w:vertAlign w:val="superscript"/>
              </w:rPr>
              <w:t>(3)</w:t>
            </w:r>
          </w:p>
        </w:tc>
        <w:tc>
          <w:tcPr>
            <w:tcW w:w="214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Non-IFRS</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2860" w:type="dxa"/>
            <w:vAlign w:val="bottom"/>
            <w:shd w:val="clear" w:color="auto" w:fill="CCEEFF"/>
          </w:tcPr>
          <w:p>
            <w:pPr>
              <w:jc w:val="center"/>
              <w:ind w:left="407"/>
              <w:spacing w:after="0"/>
              <w:rPr>
                <w:sz w:val="20"/>
                <w:szCs w:val="20"/>
                <w:color w:val="auto"/>
              </w:rPr>
            </w:pPr>
            <w:r>
              <w:rPr>
                <w:rFonts w:ascii="Arial" w:cs="Arial" w:eastAsia="Arial" w:hAnsi="Arial"/>
                <w:sz w:val="14"/>
                <w:szCs w:val="14"/>
                <w:b w:val="1"/>
                <w:bCs w:val="1"/>
                <w:color w:val="auto"/>
              </w:rPr>
              <w:t>$1,625 ± $25</w:t>
            </w:r>
          </w:p>
        </w:tc>
        <w:tc>
          <w:tcPr>
            <w:tcW w:w="25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ind w:left="120"/>
              <w:spacing w:after="0" w:line="202" w:lineRule="exact"/>
              <w:rPr>
                <w:sz w:val="20"/>
                <w:szCs w:val="20"/>
                <w:color w:val="auto"/>
              </w:rPr>
            </w:pPr>
            <w:r>
              <w:rPr>
                <w:rFonts w:ascii="Arial" w:cs="Arial" w:eastAsia="Arial" w:hAnsi="Arial"/>
                <w:sz w:val="14"/>
                <w:szCs w:val="14"/>
                <w:i w:val="1"/>
                <w:iCs w:val="1"/>
                <w:color w:val="auto"/>
              </w:rPr>
              <w:t>Gross margin</w:t>
            </w:r>
            <w:r>
              <w:rPr>
                <w:rFonts w:ascii="Arial" w:cs="Arial" w:eastAsia="Arial" w:hAnsi="Arial"/>
                <w:sz w:val="18"/>
                <w:szCs w:val="18"/>
                <w:i w:val="1"/>
                <w:iCs w:val="1"/>
                <w:color w:val="auto"/>
                <w:vertAlign w:val="superscript"/>
              </w:rPr>
              <w:t>(2)</w:t>
            </w:r>
          </w:p>
        </w:tc>
        <w:tc>
          <w:tcPr>
            <w:tcW w:w="2860" w:type="dxa"/>
            <w:vAlign w:val="bottom"/>
          </w:tcPr>
          <w:p>
            <w:pPr>
              <w:jc w:val="center"/>
              <w:ind w:left="407"/>
              <w:spacing w:after="0"/>
              <w:rPr>
                <w:sz w:val="20"/>
                <w:szCs w:val="20"/>
                <w:color w:val="auto"/>
              </w:rPr>
            </w:pPr>
            <w:r>
              <w:rPr>
                <w:rFonts w:ascii="Arial" w:cs="Arial" w:eastAsia="Arial" w:hAnsi="Arial"/>
                <w:sz w:val="14"/>
                <w:szCs w:val="14"/>
                <w:i w:val="1"/>
                <w:iCs w:val="1"/>
                <w:color w:val="auto"/>
              </w:rPr>
              <w:t>26.0% ± 100bps</w:t>
            </w:r>
          </w:p>
        </w:tc>
        <w:tc>
          <w:tcPr>
            <w:tcW w:w="2560" w:type="dxa"/>
            <w:vAlign w:val="bottom"/>
          </w:tcPr>
          <w:p>
            <w:pPr>
              <w:jc w:val="center"/>
              <w:spacing w:after="0"/>
              <w:rPr>
                <w:sz w:val="20"/>
                <w:szCs w:val="20"/>
                <w:color w:val="auto"/>
              </w:rPr>
            </w:pPr>
            <w:r>
              <w:rPr>
                <w:rFonts w:ascii="Arial" w:cs="Arial" w:eastAsia="Arial" w:hAnsi="Arial"/>
                <w:sz w:val="14"/>
                <w:szCs w:val="14"/>
                <w:i w:val="1"/>
                <w:iCs w:val="1"/>
                <w:color w:val="auto"/>
              </w:rPr>
              <w:t>~100bps</w:t>
            </w:r>
          </w:p>
        </w:tc>
        <w:tc>
          <w:tcPr>
            <w:tcW w:w="2140" w:type="dxa"/>
            <w:vAlign w:val="bottom"/>
          </w:tcPr>
          <w:p>
            <w:pPr>
              <w:jc w:val="center"/>
              <w:ind w:left="190"/>
              <w:spacing w:after="0"/>
              <w:rPr>
                <w:sz w:val="20"/>
                <w:szCs w:val="20"/>
                <w:color w:val="auto"/>
              </w:rPr>
            </w:pPr>
            <w:r>
              <w:rPr>
                <w:rFonts w:ascii="Arial" w:cs="Arial" w:eastAsia="Arial" w:hAnsi="Arial"/>
                <w:sz w:val="14"/>
                <w:szCs w:val="14"/>
                <w:i w:val="1"/>
                <w:iCs w:val="1"/>
                <w:color w:val="auto"/>
              </w:rPr>
              <w:t>27.0% ± 100bps</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Operating expenses</w:t>
            </w:r>
            <w:r>
              <w:rPr>
                <w:rFonts w:ascii="Arial" w:cs="Arial" w:eastAsia="Arial" w:hAnsi="Arial"/>
                <w:sz w:val="18"/>
                <w:szCs w:val="18"/>
                <w:b w:val="1"/>
                <w:bCs w:val="1"/>
                <w:color w:val="auto"/>
                <w:vertAlign w:val="superscript"/>
              </w:rPr>
              <w:t>(2)</w:t>
            </w:r>
          </w:p>
        </w:tc>
        <w:tc>
          <w:tcPr>
            <w:tcW w:w="2860" w:type="dxa"/>
            <w:vAlign w:val="bottom"/>
            <w:shd w:val="clear" w:color="auto" w:fill="CCEEFF"/>
          </w:tcPr>
          <w:p>
            <w:pPr>
              <w:jc w:val="center"/>
              <w:ind w:left="407"/>
              <w:spacing w:after="0"/>
              <w:rPr>
                <w:sz w:val="20"/>
                <w:szCs w:val="20"/>
                <w:color w:val="auto"/>
              </w:rPr>
            </w:pPr>
            <w:r>
              <w:rPr>
                <w:rFonts w:ascii="Arial" w:cs="Arial" w:eastAsia="Arial" w:hAnsi="Arial"/>
                <w:sz w:val="14"/>
                <w:szCs w:val="14"/>
                <w:b w:val="1"/>
                <w:bCs w:val="1"/>
                <w:color w:val="auto"/>
                <w:w w:val="99"/>
              </w:rPr>
              <w:t>$272 ± $10</w:t>
            </w:r>
          </w:p>
        </w:tc>
        <w:tc>
          <w:tcPr>
            <w:tcW w:w="25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~$47</w:t>
            </w:r>
          </w:p>
        </w:tc>
        <w:tc>
          <w:tcPr>
            <w:tcW w:w="2140" w:type="dxa"/>
            <w:vAlign w:val="bottom"/>
            <w:shd w:val="clear" w:color="auto" w:fill="CCEEFF"/>
          </w:tcPr>
          <w:p>
            <w:pPr>
              <w:jc w:val="center"/>
              <w:ind w:left="190"/>
              <w:spacing w:after="0"/>
              <w:rPr>
                <w:sz w:val="20"/>
                <w:szCs w:val="20"/>
                <w:color w:val="auto"/>
              </w:rPr>
            </w:pPr>
            <w:r>
              <w:rPr>
                <w:rFonts w:ascii="Arial" w:cs="Arial" w:eastAsia="Arial" w:hAnsi="Arial"/>
                <w:sz w:val="14"/>
                <w:szCs w:val="14"/>
                <w:b w:val="1"/>
                <w:bCs w:val="1"/>
                <w:color w:val="auto"/>
              </w:rPr>
              <w:t>$225 ± $10</w:t>
            </w:r>
          </w:p>
        </w:tc>
        <w:tc>
          <w:tcPr>
            <w:tcW w:w="0" w:type="dxa"/>
            <w:vAlign w:val="bottom"/>
          </w:tcPr>
          <w:p>
            <w:pPr>
              <w:spacing w:after="0"/>
              <w:rPr>
                <w:sz w:val="1"/>
                <w:szCs w:val="1"/>
                <w:color w:val="auto"/>
              </w:rPr>
            </w:pPr>
          </w:p>
        </w:tc>
      </w:tr>
      <w:tr>
        <w:trPr>
          <w:trHeight w:val="203"/>
        </w:trPr>
        <w:tc>
          <w:tcPr>
            <w:tcW w:w="2940" w:type="dxa"/>
            <w:vAlign w:val="bottom"/>
          </w:tcPr>
          <w:p>
            <w:pPr>
              <w:ind w:left="120"/>
              <w:spacing w:after="0" w:line="202" w:lineRule="exact"/>
              <w:rPr>
                <w:sz w:val="20"/>
                <w:szCs w:val="20"/>
                <w:color w:val="auto"/>
              </w:rPr>
            </w:pPr>
            <w:r>
              <w:rPr>
                <w:rFonts w:ascii="Arial" w:cs="Arial" w:eastAsia="Arial" w:hAnsi="Arial"/>
                <w:sz w:val="14"/>
                <w:szCs w:val="14"/>
                <w:i w:val="1"/>
                <w:iCs w:val="1"/>
                <w:color w:val="auto"/>
              </w:rPr>
              <w:t>Operating margin</w:t>
            </w:r>
            <w:r>
              <w:rPr>
                <w:rFonts w:ascii="Arial" w:cs="Arial" w:eastAsia="Arial" w:hAnsi="Arial"/>
                <w:sz w:val="18"/>
                <w:szCs w:val="18"/>
                <w:i w:val="1"/>
                <w:iCs w:val="1"/>
                <w:color w:val="auto"/>
                <w:vertAlign w:val="superscript"/>
              </w:rPr>
              <w:t>(2)</w:t>
            </w:r>
          </w:p>
        </w:tc>
        <w:tc>
          <w:tcPr>
            <w:tcW w:w="2860" w:type="dxa"/>
            <w:vAlign w:val="bottom"/>
          </w:tcPr>
          <w:p>
            <w:pPr>
              <w:jc w:val="center"/>
              <w:ind w:left="407"/>
              <w:spacing w:after="0"/>
              <w:rPr>
                <w:sz w:val="20"/>
                <w:szCs w:val="20"/>
                <w:color w:val="auto"/>
              </w:rPr>
            </w:pPr>
            <w:r>
              <w:rPr>
                <w:rFonts w:ascii="Arial" w:cs="Arial" w:eastAsia="Arial" w:hAnsi="Arial"/>
                <w:sz w:val="14"/>
                <w:szCs w:val="14"/>
                <w:i w:val="1"/>
                <w:iCs w:val="1"/>
                <w:color w:val="auto"/>
              </w:rPr>
              <w:t>9.3% ± 190bps</w:t>
            </w:r>
          </w:p>
        </w:tc>
        <w:tc>
          <w:tcPr>
            <w:tcW w:w="2560" w:type="dxa"/>
            <w:vAlign w:val="bottom"/>
          </w:tcPr>
          <w:p>
            <w:pPr>
              <w:jc w:val="center"/>
              <w:spacing w:after="0"/>
              <w:rPr>
                <w:sz w:val="20"/>
                <w:szCs w:val="20"/>
                <w:color w:val="auto"/>
              </w:rPr>
            </w:pPr>
            <w:r>
              <w:rPr>
                <w:rFonts w:ascii="Arial" w:cs="Arial" w:eastAsia="Arial" w:hAnsi="Arial"/>
                <w:sz w:val="14"/>
                <w:szCs w:val="14"/>
                <w:i w:val="1"/>
                <w:iCs w:val="1"/>
                <w:color w:val="auto"/>
              </w:rPr>
              <w:t>~390bps</w:t>
            </w:r>
          </w:p>
        </w:tc>
        <w:tc>
          <w:tcPr>
            <w:tcW w:w="2140" w:type="dxa"/>
            <w:vAlign w:val="bottom"/>
          </w:tcPr>
          <w:p>
            <w:pPr>
              <w:jc w:val="center"/>
              <w:ind w:left="190"/>
              <w:spacing w:after="0"/>
              <w:rPr>
                <w:sz w:val="20"/>
                <w:szCs w:val="20"/>
                <w:color w:val="auto"/>
              </w:rPr>
            </w:pPr>
            <w:r>
              <w:rPr>
                <w:rFonts w:ascii="Arial" w:cs="Arial" w:eastAsia="Arial" w:hAnsi="Arial"/>
                <w:sz w:val="14"/>
                <w:szCs w:val="14"/>
                <w:i w:val="1"/>
                <w:iCs w:val="1"/>
                <w:color w:val="auto"/>
              </w:rPr>
              <w:t>13.2% ± 180bps</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Diluted EPS</w:t>
            </w:r>
            <w:r>
              <w:rPr>
                <w:rFonts w:ascii="Arial" w:cs="Arial" w:eastAsia="Arial" w:hAnsi="Arial"/>
                <w:sz w:val="18"/>
                <w:szCs w:val="18"/>
                <w:b w:val="1"/>
                <w:bCs w:val="1"/>
                <w:color w:val="auto"/>
                <w:vertAlign w:val="superscript"/>
              </w:rPr>
              <w:t>(2)(4)</w:t>
            </w:r>
          </w:p>
        </w:tc>
        <w:tc>
          <w:tcPr>
            <w:tcW w:w="2860" w:type="dxa"/>
            <w:vAlign w:val="bottom"/>
            <w:shd w:val="clear" w:color="auto" w:fill="CCEEFF"/>
          </w:tcPr>
          <w:p>
            <w:pPr>
              <w:jc w:val="center"/>
              <w:ind w:left="407"/>
              <w:spacing w:after="0"/>
              <w:rPr>
                <w:sz w:val="20"/>
                <w:szCs w:val="20"/>
                <w:color w:val="auto"/>
              </w:rPr>
            </w:pPr>
            <w:r>
              <w:rPr>
                <w:rFonts w:ascii="Arial" w:cs="Arial" w:eastAsia="Arial" w:hAnsi="Arial"/>
                <w:sz w:val="14"/>
                <w:szCs w:val="14"/>
                <w:b w:val="1"/>
                <w:bCs w:val="1"/>
                <w:color w:val="auto"/>
              </w:rPr>
              <w:t>$0.23 ± $0.05</w:t>
            </w:r>
          </w:p>
        </w:tc>
        <w:tc>
          <w:tcPr>
            <w:tcW w:w="25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~$0.12</w:t>
            </w:r>
          </w:p>
        </w:tc>
        <w:tc>
          <w:tcPr>
            <w:tcW w:w="2140" w:type="dxa"/>
            <w:vAlign w:val="bottom"/>
            <w:shd w:val="clear" w:color="auto" w:fill="CCEEFF"/>
          </w:tcPr>
          <w:p>
            <w:pPr>
              <w:jc w:val="center"/>
              <w:ind w:left="190"/>
              <w:spacing w:after="0"/>
              <w:rPr>
                <w:sz w:val="20"/>
                <w:szCs w:val="20"/>
                <w:color w:val="auto"/>
              </w:rPr>
            </w:pPr>
            <w:r>
              <w:rPr>
                <w:rFonts w:ascii="Arial" w:cs="Arial" w:eastAsia="Arial" w:hAnsi="Arial"/>
                <w:sz w:val="14"/>
                <w:szCs w:val="14"/>
                <w:b w:val="1"/>
                <w:bCs w:val="1"/>
                <w:color w:val="auto"/>
              </w:rPr>
              <w:t>$0.35 ± $0.05</w:t>
            </w:r>
          </w:p>
        </w:tc>
        <w:tc>
          <w:tcPr>
            <w:tcW w:w="0" w:type="dxa"/>
            <w:vAlign w:val="bottom"/>
          </w:tcPr>
          <w:p>
            <w:pPr>
              <w:spacing w:after="0"/>
              <w:rPr>
                <w:sz w:val="1"/>
                <w:szCs w:val="1"/>
                <w:color w:val="auto"/>
              </w:rPr>
            </w:pPr>
          </w:p>
        </w:tc>
      </w:tr>
      <w:tr>
        <w:trPr>
          <w:trHeight w:val="200"/>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Fully Diluted Share Count</w:t>
            </w:r>
          </w:p>
        </w:tc>
        <w:tc>
          <w:tcPr>
            <w:tcW w:w="2860" w:type="dxa"/>
            <w:vAlign w:val="bottom"/>
          </w:tcPr>
          <w:p>
            <w:pPr>
              <w:jc w:val="center"/>
              <w:ind w:left="407"/>
              <w:spacing w:after="0"/>
              <w:rPr>
                <w:sz w:val="20"/>
                <w:szCs w:val="20"/>
                <w:color w:val="auto"/>
              </w:rPr>
            </w:pPr>
            <w:r>
              <w:rPr>
                <w:rFonts w:ascii="Arial" w:cs="Arial" w:eastAsia="Arial" w:hAnsi="Arial"/>
                <w:sz w:val="14"/>
                <w:szCs w:val="14"/>
                <w:b w:val="1"/>
                <w:bCs w:val="1"/>
                <w:color w:val="auto"/>
              </w:rPr>
              <w:t>~560</w:t>
            </w:r>
          </w:p>
        </w:tc>
        <w:tc>
          <w:tcPr>
            <w:tcW w:w="25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80" w:hanging="172"/>
        <w:spacing w:after="0" w:line="226"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The Guidance provided contains forward-looking statements as defined in the U.S. Private Securities Litigation Act of 1995, and is subject to the safe harbors created therein. The Guidance includes management's beliefs and assumptions and is based on information that is available as of the date of this release.</w:t>
      </w:r>
    </w:p>
    <w:p>
      <w:pPr>
        <w:spacing w:after="0" w:line="90" w:lineRule="exact"/>
        <w:rPr>
          <w:rFonts w:ascii="Arial" w:cs="Arial" w:eastAsia="Arial" w:hAnsi="Arial"/>
          <w:sz w:val="16"/>
          <w:szCs w:val="16"/>
          <w:color w:val="auto"/>
          <w:vertAlign w:val="superscript"/>
        </w:rPr>
      </w:pPr>
    </w:p>
    <w:p>
      <w:pPr>
        <w:jc w:val="both"/>
        <w:ind w:left="180" w:hanging="172"/>
        <w:spacing w:after="0" w:line="230"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Non-IFRS gross margin, Non-IFRS operating expenses, Non-IFRS operating margin and Non-IFRS diluted EPS are Non-IFRS measures and, for purposes of the Guidance only, are defined as gross profit as a percent of revenue, operating profit as a percent of revenue, operating expenses and diluted EPS, all before share-based compensation, respectively. See "Financial Measures (Non-IFRS)" for further discussion on these Non-IFRS measures and why we believe they are useful.</w:t>
      </w:r>
    </w:p>
    <w:p>
      <w:pPr>
        <w:spacing w:after="0" w:line="104" w:lineRule="exact"/>
        <w:rPr>
          <w:rFonts w:ascii="Arial" w:cs="Arial" w:eastAsia="Arial" w:hAnsi="Arial"/>
          <w:sz w:val="16"/>
          <w:szCs w:val="16"/>
          <w:color w:val="auto"/>
          <w:vertAlign w:val="superscript"/>
        </w:rPr>
      </w:pPr>
    </w:p>
    <w:p>
      <w:pPr>
        <w:ind w:left="180" w:right="20" w:hanging="172"/>
        <w:spacing w:after="0" w:line="226"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We expect share-based compensation of $16 million and $47 million in cost of revenue and operating expenses, respectively. The Non-IFRS margin impacts are calculated by dividing share-based compensation by net revenue, and the Non-IFRS diluted EPS impact is calculated by dividing share-based compensation by the fully diluted share count.</w:t>
      </w:r>
    </w:p>
    <w:p>
      <w:pPr>
        <w:spacing w:after="0" w:line="77" w:lineRule="exact"/>
        <w:rPr>
          <w:rFonts w:ascii="Arial" w:cs="Arial" w:eastAsia="Arial" w:hAnsi="Arial"/>
          <w:sz w:val="16"/>
          <w:szCs w:val="16"/>
          <w:color w:val="auto"/>
          <w:vertAlign w:val="superscript"/>
        </w:rPr>
      </w:pPr>
    </w:p>
    <w:p>
      <w:pPr>
        <w:ind w:left="180" w:right="20" w:hanging="172"/>
        <w:spacing w:after="0" w:line="206"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Included in IFRS and Non-IFRS diluted EPS is net interest income (expense) and other income (expense) which we estimate will be between $2 million and $10 million for the first quarter 2026. Also included in IFRS and Non-IFRS diluted EPS is income tax expense which we estimate will be between $17 million and $35 million for the first quarter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 of 13</w:t>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 in millions,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508"/>
              <w:spacing w:after="0"/>
              <w:rPr>
                <w:sz w:val="20"/>
                <w:szCs w:val="20"/>
                <w:color w:val="auto"/>
              </w:rPr>
            </w:pPr>
            <w:r>
              <w:rPr>
                <w:rFonts w:ascii="Arial" w:cs="Arial" w:eastAsia="Arial" w:hAnsi="Arial"/>
                <w:sz w:val="14"/>
                <w:szCs w:val="14"/>
                <w:b w:val="1"/>
                <w:bCs w:val="1"/>
                <w:color w:val="auto"/>
              </w:rPr>
              <w:t>Year Ended</w:t>
            </w:r>
          </w:p>
        </w:tc>
      </w:tr>
      <w:tr>
        <w:trPr>
          <w:trHeight w:val="223"/>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2024</w:t>
            </w:r>
          </w:p>
        </w:tc>
      </w:tr>
      <w:tr>
        <w:trPr>
          <w:trHeight w:val="257"/>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0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1,830</w:t>
            </w:r>
          </w:p>
        </w:tc>
        <w:tc>
          <w:tcPr>
            <w:tcW w:w="10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1,830</w:t>
            </w:r>
          </w:p>
        </w:tc>
        <w:tc>
          <w:tcPr>
            <w:tcW w:w="100" w:type="dxa"/>
            <w:vAlign w:val="bottom"/>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6,750</w:t>
            </w: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5,099</w:t>
            </w:r>
          </w:p>
        </w:tc>
      </w:tr>
      <w:tr>
        <w:trPr>
          <w:trHeight w:val="20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449</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1,690</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1,651</w:t>
            </w:r>
          </w:p>
        </w:tc>
      </w:tr>
      <w:tr>
        <w:trPr>
          <w:trHeight w:val="178"/>
        </w:trPr>
        <w:tc>
          <w:tcPr>
            <w:tcW w:w="31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w:t>
            </w:r>
          </w:p>
        </w:tc>
      </w:tr>
      <w:tr>
        <w:trPr>
          <w:trHeight w:val="20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1,150</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893</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1,865</w:t>
            </w:r>
          </w:p>
        </w:tc>
      </w:tr>
      <w:tr>
        <w:trPr>
          <w:trHeight w:val="195"/>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255</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(701)</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797</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(214)</w:t>
            </w: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income (expense), net</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95"/>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(729)</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888</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(262)</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Shareholders of GLOBALFOUNDRIES Inc.</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01"/>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EPS: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Diluted</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0.36</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(1.32)</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1.59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(0.48)</w:t>
            </w: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used in EPS calculation:</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553</w:t>
            </w: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6 of 13</w:t>
      </w:r>
    </w:p>
    <w:p>
      <w:pPr>
        <w:sectPr>
          <w:pgSz w:w="11900" w:h="16838" w:orient="portrait"/>
          <w:cols w:equalWidth="0" w:num="1">
            <w:col w:w="11160"/>
          </w:cols>
          <w:pgMar w:left="360" w:top="1417"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Financial Position</w:t>
      </w:r>
    </w:p>
    <w:p>
      <w:pPr>
        <w:jc w:val="center"/>
        <w:ind w:right="20"/>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As of</w:t>
            </w:r>
          </w:p>
        </w:tc>
        <w:tc>
          <w:tcPr>
            <w:tcW w:w="2000" w:type="dxa"/>
            <w:vAlign w:val="bottom"/>
            <w:tcBorders>
              <w:bottom w:val="single" w:sz="8" w:color="auto"/>
            </w:tcBorders>
          </w:tcPr>
          <w:p>
            <w:pPr>
              <w:spacing w:after="0"/>
              <w:rPr>
                <w:sz w:val="17"/>
                <w:szCs w:val="17"/>
                <w:color w:val="auto"/>
              </w:rPr>
            </w:pPr>
          </w:p>
        </w:tc>
      </w:tr>
      <w:tr>
        <w:trPr>
          <w:trHeight w:val="204"/>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December 31, 2024</w:t>
            </w:r>
          </w:p>
        </w:tc>
      </w:tr>
      <w:tr>
        <w:trPr>
          <w:trHeight w:val="458"/>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2,192</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1,194</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Receivables, prepayments and other</w:t>
            </w: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1,406</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1,624</w:t>
            </w:r>
          </w:p>
        </w:tc>
      </w:tr>
      <w:tr>
        <w:trPr>
          <w:trHeight w:val="20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6,205</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6,416</w:t>
            </w:r>
          </w:p>
        </w:tc>
      </w:tr>
      <w:tr>
        <w:trPr>
          <w:trHeight w:val="192"/>
        </w:trPr>
        <w:tc>
          <w:tcPr>
            <w:tcW w:w="63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7,223</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7,762</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and intangible assets, net</w:t>
            </w: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660</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839</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w:t>
            </w: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498</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624</w:t>
            </w:r>
          </w:p>
        </w:tc>
      </w:tr>
      <w:tr>
        <w:trPr>
          <w:trHeight w:val="20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10,936</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10,383</w:t>
            </w:r>
          </w:p>
        </w:tc>
      </w:tr>
      <w:tr>
        <w:trPr>
          <w:trHeight w:val="19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17,141</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ind w:right="8"/>
              <w:spacing w:after="0"/>
              <w:rPr>
                <w:sz w:val="20"/>
                <w:szCs w:val="20"/>
                <w:color w:val="auto"/>
              </w:rPr>
            </w:pPr>
            <w:r>
              <w:rPr>
                <w:rFonts w:ascii="Arial" w:cs="Arial" w:eastAsia="Arial" w:hAnsi="Arial"/>
                <w:sz w:val="14"/>
                <w:szCs w:val="14"/>
                <w:b w:val="1"/>
                <w:bCs w:val="1"/>
                <w:color w:val="auto"/>
              </w:rPr>
              <w:t>16,799</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Current portion of long-term debt</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86</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753</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2,291</w:t>
            </w:r>
          </w:p>
        </w:tc>
      </w:tr>
      <w:tr>
        <w:trPr>
          <w:trHeight w:val="19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2,368</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ind w:right="8"/>
              <w:spacing w:after="0"/>
              <w:rPr>
                <w:sz w:val="20"/>
                <w:szCs w:val="20"/>
                <w:color w:val="auto"/>
              </w:rPr>
            </w:pPr>
            <w:r>
              <w:rPr>
                <w:rFonts w:ascii="Arial" w:cs="Arial" w:eastAsia="Arial" w:hAnsi="Arial"/>
                <w:sz w:val="14"/>
                <w:szCs w:val="14"/>
                <w:b w:val="1"/>
                <w:bCs w:val="1"/>
                <w:color w:val="auto"/>
              </w:rPr>
              <w:t>3,044</w:t>
            </w:r>
          </w:p>
        </w:tc>
      </w:tr>
      <w:tr>
        <w:trPr>
          <w:trHeight w:val="197"/>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portion of long-term debt</w:t>
            </w:r>
          </w:p>
        </w:tc>
        <w:tc>
          <w:tcPr>
            <w:tcW w:w="100" w:type="dxa"/>
            <w:vAlign w:val="bottom"/>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1,053</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Non-current portion of lease obligations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424</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1,454</w:t>
            </w:r>
          </w:p>
        </w:tc>
      </w:tr>
      <w:tr>
        <w:trPr>
          <w:trHeight w:val="19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2,790</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ind w:right="8"/>
              <w:spacing w:after="0"/>
              <w:rPr>
                <w:sz w:val="20"/>
                <w:szCs w:val="20"/>
                <w:color w:val="auto"/>
              </w:rPr>
            </w:pPr>
            <w:r>
              <w:rPr>
                <w:rFonts w:ascii="Arial" w:cs="Arial" w:eastAsia="Arial" w:hAnsi="Arial"/>
                <w:sz w:val="14"/>
                <w:szCs w:val="14"/>
                <w:b w:val="1"/>
                <w:bCs w:val="1"/>
                <w:color w:val="auto"/>
              </w:rPr>
              <w:t>2,931</w:t>
            </w:r>
          </w:p>
        </w:tc>
      </w:tr>
      <w:tr>
        <w:trPr>
          <w:trHeight w:val="197"/>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5,158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5,975</w:t>
            </w:r>
          </w:p>
        </w:tc>
      </w:tr>
      <w:tr>
        <w:trPr>
          <w:trHeight w:val="182"/>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 additional paid-in capital</w:t>
            </w:r>
          </w:p>
        </w:tc>
        <w:tc>
          <w:tcPr>
            <w:tcW w:w="100" w:type="dxa"/>
            <w:vAlign w:val="bottom"/>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24,231</w:t>
            </w:r>
          </w:p>
        </w:tc>
        <w:tc>
          <w:tcPr>
            <w:tcW w:w="100" w:type="dxa"/>
            <w:vAlign w:val="bottom"/>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24,025</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(12,381)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(13,266)</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r>
      <w:tr>
        <w:trPr>
          <w:trHeight w:val="22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17,141</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16,799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7 of 13</w:t>
      </w:r>
    </w:p>
    <w:p>
      <w:pPr>
        <w:sectPr>
          <w:pgSz w:w="11900" w:h="16838" w:orient="portrait"/>
          <w:cols w:equalWidth="0" w:num="1">
            <w:col w:w="11180"/>
          </w:cols>
          <w:pgMar w:left="360" w:top="1417" w:right="359" w:bottom="1440" w:gutter="0" w:footer="0" w:header="0"/>
          <w:type w:val="continuous"/>
        </w:sectPr>
      </w:pPr>
    </w:p>
    <w:bookmarkStart w:id="9" w:name="page10"/>
    <w:bookmarkEnd w:id="9"/>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Year Ended</w:t>
            </w:r>
          </w:p>
        </w:tc>
      </w:tr>
      <w:tr>
        <w:trPr>
          <w:trHeight w:val="153"/>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r>
        <w:trPr>
          <w:trHeight w:val="458"/>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(729)</w:t>
            </w:r>
          </w:p>
        </w:tc>
        <w:tc>
          <w:tcPr>
            <w:tcW w:w="8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888</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(262)</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1,568</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(income) expense, net and other</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935</w:t>
            </w: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Net change in working capital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non-cash operating activities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95"/>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374</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457</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1,731</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1,722</w:t>
            </w:r>
          </w:p>
        </w:tc>
      </w:tr>
      <w:tr>
        <w:trPr>
          <w:trHeight w:val="251"/>
        </w:trPr>
        <w:tc>
          <w:tcPr>
            <w:tcW w:w="5080" w:type="dxa"/>
            <w:vAlign w:val="bottom"/>
            <w:tcBorders>
              <w:top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 and intangible assets</w:t>
            </w:r>
          </w:p>
        </w:tc>
        <w:tc>
          <w:tcPr>
            <w:tcW w:w="10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Acquisitions, net of cash acquired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government grants</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Proceeds from the sale of property, plant and equipment and intangible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purchases of marketable securities</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19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investing activities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(527)</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w:t>
            </w: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(1,274)</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(1,125)</w:t>
            </w:r>
          </w:p>
        </w:tc>
      </w:tr>
      <w:tr>
        <w:trPr>
          <w:trHeight w:val="251"/>
        </w:trPr>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Proceeds from issuance of equity instruments, net of taxes paid</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9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(repayment) of debt, net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w:t>
            </w:r>
          </w:p>
        </w:tc>
      </w:tr>
      <w:tr>
        <w:trPr>
          <w:trHeight w:val="20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(452)</w:t>
            </w: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(845)</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(785)</w:t>
            </w:r>
          </w:p>
        </w:tc>
      </w:tr>
      <w:tr>
        <w:trPr>
          <w:trHeight w:val="19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0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w:t>
            </w:r>
          </w:p>
        </w:tc>
        <w:tc>
          <w:tcPr>
            <w:tcW w:w="10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8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w:t>
            </w:r>
          </w:p>
        </w:tc>
      </w:tr>
      <w:tr>
        <w:trPr>
          <w:trHeight w:val="19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the beginning of the period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w:t>
            </w:r>
          </w:p>
        </w:tc>
      </w:tr>
      <w:tr>
        <w:trPr>
          <w:trHeight w:val="19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1,809</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2,192</w:t>
            </w: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1,809</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 of 13</w:t>
      </w:r>
    </w:p>
    <w:p>
      <w:pPr>
        <w:sectPr>
          <w:pgSz w:w="11900" w:h="16838" w:orient="portrait"/>
          <w:cols w:equalWidth="0" w:num="1">
            <w:col w:w="11240"/>
          </w:cols>
          <w:pgMar w:left="320" w:top="1440" w:right="339" w:bottom="1440" w:gutter="0" w:footer="0" w:header="0"/>
        </w:sectPr>
      </w:pPr>
    </w:p>
    <w:bookmarkStart w:id="10" w:name="page11"/>
    <w:bookmarkEnd w:id="10"/>
    <w:p>
      <w:pPr>
        <w:jc w:val="center"/>
        <w:ind w:right="-159"/>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Reconciliation of IFRS to Non-IFRS</w:t>
      </w:r>
    </w:p>
    <w:p>
      <w:pPr>
        <w:ind w:left="3900"/>
        <w:spacing w:after="0"/>
        <w:rPr>
          <w:sz w:val="20"/>
          <w:szCs w:val="20"/>
          <w:color w:val="auto"/>
        </w:rPr>
      </w:pPr>
      <w:r>
        <w:rPr>
          <w:rFonts w:ascii="Arial" w:cs="Arial" w:eastAsia="Arial" w:hAnsi="Arial"/>
          <w:sz w:val="14"/>
          <w:szCs w:val="14"/>
          <w:b w:val="1"/>
          <w:bCs w:val="1"/>
          <w:color w:val="auto"/>
        </w:rPr>
        <w:t>(Unaudited, in millions, except per share amounts)</w:t>
      </w:r>
    </w:p>
    <w:p>
      <w:pPr>
        <w:spacing w:after="0" w:line="136"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Three Months Ended December 31,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vMerge w:val="restart"/>
          </w:tcPr>
          <w:p>
            <w:pPr>
              <w:jc w:val="center"/>
              <w:ind w:right="140"/>
              <w:spacing w:after="0"/>
              <w:rPr>
                <w:sz w:val="20"/>
                <w:szCs w:val="20"/>
                <w:color w:val="auto"/>
              </w:rPr>
            </w:pPr>
            <w:r>
              <w:rPr>
                <w:rFonts w:ascii="Arial" w:cs="Arial" w:eastAsia="Arial" w:hAnsi="Arial"/>
                <w:sz w:val="13"/>
                <w:szCs w:val="13"/>
                <w:b w:val="1"/>
                <w:bCs w:val="1"/>
                <w:color w:val="auto"/>
              </w:rPr>
              <w:t>Selling, General &amp;</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Research &amp;</w:t>
            </w: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rPr>
              <w:t>Income tax</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restart"/>
          </w:tcPr>
          <w:p>
            <w:pPr>
              <w:jc w:val="right"/>
              <w:ind w:right="48"/>
              <w:spacing w:after="0" w:line="135" w:lineRule="exact"/>
              <w:rPr>
                <w:sz w:val="20"/>
                <w:szCs w:val="20"/>
                <w:color w:val="auto"/>
              </w:rPr>
            </w:pPr>
            <w:r>
              <w:rPr>
                <w:rFonts w:ascii="Arial" w:cs="Arial" w:eastAsia="Arial" w:hAnsi="Arial"/>
                <w:sz w:val="13"/>
                <w:szCs w:val="13"/>
                <w:b w:val="1"/>
                <w:bCs w:val="1"/>
                <w:color w:val="auto"/>
              </w:rPr>
              <w:t>Gross profit</w:t>
            </w: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8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Operating profit</w:t>
            </w: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rPr>
              <w:t>(expense)</w:t>
            </w: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3"/>
                <w:szCs w:val="13"/>
                <w:b w:val="1"/>
                <w:bCs w:val="1"/>
                <w:color w:val="auto"/>
              </w:rPr>
              <w:t>Net income</w:t>
            </w: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Administrative</w:t>
            </w:r>
          </w:p>
        </w:tc>
        <w:tc>
          <w:tcPr>
            <w:tcW w:w="140" w:type="dxa"/>
            <w:vAlign w:val="bottom"/>
          </w:tcPr>
          <w:p>
            <w:pPr>
              <w:spacing w:after="0"/>
              <w:rPr>
                <w:sz w:val="5"/>
                <w:szCs w:val="5"/>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Development</w:t>
            </w: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benefit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right w:val="single" w:sz="8" w:color="CCEEFF"/>
            </w:tcBorders>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508</w:t>
            </w:r>
          </w:p>
        </w:tc>
        <w:tc>
          <w:tcPr>
            <w:tcW w:w="100" w:type="dxa"/>
            <w:vAlign w:val="bottom"/>
            <w:tcBorders>
              <w:right w:val="single" w:sz="8" w:color="CCEEFF"/>
            </w:tcBorders>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right w:val="single" w:sz="8" w:color="CCEEFF"/>
            </w:tcBorders>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120" w:type="dxa"/>
            <w:vAlign w:val="bottom"/>
            <w:tcBorders>
              <w:right w:val="single" w:sz="8" w:color="CCEEFF"/>
            </w:tcBorders>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255</w:t>
            </w: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w:t>
            </w:r>
          </w:p>
        </w:tc>
        <w:tc>
          <w:tcPr>
            <w:tcW w:w="120" w:type="dxa"/>
            <w:vAlign w:val="bottom"/>
            <w:tcBorders>
              <w:right w:val="single" w:sz="8" w:color="CCEEFF"/>
            </w:tcBorders>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200</w:t>
            </w:r>
          </w:p>
        </w:tc>
        <w:tc>
          <w:tcPr>
            <w:tcW w:w="140" w:type="dxa"/>
            <w:vAlign w:val="bottom"/>
            <w:tcBorders>
              <w:right w:val="single" w:sz="8" w:color="CCEEFF"/>
            </w:tcBorders>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0.36</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27.8 %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13.9 %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10.9 %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0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w:t>
            </w:r>
          </w:p>
        </w:tc>
        <w:tc>
          <w:tcPr>
            <w:tcW w:w="100" w:type="dxa"/>
            <w:vAlign w:val="bottom"/>
            <w:tcBorders>
              <w:righ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righ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CCEEFF"/>
            </w:tcBorders>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w w:val="93"/>
              </w:rPr>
              <w:t>(1)</w:t>
            </w:r>
          </w:p>
        </w:tc>
        <w:tc>
          <w:tcPr>
            <w:tcW w:w="12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w:t>
            </w:r>
          </w:p>
        </w:tc>
        <w:tc>
          <w:tcPr>
            <w:tcW w:w="140" w:type="dxa"/>
            <w:vAlign w:val="bottom"/>
            <w:tcBorders>
              <w:righ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Structural optimization</w:t>
            </w:r>
            <w:r>
              <w:rPr>
                <w:rFonts w:ascii="Arial" w:cs="Arial" w:eastAsia="Arial" w:hAnsi="Arial"/>
                <w:sz w:val="17"/>
                <w:szCs w:val="17"/>
                <w:color w:val="auto"/>
                <w:vertAlign w:val="superscript"/>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Amortization of acquired</w:t>
            </w:r>
          </w:p>
        </w:tc>
        <w:tc>
          <w:tcPr>
            <w:tcW w:w="10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righ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CCEEFF"/>
            </w:tcBorders>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center"/>
              <w:ind w:left="609"/>
              <w:spacing w:after="0"/>
              <w:rPr>
                <w:sz w:val="20"/>
                <w:szCs w:val="20"/>
                <w:color w:val="auto"/>
              </w:rPr>
            </w:pPr>
            <w:r>
              <w:rPr>
                <w:rFonts w:ascii="Arial" w:cs="Arial" w:eastAsia="Arial" w:hAnsi="Arial"/>
                <w:sz w:val="14"/>
                <w:szCs w:val="14"/>
                <w:color w:val="auto"/>
                <w:w w:val="93"/>
              </w:rPr>
              <w:t>(2)</w:t>
            </w:r>
          </w:p>
        </w:tc>
        <w:tc>
          <w:tcPr>
            <w:tcW w:w="12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16</w:t>
            </w:r>
          </w:p>
        </w:tc>
        <w:tc>
          <w:tcPr>
            <w:tcW w:w="140" w:type="dxa"/>
            <w:vAlign w:val="bottom"/>
            <w:tcBorders>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intangibles and other</w:t>
            </w:r>
          </w:p>
        </w:tc>
        <w:tc>
          <w:tcPr>
            <w:tcW w:w="10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tcBorders>
              <w:righ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tcBorders>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related charges</w:t>
            </w:r>
          </w:p>
        </w:tc>
        <w:tc>
          <w:tcPr>
            <w:tcW w:w="100" w:type="dxa"/>
            <w:vAlign w:val="bottom"/>
            <w:tcBorders>
              <w:right w:val="single" w:sz="8" w:color="CCEEFF"/>
            </w:tcBorders>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right w:val="single" w:sz="8" w:color="CCEEFF"/>
            </w:tcBorders>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80" w:type="dxa"/>
            <w:vAlign w:val="bottom"/>
          </w:tcPr>
          <w:p>
            <w:pPr>
              <w:ind w:left="20"/>
              <w:spacing w:after="0" w:line="136" w:lineRule="exact"/>
              <w:rPr>
                <w:sz w:val="20"/>
                <w:szCs w:val="20"/>
                <w:color w:val="auto"/>
              </w:rPr>
            </w:pPr>
            <w:r>
              <w:rPr>
                <w:rFonts w:ascii="Arial" w:cs="Arial" w:eastAsia="Arial" w:hAnsi="Arial"/>
                <w:sz w:val="13"/>
                <w:szCs w:val="13"/>
                <w:color w:val="auto"/>
              </w:rPr>
              <w:t>Revaluation of equity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center"/>
              <w:ind w:left="48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13"/>
        </w:trPr>
        <w:tc>
          <w:tcPr>
            <w:tcW w:w="1880" w:type="dxa"/>
            <w:vAlign w:val="bottom"/>
            <w:vMerge w:val="restart"/>
          </w:tcPr>
          <w:p>
            <w:pPr>
              <w:ind w:left="20"/>
              <w:spacing w:after="0"/>
              <w:rPr>
                <w:sz w:val="20"/>
                <w:szCs w:val="20"/>
                <w:color w:val="auto"/>
              </w:rPr>
            </w:pPr>
            <w:r>
              <w:rPr>
                <w:rFonts w:ascii="Arial" w:cs="Arial" w:eastAsia="Arial" w:hAnsi="Arial"/>
                <w:sz w:val="13"/>
                <w:szCs w:val="13"/>
                <w:color w:val="auto"/>
              </w:rPr>
              <w:t>investments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matters</w:t>
            </w:r>
            <w:r>
              <w:rPr>
                <w:rFonts w:ascii="Arial" w:cs="Arial" w:eastAsia="Arial" w:hAnsi="Arial"/>
                <w:sz w:val="17"/>
                <w:szCs w:val="17"/>
                <w:color w:val="auto"/>
                <w:vertAlign w:val="superscript"/>
              </w:rPr>
              <w:t>(3)</w:t>
            </w:r>
          </w:p>
        </w:tc>
        <w:tc>
          <w:tcPr>
            <w:tcW w:w="100" w:type="dxa"/>
            <w:vAlign w:val="bottom"/>
            <w:tcBorders>
              <w:right w:val="single" w:sz="8" w:color="CCEEFF"/>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w:t>
            </w:r>
          </w:p>
        </w:tc>
        <w:tc>
          <w:tcPr>
            <w:tcW w:w="120" w:type="dxa"/>
            <w:vAlign w:val="bottom"/>
            <w:tcBorders>
              <w:right w:val="single" w:sz="8" w:color="CCEEFF"/>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w:t>
            </w:r>
          </w:p>
        </w:tc>
        <w:tc>
          <w:tcPr>
            <w:tcW w:w="140" w:type="dxa"/>
            <w:vAlign w:val="bottom"/>
            <w:tcBorders>
              <w:right w:val="single" w:sz="8" w:color="CCEEFF"/>
            </w:tcBorders>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530</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2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335</w:t>
            </w: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ind w:left="48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310</w:t>
            </w:r>
          </w:p>
        </w:tc>
        <w:tc>
          <w:tcPr>
            <w:tcW w:w="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0.55</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100" w:type="dxa"/>
            <w:vAlign w:val="bottom"/>
            <w:tcBorders>
              <w:right w:val="single" w:sz="8" w:color="CCEEFF"/>
            </w:tcBorders>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29.0 %</w:t>
            </w:r>
          </w:p>
        </w:tc>
        <w:tc>
          <w:tcPr>
            <w:tcW w:w="100" w:type="dxa"/>
            <w:vAlign w:val="bottom"/>
            <w:tcBorders>
              <w:right w:val="single" w:sz="8" w:color="CCEEFF"/>
            </w:tcBorders>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18.3 %</w:t>
            </w: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16.9 %</w:t>
            </w:r>
          </w:p>
        </w:tc>
        <w:tc>
          <w:tcPr>
            <w:tcW w:w="140" w:type="dxa"/>
            <w:vAlign w:val="bottom"/>
            <w:tcBorders>
              <w:right w:val="single" w:sz="8" w:color="CCEEFF"/>
            </w:tcBorders>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8"/>
          </w:tcPr>
          <w:p>
            <w:pPr>
              <w:jc w:val="center"/>
              <w:ind w:left="249"/>
              <w:spacing w:after="0"/>
              <w:rPr>
                <w:sz w:val="20"/>
                <w:szCs w:val="20"/>
                <w:color w:val="auto"/>
              </w:rPr>
            </w:pPr>
            <w:r>
              <w:rPr>
                <w:rFonts w:ascii="Arial" w:cs="Arial" w:eastAsia="Arial" w:hAnsi="Arial"/>
                <w:sz w:val="14"/>
                <w:szCs w:val="14"/>
                <w:b w:val="1"/>
                <w:bCs w:val="1"/>
                <w:color w:val="auto"/>
              </w:rPr>
              <w:t>Three Months Ended September 30, 2025</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rPr>
              <w:t>Selling, General &amp;</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Research &amp;</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Income tax</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restart"/>
          </w:tcPr>
          <w:p>
            <w:pPr>
              <w:jc w:val="right"/>
              <w:ind w:right="28"/>
              <w:spacing w:after="0" w:line="135" w:lineRule="exact"/>
              <w:rPr>
                <w:sz w:val="20"/>
                <w:szCs w:val="20"/>
                <w:color w:val="auto"/>
              </w:rPr>
            </w:pPr>
            <w:r>
              <w:rPr>
                <w:rFonts w:ascii="Arial" w:cs="Arial" w:eastAsia="Arial" w:hAnsi="Arial"/>
                <w:sz w:val="13"/>
                <w:szCs w:val="13"/>
                <w:b w:val="1"/>
                <w:bCs w:val="1"/>
                <w:color w:val="auto"/>
              </w:rPr>
              <w:t>Gross profit</w:t>
            </w: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Operating profit</w:t>
            </w: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5"/>
                <w:szCs w:val="5"/>
                <w:color w:val="auto"/>
              </w:rPr>
            </w:pPr>
          </w:p>
        </w:tc>
        <w:tc>
          <w:tcPr>
            <w:tcW w:w="9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rPr>
              <w:t>Net income</w:t>
            </w: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Administrative</w:t>
            </w:r>
          </w:p>
        </w:tc>
        <w:tc>
          <w:tcPr>
            <w:tcW w:w="140" w:type="dxa"/>
            <w:vAlign w:val="bottom"/>
          </w:tcPr>
          <w:p>
            <w:pPr>
              <w:spacing w:after="0"/>
              <w:rPr>
                <w:sz w:val="5"/>
                <w:szCs w:val="5"/>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Development</w:t>
            </w: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benefit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419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120" w:type="dxa"/>
            <w:vAlign w:val="bottom"/>
            <w:tcBorders>
              <w:left w:val="single" w:sz="8" w:color="CCEEFF"/>
            </w:tcBorders>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120" w:type="dxa"/>
            <w:vAlign w:val="bottom"/>
            <w:tcBorders>
              <w:left w:val="single" w:sz="8" w:color="CCEEFF"/>
            </w:tcBorders>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195</w:t>
            </w: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center"/>
              <w:ind w:left="609"/>
              <w:spacing w:after="0"/>
              <w:rPr>
                <w:sz w:val="20"/>
                <w:szCs w:val="20"/>
                <w:color w:val="auto"/>
              </w:rPr>
            </w:pPr>
            <w:r>
              <w:rPr>
                <w:rFonts w:ascii="Arial" w:cs="Arial" w:eastAsia="Arial" w:hAnsi="Arial"/>
                <w:sz w:val="14"/>
                <w:szCs w:val="14"/>
                <w:b w:val="1"/>
                <w:bCs w:val="1"/>
                <w:color w:val="auto"/>
              </w:rPr>
              <w:t>28</w:t>
            </w:r>
          </w:p>
        </w:tc>
        <w:tc>
          <w:tcPr>
            <w:tcW w:w="120" w:type="dxa"/>
            <w:vAlign w:val="bottom"/>
            <w:tcBorders>
              <w:left w:val="single" w:sz="8" w:color="CCEEFF"/>
            </w:tcBorders>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249</w:t>
            </w:r>
          </w:p>
        </w:tc>
        <w:tc>
          <w:tcPr>
            <w:tcW w:w="140" w:type="dxa"/>
            <w:vAlign w:val="bottom"/>
            <w:tcBorders>
              <w:left w:val="single" w:sz="8" w:color="CCEEFF"/>
              <w:right w:val="single" w:sz="8" w:color="CCEEFF"/>
            </w:tcBorders>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0.44</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24.8 %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11.6 %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14.8 %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lef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left w:val="single" w:sz="8" w:color="CCEEFF"/>
            </w:tcBorders>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5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lef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w:t>
            </w:r>
          </w:p>
        </w:tc>
        <w:tc>
          <w:tcPr>
            <w:tcW w:w="140" w:type="dxa"/>
            <w:vAlign w:val="bottom"/>
            <w:tcBorders>
              <w:left w:val="single" w:sz="8" w:color="CCEEFF"/>
              <w:righ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Structural optimization</w:t>
            </w:r>
            <w:r>
              <w:rPr>
                <w:rFonts w:ascii="Arial" w:cs="Arial" w:eastAsia="Arial" w:hAnsi="Arial"/>
                <w:sz w:val="17"/>
                <w:szCs w:val="17"/>
                <w:color w:val="auto"/>
                <w:vertAlign w:val="superscript"/>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left="3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Amortization of acquired</w:t>
            </w:r>
          </w:p>
        </w:tc>
        <w:tc>
          <w:tcPr>
            <w:tcW w:w="10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lef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left w:val="single" w:sz="8" w:color="CCEEFF"/>
            </w:tcBorders>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center"/>
              <w:ind w:left="6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40" w:type="dxa"/>
            <w:vAlign w:val="bottom"/>
            <w:tcBorders>
              <w:left w:val="single" w:sz="8" w:color="CCEEFF"/>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intangibles and other</w:t>
            </w:r>
          </w:p>
        </w:tc>
        <w:tc>
          <w:tcPr>
            <w:tcW w:w="10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tcBorders>
              <w:left w:val="single" w:sz="8" w:color="CCEEFF"/>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related charges</w:t>
            </w:r>
          </w:p>
        </w:tc>
        <w:tc>
          <w:tcPr>
            <w:tcW w:w="10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80" w:type="dxa"/>
            <w:vAlign w:val="bottom"/>
          </w:tcPr>
          <w:p>
            <w:pPr>
              <w:ind w:left="20"/>
              <w:spacing w:after="0" w:line="136" w:lineRule="exact"/>
              <w:rPr>
                <w:sz w:val="20"/>
                <w:szCs w:val="20"/>
                <w:color w:val="auto"/>
              </w:rPr>
            </w:pPr>
            <w:r>
              <w:rPr>
                <w:rFonts w:ascii="Arial" w:cs="Arial" w:eastAsia="Arial" w:hAnsi="Arial"/>
                <w:sz w:val="13"/>
                <w:szCs w:val="13"/>
                <w:color w:val="auto"/>
              </w:rPr>
              <w:t>Revaluation of equity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left="4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13"/>
        </w:trPr>
        <w:tc>
          <w:tcPr>
            <w:tcW w:w="1880" w:type="dxa"/>
            <w:vAlign w:val="bottom"/>
            <w:vMerge w:val="restart"/>
          </w:tcPr>
          <w:p>
            <w:pPr>
              <w:ind w:left="20"/>
              <w:spacing w:after="0"/>
              <w:rPr>
                <w:sz w:val="20"/>
                <w:szCs w:val="20"/>
                <w:color w:val="auto"/>
              </w:rPr>
            </w:pPr>
            <w:r>
              <w:rPr>
                <w:rFonts w:ascii="Arial" w:cs="Arial" w:eastAsia="Arial" w:hAnsi="Arial"/>
                <w:sz w:val="13"/>
                <w:szCs w:val="13"/>
                <w:color w:val="auto"/>
              </w:rPr>
              <w:t>investments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matters</w:t>
            </w:r>
            <w:r>
              <w:rPr>
                <w:rFonts w:ascii="Arial" w:cs="Arial" w:eastAsia="Arial" w:hAnsi="Arial"/>
                <w:sz w:val="17"/>
                <w:szCs w:val="17"/>
                <w:color w:val="auto"/>
                <w:vertAlign w:val="superscript"/>
              </w:rPr>
              <w:t>(3)</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5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left w:val="single" w:sz="8" w:color="CCEEFF"/>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40" w:type="dxa"/>
            <w:vAlign w:val="bottom"/>
            <w:tcBorders>
              <w:left w:val="single" w:sz="8" w:color="CCEEFF"/>
              <w:right w:val="single" w:sz="8" w:color="CCEEFF"/>
            </w:tcBorders>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439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2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260</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38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232</w:t>
            </w:r>
          </w:p>
        </w:tc>
        <w:tc>
          <w:tcPr>
            <w:tcW w:w="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0.41</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100" w:type="dxa"/>
            <w:vAlign w:val="bottom"/>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26.0 %</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15.4 %</w:t>
            </w: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13.7 %</w:t>
            </w:r>
          </w:p>
        </w:tc>
        <w:tc>
          <w:tcPr>
            <w:tcW w:w="140" w:type="dxa"/>
            <w:vAlign w:val="bottom"/>
            <w:tcBorders>
              <w:left w:val="single" w:sz="8" w:color="CCEEFF"/>
              <w:right w:val="single" w:sz="8" w:color="CCEEFF"/>
            </w:tcBorders>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8"/>
          </w:tcPr>
          <w:p>
            <w:pPr>
              <w:jc w:val="center"/>
              <w:ind w:left="249"/>
              <w:spacing w:after="0"/>
              <w:rPr>
                <w:sz w:val="20"/>
                <w:szCs w:val="20"/>
                <w:color w:val="auto"/>
              </w:rPr>
            </w:pPr>
            <w:r>
              <w:rPr>
                <w:rFonts w:ascii="Arial" w:cs="Arial" w:eastAsia="Arial" w:hAnsi="Arial"/>
                <w:sz w:val="14"/>
                <w:szCs w:val="14"/>
                <w:b w:val="1"/>
                <w:bCs w:val="1"/>
                <w:color w:val="auto"/>
              </w:rPr>
              <w:t>Three Months Ended December 31, 2024</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rPr>
              <w:t>Selling, General &amp;</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Research &amp;</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Income tax</w:t>
            </w:r>
          </w:p>
        </w:tc>
        <w:tc>
          <w:tcPr>
            <w:tcW w:w="10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Net income</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restart"/>
          </w:tcPr>
          <w:p>
            <w:pPr>
              <w:jc w:val="right"/>
              <w:ind w:right="28"/>
              <w:spacing w:after="0" w:line="135" w:lineRule="exact"/>
              <w:rPr>
                <w:sz w:val="20"/>
                <w:szCs w:val="20"/>
                <w:color w:val="auto"/>
              </w:rPr>
            </w:pPr>
            <w:r>
              <w:rPr>
                <w:rFonts w:ascii="Arial" w:cs="Arial" w:eastAsia="Arial" w:hAnsi="Arial"/>
                <w:sz w:val="13"/>
                <w:szCs w:val="13"/>
                <w:b w:val="1"/>
                <w:bCs w:val="1"/>
                <w:color w:val="auto"/>
              </w:rPr>
              <w:t>Gross profit</w:t>
            </w: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Operating profit</w:t>
            </w: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40" w:type="dxa"/>
            <w:vAlign w:val="bottom"/>
            <w:gridSpan w:val="2"/>
            <w:vMerge w:val="restart"/>
          </w:tcPr>
          <w:p>
            <w:pPr>
              <w:jc w:val="right"/>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Administrative</w:t>
            </w:r>
          </w:p>
        </w:tc>
        <w:tc>
          <w:tcPr>
            <w:tcW w:w="140" w:type="dxa"/>
            <w:vAlign w:val="bottom"/>
          </w:tcPr>
          <w:p>
            <w:pPr>
              <w:spacing w:after="0"/>
              <w:rPr>
                <w:sz w:val="5"/>
                <w:szCs w:val="5"/>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Development</w:t>
            </w: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(loss)</w:t>
            </w: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rPr>
              <w:t>benefit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Borders>
              <w:bottom w:val="single" w:sz="8" w:color="CCEEFF"/>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w:t>
            </w:r>
          </w:p>
        </w:tc>
        <w:tc>
          <w:tcPr>
            <w:tcW w:w="120" w:type="dxa"/>
            <w:vAlign w:val="bottom"/>
            <w:tcBorders>
              <w:left w:val="single" w:sz="8" w:color="CCEEFF"/>
            </w:tcBorders>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w:t>
            </w:r>
          </w:p>
        </w:tc>
        <w:tc>
          <w:tcPr>
            <w:tcW w:w="120" w:type="dxa"/>
            <w:vAlign w:val="bottom"/>
            <w:tcBorders>
              <w:left w:val="single" w:sz="8" w:color="CCEEFF"/>
            </w:tcBorders>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(701)</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Borders>
              <w:left w:val="single" w:sz="8" w:color="CCEEFF"/>
            </w:tcBorders>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(729)</w:t>
            </w:r>
          </w:p>
        </w:tc>
        <w:tc>
          <w:tcPr>
            <w:tcW w:w="140" w:type="dxa"/>
            <w:vAlign w:val="bottom"/>
            <w:tcBorders>
              <w:left w:val="single" w:sz="8" w:color="CCEEFF"/>
            </w:tcBorders>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24.5 %</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(38.3)%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(39.8)%</w:t>
            </w: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lef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left w:val="single" w:sz="8" w:color="CCEEFF"/>
            </w:tcBorders>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5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w:t>
            </w:r>
          </w:p>
        </w:tc>
        <w:tc>
          <w:tcPr>
            <w:tcW w:w="140" w:type="dxa"/>
            <w:vAlign w:val="bottom"/>
            <w:tcBorders>
              <w:lef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Structural optimization</w:t>
            </w:r>
            <w:r>
              <w:rPr>
                <w:rFonts w:ascii="Arial" w:cs="Arial" w:eastAsia="Arial" w:hAnsi="Arial"/>
                <w:sz w:val="17"/>
                <w:szCs w:val="17"/>
                <w:color w:val="auto"/>
                <w:vertAlign w:val="superscript"/>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left="3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center"/>
              <w:ind w:left="4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Amortization of acquired</w:t>
            </w:r>
          </w:p>
        </w:tc>
        <w:tc>
          <w:tcPr>
            <w:tcW w:w="10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left w:val="single" w:sz="8" w:color="CCEEFF"/>
            </w:tcBorders>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ind w:left="5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center"/>
              <w:ind w:left="6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40" w:type="dxa"/>
            <w:vAlign w:val="bottom"/>
            <w:tcBorders>
              <w:lef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intangibles and other</w:t>
            </w:r>
          </w:p>
        </w:tc>
        <w:tc>
          <w:tcPr>
            <w:tcW w:w="10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tcBorders>
              <w:lef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related charges</w:t>
            </w:r>
          </w:p>
        </w:tc>
        <w:tc>
          <w:tcPr>
            <w:tcW w:w="10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8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left="3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center"/>
              <w:ind w:left="4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935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5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Borders>
              <w:lef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Income tax effect</w:t>
            </w:r>
            <w:r>
              <w:rPr>
                <w:rFonts w:ascii="Arial" w:cs="Arial" w:eastAsia="Arial" w:hAnsi="Arial"/>
                <w:sz w:val="17"/>
                <w:szCs w:val="17"/>
                <w:color w:val="auto"/>
                <w:vertAlign w:val="superscript"/>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center"/>
              <w:ind w:left="3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464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w:t>
            </w:r>
          </w:p>
        </w:tc>
        <w:tc>
          <w:tcPr>
            <w:tcW w:w="120" w:type="dxa"/>
            <w:vAlign w:val="bottom"/>
            <w:tcBorders>
              <w:left w:val="single" w:sz="8" w:color="CCEEFF"/>
            </w:tcBorders>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w:t>
            </w:r>
          </w:p>
        </w:tc>
        <w:tc>
          <w:tcPr>
            <w:tcW w:w="120" w:type="dxa"/>
            <w:vAlign w:val="bottom"/>
            <w:tcBorders>
              <w:left w:val="single" w:sz="8" w:color="CCEEFF"/>
            </w:tcBorders>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285</w:t>
            </w: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120" w:type="dxa"/>
            <w:vAlign w:val="bottom"/>
            <w:tcBorders>
              <w:left w:val="single" w:sz="8" w:color="CCEEFF"/>
            </w:tcBorders>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256</w:t>
            </w:r>
          </w:p>
        </w:tc>
        <w:tc>
          <w:tcPr>
            <w:tcW w:w="140" w:type="dxa"/>
            <w:vAlign w:val="bottom"/>
            <w:tcBorders>
              <w:left w:val="single" w:sz="8" w:color="CCEEFF"/>
            </w:tcBorders>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0.46</w:t>
            </w:r>
          </w:p>
        </w:tc>
        <w:tc>
          <w:tcPr>
            <w:tcW w:w="0" w:type="dxa"/>
            <w:vAlign w:val="bottom"/>
          </w:tcPr>
          <w:p>
            <w:pPr>
              <w:spacing w:after="0"/>
              <w:rPr>
                <w:sz w:val="1"/>
                <w:szCs w:val="1"/>
                <w:color w:val="auto"/>
              </w:rPr>
            </w:pPr>
          </w:p>
        </w:tc>
      </w:tr>
      <w:tr>
        <w:trPr>
          <w:trHeight w:val="235"/>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25.4 %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15.6 %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14.0 %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See "Financial Measures (Non-IFRS)" for further discussion on these Non-IFRS measures and why we believe they are useful.</w:t>
      </w:r>
    </w:p>
    <w:p>
      <w:pPr>
        <w:spacing w:after="0" w:line="7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Structural optimization represents costs associated with employee workforce reductions, manufacturing footprint alignment and liquidation charges.</w:t>
      </w:r>
    </w:p>
    <w:p>
      <w:pPr>
        <w:spacing w:after="0" w:line="7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Comprised of net non-cash deferred tax asset recognition and foreign exchange rate impact.</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(4 )</w:t>
      </w:r>
      <w:r>
        <w:rPr>
          <w:rFonts w:ascii="Arial" w:cs="Arial" w:eastAsia="Arial" w:hAnsi="Arial"/>
          <w:sz w:val="13"/>
          <w:szCs w:val="13"/>
          <w:color w:val="auto"/>
        </w:rPr>
        <w:t>Relates to restructuring charges, structural optimization and amortization of acquired intangibles and other acquisition related charges.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Page 9 of 13</w:t>
      </w:r>
    </w:p>
    <w:p>
      <w:pPr>
        <w:sectPr>
          <w:pgSz w:w="11900" w:h="16838" w:orient="portrait"/>
          <w:cols w:equalWidth="0" w:num="1">
            <w:col w:w="11080"/>
          </w:cols>
          <w:pgMar w:left="320" w:top="850" w:right="499" w:bottom="1440" w:gutter="0" w:footer="0" w:header="0"/>
        </w:sectPr>
      </w:pPr>
    </w:p>
    <w:bookmarkStart w:id="11" w:name="page12"/>
    <w:bookmarkEnd w:id="11"/>
    <w:p>
      <w:pPr>
        <w:jc w:val="center"/>
        <w:ind w:right="-159"/>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Reconciliation of IFRS to Non-IFRS</w:t>
      </w:r>
    </w:p>
    <w:p>
      <w:pPr>
        <w:ind w:left="3900"/>
        <w:spacing w:after="0"/>
        <w:rPr>
          <w:sz w:val="20"/>
          <w:szCs w:val="20"/>
          <w:color w:val="auto"/>
        </w:rPr>
      </w:pPr>
      <w:r>
        <w:rPr>
          <w:rFonts w:ascii="Arial" w:cs="Arial" w:eastAsia="Arial" w:hAnsi="Arial"/>
          <w:sz w:val="14"/>
          <w:szCs w:val="14"/>
          <w:b w:val="1"/>
          <w:bCs w:val="1"/>
          <w:color w:val="auto"/>
        </w:rPr>
        <w:t>(Unaudited, in millions, except per share amounts)</w:t>
      </w:r>
    </w:p>
    <w:p>
      <w:pPr>
        <w:spacing w:after="0" w:line="136"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Twelve Months Ended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rPr>
              <w:t>Selling, General &amp;</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center"/>
              <w:ind w:right="89"/>
              <w:spacing w:after="0"/>
              <w:rPr>
                <w:sz w:val="20"/>
                <w:szCs w:val="20"/>
                <w:color w:val="auto"/>
              </w:rPr>
            </w:pPr>
            <w:r>
              <w:rPr>
                <w:rFonts w:ascii="Arial" w:cs="Arial" w:eastAsia="Arial" w:hAnsi="Arial"/>
                <w:sz w:val="13"/>
                <w:szCs w:val="13"/>
                <w:b w:val="1"/>
                <w:bCs w:val="1"/>
                <w:color w:val="auto"/>
              </w:rPr>
              <w:t>Research &amp;</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rPr>
              <w:t>Income tax</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right"/>
              <w:ind w:right="28"/>
              <w:spacing w:after="0" w:line="135" w:lineRule="exact"/>
              <w:rPr>
                <w:sz w:val="20"/>
                <w:szCs w:val="20"/>
                <w:color w:val="auto"/>
              </w:rPr>
            </w:pPr>
            <w:r>
              <w:rPr>
                <w:rFonts w:ascii="Arial" w:cs="Arial" w:eastAsia="Arial" w:hAnsi="Arial"/>
                <w:sz w:val="13"/>
                <w:szCs w:val="13"/>
                <w:b w:val="1"/>
                <w:bCs w:val="1"/>
                <w:color w:val="auto"/>
              </w:rPr>
              <w:t>Gross profit</w:t>
            </w: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Operating profit</w:t>
            </w: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rPr>
              <w:t>(expense)</w:t>
            </w: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3"/>
                <w:szCs w:val="13"/>
                <w:b w:val="1"/>
                <w:bCs w:val="1"/>
                <w:color w:val="auto"/>
              </w:rPr>
              <w:t>Net income</w:t>
            </w: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restart"/>
          </w:tcPr>
          <w:p>
            <w:pPr>
              <w:jc w:val="center"/>
              <w:ind w:right="89"/>
              <w:spacing w:after="0"/>
              <w:rPr>
                <w:sz w:val="20"/>
                <w:szCs w:val="20"/>
                <w:color w:val="auto"/>
              </w:rPr>
            </w:pPr>
            <w:r>
              <w:rPr>
                <w:rFonts w:ascii="Arial" w:cs="Arial" w:eastAsia="Arial" w:hAnsi="Arial"/>
                <w:sz w:val="13"/>
                <w:szCs w:val="13"/>
                <w:b w:val="1"/>
                <w:bCs w:val="1"/>
                <w:color w:val="auto"/>
              </w:rPr>
              <w:t>Administrative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rPr>
              <w:t>Development</w:t>
            </w: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benefit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1,690</w:t>
            </w:r>
          </w:p>
        </w:tc>
        <w:tc>
          <w:tcPr>
            <w:tcW w:w="120" w:type="dxa"/>
            <w:vAlign w:val="bottom"/>
            <w:tcBorders>
              <w:bottom w:val="single" w:sz="8" w:color="auto"/>
              <w:right w:val="single" w:sz="8" w:color="CCEEFF"/>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797</w:t>
            </w:r>
          </w:p>
        </w:tc>
        <w:tc>
          <w:tcPr>
            <w:tcW w:w="10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48</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bottom w:val="single" w:sz="8" w:color="auto"/>
              <w:right w:val="single" w:sz="8" w:color="CCEEFF"/>
            </w:tcBorders>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888</w:t>
            </w:r>
          </w:p>
        </w:tc>
        <w:tc>
          <w:tcPr>
            <w:tcW w:w="140" w:type="dxa"/>
            <w:vAlign w:val="bottom"/>
            <w:tcBorders>
              <w:bottom w:val="single" w:sz="8" w:color="auto"/>
              <w:right w:val="single" w:sz="8" w:color="CCEEFF"/>
            </w:tcBorders>
          </w:tcPr>
          <w:p>
            <w:pPr>
              <w:spacing w:after="0"/>
              <w:rPr>
                <w:sz w:val="17"/>
                <w:szCs w:val="17"/>
                <w:color w:val="auto"/>
              </w:rPr>
            </w:pPr>
          </w:p>
        </w:tc>
        <w:tc>
          <w:tcPr>
            <w:tcW w:w="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24.9 %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11.7 %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13.1 %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w:t>
            </w:r>
          </w:p>
        </w:tc>
        <w:tc>
          <w:tcPr>
            <w:tcW w:w="120" w:type="dxa"/>
            <w:vAlign w:val="bottom"/>
            <w:tcBorders>
              <w:righ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205</w:t>
            </w:r>
          </w:p>
        </w:tc>
        <w:tc>
          <w:tcPr>
            <w:tcW w:w="10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w w:val="93"/>
              </w:rPr>
              <w:t>(7)</w:t>
            </w:r>
          </w:p>
        </w:tc>
        <w:tc>
          <w:tcPr>
            <w:tcW w:w="12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198</w:t>
            </w:r>
          </w:p>
        </w:tc>
        <w:tc>
          <w:tcPr>
            <w:tcW w:w="140" w:type="dxa"/>
            <w:vAlign w:val="bottom"/>
            <w:tcBorders>
              <w:righ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Structural optimization</w:t>
            </w:r>
            <w:r>
              <w:rPr>
                <w:rFonts w:ascii="Arial" w:cs="Arial" w:eastAsia="Arial" w:hAnsi="Arial"/>
                <w:sz w:val="17"/>
                <w:szCs w:val="17"/>
                <w:color w:val="auto"/>
                <w:vertAlign w:val="superscript"/>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left="609"/>
              <w:spacing w:after="0"/>
              <w:rPr>
                <w:sz w:val="20"/>
                <w:szCs w:val="20"/>
                <w:color w:val="auto"/>
              </w:rPr>
            </w:pPr>
            <w:r>
              <w:rPr>
                <w:rFonts w:ascii="Arial" w:cs="Arial" w:eastAsia="Arial" w:hAnsi="Arial"/>
                <w:sz w:val="14"/>
                <w:szCs w:val="14"/>
                <w:color w:val="auto"/>
                <w:w w:val="93"/>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Amortization of acquired</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2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intangibles and other</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0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tcBorders>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related charges</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right w:val="single" w:sz="8" w:color="CCEEFF"/>
            </w:tcBorders>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80" w:type="dxa"/>
            <w:vAlign w:val="bottom"/>
          </w:tcPr>
          <w:p>
            <w:pPr>
              <w:ind w:left="20"/>
              <w:spacing w:after="0" w:line="136" w:lineRule="exact"/>
              <w:rPr>
                <w:sz w:val="20"/>
                <w:szCs w:val="20"/>
                <w:color w:val="auto"/>
              </w:rPr>
            </w:pPr>
            <w:r>
              <w:rPr>
                <w:rFonts w:ascii="Arial" w:cs="Arial" w:eastAsia="Arial" w:hAnsi="Arial"/>
                <w:sz w:val="13"/>
                <w:szCs w:val="13"/>
                <w:color w:val="auto"/>
              </w:rPr>
              <w:t>Revaluation of equity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13"/>
        </w:trPr>
        <w:tc>
          <w:tcPr>
            <w:tcW w:w="1880" w:type="dxa"/>
            <w:vAlign w:val="bottom"/>
            <w:vMerge w:val="restart"/>
          </w:tcPr>
          <w:p>
            <w:pPr>
              <w:ind w:left="20"/>
              <w:spacing w:after="0"/>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8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Litigation matters</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CCEEFF"/>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w w:val="93"/>
              </w:rPr>
              <w:t>(1)</w:t>
            </w:r>
          </w:p>
        </w:tc>
        <w:tc>
          <w:tcPr>
            <w:tcW w:w="12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40" w:type="dxa"/>
            <w:vAlign w:val="bottom"/>
            <w:tcBorders>
              <w:right w:val="single" w:sz="8" w:color="CCEEFF"/>
            </w:tcBorders>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Tax matters</w:t>
            </w:r>
            <w:r>
              <w:rPr>
                <w:rFonts w:ascii="Arial" w:cs="Arial" w:eastAsia="Arial" w:hAnsi="Arial"/>
                <w:sz w:val="17"/>
                <w:szCs w:val="17"/>
                <w:color w:val="auto"/>
                <w:vertAlign w:val="superscript"/>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1,773</w:t>
            </w:r>
          </w:p>
        </w:tc>
        <w:tc>
          <w:tcPr>
            <w:tcW w:w="120" w:type="dxa"/>
            <w:vAlign w:val="bottom"/>
            <w:tcBorders>
              <w:right w:val="single" w:sz="8" w:color="CCEEFF"/>
            </w:tcBorders>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1,066</w:t>
            </w:r>
          </w:p>
        </w:tc>
        <w:tc>
          <w:tcPr>
            <w:tcW w:w="100" w:type="dxa"/>
            <w:vAlign w:val="bottom"/>
            <w:tcBorders>
              <w:right w:val="single" w:sz="8" w:color="CCEEFF"/>
            </w:tcBorders>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w:t>
            </w:r>
          </w:p>
        </w:tc>
        <w:tc>
          <w:tcPr>
            <w:tcW w:w="120" w:type="dxa"/>
            <w:vAlign w:val="bottom"/>
            <w:tcBorders>
              <w:right w:val="single" w:sz="8" w:color="CCEEFF"/>
            </w:tcBorders>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965</w:t>
            </w:r>
          </w:p>
        </w:tc>
        <w:tc>
          <w:tcPr>
            <w:tcW w:w="140" w:type="dxa"/>
            <w:vAlign w:val="bottom"/>
            <w:tcBorders>
              <w:right w:val="single" w:sz="8" w:color="CCEEFF"/>
            </w:tcBorders>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w:t>
            </w:r>
          </w:p>
        </w:tc>
        <w:tc>
          <w:tcPr>
            <w:tcW w:w="0" w:type="dxa"/>
            <w:vAlign w:val="bottom"/>
          </w:tcPr>
          <w:p>
            <w:pPr>
              <w:spacing w:after="0"/>
              <w:rPr>
                <w:sz w:val="1"/>
                <w:szCs w:val="1"/>
                <w:color w:val="auto"/>
              </w:rPr>
            </w:pPr>
          </w:p>
        </w:tc>
      </w:tr>
      <w:tr>
        <w:trPr>
          <w:trHeight w:val="221"/>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26.1 %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15.7 %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14.2 %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1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Twelve Months Ended December 31, 2024</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Selling, General &amp;</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rPr>
              <w:t>Research &amp;</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Income tax</w:t>
            </w:r>
          </w:p>
        </w:tc>
        <w:tc>
          <w:tcPr>
            <w:tcW w:w="10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Net income</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right"/>
              <w:ind w:right="28"/>
              <w:spacing w:after="0" w:line="135" w:lineRule="exact"/>
              <w:rPr>
                <w:sz w:val="20"/>
                <w:szCs w:val="20"/>
                <w:color w:val="auto"/>
              </w:rPr>
            </w:pPr>
            <w:r>
              <w:rPr>
                <w:rFonts w:ascii="Arial" w:cs="Arial" w:eastAsia="Arial" w:hAnsi="Arial"/>
                <w:sz w:val="13"/>
                <w:szCs w:val="13"/>
                <w:b w:val="1"/>
                <w:bCs w:val="1"/>
                <w:color w:val="auto"/>
              </w:rPr>
              <w:t>Gross profit</w:t>
            </w: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Operating profit</w:t>
            </w: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40" w:type="dxa"/>
            <w:vAlign w:val="bottom"/>
            <w:gridSpan w:val="2"/>
            <w:vMerge w:val="restart"/>
          </w:tcPr>
          <w:p>
            <w:pPr>
              <w:jc w:val="right"/>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rPr>
              <w:t>Administrative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rPr>
              <w:t>Development</w:t>
            </w: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(loss)</w:t>
            </w: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benefit</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Borders>
              <w:bottom w:val="single" w:sz="8" w:color="CCEEFF"/>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1,651</w:t>
            </w:r>
          </w:p>
        </w:tc>
        <w:tc>
          <w:tcPr>
            <w:tcW w:w="120" w:type="dxa"/>
            <w:vAlign w:val="bottom"/>
            <w:tcBorders>
              <w:left w:val="single" w:sz="8" w:color="CCEEFF"/>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427</w:t>
            </w:r>
          </w:p>
        </w:tc>
        <w:tc>
          <w:tcPr>
            <w:tcW w:w="100" w:type="dxa"/>
            <w:vAlign w:val="bottom"/>
            <w:tcBorders>
              <w:left w:val="single" w:sz="8" w:color="CCEEFF"/>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496</w:t>
            </w:r>
          </w:p>
        </w:tc>
        <w:tc>
          <w:tcPr>
            <w:tcW w:w="100" w:type="dxa"/>
            <w:vAlign w:val="bottom"/>
            <w:tcBorders>
              <w:left w:val="single" w:sz="8" w:color="CCEEFF"/>
              <w:bottom w:val="single" w:sz="8" w:color="auto"/>
            </w:tcBorders>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left w:val="single" w:sz="8" w:color="CCEEFF"/>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w:t>
            </w:r>
          </w:p>
        </w:tc>
        <w:tc>
          <w:tcPr>
            <w:tcW w:w="120" w:type="dxa"/>
            <w:vAlign w:val="bottom"/>
            <w:tcBorders>
              <w:left w:val="single" w:sz="8" w:color="CCEEFF"/>
              <w:bottom w:val="single" w:sz="8" w:color="auto"/>
            </w:tcBorders>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(262)</w:t>
            </w:r>
          </w:p>
        </w:tc>
        <w:tc>
          <w:tcPr>
            <w:tcW w:w="140" w:type="dxa"/>
            <w:vAlign w:val="bottom"/>
            <w:tcBorders>
              <w:left w:val="single" w:sz="8" w:color="CCEEFF"/>
              <w:bottom w:val="single" w:sz="8" w:color="auto"/>
            </w:tcBorders>
          </w:tcPr>
          <w:p>
            <w:pPr>
              <w:spacing w:after="0"/>
              <w:rPr>
                <w:sz w:val="17"/>
                <w:szCs w:val="17"/>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(0.48)</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24.5 %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(3.9)%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58</w:t>
            </w:r>
          </w:p>
        </w:tc>
        <w:tc>
          <w:tcPr>
            <w:tcW w:w="120" w:type="dxa"/>
            <w:vAlign w:val="bottom"/>
            <w:tcBorders>
              <w:lef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lef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left w:val="single" w:sz="8" w:color="CCEEFF"/>
            </w:tcBorders>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w:t>
            </w:r>
          </w:p>
        </w:tc>
        <w:tc>
          <w:tcPr>
            <w:tcW w:w="140" w:type="dxa"/>
            <w:vAlign w:val="bottom"/>
            <w:tcBorders>
              <w:lef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Structural optimization</w:t>
            </w:r>
            <w:r>
              <w:rPr>
                <w:rFonts w:ascii="Arial" w:cs="Arial" w:eastAsia="Arial" w:hAnsi="Arial"/>
                <w:sz w:val="17"/>
                <w:szCs w:val="17"/>
                <w:color w:val="auto"/>
                <w:vertAlign w:val="superscript"/>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center"/>
              <w:ind w:left="4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Amortization of acquired</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left w:val="single" w:sz="8" w:color="CCEEFF"/>
            </w:tcBorders>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center"/>
              <w:ind w:left="6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40" w:type="dxa"/>
            <w:vAlign w:val="bottom"/>
            <w:tcBorders>
              <w:lef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intangibles and other</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00" w:type="dxa"/>
            <w:vAlign w:val="bottom"/>
            <w:tcBorders>
              <w:left w:val="single" w:sz="8" w:color="CCEEFF"/>
            </w:tcBorders>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tcBorders>
              <w:left w:val="single" w:sz="8" w:color="CCEEFF"/>
            </w:tcBorders>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tcBorders>
              <w:lef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related charges</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tcBorders>
              <w:left w:val="single" w:sz="8" w:color="CCEEFF"/>
            </w:tcBorders>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tcBorders>
              <w:left w:val="single" w:sz="8" w:color="CCEEFF"/>
            </w:tcBorders>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left w:val="single" w:sz="8" w:color="CCEEFF"/>
            </w:tcBorders>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88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center"/>
              <w:ind w:left="4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935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6"/>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40" w:type="dxa"/>
            <w:vAlign w:val="bottom"/>
            <w:tcBorders>
              <w:lef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Tax effect</w:t>
            </w:r>
            <w:r>
              <w:rPr>
                <w:rFonts w:ascii="Arial" w:cs="Arial" w:eastAsia="Arial" w:hAnsi="Arial"/>
                <w:sz w:val="17"/>
                <w:szCs w:val="17"/>
                <w:color w:val="auto"/>
                <w:vertAlign w:val="superscript"/>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1,709</w:t>
            </w:r>
          </w:p>
        </w:tc>
        <w:tc>
          <w:tcPr>
            <w:tcW w:w="26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w:t>
            </w:r>
          </w:p>
        </w:tc>
        <w:tc>
          <w:tcPr>
            <w:tcW w:w="24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w:t>
            </w:r>
          </w:p>
        </w:tc>
        <w:tc>
          <w:tcPr>
            <w:tcW w:w="420" w:type="dxa"/>
            <w:vAlign w:val="bottom"/>
            <w:tcBorders>
              <w:top w:val="single" w:sz="8" w:color="auto"/>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920</w:t>
            </w:r>
          </w:p>
        </w:tc>
        <w:tc>
          <w:tcPr>
            <w:tcW w:w="2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Borders>
              <w:left w:val="single" w:sz="8" w:color="CCEEFF"/>
            </w:tcBorders>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870</w:t>
            </w:r>
          </w:p>
        </w:tc>
        <w:tc>
          <w:tcPr>
            <w:tcW w:w="140" w:type="dxa"/>
            <w:vAlign w:val="bottom"/>
            <w:tcBorders>
              <w:left w:val="single" w:sz="8" w:color="CCEEFF"/>
            </w:tcBorders>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235"/>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25.3 %</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13.6 %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12.9 %</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See "Financial Measures (Non-IFRS)" for further discussion on these Non-IFRS measures and why we believe they are useful.</w:t>
      </w:r>
    </w:p>
    <w:p>
      <w:pPr>
        <w:spacing w:after="0" w:line="7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Structural optimization represents costs associated with employee workforce reductions, manufacturing footprint alignment and liquidation charges.</w:t>
      </w:r>
    </w:p>
    <w:p>
      <w:pPr>
        <w:spacing w:after="0" w:line="7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Comprised of net non-cash deferred tax asset recognition and foreign exchange rate impact.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Relates to restructuring charges, structural optimization and amortization of acquired intangibles and other acquisition related charges.</w:t>
      </w: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Page 10 of 13</w:t>
      </w:r>
    </w:p>
    <w:p>
      <w:pPr>
        <w:sectPr>
          <w:pgSz w:w="11900" w:h="16838" w:orient="portrait"/>
          <w:cols w:equalWidth="0" w:num="1">
            <w:col w:w="11080"/>
          </w:cols>
          <w:pgMar w:left="320" w:top="850" w:right="499" w:bottom="1440" w:gutter="0" w:footer="0" w:header="0"/>
        </w:sectPr>
      </w:pPr>
    </w:p>
    <w:bookmarkStart w:id="12" w:name="page13"/>
    <w:bookmarkEnd w:id="12"/>
    <w:p>
      <w:pPr>
        <w:jc w:val="center"/>
        <w:ind w:left="3472"/>
        <w:spacing w:after="0"/>
        <w:rPr>
          <w:sz w:val="20"/>
          <w:szCs w:val="20"/>
          <w:color w:val="auto"/>
        </w:rPr>
      </w:pPr>
      <w:r>
        <w:rPr>
          <w:rFonts w:ascii="Arial" w:cs="Arial" w:eastAsia="Arial" w:hAnsi="Arial"/>
          <w:sz w:val="18"/>
          <w:szCs w:val="18"/>
          <w:b w:val="1"/>
          <w:bCs w:val="1"/>
          <w:color w:val="auto"/>
        </w:rPr>
        <w:t>GLOBALFOUNDRIES Inc</w:t>
      </w:r>
    </w:p>
    <w:p>
      <w:pPr>
        <w:spacing w:after="0" w:line="100" w:lineRule="exact"/>
        <w:rPr>
          <w:sz w:val="20"/>
          <w:szCs w:val="20"/>
          <w:color w:val="auto"/>
        </w:rPr>
      </w:pPr>
    </w:p>
    <w:p>
      <w:pPr>
        <w:jc w:val="center"/>
        <w:ind w:left="3472"/>
        <w:spacing w:after="0"/>
        <w:rPr>
          <w:sz w:val="20"/>
          <w:szCs w:val="20"/>
          <w:color w:val="auto"/>
        </w:rPr>
      </w:pPr>
      <w:r>
        <w:rPr>
          <w:rFonts w:ascii="Arial" w:cs="Arial" w:eastAsia="Arial" w:hAnsi="Arial"/>
          <w:sz w:val="16"/>
          <w:szCs w:val="16"/>
          <w:b w:val="1"/>
          <w:bCs w:val="1"/>
          <w:color w:val="auto"/>
        </w:rPr>
        <w:t>Reconciliation of IFRS to Non-IFRS</w:t>
      </w:r>
    </w:p>
    <w:p>
      <w:pPr>
        <w:jc w:val="center"/>
        <w:ind w:left="3472"/>
        <w:spacing w:after="0" w:line="180" w:lineRule="auto"/>
        <w:rPr>
          <w:sz w:val="20"/>
          <w:szCs w:val="20"/>
          <w:color w:val="auto"/>
        </w:rPr>
      </w:pPr>
      <w:r>
        <w:rPr>
          <w:rFonts w:ascii="Arial" w:cs="Arial" w:eastAsia="Arial" w:hAnsi="Arial"/>
          <w:sz w:val="15"/>
          <w:szCs w:val="15"/>
          <w:b w:val="1"/>
          <w:bCs w:val="1"/>
          <w:color w:val="auto"/>
        </w:rPr>
        <w:t>Non-IFRS Adjusted Free Cash Flow</w:t>
      </w:r>
      <w:r>
        <w:rPr>
          <w:rFonts w:ascii="Arial" w:cs="Arial" w:eastAsia="Arial" w:hAnsi="Arial"/>
          <w:sz w:val="19"/>
          <w:szCs w:val="19"/>
          <w:b w:val="1"/>
          <w:bCs w:val="1"/>
          <w:color w:val="auto"/>
          <w:vertAlign w:val="superscript"/>
        </w:rPr>
        <w:t>(1)</w:t>
      </w:r>
    </w:p>
    <w:p>
      <w:pPr>
        <w:spacing w:after="0" w:line="1" w:lineRule="exact"/>
        <w:rPr>
          <w:sz w:val="20"/>
          <w:szCs w:val="20"/>
          <w:color w:val="auto"/>
        </w:rPr>
      </w:pPr>
    </w:p>
    <w:p>
      <w:pPr>
        <w:ind w:left="4812"/>
        <w:spacing w:after="0"/>
        <w:rPr>
          <w:sz w:val="20"/>
          <w:szCs w:val="20"/>
          <w:color w:val="auto"/>
        </w:rPr>
      </w:pPr>
      <w:r>
        <w:rPr>
          <w:rFonts w:ascii="Arial" w:cs="Arial" w:eastAsia="Arial" w:hAnsi="Arial"/>
          <w:sz w:val="14"/>
          <w:szCs w:val="14"/>
          <w:b w:val="1"/>
          <w:bCs w:val="1"/>
          <w:color w:val="auto"/>
        </w:rPr>
        <w:t>(Unaudited, in millions</w:t>
      </w:r>
      <w:r>
        <w:rPr>
          <w:rFonts w:ascii="Arial" w:cs="Arial" w:eastAsia="Arial" w:hAnsi="Arial"/>
          <w:sz w:val="16"/>
          <w:szCs w:val="16"/>
          <w:b w:val="1"/>
          <w:bCs w:val="1"/>
          <w:color w:val="auto"/>
        </w:rPr>
        <w:t>)</w:t>
      </w:r>
    </w:p>
    <w:p>
      <w:pPr>
        <w:spacing w:after="0" w:line="264" w:lineRule="exact"/>
        <w:rPr>
          <w:sz w:val="20"/>
          <w:szCs w:val="20"/>
          <w:color w:val="auto"/>
        </w:rPr>
      </w:pPr>
    </w:p>
    <w:p>
      <w:pPr>
        <w:jc w:val="center"/>
        <w:ind w:left="3252"/>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23495</wp:posOffset>
            </wp:positionV>
            <wp:extent cx="29914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16" w:lineRule="exact"/>
        <w:rPr>
          <w:sz w:val="20"/>
          <w:szCs w:val="20"/>
          <w:color w:val="auto"/>
        </w:rPr>
      </w:pPr>
    </w:p>
    <w:p>
      <w:pPr>
        <w:jc w:val="center"/>
        <w:ind w:left="3252"/>
        <w:spacing w:after="0"/>
        <w:tabs>
          <w:tab w:leader="none" w:pos="280" w:val="left"/>
          <w:tab w:leader="none" w:pos="240" w:val="left"/>
        </w:tabs>
        <w:rPr>
          <w:sz w:val="20"/>
          <w:szCs w:val="20"/>
          <w:color w:val="auto"/>
        </w:rPr>
      </w:pPr>
      <w:r>
        <w:rPr>
          <w:rFonts w:ascii="Arial" w:cs="Arial" w:eastAsia="Arial" w:hAnsi="Arial"/>
          <w:sz w:val="14"/>
          <w:szCs w:val="14"/>
          <w:b w:val="1"/>
          <w:bCs w:val="1"/>
          <w:color w:val="auto"/>
        </w:rPr>
        <w:t>December 31, 2025</w:t>
      </w:r>
      <w:r>
        <w:rPr>
          <w:sz w:val="20"/>
          <w:szCs w:val="20"/>
          <w:color w:val="auto"/>
        </w:rPr>
        <w:tab/>
      </w:r>
      <w:r>
        <w:rPr>
          <w:rFonts w:ascii="Arial" w:cs="Arial" w:eastAsia="Arial" w:hAnsi="Arial"/>
          <w:sz w:val="14"/>
          <w:szCs w:val="14"/>
          <w:b w:val="1"/>
          <w:bCs w:val="1"/>
          <w:color w:val="auto"/>
        </w:rPr>
        <w:t>September 30, 2025</w:t>
      </w:r>
      <w:r>
        <w:rPr>
          <w:sz w:val="20"/>
          <w:szCs w:val="20"/>
          <w:color w:val="auto"/>
        </w:rPr>
        <w:tab/>
      </w:r>
      <w:r>
        <w:rPr>
          <w:rFonts w:ascii="Arial" w:cs="Arial" w:eastAsia="Arial" w:hAnsi="Arial"/>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66675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Year Ended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bl>
    <w:p>
      <w:pPr>
        <w:spacing w:after="0" w:line="200" w:lineRule="exact"/>
        <w:rPr>
          <w:sz w:val="20"/>
          <w:szCs w:val="20"/>
          <w:color w:val="auto"/>
        </w:rPr>
      </w:pPr>
    </w:p>
    <w:p>
      <w:pPr>
        <w:sectPr>
          <w:pgSz w:w="11900" w:h="16838" w:orient="portrait"/>
          <w:cols w:equalWidth="0" w:num="2">
            <w:col w:w="7752" w:space="200"/>
            <w:col w:w="3260"/>
          </w:cols>
          <w:pgMar w:left="328" w:top="1255" w:right="359" w:bottom="1440" w:gutter="0" w:footer="0" w:header="0"/>
        </w:sectPr>
      </w:pPr>
    </w:p>
    <w:p>
      <w:pPr>
        <w:spacing w:after="0" w:line="57" w:lineRule="exact"/>
        <w:rPr>
          <w:sz w:val="20"/>
          <w:szCs w:val="20"/>
          <w:color w:val="auto"/>
        </w:rPr>
      </w:pPr>
    </w:p>
    <w:tbl>
      <w:tblPr>
        <w:tblLayout w:type="fixed"/>
        <w:tblInd w:w="32" w:type="dxa"/>
        <w:tblCellMar>
          <w:top w:w="0" w:type="dxa"/>
          <w:left w:w="0" w:type="dxa"/>
          <w:bottom w:w="0" w:type="dxa"/>
          <w:right w:w="0" w:type="dxa"/>
        </w:tblCellMar>
      </w:tblP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374</w:t>
            </w:r>
          </w:p>
        </w:tc>
        <w:tc>
          <w:tcPr>
            <w:tcW w:w="100" w:type="dxa"/>
            <w:vAlign w:val="bottom"/>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595</w:t>
            </w:r>
          </w:p>
        </w:tc>
        <w:tc>
          <w:tcPr>
            <w:tcW w:w="80" w:type="dxa"/>
            <w:vAlign w:val="bottom"/>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457</w:t>
            </w:r>
          </w:p>
        </w:tc>
        <w:tc>
          <w:tcPr>
            <w:tcW w:w="100" w:type="dxa"/>
            <w:vAlign w:val="bottom"/>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1,731</w:t>
            </w:r>
          </w:p>
        </w:tc>
        <w:tc>
          <w:tcPr>
            <w:tcW w:w="100" w:type="dxa"/>
            <w:vAlign w:val="bottom"/>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1,722</w:t>
            </w: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Arial" w:cs="Arial" w:eastAsia="Arial" w:hAnsi="Arial"/>
                <w:sz w:val="14"/>
                <w:szCs w:val="14"/>
                <w:color w:val="auto"/>
              </w:rPr>
              <w:t>Less: Purchases of property, plant and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09"/>
        </w:trPr>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equipment and intangible assets</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0</wp:posOffset>
            </wp:positionV>
            <wp:extent cx="294894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8940" cy="128905"/>
                    </a:xfrm>
                    <a:prstGeom prst="rect">
                      <a:avLst/>
                    </a:prstGeom>
                    <a:noFill/>
                  </pic:spPr>
                </pic:pic>
              </a:graphicData>
            </a:graphic>
          </wp:anchor>
        </w:drawing>
      </w:r>
    </w:p>
    <w:p>
      <w:pPr>
        <w:sectPr>
          <w:pgSz w:w="11900" w:h="16838" w:orient="portrait"/>
          <w:cols w:equalWidth="0" w:num="1">
            <w:col w:w="11212"/>
          </w:cols>
          <w:pgMar w:left="328" w:top="1255" w:right="359" w:bottom="1440" w:gutter="0" w:footer="0" w:header="0"/>
          <w:type w:val="continuous"/>
        </w:sectPr>
      </w:pPr>
    </w:p>
    <w:p>
      <w:pPr>
        <w:spacing w:after="0" w:line="4" w:lineRule="exact"/>
        <w:rPr>
          <w:sz w:val="20"/>
          <w:szCs w:val="20"/>
          <w:color w:val="auto"/>
        </w:rPr>
      </w:pPr>
    </w:p>
    <w:p>
      <w:pPr>
        <w:ind w:left="52"/>
        <w:spacing w:after="0"/>
        <w:rPr>
          <w:sz w:val="20"/>
          <w:szCs w:val="20"/>
          <w:color w:val="auto"/>
        </w:rPr>
      </w:pPr>
      <w:r>
        <w:rPr>
          <w:rFonts w:ascii="Arial" w:cs="Arial" w:eastAsia="Arial" w:hAnsi="Arial"/>
          <w:sz w:val="14"/>
          <w:szCs w:val="14"/>
          <w:color w:val="auto"/>
        </w:rPr>
        <w:t>Add: Proceeds from government grants</w:t>
      </w:r>
    </w:p>
    <w:p>
      <w:pPr>
        <w:spacing w:after="0" w:line="42" w:lineRule="exact"/>
        <w:rPr>
          <w:sz w:val="20"/>
          <w:szCs w:val="20"/>
          <w:color w:val="auto"/>
        </w:rPr>
      </w:pPr>
    </w:p>
    <w:p>
      <w:pPr>
        <w:ind w:left="52"/>
        <w:spacing w:after="0" w:line="241" w:lineRule="auto"/>
        <w:rPr>
          <w:sz w:val="20"/>
          <w:szCs w:val="20"/>
          <w:color w:val="auto"/>
        </w:rPr>
      </w:pPr>
      <w:r>
        <w:rPr>
          <w:rFonts w:ascii="Arial" w:cs="Arial" w:eastAsia="Arial" w:hAnsi="Arial"/>
          <w:sz w:val="14"/>
          <w:szCs w:val="14"/>
          <w:color w:val="auto"/>
        </w:rPr>
        <w:t>Total capital expenditures net of proceeds from government grants</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wp:posOffset>
            </wp:positionV>
            <wp:extent cx="192024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154305"/>
                    </a:xfrm>
                    <a:prstGeom prst="rect">
                      <a:avLst/>
                    </a:prstGeom>
                    <a:noFill/>
                  </pic:spPr>
                </pic:pic>
              </a:graphicData>
            </a:graphic>
          </wp:anchor>
        </w:drawing>
      </w:r>
    </w:p>
    <w:p>
      <w:pPr>
        <w:ind w:left="52"/>
        <w:spacing w:after="0"/>
        <w:rPr>
          <w:sz w:val="20"/>
          <w:szCs w:val="20"/>
          <w:color w:val="auto"/>
        </w:rPr>
      </w:pPr>
      <w:r>
        <w:rPr>
          <w:rFonts w:ascii="Arial" w:cs="Arial" w:eastAsia="Arial" w:hAnsi="Arial"/>
          <w:sz w:val="14"/>
          <w:szCs w:val="14"/>
          <w:b w:val="1"/>
          <w:bCs w:val="1"/>
          <w:color w:val="auto"/>
        </w:rPr>
        <w:t>Non-IFRS adjusted free cash flow</w:t>
      </w:r>
      <w:r>
        <w:rPr>
          <w:rFonts w:ascii="Arial" w:cs="Arial" w:eastAsia="Arial" w:hAnsi="Arial"/>
          <w:sz w:val="18"/>
          <w:szCs w:val="18"/>
          <w:b w:val="1"/>
          <w:bCs w:val="1"/>
          <w:color w:val="auto"/>
          <w:vertAlign w:val="superscript"/>
        </w:rPr>
        <w:t>(1)</w:t>
      </w:r>
    </w:p>
    <w:p>
      <w:pPr>
        <w:spacing w:after="0" w:line="39" w:lineRule="exact"/>
        <w:rPr>
          <w:sz w:val="20"/>
          <w:szCs w:val="20"/>
          <w:color w:val="auto"/>
        </w:rPr>
      </w:pPr>
    </w:p>
    <w:p>
      <w:pPr>
        <w:ind w:left="52"/>
        <w:spacing w:after="0"/>
        <w:rPr>
          <w:sz w:val="20"/>
          <w:szCs w:val="20"/>
          <w:color w:val="auto"/>
        </w:rPr>
      </w:pPr>
      <w:r>
        <w:rPr>
          <w:rFonts w:ascii="Arial" w:cs="Arial" w:eastAsia="Arial" w:hAnsi="Arial"/>
          <w:sz w:val="14"/>
          <w:szCs w:val="14"/>
          <w:i w:val="1"/>
          <w:iCs w:val="1"/>
          <w:color w:val="auto"/>
        </w:rPr>
        <w:t>Non-IFRS adjusted free cash flow margin</w:t>
      </w:r>
      <w:r>
        <w:rPr>
          <w:rFonts w:ascii="Arial" w:cs="Arial" w:eastAsia="Arial" w:hAnsi="Arial"/>
          <w:sz w:val="18"/>
          <w:szCs w:val="18"/>
          <w:i w:val="1"/>
          <w:iCs w:val="1"/>
          <w:color w:val="auto"/>
          <w:vertAlign w:val="superscript"/>
        </w:rPr>
        <w:t>(1)</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580" w:type="dxa"/>
            <w:vAlign w:val="bottom"/>
          </w:tcPr>
          <w:p>
            <w:pPr>
              <w:jc w:val="right"/>
              <w:ind w:right="208"/>
              <w:spacing w:after="0"/>
              <w:rPr>
                <w:sz w:val="20"/>
                <w:szCs w:val="20"/>
                <w:color w:val="auto"/>
              </w:rPr>
            </w:pPr>
            <w:r>
              <w:rPr>
                <w:rFonts w:ascii="Arial" w:cs="Arial" w:eastAsia="Arial" w:hAnsi="Arial"/>
                <w:sz w:val="14"/>
                <w:szCs w:val="14"/>
                <w:color w:val="auto"/>
              </w:rPr>
              <w:t>98</w:t>
            </w:r>
          </w:p>
        </w:tc>
        <w:tc>
          <w:tcPr>
            <w:tcW w:w="5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6"/>
        </w:trPr>
        <w:tc>
          <w:tcPr>
            <w:tcW w:w="580" w:type="dxa"/>
            <w:vAlign w:val="bottom"/>
          </w:tcPr>
          <w:p>
            <w:pPr>
              <w:jc w:val="right"/>
              <w:ind w:right="168"/>
              <w:spacing w:after="0"/>
              <w:rPr>
                <w:sz w:val="20"/>
                <w:szCs w:val="20"/>
                <w:color w:val="auto"/>
              </w:rPr>
            </w:pPr>
            <w:r>
              <w:rPr>
                <w:rFonts w:ascii="Arial" w:cs="Arial" w:eastAsia="Arial" w:hAnsi="Arial"/>
                <w:sz w:val="14"/>
                <w:szCs w:val="14"/>
                <w:color w:val="auto"/>
                <w:w w:val="97"/>
              </w:rPr>
              <w:t>(110)</w:t>
            </w:r>
          </w:p>
        </w:tc>
        <w:tc>
          <w:tcPr>
            <w:tcW w:w="54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76"/>
        </w:trPr>
        <w:tc>
          <w:tcPr>
            <w:tcW w:w="5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264</w:t>
            </w: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gridSpan w:val="2"/>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gridSpan w:val="2"/>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80" w:type="dxa"/>
            <w:vAlign w:val="bottom"/>
            <w:vMerge w:val="continue"/>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451</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328</w:t>
            </w:r>
          </w:p>
        </w:tc>
        <w:tc>
          <w:tcPr>
            <w:tcW w:w="10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1,157</w:t>
            </w:r>
          </w:p>
        </w:tc>
        <w:tc>
          <w:tcPr>
            <w:tcW w:w="10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1,107</w:t>
            </w:r>
          </w:p>
        </w:tc>
        <w:tc>
          <w:tcPr>
            <w:tcW w:w="0" w:type="dxa"/>
            <w:vAlign w:val="bottom"/>
          </w:tcPr>
          <w:p>
            <w:pPr>
              <w:spacing w:after="0"/>
              <w:rPr>
                <w:sz w:val="1"/>
                <w:szCs w:val="1"/>
                <w:color w:val="auto"/>
              </w:rPr>
            </w:pPr>
          </w:p>
        </w:tc>
      </w:tr>
      <w:tr>
        <w:trPr>
          <w:trHeight w:val="20"/>
        </w:trPr>
        <w:tc>
          <w:tcPr>
            <w:tcW w:w="58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14.4 %</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26.7 %</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17.9 %</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17.0 %</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-294005</wp:posOffset>
            </wp:positionV>
            <wp:extent cx="9683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8375" cy="17145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-517525</wp:posOffset>
            </wp:positionV>
            <wp:extent cx="96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032" w:space="140"/>
            <w:col w:w="300" w:space="720"/>
            <w:col w:w="7020"/>
          </w:cols>
          <w:pgMar w:left="328" w:top="1255" w:right="359" w:bottom="1440" w:gutter="0" w:footer="0" w:header="0"/>
          <w:type w:val="continuous"/>
        </w:sectPr>
      </w:pPr>
    </w:p>
    <w:p>
      <w:pPr>
        <w:spacing w:after="0" w:line="98" w:lineRule="exact"/>
        <w:rPr>
          <w:sz w:val="20"/>
          <w:szCs w:val="20"/>
          <w:color w:val="auto"/>
        </w:rPr>
      </w:pPr>
    </w:p>
    <w:p>
      <w:pPr>
        <w:ind w:left="132" w:hanging="132"/>
        <w:spacing w:after="0"/>
        <w:tabs>
          <w:tab w:leader="none" w:pos="132"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See "Financial Measures (Non-IFRS)" for further discussion on this Non-IFRS measure and why we believe it is useful.</w:t>
      </w:r>
    </w:p>
    <w:p>
      <w:pPr>
        <w:spacing w:after="0" w:line="31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Reconciliation of IFRS to Non-IFRS</w:t>
      </w:r>
    </w:p>
    <w:p>
      <w:pPr>
        <w:jc w:val="center"/>
        <w:ind w:right="-11"/>
        <w:spacing w:after="0" w:line="184" w:lineRule="auto"/>
        <w:rPr>
          <w:sz w:val="20"/>
          <w:szCs w:val="20"/>
          <w:color w:val="auto"/>
        </w:rPr>
      </w:pPr>
      <w:r>
        <w:rPr>
          <w:rFonts w:ascii="Arial" w:cs="Arial" w:eastAsia="Arial" w:hAnsi="Arial"/>
          <w:sz w:val="15"/>
          <w:szCs w:val="15"/>
          <w:b w:val="1"/>
          <w:bCs w:val="1"/>
          <w:color w:val="auto"/>
        </w:rPr>
        <w:t>Non-IFRS Adjusted EBITDA</w:t>
      </w:r>
      <w:r>
        <w:rPr>
          <w:rFonts w:ascii="Arial" w:cs="Arial" w:eastAsia="Arial" w:hAnsi="Arial"/>
          <w:sz w:val="19"/>
          <w:szCs w:val="19"/>
          <w:b w:val="1"/>
          <w:bCs w:val="1"/>
          <w:color w:val="auto"/>
          <w:vertAlign w:val="superscript"/>
        </w:rPr>
        <w:t>(1)</w:t>
      </w:r>
    </w:p>
    <w:p>
      <w:pPr>
        <w:jc w:val="center"/>
        <w:ind w:right="-11"/>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32"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10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100" w:type="dxa"/>
            <w:vAlign w:val="bottom"/>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1,830</w:t>
            </w:r>
          </w:p>
        </w:tc>
        <w:tc>
          <w:tcPr>
            <w:tcW w:w="10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1,688</w:t>
            </w:r>
          </w:p>
        </w:tc>
        <w:tc>
          <w:tcPr>
            <w:tcW w:w="80" w:type="dxa"/>
            <w:vAlign w:val="bottom"/>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1,830</w:t>
            </w:r>
          </w:p>
        </w:tc>
        <w:tc>
          <w:tcPr>
            <w:tcW w:w="10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6,791</w:t>
            </w:r>
          </w:p>
        </w:tc>
        <w:tc>
          <w:tcPr>
            <w:tcW w:w="10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6,750</w:t>
            </w:r>
          </w:p>
        </w:tc>
        <w:tc>
          <w:tcPr>
            <w:tcW w:w="0" w:type="dxa"/>
            <w:vAlign w:val="bottom"/>
          </w:tcPr>
          <w:p>
            <w:pPr>
              <w:spacing w:after="0"/>
              <w:rPr>
                <w:sz w:val="1"/>
                <w:szCs w:val="1"/>
                <w:color w:val="auto"/>
              </w:rPr>
            </w:pPr>
          </w:p>
        </w:tc>
      </w:tr>
      <w:tr>
        <w:trPr>
          <w:trHeight w:val="198"/>
        </w:trPr>
        <w:tc>
          <w:tcPr>
            <w:tcW w:w="3020" w:type="dxa"/>
            <w:vAlign w:val="bottom"/>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Net income (loss) margin</w:t>
            </w:r>
          </w:p>
        </w:tc>
        <w:tc>
          <w:tcPr>
            <w:tcW w:w="1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10.9 %</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14.8 %</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(39.8)%</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8"/>
        </w:trPr>
        <w:tc>
          <w:tcPr>
            <w:tcW w:w="30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314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Finance expense</w:t>
            </w:r>
          </w:p>
        </w:tc>
        <w:tc>
          <w:tcPr>
            <w:tcW w:w="1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98"/>
        </w:trPr>
        <w:tc>
          <w:tcPr>
            <w:tcW w:w="3020" w:type="dxa"/>
            <w:vAlign w:val="bottom"/>
          </w:tcPr>
          <w:p>
            <w:pPr>
              <w:spacing w:after="0"/>
              <w:rPr>
                <w:sz w:val="20"/>
                <w:szCs w:val="20"/>
                <w:color w:val="auto"/>
              </w:rPr>
            </w:pPr>
            <w:r>
              <w:rPr>
                <w:rFonts w:ascii="Arial" w:cs="Arial" w:eastAsia="Arial" w:hAnsi="Arial"/>
                <w:sz w:val="14"/>
                <w:szCs w:val="14"/>
                <w:color w:val="auto"/>
              </w:rPr>
              <w:t>Finance income</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6"/>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8"/>
        </w:trPr>
        <w:tc>
          <w:tcPr>
            <w:tcW w:w="30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8"/>
        </w:trPr>
        <w:tc>
          <w:tcPr>
            <w:tcW w:w="3020" w:type="dxa"/>
            <w:vAlign w:val="bottom"/>
          </w:tcPr>
          <w:p>
            <w:pPr>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Structural optimization</w:t>
            </w:r>
          </w:p>
        </w:tc>
        <w:tc>
          <w:tcPr>
            <w:tcW w:w="1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3020" w:type="dxa"/>
            <w:vAlign w:val="bottom"/>
          </w:tcPr>
          <w:p>
            <w:pPr>
              <w:spacing w:after="0"/>
              <w:rPr>
                <w:sz w:val="20"/>
                <w:szCs w:val="20"/>
                <w:color w:val="auto"/>
              </w:rPr>
            </w:pPr>
            <w:r>
              <w:rPr>
                <w:rFonts w:ascii="Arial" w:cs="Arial" w:eastAsia="Arial" w:hAnsi="Arial"/>
                <w:sz w:val="14"/>
                <w:szCs w:val="14"/>
                <w:color w:val="auto"/>
              </w:rPr>
              <w:t>Revaluation of equity investments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Litigation claims</w:t>
            </w:r>
          </w:p>
        </w:tc>
        <w:tc>
          <w:tcPr>
            <w:tcW w:w="1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acquisition related charges</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5"/>
        </w:trPr>
        <w:tc>
          <w:tcPr>
            <w:tcW w:w="3020" w:type="dxa"/>
            <w:vAlign w:val="bottom"/>
            <w:tcBorders>
              <w:bottom w:val="single" w:sz="8" w:color="CCEEFF"/>
            </w:tcBorders>
            <w:shd w:val="clear" w:color="auto" w:fill="CCEEFF"/>
          </w:tcPr>
          <w:p>
            <w:pPr>
              <w:spacing w:after="0" w:line="200" w:lineRule="exact"/>
              <w:rPr>
                <w:sz w:val="20"/>
                <w:szCs w:val="20"/>
                <w:color w:val="auto"/>
              </w:rPr>
            </w:pPr>
            <w:r>
              <w:rPr>
                <w:rFonts w:ascii="Arial" w:cs="Arial" w:eastAsia="Arial" w:hAnsi="Arial"/>
                <w:sz w:val="14"/>
                <w:szCs w:val="14"/>
                <w:b w:val="1"/>
                <w:bCs w:val="1"/>
                <w:color w:val="auto"/>
              </w:rPr>
              <w:t>Non-IFRS adjusted EBITDA</w:t>
            </w:r>
            <w:r>
              <w:rPr>
                <w:rFonts w:ascii="Arial" w:cs="Arial" w:eastAsia="Arial" w:hAnsi="Arial"/>
                <w:sz w:val="18"/>
                <w:szCs w:val="18"/>
                <w:b w:val="1"/>
                <w:bCs w:val="1"/>
                <w:i w:val="1"/>
                <w:iCs w:val="1"/>
                <w:color w:val="auto"/>
                <w:vertAlign w:val="superscript"/>
              </w:rPr>
              <w:t>(1)</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641</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573</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661</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2,357</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2,475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i w:val="1"/>
                <w:iCs w:val="1"/>
                <w:color w:val="auto"/>
              </w:rPr>
              <w:t>Non-IFRS adjusted EBITDA margin</w:t>
            </w:r>
            <w:r>
              <w:rPr>
                <w:rFonts w:ascii="Arial" w:cs="Arial" w:eastAsia="Arial" w:hAnsi="Arial"/>
                <w:sz w:val="18"/>
                <w:szCs w:val="18"/>
                <w:i w:val="1"/>
                <w:iCs w:val="1"/>
                <w:color w:val="auto"/>
                <w:vertAlign w:val="superscript"/>
              </w:rPr>
              <w:t>(1)</w:t>
            </w:r>
          </w:p>
        </w:tc>
        <w:tc>
          <w:tcPr>
            <w:tcW w:w="10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35.0 %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33.9 %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36.1 %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34.7 %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36.7 %</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32" w:hanging="132"/>
        <w:spacing w:after="0"/>
        <w:tabs>
          <w:tab w:leader="none" w:pos="132"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See "Financial Measures (Non-IFRS)" for further discussion on this Non-IFRS measure and why we believe it is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Page 11 of 13</w:t>
      </w:r>
    </w:p>
    <w:p>
      <w:pPr>
        <w:sectPr>
          <w:pgSz w:w="11900" w:h="16838" w:orient="portrait"/>
          <w:cols w:equalWidth="0" w:num="1">
            <w:col w:w="11212"/>
          </w:cols>
          <w:pgMar w:left="328" w:top="1255" w:right="35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Measures (Non-IFRS)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to the financial information presented in accordance with International Financial Reporting Standards ("IFRS"), this press release includes the following Non-IFRS financial measures: Non-IFRS gross profit, Non-IFRS operating profit, Non-IFRS operating expense, Non-IFRS net income, Non-IFRS selling, general and administrative, Non-IFRS research and development, Non-IFRS other income (expense), Non-IFRS income tax benefit (expense), Non-IFRS diluted earnings per share (“EPS”), Non-IFRS adjusted EBITDA, Non-IFRS adjusted free cash flow and any related margins. We define each of Non-IFRS gross profit, Non-IFRS selling, general and administrative, Non-IFRS research and development, Non-IFRS operating profit, Non-IFRS other income (expense), Non-IFRS income tax benefit (expense) and Non-IFRS net income as gross profit, selling, general and administrative, research and development, operating profit, other income (expense), income tax benefit (expense), and net income (loss), respectively, adjusted for share-based compensation, structural optimization, amortization of acquired intangibles and other acquisition related charges, impairment charges, revaluation of equity investments, restructuring charges, litigation claims, tax matters, and any associated income tax effects. We define Non-IFRS operating expense as Non-IFRS gross profit minus Non-IFRS operating profit. We define Non-IFRS diluted EPS as Non-IFRS net income divided by the diluted shares outstanding. We define Non-IFRS adjusted free cash flow as cash flow provided by (used in) operating activities less purchases of property, plant and equipment and intangible assets plus proceeds from government grants related to capital expenditures. We define Non-IFRS adjusted EBITDA as net income adjusted for the impact of finance expense, finance income, income tax expense (benefit), depreciation and amortization, share-based compensation, restructuring charges, impairment charges, revaluation of equity investments, structural optimization, litigation claims and acquisition related charges. We define each of Non-IFRS gross margin, Non-IFRS operating margin, Non-IFRS net income margin, Non-IFRS adjusted free cash flow margin and Non-IFRS adjusted EBITDA margin as Non-IFRS gross profit, Non-IFRS operating profit, Non-IFRS net income, Non-IFRS adjusted free cash flow and Non-IFRS adjusted EBITDA, respectively, divided by net revenue. Any adjustments described above that are zero for a given period are excluded from the “Reconciliation of IFRS to Non-IFRS” table. See "Reconciliation of IFRS to Non-IFRS" section for a detailed reconciliation of Non-IFRS financial measures to the most directly comparable IFRS measure.</w:t>
      </w:r>
    </w:p>
    <w:p>
      <w:pPr>
        <w:spacing w:after="0" w:line="2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believe that in addition to our results determined in accordance with IFRS, these Non-IFRS financial measures provide useful information to both management and investors in measuring our financial performance and highlight trends in our business that may not otherwise be apparent when relying solely on IFRS measures. These Non-IFRS financial measures provide supplemental information regarding our operating performance that excludes certain gains, losses and non-cash charges that occur relatively infrequently and/or that we consider to be unrelated to our core operations. Management believes that Non-IFRS adjusted free cash flow as a Non-IFRS measure is helpful to investors as it provides insights into the nature and amount of cash the Company generates in the period.</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Non-IFRS financial information is presented for supplemental informational purposes only and should not be considered in isolation or as a substitute for financial information presented in accordance with IFRS. Our presentation of Non-IFRS measures should not be construed as an inference that our future results will be unaffected by unusual or nonrecurring items. Other companies in our industry may calculate these measures differently, which may limit their usefulness as comparative measures.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 and Webcast Information</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GF will host a conference call with the financial community on Wednesday, February 11, 2026 at 8:30 a.m. U.S. Eastern Time (ET) to review the fourth quarter and full year 2025 results in detail. Interested parties may join the scheduled conference call by registering at https://edge.media-server.com/mmc/p/osibvq84/.</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call will be webcast and can be accessed from the GF Investor Relations website https://investors.gf.com. A replay of the call will be available on the GF Investor Relations website within 24 hours of the actual call.</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GF uses its Investor Relations website at https://investors.gf.com as a means of disclosing material non-public information and for complying with its disclosure obligations under Regulation FD. Accordingly, investors should monitor this website, in addition to following GF's press releases, Securities and Exchange Commission (SEC) filings, public conference calls and webcasts.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GlobalFoundries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GlobalFoundries® (GF®) is one of the world’s leading semiconductor manufacturers. GF is redefining innovation and semiconductor manufacturing by developing and delivering feature-rich process technology solutions that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12 of 13</w:t>
      </w:r>
    </w:p>
    <w:p>
      <w:pPr>
        <w:sectPr>
          <w:pgSz w:w="11900" w:h="16838" w:orient="portrait"/>
          <w:cols w:equalWidth="0" w:num="1">
            <w:col w:w="11240"/>
          </w:cols>
          <w:pgMar w:left="320" w:top="1241" w:right="339" w:bottom="1440" w:gutter="0" w:footer="0" w:header="0"/>
        </w:sectPr>
      </w:pPr>
    </w:p>
    <w:bookmarkStart w:id="14" w:name="page15"/>
    <w:bookmarkEnd w:id="14"/>
    <w:p>
      <w:pPr>
        <w:jc w:val="both"/>
        <w:spacing w:after="0" w:line="275" w:lineRule="auto"/>
        <w:rPr>
          <w:sz w:val="20"/>
          <w:szCs w:val="20"/>
          <w:color w:val="auto"/>
        </w:rPr>
      </w:pPr>
      <w:r>
        <w:rPr>
          <w:rFonts w:ascii="Arial" w:cs="Arial" w:eastAsia="Arial" w:hAnsi="Arial"/>
          <w:sz w:val="16"/>
          <w:szCs w:val="16"/>
          <w:color w:val="auto"/>
        </w:rPr>
        <w:t xml:space="preserve">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Arial" w:cs="Arial" w:eastAsia="Arial" w:hAnsi="Arial"/>
          <w:sz w:val="16"/>
          <w:szCs w:val="16"/>
          <w:u w:val="single" w:color="auto"/>
          <w:color w:val="0000FF"/>
        </w:rPr>
        <w:t>www.gf.com</w:t>
      </w:r>
      <w:r>
        <w:rPr>
          <w:rFonts w:ascii="Arial" w:cs="Arial" w:eastAsia="Arial" w:hAnsi="Arial"/>
          <w:sz w:val="16"/>
          <w:szCs w:val="16"/>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 and Third Party Data</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Ukraine and Israel; ongoing political developments in the United States, and in particular, any political and policy-related changes that may impact our industry and the market generally, such as the imposition of trade controls, tariffs and counter-tariffs between the United States and its trade partners and new legislation; the market for our products may develop or recover more slowly than expected or than it has in the past; we may fail to achieve the full benefits of our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the expected benefits of our announced partnerships may fail to materialize; and we may fail to achieve the expected results or operations from funding received (including awards under the U.S. CHIPS and Science Act and New York State Green CHIPS) and our expected results and planned or further expansions and operations may not proceed as planned if funding we expect to receive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2024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further information, please contact: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ir@gf.com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13 of 13</w:t>
      </w: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lvl>
    <w:lvl w:ilvl="1">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2026-02-11T06:18:26Z</dcterms:created>
  <dcterms:modified xsi:type="dcterms:W3CDTF">2026-02-11T06:18:26Z</dcterms:modified>
</cp:coreProperties>
</file>