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9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UNITED STATES</w:t>
      </w:r>
    </w:p>
    <w:p>
      <w:pPr>
        <w:jc w:val="center"/>
        <w:ind w:right="-59"/>
        <w:spacing w:after="0" w:line="199"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385"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6-K</w:t>
      </w:r>
    </w:p>
    <w:p>
      <w:pPr>
        <w:spacing w:after="0" w:line="178" w:lineRule="exact"/>
        <w:rPr>
          <w:sz w:val="24"/>
          <w:szCs w:val="24"/>
          <w:color w:val="auto"/>
        </w:rPr>
      </w:pPr>
    </w:p>
    <w:p>
      <w:pPr>
        <w:ind w:left="240"/>
        <w:spacing w:after="0"/>
        <w:rPr>
          <w:sz w:val="20"/>
          <w:szCs w:val="20"/>
          <w:color w:val="auto"/>
        </w:rPr>
      </w:pPr>
      <w:r>
        <w:rPr>
          <w:rFonts w:ascii="Arial" w:cs="Arial" w:eastAsia="Arial" w:hAnsi="Arial"/>
          <w:sz w:val="21"/>
          <w:szCs w:val="21"/>
          <w:b w:val="1"/>
          <w:bCs w:val="1"/>
          <w:color w:val="auto"/>
        </w:rPr>
        <w:t>REPORT OF FOREIGN PRIVATE ISSUER PURSUANT TO RULE 13a-16 OR 15d-16 UNDER THE SECURITIES</w:t>
      </w:r>
    </w:p>
    <w:p>
      <w:pPr>
        <w:jc w:val="center"/>
        <w:ind w:right="-59"/>
        <w:spacing w:after="0"/>
        <w:rPr>
          <w:sz w:val="20"/>
          <w:szCs w:val="20"/>
          <w:color w:val="auto"/>
        </w:rPr>
      </w:pPr>
      <w:r>
        <w:rPr>
          <w:rFonts w:ascii="Arial" w:cs="Arial" w:eastAsia="Arial" w:hAnsi="Arial"/>
          <w:sz w:val="22"/>
          <w:szCs w:val="22"/>
          <w:b w:val="1"/>
          <w:bCs w:val="1"/>
          <w:color w:val="auto"/>
        </w:rPr>
        <w:t>EXCHANGE ACT OF 1934</w:t>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November 2022</w:t>
      </w:r>
    </w:p>
    <w:p>
      <w:pPr>
        <w:spacing w:after="0" w:line="18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001-40974</w:t>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GLOBALFOUNDRIES Inc.</w:t>
      </w:r>
    </w:p>
    <w:p>
      <w:pPr>
        <w:spacing w:after="0" w:line="180"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400 Stonebreak Road Extension</w:t>
      </w:r>
    </w:p>
    <w:p>
      <w:pPr>
        <w:ind w:left="4980"/>
        <w:spacing w:after="0" w:line="205" w:lineRule="auto"/>
        <w:rPr>
          <w:sz w:val="20"/>
          <w:szCs w:val="20"/>
          <w:color w:val="auto"/>
        </w:rPr>
      </w:pPr>
      <w:r>
        <w:rPr>
          <w:rFonts w:ascii="Arial" w:cs="Arial" w:eastAsia="Arial" w:hAnsi="Arial"/>
          <w:sz w:val="18"/>
          <w:szCs w:val="18"/>
          <w:b w:val="1"/>
          <w:bCs w:val="1"/>
          <w:color w:val="auto"/>
        </w:rPr>
        <w:t>Malta, NY 12020</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15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38" w:lineRule="exact"/>
        <w:rPr>
          <w:sz w:val="24"/>
          <w:szCs w:val="24"/>
          <w:color w:val="auto"/>
        </w:rPr>
      </w:pPr>
    </w:p>
    <w:p>
      <w:pPr>
        <w:ind w:left="44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0" w:lineRule="exact"/>
        <w:rPr>
          <w:sz w:val="24"/>
          <w:szCs w:val="24"/>
          <w:color w:val="auto"/>
        </w:rPr>
      </w:pPr>
    </w:p>
    <w:p>
      <w:pPr>
        <w:spacing w:after="0" w:line="21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are the following exhibits.</w:t>
      </w:r>
    </w:p>
    <w:p>
      <w:pPr>
        <w:spacing w:after="0" w:line="164" w:lineRule="exact"/>
        <w:rPr>
          <w:sz w:val="24"/>
          <w:szCs w:val="24"/>
          <w:color w:val="auto"/>
        </w:rPr>
      </w:pPr>
    </w:p>
    <w:p>
      <w:pPr>
        <w:spacing w:after="0"/>
        <w:rPr>
          <w:sz w:val="20"/>
          <w:szCs w:val="20"/>
          <w:color w:val="auto"/>
        </w:rPr>
      </w:pPr>
      <w:r>
        <w:rPr>
          <w:rFonts w:ascii="Arial" w:cs="Arial" w:eastAsia="Arial" w:hAnsi="Arial"/>
          <w:sz w:val="22"/>
          <w:szCs w:val="22"/>
          <w:color w:val="auto"/>
        </w:rPr>
        <w:t>Part I – Financial Information</w:t>
      </w:r>
    </w:p>
    <w:p>
      <w:pPr>
        <w:spacing w:after="0" w:line="237"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000" w:type="dxa"/>
            <w:vAlign w:val="bottom"/>
            <w:gridSpan w:val="2"/>
          </w:tcPr>
          <w:p>
            <w:pPr>
              <w:spacing w:after="0"/>
              <w:rPr>
                <w:sz w:val="20"/>
                <w:szCs w:val="20"/>
                <w:color w:val="auto"/>
              </w:rPr>
            </w:pPr>
            <w:r>
              <w:rPr>
                <w:rFonts w:ascii="Arial" w:cs="Arial" w:eastAsia="Arial" w:hAnsi="Arial"/>
                <w:sz w:val="18"/>
                <w:szCs w:val="18"/>
                <w:color w:val="0000FF"/>
              </w:rPr>
              <w:t>Exhibit 99.1</w:t>
            </w:r>
          </w:p>
        </w:tc>
        <w:tc>
          <w:tcPr>
            <w:tcW w:w="9160" w:type="dxa"/>
            <w:vAlign w:val="bottom"/>
            <w:gridSpan w:val="4"/>
          </w:tcPr>
          <w:p>
            <w:pPr>
              <w:spacing w:after="0"/>
              <w:rPr>
                <w:sz w:val="20"/>
                <w:szCs w:val="20"/>
                <w:color w:val="auto"/>
              </w:rPr>
            </w:pPr>
            <w:r>
              <w:rPr>
                <w:rFonts w:ascii="Arial" w:cs="Arial" w:eastAsia="Arial" w:hAnsi="Arial"/>
                <w:sz w:val="18"/>
                <w:szCs w:val="18"/>
                <w:color w:val="0000FF"/>
                <w:w w:val="89"/>
              </w:rPr>
              <w:t>Unaudited Interim Condensed Consolidated Financial Statements as of September 30, 2022 and December 31, 2021 and for the</w:t>
            </w:r>
          </w:p>
        </w:tc>
      </w:tr>
      <w:tr>
        <w:trPr>
          <w:trHeight w:val="210"/>
        </w:trPr>
        <w:tc>
          <w:tcPr>
            <w:tcW w:w="900" w:type="dxa"/>
            <w:vAlign w:val="bottom"/>
            <w:tcBorders>
              <w:top w:val="single" w:sz="8" w:color="0000FF"/>
            </w:tcBorders>
          </w:tcPr>
          <w:p>
            <w:pPr>
              <w:spacing w:after="0"/>
              <w:rPr>
                <w:sz w:val="18"/>
                <w:szCs w:val="18"/>
                <w:color w:val="auto"/>
              </w:rPr>
            </w:pPr>
          </w:p>
        </w:tc>
        <w:tc>
          <w:tcPr>
            <w:tcW w:w="1100" w:type="dxa"/>
            <w:vAlign w:val="bottom"/>
          </w:tcPr>
          <w:p>
            <w:pPr>
              <w:spacing w:after="0"/>
              <w:rPr>
                <w:sz w:val="18"/>
                <w:szCs w:val="18"/>
                <w:color w:val="auto"/>
              </w:rPr>
            </w:pPr>
          </w:p>
        </w:tc>
        <w:tc>
          <w:tcPr>
            <w:tcW w:w="91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three and nine months ended September 30, 2022 and 2021.</w:t>
            </w:r>
          </w:p>
        </w:tc>
      </w:tr>
      <w:tr>
        <w:trPr>
          <w:trHeight w:val="20"/>
        </w:trPr>
        <w:tc>
          <w:tcPr>
            <w:tcW w:w="2000" w:type="dxa"/>
            <w:vAlign w:val="bottom"/>
            <w:gridSpan w:val="2"/>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0000FF"/>
                <w:w w:val="93"/>
              </w:rPr>
              <w:t>Exhibit 99.2</w:t>
            </w:r>
          </w:p>
        </w:tc>
        <w:tc>
          <w:tcPr>
            <w:tcW w:w="1100" w:type="dxa"/>
            <w:vAlign w:val="bottom"/>
          </w:tcPr>
          <w:p>
            <w:pPr>
              <w:spacing w:after="0"/>
              <w:rPr>
                <w:sz w:val="21"/>
                <w:szCs w:val="21"/>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0000FF"/>
                <w:w w:val="91"/>
              </w:rPr>
              <w:t>Management’s Discussion and Analysis of Financial Condition and Results of Operations for the three and nine months ended</w:t>
            </w:r>
          </w:p>
        </w:tc>
      </w:tr>
      <w:tr>
        <w:trPr>
          <w:trHeight w:val="210"/>
        </w:trPr>
        <w:tc>
          <w:tcPr>
            <w:tcW w:w="900" w:type="dxa"/>
            <w:vAlign w:val="bottom"/>
            <w:tcBorders>
              <w:top w:val="single" w:sz="8" w:color="0000FF"/>
            </w:tcBorders>
          </w:tcPr>
          <w:p>
            <w:pPr>
              <w:spacing w:after="0"/>
              <w:rPr>
                <w:sz w:val="18"/>
                <w:szCs w:val="18"/>
                <w:color w:val="auto"/>
              </w:rPr>
            </w:pPr>
          </w:p>
        </w:tc>
        <w:tc>
          <w:tcPr>
            <w:tcW w:w="1100" w:type="dxa"/>
            <w:vAlign w:val="bottom"/>
          </w:tcPr>
          <w:p>
            <w:pPr>
              <w:spacing w:after="0"/>
              <w:rPr>
                <w:sz w:val="18"/>
                <w:szCs w:val="18"/>
                <w:color w:val="auto"/>
              </w:rPr>
            </w:pPr>
          </w:p>
        </w:tc>
        <w:tc>
          <w:tcPr>
            <w:tcW w:w="90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September 30, 2022 and 2021.</w:t>
            </w:r>
          </w:p>
        </w:tc>
        <w:tc>
          <w:tcPr>
            <w:tcW w:w="8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3" w:lineRule="exact"/>
        <w:rPr>
          <w:sz w:val="24"/>
          <w:szCs w:val="24"/>
          <w:color w:val="auto"/>
        </w:rPr>
      </w:pPr>
    </w:p>
    <w:p>
      <w:pPr>
        <w:spacing w:after="0"/>
        <w:rPr>
          <w:sz w:val="20"/>
          <w:szCs w:val="20"/>
          <w:color w:val="auto"/>
        </w:rPr>
      </w:pPr>
      <w:r>
        <w:rPr>
          <w:rFonts w:ascii="Arial" w:cs="Arial" w:eastAsia="Arial" w:hAnsi="Arial"/>
          <w:sz w:val="22"/>
          <w:szCs w:val="22"/>
          <w:color w:val="auto"/>
        </w:rPr>
        <w:t>Part II – Other Information</w:t>
      </w:r>
    </w:p>
    <w:p>
      <w:pPr>
        <w:spacing w:after="0" w:line="267" w:lineRule="exact"/>
        <w:rPr>
          <w:sz w:val="24"/>
          <w:szCs w:val="24"/>
          <w:color w:val="auto"/>
        </w:rPr>
      </w:pPr>
    </w:p>
    <w:p>
      <w:pPr>
        <w:ind w:left="20"/>
        <w:spacing w:after="0"/>
        <w:tabs>
          <w:tab w:leader="none" w:pos="2000" w:val="left"/>
        </w:tabs>
        <w:rPr>
          <w:sz w:val="20"/>
          <w:szCs w:val="20"/>
          <w:color w:val="auto"/>
        </w:rPr>
      </w:pPr>
      <w:r>
        <w:rPr>
          <w:rFonts w:ascii="Arial" w:cs="Arial" w:eastAsia="Arial" w:hAnsi="Arial"/>
          <w:sz w:val="18"/>
          <w:szCs w:val="18"/>
          <w:u w:val="single" w:color="auto"/>
          <w:color w:val="0000FF"/>
        </w:rPr>
        <w:t>Exhibit 99.3</w:t>
      </w:r>
      <w:r>
        <w:rPr>
          <w:sz w:val="20"/>
          <w:szCs w:val="20"/>
          <w:color w:val="auto"/>
        </w:rPr>
        <w:tab/>
      </w:r>
      <w:r>
        <w:rPr>
          <w:rFonts w:ascii="Arial" w:cs="Arial" w:eastAsia="Arial" w:hAnsi="Arial"/>
          <w:sz w:val="16"/>
          <w:szCs w:val="16"/>
          <w:u w:val="single" w:color="auto"/>
          <w:color w:val="0000FF"/>
        </w:rPr>
        <w:t>Risk Factors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1108075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6860" w:type="dxa"/>
            <w:vAlign w:val="bottom"/>
            <w:gridSpan w:val="2"/>
          </w:tcPr>
          <w:p>
            <w:pPr>
              <w:ind w:left="1640"/>
              <w:spacing w:after="0"/>
              <w:rPr>
                <w:sz w:val="20"/>
                <w:szCs w:val="20"/>
                <w:color w:val="auto"/>
              </w:rPr>
            </w:pPr>
            <w:r>
              <w:rPr>
                <w:rFonts w:ascii="Arial" w:cs="Arial" w:eastAsia="Arial" w:hAnsi="Arial"/>
                <w:sz w:val="18"/>
                <w:szCs w:val="18"/>
                <w:b w:val="1"/>
                <w:bCs w:val="1"/>
                <w:color w:val="auto"/>
              </w:rPr>
              <w:t>GLOBALFOUNDRIES Inc.</w:t>
            </w:r>
          </w:p>
        </w:tc>
      </w:tr>
      <w:tr>
        <w:trPr>
          <w:trHeight w:val="567"/>
        </w:trPr>
        <w:tc>
          <w:tcPr>
            <w:tcW w:w="3500" w:type="dxa"/>
            <w:vAlign w:val="bottom"/>
          </w:tcPr>
          <w:p>
            <w:pPr>
              <w:spacing w:after="0"/>
              <w:rPr>
                <w:sz w:val="20"/>
                <w:szCs w:val="20"/>
                <w:color w:val="auto"/>
              </w:rPr>
            </w:pPr>
            <w:r>
              <w:rPr>
                <w:rFonts w:ascii="Arial" w:cs="Arial" w:eastAsia="Arial" w:hAnsi="Arial"/>
                <w:sz w:val="18"/>
                <w:szCs w:val="18"/>
                <w:color w:val="auto"/>
              </w:rPr>
              <w:t>Date: November 22, 2022</w:t>
            </w:r>
          </w:p>
        </w:tc>
        <w:tc>
          <w:tcPr>
            <w:tcW w:w="2760" w:type="dxa"/>
            <w:vAlign w:val="bottom"/>
          </w:tcPr>
          <w:p>
            <w:pPr>
              <w:ind w:left="164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Dr. Thomas Caulfield</w:t>
            </w:r>
          </w:p>
        </w:tc>
      </w:tr>
      <w:tr>
        <w:trPr>
          <w:trHeight w:val="40"/>
        </w:trPr>
        <w:tc>
          <w:tcPr>
            <w:tcW w:w="3500" w:type="dxa"/>
            <w:vAlign w:val="bottom"/>
          </w:tcPr>
          <w:p>
            <w:pPr>
              <w:spacing w:after="0"/>
              <w:rPr>
                <w:sz w:val="3"/>
                <w:szCs w:val="3"/>
                <w:color w:val="auto"/>
              </w:rPr>
            </w:pPr>
          </w:p>
        </w:tc>
        <w:tc>
          <w:tcPr>
            <w:tcW w:w="2760" w:type="dxa"/>
            <w:vAlign w:val="bottom"/>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r>
      <w:tr>
        <w:trPr>
          <w:trHeight w:val="237"/>
        </w:trPr>
        <w:tc>
          <w:tcPr>
            <w:tcW w:w="3500" w:type="dxa"/>
            <w:vAlign w:val="bottom"/>
          </w:tcPr>
          <w:p>
            <w:pPr>
              <w:spacing w:after="0"/>
              <w:rPr>
                <w:sz w:val="20"/>
                <w:szCs w:val="20"/>
                <w:color w:val="auto"/>
              </w:rPr>
            </w:pPr>
          </w:p>
        </w:tc>
        <w:tc>
          <w:tcPr>
            <w:tcW w:w="2760" w:type="dxa"/>
            <w:vAlign w:val="bottom"/>
          </w:tcPr>
          <w:p>
            <w:pPr>
              <w:ind w:left="1640"/>
              <w:spacing w:after="0"/>
              <w:rPr>
                <w:sz w:val="20"/>
                <w:szCs w:val="20"/>
                <w:color w:val="auto"/>
              </w:rPr>
            </w:pPr>
            <w:r>
              <w:rPr>
                <w:rFonts w:ascii="Arial" w:cs="Arial" w:eastAsia="Arial" w:hAnsi="Arial"/>
                <w:sz w:val="18"/>
                <w:szCs w:val="18"/>
                <w:color w:val="auto"/>
              </w:rPr>
              <w:t>Name:</w:t>
            </w:r>
          </w:p>
        </w:tc>
        <w:tc>
          <w:tcPr>
            <w:tcW w:w="4100" w:type="dxa"/>
            <w:vAlign w:val="bottom"/>
          </w:tcPr>
          <w:p>
            <w:pPr>
              <w:ind w:left="20"/>
              <w:spacing w:after="0"/>
              <w:rPr>
                <w:sz w:val="20"/>
                <w:szCs w:val="20"/>
                <w:color w:val="auto"/>
              </w:rPr>
            </w:pPr>
            <w:r>
              <w:rPr>
                <w:rFonts w:ascii="Arial" w:cs="Arial" w:eastAsia="Arial" w:hAnsi="Arial"/>
                <w:sz w:val="18"/>
                <w:szCs w:val="18"/>
                <w:color w:val="auto"/>
              </w:rPr>
              <w:t>Dr. Thomas Caulfield</w:t>
            </w:r>
          </w:p>
        </w:tc>
      </w:tr>
      <w:tr>
        <w:trPr>
          <w:trHeight w:val="283"/>
        </w:trPr>
        <w:tc>
          <w:tcPr>
            <w:tcW w:w="3500" w:type="dxa"/>
            <w:vAlign w:val="bottom"/>
          </w:tcPr>
          <w:p>
            <w:pPr>
              <w:spacing w:after="0"/>
              <w:rPr>
                <w:sz w:val="24"/>
                <w:szCs w:val="24"/>
                <w:color w:val="auto"/>
              </w:rPr>
            </w:pPr>
          </w:p>
        </w:tc>
        <w:tc>
          <w:tcPr>
            <w:tcW w:w="2760" w:type="dxa"/>
            <w:vAlign w:val="bottom"/>
          </w:tcPr>
          <w:p>
            <w:pPr>
              <w:ind w:left="1640"/>
              <w:spacing w:after="0"/>
              <w:rPr>
                <w:sz w:val="20"/>
                <w:szCs w:val="20"/>
                <w:color w:val="auto"/>
              </w:rPr>
            </w:pPr>
            <w:r>
              <w:rPr>
                <w:rFonts w:ascii="Arial" w:cs="Arial" w:eastAsia="Arial" w:hAnsi="Arial"/>
                <w:sz w:val="18"/>
                <w:szCs w:val="18"/>
                <w:color w:val="auto"/>
              </w:rPr>
              <w:t>Title:</w:t>
            </w:r>
          </w:p>
        </w:tc>
        <w:tc>
          <w:tcPr>
            <w:tcW w:w="4100" w:type="dxa"/>
            <w:vAlign w:val="bottom"/>
          </w:tcPr>
          <w:p>
            <w:pPr>
              <w:ind w:left="20"/>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240"/>
          </w:cols>
          <w:pgMar w:left="320" w:top="1417"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640" w:type="dxa"/>
            <w:vAlign w:val="bottom"/>
            <w:gridSpan w:val="6"/>
          </w:tcPr>
          <w:p>
            <w:pPr>
              <w:ind w:left="1620"/>
              <w:spacing w:after="0"/>
              <w:rPr>
                <w:sz w:val="20"/>
                <w:szCs w:val="20"/>
                <w:color w:val="auto"/>
              </w:rPr>
            </w:pPr>
            <w:r>
              <w:rPr>
                <w:rFonts w:ascii="Arial" w:cs="Arial" w:eastAsia="Arial" w:hAnsi="Arial"/>
                <w:sz w:val="18"/>
                <w:szCs w:val="18"/>
                <w:color w:val="auto"/>
              </w:rPr>
              <w:t>Unaudited Statements</w:t>
            </w:r>
          </w:p>
        </w:tc>
        <w:tc>
          <w:tcPr>
            <w:tcW w:w="700" w:type="dxa"/>
            <w:vAlign w:val="bottom"/>
            <w:gridSpan w:val="5"/>
          </w:tcPr>
          <w:p>
            <w:pPr>
              <w:ind w:left="28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716"/>
        </w:trPr>
        <w:tc>
          <w:tcPr>
            <w:tcW w:w="9360" w:type="dxa"/>
            <w:vAlign w:val="bottom"/>
            <w:gridSpan w:val="4"/>
          </w:tcPr>
          <w:p>
            <w:pPr>
              <w:spacing w:after="0"/>
              <w:rPr>
                <w:sz w:val="20"/>
                <w:szCs w:val="20"/>
                <w:color w:val="auto"/>
              </w:rPr>
            </w:pPr>
            <w:r>
              <w:rPr>
                <w:rFonts w:ascii="Arial" w:cs="Arial" w:eastAsia="Arial" w:hAnsi="Arial"/>
                <w:sz w:val="18"/>
                <w:szCs w:val="18"/>
                <w:color w:val="0000FF"/>
                <w:w w:val="99"/>
              </w:rPr>
              <w:t>Interim Condensed Consolidated Statements of Financial Position as of September 30, 2022 and December 31, 2021</w:t>
            </w:r>
          </w:p>
        </w:tc>
        <w:tc>
          <w:tcPr>
            <w:tcW w:w="720" w:type="dxa"/>
            <w:vAlign w:val="bottom"/>
            <w:gridSpan w:val="4"/>
          </w:tcPr>
          <w:p>
            <w:pPr>
              <w:spacing w:after="0"/>
              <w:rPr>
                <w:sz w:val="24"/>
                <w:szCs w:val="24"/>
                <w:color w:val="auto"/>
              </w:rPr>
            </w:pPr>
          </w:p>
        </w:tc>
        <w:tc>
          <w:tcPr>
            <w:tcW w:w="480" w:type="dxa"/>
            <w:vAlign w:val="bottom"/>
            <w:gridSpan w:val="3"/>
          </w:tcPr>
          <w:p>
            <w:pPr>
              <w:spacing w:after="0"/>
              <w:rPr>
                <w:sz w:val="24"/>
                <w:szCs w:val="24"/>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0000FF"/>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2640" w:type="dxa"/>
            <w:vAlign w:val="bottom"/>
            <w:shd w:val="clear" w:color="auto" w:fill="0000FF"/>
          </w:tcPr>
          <w:p>
            <w:pPr>
              <w:spacing w:after="0"/>
              <w:rPr>
                <w:sz w:val="2"/>
                <w:szCs w:val="2"/>
                <w:color w:val="auto"/>
              </w:rPr>
            </w:pPr>
          </w:p>
        </w:tc>
        <w:tc>
          <w:tcPr>
            <w:tcW w:w="428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080" w:type="dxa"/>
            <w:vAlign w:val="bottom"/>
            <w:gridSpan w:val="8"/>
          </w:tcPr>
          <w:p>
            <w:pPr>
              <w:spacing w:after="0"/>
              <w:rPr>
                <w:sz w:val="20"/>
                <w:szCs w:val="20"/>
                <w:color w:val="auto"/>
              </w:rPr>
            </w:pPr>
            <w:r>
              <w:rPr>
                <w:rFonts w:ascii="Arial" w:cs="Arial" w:eastAsia="Arial" w:hAnsi="Arial"/>
                <w:sz w:val="18"/>
                <w:szCs w:val="18"/>
                <w:color w:val="0000FF"/>
              </w:rPr>
              <w:t>Interim Condensed Consolidated Statements of Operations for the Three and Nine Months Ended September 30, 2022 and</w:t>
            </w:r>
          </w:p>
        </w:tc>
        <w:tc>
          <w:tcPr>
            <w:tcW w:w="480" w:type="dxa"/>
            <w:vAlign w:val="bottom"/>
            <w:gridSpan w:val="3"/>
            <w:vMerge w:val="restart"/>
          </w:tcPr>
          <w:p>
            <w:pPr>
              <w:spacing w:after="0"/>
              <w:rPr>
                <w:sz w:val="22"/>
                <w:szCs w:val="22"/>
                <w:color w:val="auto"/>
              </w:rPr>
            </w:pPr>
          </w:p>
        </w:tc>
        <w:tc>
          <w:tcPr>
            <w:tcW w:w="200" w:type="dxa"/>
            <w:vAlign w:val="bottom"/>
            <w:vMerge w:val="restart"/>
          </w:tcPr>
          <w:p>
            <w:pPr>
              <w:jc w:val="center"/>
              <w:ind w:right="67"/>
              <w:spacing w:after="0"/>
              <w:rPr>
                <w:sz w:val="20"/>
                <w:szCs w:val="20"/>
                <w:color w:val="auto"/>
              </w:rPr>
            </w:pPr>
            <w:r>
              <w:rPr>
                <w:rFonts w:ascii="Arial" w:cs="Arial" w:eastAsia="Arial" w:hAnsi="Arial"/>
                <w:sz w:val="15"/>
                <w:szCs w:val="15"/>
                <w:color w:val="0000FF"/>
                <w:w w:val="71"/>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0000FF"/>
                <w:w w:val="94"/>
              </w:rPr>
              <w:t>2021</w:t>
            </w:r>
          </w:p>
        </w:tc>
        <w:tc>
          <w:tcPr>
            <w:tcW w:w="204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tcPr>
          <w:p>
            <w:pPr>
              <w:spacing w:after="0"/>
              <w:rPr>
                <w:sz w:val="17"/>
                <w:szCs w:val="17"/>
                <w:color w:val="auto"/>
              </w:rPr>
            </w:pPr>
          </w:p>
        </w:tc>
        <w:tc>
          <w:tcPr>
            <w:tcW w:w="4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3"/>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0000FF"/>
          </w:tcPr>
          <w:p>
            <w:pPr>
              <w:spacing w:after="0"/>
              <w:rPr>
                <w:sz w:val="2"/>
                <w:szCs w:val="2"/>
                <w:color w:val="auto"/>
              </w:rPr>
            </w:pPr>
          </w:p>
        </w:tc>
        <w:tc>
          <w:tcPr>
            <w:tcW w:w="20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0080" w:type="dxa"/>
            <w:vAlign w:val="bottom"/>
            <w:gridSpan w:val="8"/>
          </w:tcPr>
          <w:p>
            <w:pPr>
              <w:spacing w:after="0"/>
              <w:rPr>
                <w:sz w:val="20"/>
                <w:szCs w:val="20"/>
                <w:color w:val="auto"/>
              </w:rPr>
            </w:pPr>
            <w:r>
              <w:rPr>
                <w:rFonts w:ascii="Arial" w:cs="Arial" w:eastAsia="Arial" w:hAnsi="Arial"/>
                <w:sz w:val="18"/>
                <w:szCs w:val="18"/>
                <w:color w:val="0000FF"/>
              </w:rPr>
              <w:t>Interim Condensed Consolidated Statements of Comprehensive Income (Loss) for the Three and Nine Months Ended</w:t>
            </w:r>
          </w:p>
        </w:tc>
        <w:tc>
          <w:tcPr>
            <w:tcW w:w="480" w:type="dxa"/>
            <w:vAlign w:val="bottom"/>
            <w:gridSpan w:val="3"/>
            <w:vMerge w:val="restart"/>
          </w:tcPr>
          <w:p>
            <w:pPr>
              <w:spacing w:after="0"/>
              <w:rPr>
                <w:sz w:val="22"/>
                <w:szCs w:val="22"/>
                <w:color w:val="auto"/>
              </w:rPr>
            </w:pPr>
          </w:p>
        </w:tc>
        <w:tc>
          <w:tcPr>
            <w:tcW w:w="200" w:type="dxa"/>
            <w:vAlign w:val="bottom"/>
            <w:vMerge w:val="restart"/>
          </w:tcPr>
          <w:p>
            <w:pPr>
              <w:jc w:val="center"/>
              <w:ind w:right="67"/>
              <w:spacing w:after="0"/>
              <w:rPr>
                <w:sz w:val="20"/>
                <w:szCs w:val="20"/>
                <w:color w:val="auto"/>
              </w:rPr>
            </w:pPr>
            <w:r>
              <w:rPr>
                <w:rFonts w:ascii="Arial" w:cs="Arial" w:eastAsia="Arial" w:hAnsi="Arial"/>
                <w:sz w:val="15"/>
                <w:szCs w:val="15"/>
                <w:color w:val="0000FF"/>
                <w:w w:val="71"/>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44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September 30, 2022 and 2021</w:t>
            </w:r>
          </w:p>
        </w:tc>
        <w:tc>
          <w:tcPr>
            <w:tcW w:w="6920" w:type="dxa"/>
            <w:vAlign w:val="bottom"/>
            <w:tcBorders>
              <w:top w:val="single" w:sz="8" w:color="0000FF"/>
            </w:tcBorders>
            <w:gridSpan w:val="2"/>
          </w:tcPr>
          <w:p>
            <w:pPr>
              <w:spacing w:after="0"/>
              <w:rPr>
                <w:sz w:val="17"/>
                <w:szCs w:val="17"/>
                <w:color w:val="auto"/>
              </w:rPr>
            </w:pPr>
          </w:p>
        </w:tc>
        <w:tc>
          <w:tcPr>
            <w:tcW w:w="720" w:type="dxa"/>
            <w:vAlign w:val="bottom"/>
            <w:gridSpan w:val="4"/>
          </w:tcPr>
          <w:p>
            <w:pPr>
              <w:spacing w:after="0"/>
              <w:rPr>
                <w:sz w:val="17"/>
                <w:szCs w:val="17"/>
                <w:color w:val="auto"/>
              </w:rPr>
            </w:pPr>
          </w:p>
        </w:tc>
        <w:tc>
          <w:tcPr>
            <w:tcW w:w="480" w:type="dxa"/>
            <w:vAlign w:val="bottom"/>
            <w:gridSpan w:val="3"/>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40" w:type="dxa"/>
            <w:vAlign w:val="bottom"/>
            <w:gridSpan w:val="2"/>
            <w:shd w:val="clear" w:color="auto" w:fill="0000FF"/>
          </w:tcPr>
          <w:p>
            <w:pPr>
              <w:spacing w:after="0"/>
              <w:rPr>
                <w:sz w:val="2"/>
                <w:szCs w:val="2"/>
                <w:color w:val="auto"/>
              </w:rPr>
            </w:pPr>
          </w:p>
        </w:tc>
        <w:tc>
          <w:tcPr>
            <w:tcW w:w="2640" w:type="dxa"/>
            <w:vAlign w:val="bottom"/>
          </w:tcPr>
          <w:p>
            <w:pPr>
              <w:spacing w:after="0"/>
              <w:rPr>
                <w:sz w:val="2"/>
                <w:szCs w:val="2"/>
                <w:color w:val="auto"/>
              </w:rPr>
            </w:pPr>
          </w:p>
        </w:tc>
        <w:tc>
          <w:tcPr>
            <w:tcW w:w="4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080" w:type="dxa"/>
            <w:vAlign w:val="bottom"/>
            <w:gridSpan w:val="8"/>
          </w:tcPr>
          <w:p>
            <w:pPr>
              <w:spacing w:after="0"/>
              <w:rPr>
                <w:sz w:val="20"/>
                <w:szCs w:val="20"/>
                <w:color w:val="auto"/>
              </w:rPr>
            </w:pPr>
            <w:r>
              <w:rPr>
                <w:rFonts w:ascii="Arial" w:cs="Arial" w:eastAsia="Arial" w:hAnsi="Arial"/>
                <w:sz w:val="18"/>
                <w:szCs w:val="18"/>
                <w:color w:val="0000FF"/>
              </w:rPr>
              <w:t>Interim Condensed Consolidated Statements of Changes in Equity for the Nine Months Ended September 30, 2022 and</w:t>
            </w:r>
          </w:p>
        </w:tc>
        <w:tc>
          <w:tcPr>
            <w:tcW w:w="680" w:type="dxa"/>
            <w:vAlign w:val="bottom"/>
            <w:gridSpan w:val="4"/>
            <w:vMerge w:val="restart"/>
          </w:tcPr>
          <w:p>
            <w:pPr>
              <w:jc w:val="center"/>
              <w:ind w:left="210"/>
              <w:spacing w:after="0"/>
              <w:rPr>
                <w:sz w:val="20"/>
                <w:szCs w:val="20"/>
                <w:color w:val="auto"/>
              </w:rPr>
            </w:pPr>
            <w:r>
              <w:rPr>
                <w:rFonts w:ascii="Arial" w:cs="Arial" w:eastAsia="Arial" w:hAnsi="Arial"/>
                <w:sz w:val="18"/>
                <w:szCs w:val="18"/>
                <w:color w:val="0000FF"/>
                <w:w w:val="99"/>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0000FF"/>
                <w:w w:val="94"/>
              </w:rPr>
              <w:t>2021</w:t>
            </w:r>
          </w:p>
        </w:tc>
        <w:tc>
          <w:tcPr>
            <w:tcW w:w="204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tcPr>
          <w:p>
            <w:pPr>
              <w:spacing w:after="0"/>
              <w:rPr>
                <w:sz w:val="17"/>
                <w:szCs w:val="17"/>
                <w:color w:val="auto"/>
              </w:rPr>
            </w:pPr>
          </w:p>
        </w:tc>
        <w:tc>
          <w:tcPr>
            <w:tcW w:w="4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0000FF"/>
          </w:tcPr>
          <w:p>
            <w:pPr>
              <w:spacing w:after="0"/>
              <w:rPr>
                <w:sz w:val="2"/>
                <w:szCs w:val="2"/>
                <w:color w:val="auto"/>
              </w:rPr>
            </w:pPr>
          </w:p>
        </w:tc>
        <w:tc>
          <w:tcPr>
            <w:tcW w:w="4680" w:type="dxa"/>
            <w:vAlign w:val="bottom"/>
            <w:gridSpan w:val="2"/>
          </w:tcPr>
          <w:p>
            <w:pPr>
              <w:spacing w:after="0"/>
              <w:rPr>
                <w:sz w:val="2"/>
                <w:szCs w:val="2"/>
                <w:color w:val="auto"/>
              </w:rPr>
            </w:pPr>
          </w:p>
        </w:tc>
        <w:tc>
          <w:tcPr>
            <w:tcW w:w="4360" w:type="dxa"/>
            <w:vAlign w:val="bottom"/>
            <w:gridSpan w:val="2"/>
          </w:tcPr>
          <w:p>
            <w:pPr>
              <w:spacing w:after="0"/>
              <w:rPr>
                <w:sz w:val="2"/>
                <w:szCs w:val="2"/>
                <w:color w:val="auto"/>
              </w:rPr>
            </w:pPr>
          </w:p>
        </w:tc>
        <w:tc>
          <w:tcPr>
            <w:tcW w:w="64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080" w:type="dxa"/>
            <w:vAlign w:val="bottom"/>
            <w:gridSpan w:val="8"/>
          </w:tcPr>
          <w:p>
            <w:pPr>
              <w:spacing w:after="0"/>
              <w:rPr>
                <w:sz w:val="20"/>
                <w:szCs w:val="20"/>
                <w:color w:val="auto"/>
              </w:rPr>
            </w:pPr>
            <w:r>
              <w:rPr>
                <w:rFonts w:ascii="Arial" w:cs="Arial" w:eastAsia="Arial" w:hAnsi="Arial"/>
                <w:sz w:val="18"/>
                <w:szCs w:val="18"/>
                <w:color w:val="0000FF"/>
              </w:rPr>
              <w:t>Interim Condensed Consolidated Statements of Cash Flows for the Nine Months Ended September 30, 2022 and 2021</w:t>
            </w:r>
          </w:p>
        </w:tc>
        <w:tc>
          <w:tcPr>
            <w:tcW w:w="680" w:type="dxa"/>
            <w:vAlign w:val="bottom"/>
            <w:gridSpan w:val="4"/>
          </w:tcPr>
          <w:p>
            <w:pPr>
              <w:jc w:val="center"/>
              <w:ind w:left="210"/>
              <w:spacing w:after="0"/>
              <w:rPr>
                <w:sz w:val="20"/>
                <w:szCs w:val="20"/>
                <w:color w:val="auto"/>
              </w:rPr>
            </w:pPr>
            <w:r>
              <w:rPr>
                <w:rFonts w:ascii="Arial" w:cs="Arial" w:eastAsia="Arial" w:hAnsi="Arial"/>
                <w:sz w:val="18"/>
                <w:szCs w:val="18"/>
                <w:color w:val="0000FF"/>
                <w:w w:val="99"/>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80" w:type="dxa"/>
            <w:vAlign w:val="bottom"/>
            <w:gridSpan w:val="3"/>
          </w:tcPr>
          <w:p>
            <w:pPr>
              <w:spacing w:after="0"/>
              <w:rPr>
                <w:sz w:val="20"/>
                <w:szCs w:val="20"/>
                <w:color w:val="auto"/>
              </w:rPr>
            </w:pPr>
            <w:r>
              <w:rPr>
                <w:rFonts w:ascii="Arial" w:cs="Arial" w:eastAsia="Arial" w:hAnsi="Arial"/>
                <w:sz w:val="18"/>
                <w:szCs w:val="18"/>
                <w:color w:val="0000FF"/>
                <w:w w:val="99"/>
              </w:rPr>
              <w:t>Notes to Interim Condensed Consolidated Financial Statements</w:t>
            </w:r>
          </w:p>
        </w:tc>
        <w:tc>
          <w:tcPr>
            <w:tcW w:w="4360" w:type="dxa"/>
            <w:vAlign w:val="bottom"/>
            <w:gridSpan w:val="2"/>
          </w:tcPr>
          <w:p>
            <w:pPr>
              <w:spacing w:after="0"/>
              <w:rPr>
                <w:sz w:val="22"/>
                <w:szCs w:val="22"/>
                <w:color w:val="auto"/>
              </w:rPr>
            </w:pPr>
          </w:p>
        </w:tc>
        <w:tc>
          <w:tcPr>
            <w:tcW w:w="640" w:type="dxa"/>
            <w:vAlign w:val="bottom"/>
            <w:gridSpan w:val="3"/>
          </w:tcPr>
          <w:p>
            <w:pPr>
              <w:spacing w:after="0"/>
              <w:rPr>
                <w:sz w:val="22"/>
                <w:szCs w:val="22"/>
                <w:color w:val="auto"/>
              </w:rPr>
            </w:pPr>
          </w:p>
        </w:tc>
        <w:tc>
          <w:tcPr>
            <w:tcW w:w="700" w:type="dxa"/>
            <w:vAlign w:val="bottom"/>
            <w:gridSpan w:val="5"/>
          </w:tcPr>
          <w:p>
            <w:pPr>
              <w:jc w:val="center"/>
              <w:ind w:left="210"/>
              <w:spacing w:after="0"/>
              <w:rPr>
                <w:sz w:val="20"/>
                <w:szCs w:val="20"/>
                <w:color w:val="auto"/>
              </w:rPr>
            </w:pPr>
            <w:r>
              <w:rPr>
                <w:rFonts w:ascii="Arial" w:cs="Arial" w:eastAsia="Arial" w:hAnsi="Arial"/>
                <w:sz w:val="18"/>
                <w:szCs w:val="18"/>
                <w:color w:val="0000FF"/>
                <w:w w:val="99"/>
              </w:rPr>
              <w:t>7</w:t>
            </w:r>
            <w:r>
              <w:rPr>
                <w:rFonts w:ascii="Arial" w:cs="Arial" w:eastAsia="Arial" w:hAnsi="Arial"/>
                <w:sz w:val="18"/>
                <w:szCs w:val="18"/>
                <w:color w:val="000000"/>
                <w:w w:val="99"/>
              </w:rPr>
              <w:t>-</w:t>
            </w:r>
            <w:r>
              <w:rPr>
                <w:rFonts w:ascii="Arial" w:cs="Arial" w:eastAsia="Arial" w:hAnsi="Arial"/>
                <w:sz w:val="18"/>
                <w:szCs w:val="18"/>
                <w:color w:val="0000FF"/>
                <w:w w:val="99"/>
              </w:rPr>
              <w:t>16</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80"/>
          </w:cols>
          <w:pgMar w:left="340" w:top="9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94" w:right="779" w:bottom="1440" w:gutter="0" w:footer="0" w:header="0"/>
          <w:type w:val="continuous"/>
        </w:sectPr>
      </w:pPr>
    </w:p>
    <w:bookmarkStart w:id="3" w:name="page4"/>
    <w:bookmarkEnd w:id="3"/>
    <w:p>
      <w:pPr>
        <w:jc w:val="center"/>
        <w:ind w:right="500"/>
        <w:spacing w:after="0"/>
        <w:rPr>
          <w:sz w:val="20"/>
          <w:szCs w:val="20"/>
          <w:color w:val="auto"/>
        </w:rPr>
      </w:pPr>
      <w:r>
        <w:rPr>
          <w:rFonts w:ascii="Arial" w:cs="Arial" w:eastAsia="Arial" w:hAnsi="Arial"/>
          <w:sz w:val="22"/>
          <w:szCs w:val="22"/>
          <w:b w:val="1"/>
          <w:bCs w:val="1"/>
          <w:color w:val="auto"/>
        </w:rPr>
        <w:t>GLOBALFOUNDRIES INC.</w:t>
      </w:r>
    </w:p>
    <w:p>
      <w:pPr>
        <w:spacing w:after="0" w:line="218"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INTERIM CONDENSED CONSOLIDATED STATEMENTS OF FINANCIAL POSITION</w:t>
      </w:r>
    </w:p>
    <w:p>
      <w:pPr>
        <w:jc w:val="center"/>
        <w:ind w:right="500"/>
        <w:spacing w:after="0"/>
        <w:rPr>
          <w:sz w:val="20"/>
          <w:szCs w:val="20"/>
          <w:color w:val="auto"/>
        </w:rPr>
      </w:pPr>
      <w:r>
        <w:rPr>
          <w:rFonts w:ascii="Arial" w:cs="Arial" w:eastAsia="Arial" w:hAnsi="Arial"/>
          <w:sz w:val="16"/>
          <w:szCs w:val="16"/>
          <w:b w:val="1"/>
          <w:bCs w:val="1"/>
          <w:color w:val="auto"/>
        </w:rPr>
        <w:t>AS OF SEPTEMBER 30, 2022 AND DECEMBER 31, 2021</w:t>
      </w:r>
    </w:p>
    <w:p>
      <w:pPr>
        <w:sectPr>
          <w:pgSz w:w="11900" w:h="16838" w:orient="portrait"/>
          <w:cols w:equalWidth="0" w:num="1">
            <w:col w:w="10420"/>
          </w:cols>
          <w:pgMar w:left="980" w:top="9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millions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6617970" cy="162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7970" cy="162560"/>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617970" cy="162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7970" cy="16256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661797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797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Receivables, prepayments and 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1980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160" w:type="dxa"/>
            <w:vAlign w:val="bottom"/>
          </w:tcPr>
          <w:p>
            <w:pPr>
              <w:spacing w:after="0"/>
              <w:rPr>
                <w:sz w:val="18"/>
                <w:szCs w:val="18"/>
                <w:color w:val="auto"/>
              </w:rPr>
            </w:pPr>
          </w:p>
        </w:tc>
        <w:tc>
          <w:tcPr>
            <w:tcW w:w="13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33"/>
        </w:trPr>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676"/>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2,939</w:t>
            </w:r>
          </w:p>
        </w:tc>
      </w:tr>
      <w:tr>
        <w:trPr>
          <w:trHeight w:val="257"/>
        </w:trPr>
        <w:tc>
          <w:tcPr>
            <w:tcW w:w="16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16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1,169</w:t>
            </w: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1,231</w:t>
            </w:r>
          </w:p>
        </w:tc>
      </w:tr>
      <w:tr>
        <w:trPr>
          <w:trHeight w:val="256"/>
        </w:trPr>
        <w:tc>
          <w:tcPr>
            <w:tcW w:w="16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1,342</w:t>
            </w: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1,121</w:t>
            </w:r>
          </w:p>
        </w:tc>
      </w:tr>
    </w:tbl>
    <w:p>
      <w:pPr>
        <w:spacing w:after="0" w:line="13" w:lineRule="exact"/>
        <w:rPr>
          <w:sz w:val="20"/>
          <w:szCs w:val="20"/>
          <w:color w:val="auto"/>
        </w:rPr>
      </w:pPr>
    </w:p>
    <w:p>
      <w:pPr>
        <w:sectPr>
          <w:pgSz w:w="11900" w:h="16838" w:orient="portrait"/>
          <w:cols w:equalWidth="0" w:num="2">
            <w:col w:w="6580" w:space="720"/>
            <w:col w:w="3120"/>
          </w:cols>
          <w:pgMar w:left="980" w:top="94" w:right="49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50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5,619</w:t>
            </w:r>
          </w:p>
        </w:tc>
        <w:tc>
          <w:tcPr>
            <w:tcW w:w="8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5,291</w:t>
            </w:r>
          </w:p>
        </w:tc>
      </w:tr>
      <w:tr>
        <w:trPr>
          <w:trHeight w:val="23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9"/>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10,218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8,713</w:t>
            </w:r>
          </w:p>
        </w:tc>
      </w:tr>
      <w:tr>
        <w:trPr>
          <w:trHeight w:val="224"/>
        </w:trPr>
        <w:tc>
          <w:tcPr>
            <w:tcW w:w="7300" w:type="dxa"/>
            <w:vAlign w:val="bottom"/>
          </w:tcPr>
          <w:p>
            <w:pPr>
              <w:ind w:left="20"/>
              <w:spacing w:after="0"/>
              <w:rPr>
                <w:sz w:val="20"/>
                <w:szCs w:val="20"/>
                <w:color w:val="auto"/>
              </w:rPr>
            </w:pPr>
            <w:r>
              <w:rPr>
                <w:rFonts w:ascii="Arial" w:cs="Arial" w:eastAsia="Arial" w:hAnsi="Arial"/>
                <w:sz w:val="16"/>
                <w:szCs w:val="16"/>
                <w:color w:val="auto"/>
              </w:rPr>
              <w:t>Goodwill and intangible assets, net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33"/>
        </w:trPr>
        <w:tc>
          <w:tcPr>
            <w:tcW w:w="7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300" w:type="dxa"/>
            <w:vAlign w:val="bottom"/>
          </w:tcPr>
          <w:p>
            <w:pPr>
              <w:ind w:left="20"/>
              <w:spacing w:after="0"/>
              <w:rPr>
                <w:sz w:val="20"/>
                <w:szCs w:val="20"/>
                <w:color w:val="auto"/>
              </w:rPr>
            </w:pPr>
            <w:r>
              <w:rPr>
                <w:rFonts w:ascii="Arial" w:cs="Arial" w:eastAsia="Arial" w:hAnsi="Arial"/>
                <w:sz w:val="16"/>
                <w:szCs w:val="16"/>
                <w:color w:val="auto"/>
              </w:rPr>
              <w:t>Other noncurrent financial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7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24"/>
        </w:trPr>
        <w:tc>
          <w:tcPr>
            <w:tcW w:w="7300" w:type="dxa"/>
            <w:vAlign w:val="bottom"/>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33"/>
        </w:trPr>
        <w:tc>
          <w:tcPr>
            <w:tcW w:w="7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11,589</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9,737</w:t>
            </w:r>
          </w:p>
        </w:tc>
      </w:tr>
      <w:tr>
        <w:trPr>
          <w:trHeight w:val="26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17,208</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15,028</w:t>
            </w:r>
          </w:p>
        </w:tc>
      </w:tr>
      <w:tr>
        <w:trPr>
          <w:trHeight w:val="257"/>
        </w:trPr>
        <w:tc>
          <w:tcPr>
            <w:tcW w:w="73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0"/>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7300" w:type="dxa"/>
            <w:vAlign w:val="bottom"/>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3,375</w:t>
            </w:r>
          </w:p>
        </w:tc>
        <w:tc>
          <w:tcPr>
            <w:tcW w:w="80" w:type="dxa"/>
            <w:vAlign w:val="bottom"/>
          </w:tcPr>
          <w:p>
            <w:pPr>
              <w:spacing w:after="0"/>
              <w:rPr>
                <w:sz w:val="19"/>
                <w:szCs w:val="19"/>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2,586</w:t>
            </w:r>
          </w:p>
        </w:tc>
      </w:tr>
      <w:tr>
        <w:trPr>
          <w:trHeight w:val="33"/>
        </w:trPr>
        <w:tc>
          <w:tcPr>
            <w:tcW w:w="7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23"/>
        </w:trPr>
        <w:tc>
          <w:tcPr>
            <w:tcW w:w="7300" w:type="dxa"/>
            <w:vAlign w:val="bottom"/>
          </w:tcPr>
          <w:p>
            <w:pPr>
              <w:ind w:left="20"/>
              <w:spacing w:after="0"/>
              <w:rPr>
                <w:sz w:val="20"/>
                <w:szCs w:val="20"/>
                <w:color w:val="auto"/>
              </w:rPr>
            </w:pPr>
            <w:r>
              <w:rPr>
                <w:rFonts w:ascii="Arial" w:cs="Arial" w:eastAsia="Arial" w:hAnsi="Arial"/>
                <w:sz w:val="16"/>
                <w:szCs w:val="16"/>
                <w:color w:val="auto"/>
              </w:rPr>
              <w:t>Current portion of deferred income from government grants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7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23"/>
        </w:trPr>
        <w:tc>
          <w:tcPr>
            <w:tcW w:w="730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33"/>
        </w:trPr>
        <w:tc>
          <w:tcPr>
            <w:tcW w:w="7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3,872</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3,163</w:t>
            </w:r>
          </w:p>
        </w:tc>
      </w:tr>
      <w:tr>
        <w:trPr>
          <w:trHeight w:val="23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income from government grants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23"/>
        </w:trPr>
        <w:tc>
          <w:tcPr>
            <w:tcW w:w="7300" w:type="dxa"/>
            <w:vAlign w:val="bottom"/>
          </w:tcPr>
          <w:p>
            <w:pPr>
              <w:ind w:left="20"/>
              <w:spacing w:after="0"/>
              <w:rPr>
                <w:sz w:val="20"/>
                <w:szCs w:val="20"/>
                <w:color w:val="auto"/>
              </w:rPr>
            </w:pPr>
            <w:r>
              <w:rPr>
                <w:rFonts w:ascii="Arial" w:cs="Arial" w:eastAsia="Arial" w:hAnsi="Arial"/>
                <w:sz w:val="16"/>
                <w:szCs w:val="16"/>
                <w:color w:val="auto"/>
              </w:rPr>
              <w:t>Provisions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33"/>
        </w:trPr>
        <w:tc>
          <w:tcPr>
            <w:tcW w:w="7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of lease obligations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23"/>
        </w:trPr>
        <w:tc>
          <w:tcPr>
            <w:tcW w:w="7300" w:type="dxa"/>
            <w:vAlign w:val="bottom"/>
          </w:tcPr>
          <w:p>
            <w:pPr>
              <w:ind w:left="20"/>
              <w:spacing w:after="0"/>
              <w:rPr>
                <w:sz w:val="20"/>
                <w:szCs w:val="20"/>
                <w:color w:val="auto"/>
              </w:rPr>
            </w:pPr>
            <w:r>
              <w:rPr>
                <w:rFonts w:ascii="Arial" w:cs="Arial" w:eastAsia="Arial" w:hAnsi="Arial"/>
                <w:sz w:val="16"/>
                <w:szCs w:val="16"/>
                <w:color w:val="auto"/>
              </w:rPr>
              <w:t>Noncurrent portion of long-term debt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1,716</w:t>
            </w:r>
          </w:p>
        </w:tc>
      </w:tr>
      <w:tr>
        <w:trPr>
          <w:trHeight w:val="33"/>
        </w:trPr>
        <w:tc>
          <w:tcPr>
            <w:tcW w:w="7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47"/>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liabilities</w:t>
            </w: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4,255</w:t>
            </w:r>
          </w:p>
        </w:tc>
        <w:tc>
          <w:tcPr>
            <w:tcW w:w="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3,832</w:t>
            </w:r>
          </w:p>
        </w:tc>
      </w:tr>
      <w:tr>
        <w:trPr>
          <w:trHeight w:val="27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8,127</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6,995</w:t>
            </w:r>
          </w:p>
        </w:tc>
      </w:tr>
      <w:tr>
        <w:trPr>
          <w:trHeight w:val="227"/>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9"/>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capital</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4"/>
        </w:trPr>
        <w:tc>
          <w:tcPr>
            <w:tcW w:w="7300" w:type="dxa"/>
            <w:vAlign w:val="bottom"/>
          </w:tcPr>
          <w:p>
            <w:pPr>
              <w:ind w:left="20"/>
              <w:spacing w:after="0"/>
              <w:rPr>
                <w:sz w:val="20"/>
                <w:szCs w:val="20"/>
                <w:color w:val="auto"/>
              </w:rPr>
            </w:pPr>
            <w:r>
              <w:rPr>
                <w:rFonts w:ascii="Arial" w:cs="Arial" w:eastAsia="Arial" w:hAnsi="Arial"/>
                <w:sz w:val="16"/>
                <w:szCs w:val="16"/>
                <w:color w:val="auto"/>
              </w:rPr>
              <w:t>Ordinary shares, $0.02 par value, 545,073 thousand and 531,846 thousand shares issued and</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2"/>
        </w:trPr>
        <w:tc>
          <w:tcPr>
            <w:tcW w:w="7300" w:type="dxa"/>
            <w:vAlign w:val="bottom"/>
          </w:tcPr>
          <w:p>
            <w:pPr>
              <w:ind w:left="20"/>
              <w:spacing w:after="0"/>
              <w:rPr>
                <w:sz w:val="20"/>
                <w:szCs w:val="20"/>
                <w:color w:val="auto"/>
              </w:rPr>
            </w:pPr>
            <w:r>
              <w:rPr>
                <w:rFonts w:ascii="Arial" w:cs="Arial" w:eastAsia="Arial" w:hAnsi="Arial"/>
                <w:sz w:val="16"/>
                <w:szCs w:val="16"/>
                <w:color w:val="auto"/>
              </w:rPr>
              <w:t>outstanding as of September 30, 2022 and December 31, 2021</w:t>
            </w: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7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23,766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23,487</w:t>
            </w:r>
          </w:p>
        </w:tc>
      </w:tr>
      <w:tr>
        <w:trPr>
          <w:trHeight w:val="223"/>
        </w:trPr>
        <w:tc>
          <w:tcPr>
            <w:tcW w:w="730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(14,689)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(15,469)</w:t>
            </w:r>
          </w:p>
        </w:tc>
      </w:tr>
      <w:tr>
        <w:trPr>
          <w:trHeight w:val="33"/>
        </w:trPr>
        <w:tc>
          <w:tcPr>
            <w:tcW w:w="7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9,040</w:t>
            </w: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7,975</w:t>
            </w:r>
          </w:p>
        </w:tc>
      </w:tr>
      <w:tr>
        <w:trPr>
          <w:trHeight w:val="33"/>
        </w:trPr>
        <w:tc>
          <w:tcPr>
            <w:tcW w:w="7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47"/>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9,081</w:t>
            </w:r>
          </w:p>
        </w:tc>
        <w:tc>
          <w:tcPr>
            <w:tcW w:w="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8,033</w:t>
            </w:r>
          </w:p>
        </w:tc>
      </w:tr>
      <w:tr>
        <w:trPr>
          <w:trHeight w:val="250"/>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17,208</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0420"/>
          </w:cols>
          <w:pgMar w:left="980" w:top="94" w:right="499" w:bottom="1440" w:gutter="0" w:footer="0" w:header="0"/>
          <w:type w:val="continuous"/>
        </w:sectPr>
      </w:pPr>
    </w:p>
    <w:p>
      <w:pPr>
        <w:jc w:val="center"/>
        <w:ind w:right="50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980" w:top="94" w:right="4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INTERIM CONDENSED CONSOLIDATED STATEMENTS OF OPERATIONS FOR THE</w:t>
      </w:r>
    </w:p>
    <w:p>
      <w:pPr>
        <w:spacing w:after="0" w:line="12"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160" w:type="dxa"/>
            <w:vAlign w:val="bottom"/>
          </w:tcPr>
          <w:p>
            <w:pPr>
              <w:spacing w:after="0"/>
              <w:rPr>
                <w:sz w:val="21"/>
                <w:szCs w:val="21"/>
                <w:color w:val="auto"/>
              </w:rPr>
            </w:pPr>
          </w:p>
        </w:tc>
        <w:tc>
          <w:tcPr>
            <w:tcW w:w="31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21"/>
                <w:szCs w:val="21"/>
                <w:color w:val="auto"/>
              </w:rPr>
            </w:pPr>
          </w:p>
        </w:tc>
        <w:tc>
          <w:tcPr>
            <w:tcW w:w="302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Nine Months Ended September 30,</w:t>
            </w:r>
          </w:p>
        </w:tc>
      </w:tr>
      <w:tr>
        <w:trPr>
          <w:trHeight w:val="220"/>
        </w:trPr>
        <w:tc>
          <w:tcPr>
            <w:tcW w:w="4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33"/>
        </w:trPr>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4,738</w:t>
            </w:r>
          </w:p>
        </w:tc>
      </w:tr>
      <w:tr>
        <w:trPr>
          <w:trHeight w:val="224"/>
        </w:trPr>
        <w:tc>
          <w:tcPr>
            <w:tcW w:w="47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4,108</w:t>
            </w:r>
          </w:p>
        </w:tc>
      </w:tr>
      <w:tr>
        <w:trPr>
          <w:trHeight w:val="33"/>
        </w:trPr>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630</w:t>
            </w:r>
          </w:p>
        </w:tc>
      </w:tr>
      <w:tr>
        <w:trPr>
          <w:trHeight w:val="217"/>
        </w:trPr>
        <w:tc>
          <w:tcPr>
            <w:tcW w:w="474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349</w:t>
            </w: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17"/>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738</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776</w:t>
            </w:r>
          </w:p>
        </w:tc>
      </w:tr>
      <w:tr>
        <w:trPr>
          <w:trHeight w:val="33"/>
        </w:trPr>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Profit (loss) from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w:t>
            </w: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Finance expenses,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of profit of joint ventures</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24"/>
        </w:trPr>
        <w:tc>
          <w:tcPr>
            <w:tcW w:w="47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Profit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w:t>
            </w:r>
          </w:p>
        </w:tc>
      </w:tr>
      <w:tr>
        <w:trPr>
          <w:trHeight w:val="224"/>
        </w:trPr>
        <w:tc>
          <w:tcPr>
            <w:tcW w:w="47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33"/>
        </w:trPr>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for the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w:t>
            </w:r>
          </w:p>
        </w:tc>
      </w:tr>
      <w:tr>
        <w:trPr>
          <w:trHeight w:val="203"/>
        </w:trPr>
        <w:tc>
          <w:tcPr>
            <w:tcW w:w="474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24"/>
        </w:trPr>
        <w:tc>
          <w:tcPr>
            <w:tcW w:w="474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for the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w:t>
            </w:r>
          </w:p>
        </w:tc>
      </w:tr>
      <w:tr>
        <w:trPr>
          <w:trHeight w:val="191"/>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Net earnings (loss) per share attributable to the equity</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holders of the Company:</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Diluted weighted average common shares outstanding</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(0.59)</w:t>
            </w: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21"/>
                <w:szCs w:val="21"/>
                <w:color w:val="auto"/>
              </w:rPr>
            </w:pPr>
          </w:p>
        </w:tc>
        <w:tc>
          <w:tcPr>
            <w:tcW w:w="30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21"/>
                <w:szCs w:val="21"/>
                <w:color w:val="auto"/>
              </w:rPr>
            </w:pPr>
          </w:p>
        </w:tc>
        <w:tc>
          <w:tcPr>
            <w:tcW w:w="28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Nine Months Ended September 30,</w:t>
            </w:r>
          </w:p>
        </w:tc>
      </w:tr>
      <w:tr>
        <w:trPr>
          <w:trHeight w:val="220"/>
        </w:trPr>
        <w:tc>
          <w:tcPr>
            <w:tcW w:w="5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3"/>
        </w:trPr>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for the period</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for the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w:t>
            </w:r>
          </w:p>
        </w:tc>
      </w:tr>
      <w:tr>
        <w:trPr>
          <w:trHeight w:val="250"/>
        </w:trPr>
        <w:tc>
          <w:tcPr>
            <w:tcW w:w="5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profit or loss: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of foreign exchange fluctuation reserve of joint ventures</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(loss) on investments measured at fair value through other</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5"/>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color w:val="auto"/>
              </w:rPr>
              <w:t>Income tax effect</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for the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r>
      <w:tr>
        <w:trPr>
          <w:trHeight w:val="250"/>
        </w:trPr>
        <w:tc>
          <w:tcPr>
            <w:tcW w:w="5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 for the period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r>
      <w:tr>
        <w:trPr>
          <w:trHeight w:val="33"/>
        </w:trPr>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5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r>
        <w:trPr>
          <w:trHeight w:val="217"/>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(loss) for the period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769</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33"/>
        </w:trPr>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5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 for the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(340)</w:t>
            </w:r>
          </w:p>
        </w:tc>
      </w:tr>
      <w:tr>
        <w:trPr>
          <w:trHeight w:val="20"/>
        </w:trPr>
        <w:tc>
          <w:tcPr>
            <w:tcW w:w="5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STATEMENTS OF CHANGES IN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NINE MONTHS ENDED SEPTEMBER 30, 2021 AND 2022</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00" w:type="dxa"/>
            <w:vAlign w:val="bottom"/>
            <w:gridSpan w:val="12"/>
          </w:tcPr>
          <w:p>
            <w:pPr>
              <w:ind w:left="40"/>
              <w:spacing w:after="0"/>
              <w:rPr>
                <w:sz w:val="20"/>
                <w:szCs w:val="20"/>
                <w:color w:val="auto"/>
              </w:rPr>
            </w:pPr>
            <w:r>
              <w:rPr>
                <w:rFonts w:ascii="Arial" w:cs="Arial" w:eastAsia="Arial" w:hAnsi="Arial"/>
                <w:sz w:val="13"/>
                <w:szCs w:val="13"/>
                <w:b w:val="1"/>
                <w:bCs w:val="1"/>
                <w:color w:val="auto"/>
              </w:rPr>
              <w:t>Equity Attributable to Shareholders of GLOBALFOUNDRIES Inc.</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Foreign</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Currency</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and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(in millions, except share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Loan from</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Hedging</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Investments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amounts)</w:t>
            </w:r>
          </w:p>
        </w:tc>
        <w:tc>
          <w:tcPr>
            <w:tcW w:w="188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Shares</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Shareholder</w:t>
            </w: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Reserve</w:t>
            </w:r>
          </w:p>
        </w:tc>
        <w:tc>
          <w:tcPr>
            <w:tcW w:w="10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Reserves</w:t>
            </w:r>
          </w:p>
        </w:tc>
        <w:tc>
          <w:tcPr>
            <w:tcW w:w="18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Interest</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29"/>
        </w:trPr>
        <w:tc>
          <w:tcPr>
            <w:tcW w:w="16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80" w:type="dxa"/>
            <w:vAlign w:val="bottom"/>
          </w:tcPr>
          <w:p>
            <w:pPr>
              <w:spacing w:after="0"/>
              <w:rPr>
                <w:sz w:val="14"/>
                <w:szCs w:val="14"/>
                <w:color w:val="auto"/>
              </w:rPr>
            </w:pP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6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 of December 31, 2020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500,000,000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11,708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10,681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(15,219)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$7,177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7,242</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Arial" w:cs="Arial" w:eastAsia="Arial" w:hAnsi="Arial"/>
                <w:sz w:val="13"/>
                <w:szCs w:val="13"/>
                <w:color w:val="auto"/>
              </w:rPr>
              <w:t>Repayment of loan from</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(568)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(568)</w:t>
            </w:r>
          </w:p>
        </w:tc>
        <w:tc>
          <w:tcPr>
            <w:tcW w:w="0" w:type="dxa"/>
            <w:vAlign w:val="bottom"/>
          </w:tcPr>
          <w:p>
            <w:pPr>
              <w:spacing w:after="0"/>
              <w:rPr>
                <w:sz w:val="1"/>
                <w:szCs w:val="1"/>
                <w:color w:val="auto"/>
              </w:rPr>
            </w:pPr>
          </w:p>
        </w:tc>
      </w:tr>
      <w:tr>
        <w:trPr>
          <w:trHeight w:val="162"/>
        </w:trPr>
        <w:tc>
          <w:tcPr>
            <w:tcW w:w="1680" w:type="dxa"/>
            <w:vAlign w:val="bottom"/>
          </w:tcPr>
          <w:p>
            <w:pPr>
              <w:ind w:left="20"/>
              <w:spacing w:after="0"/>
              <w:rPr>
                <w:sz w:val="20"/>
                <w:szCs w:val="20"/>
                <w:color w:val="auto"/>
              </w:rPr>
            </w:pPr>
            <w:r>
              <w:rPr>
                <w:rFonts w:ascii="Arial" w:cs="Arial" w:eastAsia="Arial" w:hAnsi="Arial"/>
                <w:sz w:val="13"/>
                <w:szCs w:val="13"/>
                <w:color w:val="auto"/>
              </w:rPr>
              <w:t>shareholder</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43"/>
        </w:trPr>
        <w:tc>
          <w:tcPr>
            <w:tcW w:w="1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67"/>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As of September 30, 2021</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$500,000,000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$11,877</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$10,113</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$(15,512)</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$(50)</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$6,444</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$59</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$6,503</w:t>
            </w:r>
          </w:p>
        </w:tc>
        <w:tc>
          <w:tcPr>
            <w:tcW w:w="0" w:type="dxa"/>
            <w:vAlign w:val="bottom"/>
          </w:tcPr>
          <w:p>
            <w:pPr>
              <w:spacing w:after="0"/>
              <w:rPr>
                <w:sz w:val="1"/>
                <w:szCs w:val="1"/>
                <w:color w:val="auto"/>
              </w:rPr>
            </w:pPr>
          </w:p>
        </w:tc>
      </w:tr>
      <w:tr>
        <w:trPr>
          <w:trHeight w:val="43"/>
        </w:trPr>
        <w:tc>
          <w:tcPr>
            <w:tcW w:w="16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2021</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531,845,744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23,487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(15,469)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(57)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w:t>
            </w:r>
          </w:p>
        </w:tc>
        <w:tc>
          <w:tcPr>
            <w:tcW w:w="160" w:type="dxa"/>
            <w:vAlign w:val="bottom"/>
          </w:tcPr>
          <w:p>
            <w:pPr>
              <w:spacing w:after="0"/>
              <w:rPr>
                <w:sz w:val="15"/>
                <w:szCs w:val="15"/>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7,975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58</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8,033</w:t>
            </w:r>
          </w:p>
        </w:tc>
        <w:tc>
          <w:tcPr>
            <w:tcW w:w="0" w:type="dxa"/>
            <w:vAlign w:val="bottom"/>
          </w:tcPr>
          <w:p>
            <w:pPr>
              <w:spacing w:after="0"/>
              <w:rPr>
                <w:sz w:val="1"/>
                <w:szCs w:val="1"/>
                <w:color w:val="auto"/>
              </w:rPr>
            </w:pPr>
          </w:p>
        </w:tc>
      </w:tr>
      <w:tr>
        <w:trPr>
          <w:trHeight w:val="43"/>
        </w:trPr>
        <w:tc>
          <w:tcPr>
            <w:tcW w:w="1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13,227,702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71"/>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equity instruments</w:t>
            </w:r>
          </w:p>
        </w:tc>
        <w:tc>
          <w:tcPr>
            <w:tcW w:w="8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43"/>
        </w:trPr>
        <w:tc>
          <w:tcPr>
            <w:tcW w:w="1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778</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Arial" w:cs="Arial" w:eastAsia="Arial" w:hAnsi="Arial"/>
                <w:sz w:val="13"/>
                <w:szCs w:val="13"/>
                <w:color w:val="auto"/>
              </w:rPr>
              <w:t>Other comprehensive</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2"/>
        </w:trPr>
        <w:tc>
          <w:tcPr>
            <w:tcW w:w="1680" w:type="dxa"/>
            <w:vAlign w:val="bottom"/>
          </w:tcPr>
          <w:p>
            <w:pPr>
              <w:ind w:left="20"/>
              <w:spacing w:after="0"/>
              <w:rPr>
                <w:sz w:val="20"/>
                <w:szCs w:val="20"/>
                <w:color w:val="auto"/>
              </w:rPr>
            </w:pPr>
            <w:r>
              <w:rPr>
                <w:rFonts w:ascii="Arial" w:cs="Arial" w:eastAsia="Arial" w:hAnsi="Arial"/>
                <w:sz w:val="13"/>
                <w:szCs w:val="13"/>
                <w:color w:val="auto"/>
              </w:rPr>
              <w:t>income (loss)</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6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 of September 30, 2022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545,073,446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23,766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(14,689)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9,040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9,081</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NINE MONTHS ENDED SEPTEMBER 30, 2022 AND 2021</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r>
      <w:tr>
        <w:trPr>
          <w:trHeight w:val="220"/>
        </w:trPr>
        <w:tc>
          <w:tcPr>
            <w:tcW w:w="7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1,043</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income taxes paid</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Finance expenses,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deferred income from government grants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disposal of property, plant and equipment and other</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Change in assets and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other assets and other noncurrent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and other payables</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2,133</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1,692</w:t>
            </w:r>
          </w:p>
        </w:tc>
      </w:tr>
      <w:tr>
        <w:trPr>
          <w:trHeight w:val="33"/>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(1,036)</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investment in marketable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sale of marketable securities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intangible assets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Advances and proceeds from sale of property, plant and equipment and intangible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(3,007)</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(824)</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proceeds from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Repayments of debt and finance lease obligations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(698)</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equity instruments and other</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Repayments of shareholder loan</w:t>
            </w: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(749)</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increase/(decrease) in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908</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1,019</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payable for property, plant and equipment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Property, plant and equipment acquired through lease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payable for intangible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0"/>
        </w:trPr>
        <w:tc>
          <w:tcPr>
            <w:tcW w:w="7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1240"/>
          </w:cols>
          <w:pgMar w:left="320" w:top="94" w:right="339" w:bottom="1440" w:gutter="0" w:footer="0" w:header="0"/>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Operations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GLOBALFOUNDRIES and its subsidiaries (together referred to as the “Company”, “GlobalFoundries”, “GF”, “we”, or “us”) is one of the world’s leading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 and power management units.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 and Summary of Significant Accounting Policies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Statement of Compliance— </w:t>
      </w:r>
      <w:r>
        <w:rPr>
          <w:rFonts w:ascii="Arial" w:cs="Arial" w:eastAsia="Arial" w:hAnsi="Arial"/>
          <w:sz w:val="16"/>
          <w:szCs w:val="16"/>
          <w:color w:val="auto"/>
        </w:rPr>
        <w:t>The accompanying interim condensed consolidated financial statements have been prepared by management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the rules and regulations of the International Financial Reporting Standards (“IFRS”) as issued by the International Accounting Standards Board (“IASB”). The interim condensed consolidated financial statements do not include all the information and disclosures required in the annual consolidated financial statements prepared in accordance with IFRS as issued by the IASB and should be read in conjunction with the Company’s annual consolidated financial statements, included in GLOBALFOUNDRIES' Annual Report on Form 20-F for the year ended December 31, 2021.</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interim condensed consolidated financial statements were authorized by the Audit, Risk and Compliance Committee of GLOBALFOUNDRIES’ Board of Directors on November 21, 2022, to be issued and subsequent events have been evaluated for their potential effect on the interim condensed consolidated financial statements through November 22, 2022.</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Significant Accounting Judgments, Estimates and Assumptions — </w:t>
      </w:r>
      <w:r>
        <w:rPr>
          <w:rFonts w:ascii="Arial" w:cs="Arial" w:eastAsia="Arial" w:hAnsi="Arial"/>
          <w:sz w:val="16"/>
          <w:szCs w:val="16"/>
          <w:color w:val="auto"/>
        </w:rPr>
        <w:t>The preparation of financial statements in accordance with International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(“IAS”) 34, Interim Financial Reporting, requires the use of certain critical accounting estimates. It also requires management to exercise judgment in applying the Company’s accounting policies. In the opinion of management, all adjustments, consisting solely of normal recurring adjustments necessary for a fair presentation of the financial information for the periods indicated, have been included. The results for the three and nine month periods ended September 30, 2022 are not necessarily indicative of the results that may be expected for the year ending December 31, 2022.</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Change in Presentation — </w:t>
      </w:r>
      <w:r>
        <w:rPr>
          <w:rFonts w:ascii="Arial" w:cs="Arial" w:eastAsia="Arial" w:hAnsi="Arial"/>
          <w:sz w:val="16"/>
          <w:szCs w:val="16"/>
          <w:color w:val="auto"/>
        </w:rPr>
        <w:t>After a review of the Company’s financial statements, certain format changes have been made to the statements of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as of December 31, 2021. These format changes include the presentation of the Company’s current assets, noncurrent assets, current liability, noncurrent liability and equity based on degree of liquidity. IAS 1 does not mandate a specific order or classification of accounts on the statement of financial position. This change is not a change in estimate or a change in accounting policy. The format changes did not result in a change to the previously reported financial position.</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Significant Accounting Policies —</w:t>
      </w:r>
      <w:r>
        <w:rPr>
          <w:rFonts w:ascii="Arial" w:cs="Arial" w:eastAsia="Arial" w:hAnsi="Arial"/>
          <w:sz w:val="16"/>
          <w:szCs w:val="16"/>
          <w:color w:val="auto"/>
        </w:rPr>
        <w:t>The accounting policies (including accounting judgements, estimates and assumptions) adopted in the preparation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interim condensed consolidated financial statements are consistent with those followed in the preparation of the Company's annual audited consolidated financial statements contained in our Annual Report on Form 20-F for the year ended December 31, 2021.</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Adopted:</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Amendments to IFRS 9, IAS 39, IFRS 7 and IFRS 16 Interest Rate Benchmark Reform (“IBOR reform”)</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Refer to the audited consolidated financial statements included in the Company's Annual Report on Form 20-F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Net Revenue</w:t>
      </w:r>
    </w:p>
    <w:p>
      <w:pPr>
        <w:spacing w:after="0" w:line="28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an ongoing basis the Company reviews the categories that best depict how the nature, timing and uncertainty of revenue cash flows are affected by economic factors. The following table presents the Company’s revenue disaggregated based on revenue source and timing of revenue recognition for the three and nine month periods ended September 30, 2022 and 2021. The Company believes these categories best depict the nature and timing of revenue: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33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18"/>
                <w:szCs w:val="18"/>
                <w:color w:val="auto"/>
              </w:rPr>
            </w:pPr>
          </w:p>
        </w:tc>
        <w:tc>
          <w:tcPr>
            <w:tcW w:w="31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Type of goods and services: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4"/>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Wafer fabrication</w:t>
            </w:r>
          </w:p>
        </w:tc>
        <w:tc>
          <w:tcPr>
            <w:tcW w:w="2200" w:type="dxa"/>
            <w:vAlign w:val="bottom"/>
            <w:tcBorders>
              <w:top w:val="single" w:sz="8" w:color="CCEEFF"/>
            </w:tcBorders>
            <w:gridSpan w:val="2"/>
          </w:tcPr>
          <w:p>
            <w:pPr>
              <w:spacing w:after="0"/>
              <w:rPr>
                <w:sz w:val="19"/>
                <w:szCs w:val="19"/>
                <w:color w:val="auto"/>
              </w:rPr>
            </w:pPr>
          </w:p>
        </w:tc>
        <w:tc>
          <w:tcPr>
            <w:tcW w:w="24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1,958</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5,667</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4,458</w:t>
            </w:r>
          </w:p>
        </w:tc>
      </w:tr>
      <w:tr>
        <w:trPr>
          <w:trHeight w:val="33"/>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Engineering and other pre-fabrication services</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7"/>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2,074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6,007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4,738</w:t>
            </w:r>
          </w:p>
        </w:tc>
      </w:tr>
      <w:tr>
        <w:trPr>
          <w:trHeight w:val="33"/>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4220" w:type="dxa"/>
            <w:vAlign w:val="bottom"/>
            <w:gridSpan w:val="3"/>
          </w:tcPr>
          <w:p>
            <w:pPr>
              <w:spacing w:after="0"/>
              <w:rPr>
                <w:sz w:val="20"/>
                <w:szCs w:val="20"/>
                <w:color w:val="auto"/>
              </w:rPr>
            </w:pPr>
            <w:r>
              <w:rPr>
                <w:rFonts w:ascii="Arial" w:cs="Arial" w:eastAsia="Arial" w:hAnsi="Arial"/>
                <w:sz w:val="16"/>
                <w:szCs w:val="16"/>
                <w:color w:val="auto"/>
              </w:rPr>
              <w:t>Timing of revenue recognition:</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Revenue recognized over time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23"/>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Arial" w:cs="Arial" w:eastAsia="Arial" w:hAnsi="Arial"/>
                <w:sz w:val="16"/>
                <w:szCs w:val="16"/>
                <w:color w:val="auto"/>
              </w:rPr>
              <w:t>Revenue recognized at a point in time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4,480</w:t>
            </w:r>
          </w:p>
        </w:tc>
      </w:tr>
      <w:tr>
        <w:trPr>
          <w:trHeight w:val="33"/>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4,738</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Income taxes</w:t>
      </w:r>
    </w:p>
    <w:p>
      <w:pPr>
        <w:spacing w:after="0" w:line="29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For tax reporting purposes, the Company consolidates its entities under GLOBALFOUNDRIES Inc., a Cayman Islands entity. As a Cayman Islands corporation, the Company’s domestic statutory income tax rate is 0.0%. The difference between the Company’s domestic statutory income tax rate and its (provision) benefit for income taxes is due to the effect of the tax rates in the other jurisdictions in which the Company operates.</w:t>
      </w:r>
    </w:p>
    <w:p>
      <w:pPr>
        <w:spacing w:after="0" w:line="24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effective tax rate for the nine months ended September 30, 2022 and 2021 was 9.1% and (21.3)%, respectively. The increase for the nine months ended September 30, 2022 compared to the prior year was primarily due to a higher mix of income in jurisdictions with higher tax rates than the Cayman statutory tax rate and incremental withholding taxes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Earnings (Loss) Per Share</w:t>
      </w:r>
    </w:p>
    <w:p>
      <w:pPr>
        <w:spacing w:after="0" w:line="28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Basic earnings per share ("EPS") are based upon the weighted average number of common shares outstanding during the period. Diluted earnings per share are based upon the weighted average number of common shares outstanding during the period assuming the issuance of common shares for all potentially dilutive common shares outstanding.</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180" w:type="dxa"/>
            <w:vAlign w:val="bottom"/>
          </w:tcPr>
          <w:p>
            <w:pPr>
              <w:spacing w:after="0"/>
              <w:rPr>
                <w:sz w:val="18"/>
                <w:szCs w:val="18"/>
                <w:color w:val="auto"/>
              </w:rPr>
            </w:pPr>
          </w:p>
        </w:tc>
        <w:tc>
          <w:tcPr>
            <w:tcW w:w="31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3"/>
        </w:trPr>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equity shareholders of the</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Company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540" w:type="dxa"/>
            <w:vAlign w:val="bottom"/>
          </w:tcPr>
          <w:p>
            <w:pPr>
              <w:ind w:left="16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basic and diluted EPS attributable to equity</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540" w:type="dxa"/>
            <w:vAlign w:val="bottom"/>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33"/>
        </w:trPr>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676"/>
        </w:trPr>
        <w:tc>
          <w:tcPr>
            <w:tcW w:w="4540" w:type="dxa"/>
            <w:vAlign w:val="bottom"/>
          </w:tcPr>
          <w:p>
            <w:pPr>
              <w:spacing w:after="0"/>
              <w:rPr>
                <w:sz w:val="20"/>
                <w:szCs w:val="20"/>
                <w:color w:val="auto"/>
              </w:rPr>
            </w:pPr>
            <w:r>
              <w:rPr>
                <w:rFonts w:ascii="Arial" w:cs="Arial" w:eastAsia="Arial" w:hAnsi="Arial"/>
                <w:sz w:val="16"/>
                <w:szCs w:val="16"/>
                <w:b w:val="1"/>
                <w:bCs w:val="1"/>
                <w:color w:val="auto"/>
              </w:rPr>
              <w:t>Note 6. Receivables, Prepayments and Other Assets</w:t>
            </w: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4"/>
                <w:szCs w:val="24"/>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07"/>
        </w:trPr>
        <w:tc>
          <w:tcPr>
            <w:tcW w:w="4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08"/>
        </w:trPr>
        <w:tc>
          <w:tcPr>
            <w:tcW w:w="4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Trade receivables, other than related parties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Unbilled accounts receivable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from government grants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Receivables from related parties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1,231</w:t>
            </w:r>
          </w:p>
        </w:tc>
        <w:tc>
          <w:tcPr>
            <w:tcW w:w="0" w:type="dxa"/>
            <w:vAlign w:val="bottom"/>
          </w:tcPr>
          <w:p>
            <w:pPr>
              <w:spacing w:after="0"/>
              <w:rPr>
                <w:sz w:val="1"/>
                <w:szCs w:val="1"/>
                <w:color w:val="auto"/>
              </w:rPr>
            </w:pPr>
          </w:p>
        </w:tc>
      </w:tr>
      <w:tr>
        <w:trPr>
          <w:trHeight w:val="33"/>
        </w:trPr>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40" w:type="dxa"/>
            <w:vAlign w:val="bottom"/>
          </w:tcPr>
          <w:p>
            <w:pPr>
              <w:ind w:left="20"/>
              <w:spacing w:after="0"/>
              <w:rPr>
                <w:sz w:val="20"/>
                <w:szCs w:val="20"/>
                <w:color w:val="auto"/>
              </w:rPr>
            </w:pPr>
            <w:r>
              <w:rPr>
                <w:rFonts w:ascii="Arial" w:cs="Arial" w:eastAsia="Arial" w:hAnsi="Arial"/>
                <w:sz w:val="16"/>
                <w:szCs w:val="16"/>
                <w:color w:val="auto"/>
              </w:rPr>
              <w:t xml:space="preserve">Advances to suppliers </w:t>
            </w:r>
            <w:r>
              <w:rPr>
                <w:rFonts w:ascii="Arial" w:cs="Arial" w:eastAsia="Arial" w:hAnsi="Arial"/>
                <w:sz w:val="21"/>
                <w:szCs w:val="21"/>
                <w:color w:val="auto"/>
                <w:vertAlign w:val="superscript"/>
              </w:rPr>
              <w:t>(2)</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241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Non-trade receivables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firstLine="8"/>
        <w:spacing w:after="0" w:line="260" w:lineRule="auto"/>
        <w:tabs>
          <w:tab w:leader="none" w:pos="251" w:val="left"/>
        </w:tabs>
        <w:numPr>
          <w:ilvl w:val="0"/>
          <w:numId w:val="1"/>
        </w:numPr>
        <w:rPr>
          <w:rFonts w:ascii="Arial" w:cs="Arial" w:eastAsia="Arial" w:hAnsi="Arial"/>
          <w:sz w:val="16"/>
          <w:szCs w:val="16"/>
          <w:color w:val="auto"/>
        </w:rPr>
      </w:pPr>
      <w:r>
        <w:rPr>
          <w:rFonts w:ascii="Arial" w:cs="Arial" w:eastAsia="Arial" w:hAnsi="Arial"/>
          <w:sz w:val="16"/>
          <w:szCs w:val="16"/>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235" w:lineRule="exact"/>
        <w:rPr>
          <w:rFonts w:ascii="Arial" w:cs="Arial" w:eastAsia="Arial" w:hAnsi="Arial"/>
          <w:sz w:val="16"/>
          <w:szCs w:val="16"/>
          <w:color w:val="auto"/>
        </w:rPr>
      </w:pPr>
    </w:p>
    <w:p>
      <w:pPr>
        <w:ind w:left="260" w:hanging="252"/>
        <w:spacing w:after="0"/>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Primarily represents advances to suppliers to offset against future purchases.</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summarizes the activity in the Company’s unbilled accounts receivable for the nine months ended September 30, 2022 and the twelve months ended December 31, 2021, respectively:</w:t>
      </w:r>
    </w:p>
    <w:p>
      <w:pPr>
        <w:spacing w:after="0" w:line="200" w:lineRule="exact"/>
        <w:rPr>
          <w:sz w:val="20"/>
          <w:szCs w:val="20"/>
          <w:color w:val="auto"/>
        </w:rPr>
      </w:pPr>
    </w:p>
    <w:p>
      <w:pPr>
        <w:spacing w:after="0" w:line="313"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33"/>
        </w:trPr>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23"/>
        </w:trPr>
        <w:tc>
          <w:tcPr>
            <w:tcW w:w="7240" w:type="dxa"/>
            <w:vAlign w:val="bottom"/>
          </w:tcPr>
          <w:p>
            <w:pPr>
              <w:ind w:left="60"/>
              <w:spacing w:after="0"/>
              <w:rPr>
                <w:sz w:val="20"/>
                <w:szCs w:val="20"/>
                <w:color w:val="auto"/>
              </w:rPr>
            </w:pPr>
            <w:r>
              <w:rPr>
                <w:rFonts w:ascii="Arial" w:cs="Arial" w:eastAsia="Arial" w:hAnsi="Arial"/>
                <w:sz w:val="16"/>
                <w:szCs w:val="16"/>
                <w:color w:val="auto"/>
              </w:rPr>
              <w:t>Revenue recognized during the period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Amounts invoiced</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24"/>
        </w:trPr>
        <w:tc>
          <w:tcPr>
            <w:tcW w:w="7240" w:type="dxa"/>
            <w:vAlign w:val="bottom"/>
          </w:tcPr>
          <w:p>
            <w:pPr>
              <w:ind w:left="6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Balance,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r>
      <w:tr>
        <w:trPr>
          <w:trHeight w:val="20"/>
        </w:trPr>
        <w:tc>
          <w:tcPr>
            <w:tcW w:w="7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Inventories</w:t>
      </w:r>
    </w:p>
    <w:p>
      <w:pPr>
        <w:spacing w:after="0" w:line="28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Company records inventories at the lower of cost or net realizable value for finished goods, work-in-progress, raw materials, and supplies. The Company makes inventory write-downs on an item-by-item basis, except where it may be appropriate to group similar or related items.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Work in progress,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23"/>
        </w:trPr>
        <w:tc>
          <w:tcPr>
            <w:tcW w:w="7780" w:type="dxa"/>
            <w:vAlign w:val="bottom"/>
          </w:tcPr>
          <w:p>
            <w:pPr>
              <w:ind w:left="80"/>
              <w:spacing w:after="0"/>
              <w:rPr>
                <w:sz w:val="20"/>
                <w:szCs w:val="20"/>
                <w:color w:val="auto"/>
              </w:rPr>
            </w:pPr>
            <w:r>
              <w:rPr>
                <w:rFonts w:ascii="Arial" w:cs="Arial" w:eastAsia="Arial" w:hAnsi="Arial"/>
                <w:sz w:val="16"/>
                <w:szCs w:val="16"/>
                <w:color w:val="auto"/>
              </w:rPr>
              <w:t>Raw materials and supplies, net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1,121</w:t>
            </w:r>
          </w:p>
        </w:tc>
      </w:tr>
      <w:tr>
        <w:trPr>
          <w:trHeight w:val="20"/>
        </w:trPr>
        <w:tc>
          <w:tcPr>
            <w:tcW w:w="7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Long Term Debt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terms and amounts of the Company’s debt:</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Nominal Interest</w:t>
            </w: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Year</w:t>
            </w:r>
          </w:p>
        </w:tc>
        <w:tc>
          <w:tcPr>
            <w:tcW w:w="260" w:type="dxa"/>
            <w:vAlign w:val="bottom"/>
          </w:tcPr>
          <w:p>
            <w:pPr>
              <w:spacing w:after="0"/>
              <w:rPr>
                <w:sz w:val="17"/>
                <w:szCs w:val="17"/>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Pr>
          <w:p>
            <w:pPr>
              <w:spacing w:after="0"/>
              <w:rPr>
                <w:sz w:val="17"/>
                <w:szCs w:val="17"/>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22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Currency</w:t>
            </w: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Rate</w:t>
            </w:r>
          </w:p>
        </w:tc>
        <w:tc>
          <w:tcPr>
            <w:tcW w:w="11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line="20" w:lineRule="exact"/>
              <w:rPr>
                <w:sz w:val="1"/>
                <w:szCs w:val="1"/>
                <w:color w:val="auto"/>
              </w:rPr>
            </w:pPr>
          </w:p>
        </w:tc>
      </w:tr>
      <w:tr>
        <w:trPr>
          <w:trHeight w:val="215"/>
        </w:trPr>
        <w:tc>
          <w:tcPr>
            <w:tcW w:w="328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of Maturity</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 Tool Equipment Purchase and Lease</w:t>
            </w:r>
          </w:p>
        </w:tc>
        <w:tc>
          <w:tcPr>
            <w:tcW w:w="1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w:t>
            </w:r>
          </w:p>
        </w:tc>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USD</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LIBOR + 1.60%</w:t>
            </w:r>
          </w:p>
        </w:tc>
        <w:tc>
          <w:tcPr>
            <w:tcW w:w="114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2023</w:t>
            </w: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4"/>
        </w:trPr>
        <w:tc>
          <w:tcPr>
            <w:tcW w:w="3280" w:type="dxa"/>
            <w:vAlign w:val="bottom"/>
          </w:tcPr>
          <w:p>
            <w:pPr>
              <w:ind w:left="20"/>
              <w:spacing w:after="0"/>
              <w:rPr>
                <w:sz w:val="20"/>
                <w:szCs w:val="20"/>
                <w:color w:val="auto"/>
              </w:rPr>
            </w:pPr>
            <w:r>
              <w:rPr>
                <w:rFonts w:ascii="Arial" w:cs="Arial" w:eastAsia="Arial" w:hAnsi="Arial"/>
                <w:sz w:val="16"/>
                <w:szCs w:val="16"/>
                <w:color w:val="auto"/>
              </w:rPr>
              <w:t>2019 Tool Equipment Purchase and Lease</w:t>
            </w:r>
          </w:p>
        </w:tc>
        <w:tc>
          <w:tcPr>
            <w:tcW w:w="1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6"/>
                <w:szCs w:val="16"/>
                <w:color w:val="auto"/>
              </w:rPr>
              <w:t>Financing</w:t>
            </w:r>
          </w:p>
        </w:tc>
        <w:tc>
          <w:tcPr>
            <w:tcW w:w="1220" w:type="dxa"/>
            <w:vAlign w:val="bottom"/>
          </w:tcPr>
          <w:p>
            <w:pPr>
              <w:ind w:left="180"/>
              <w:spacing w:after="0"/>
              <w:rPr>
                <w:sz w:val="20"/>
                <w:szCs w:val="20"/>
                <w:color w:val="auto"/>
              </w:rPr>
            </w:pPr>
            <w:r>
              <w:rPr>
                <w:rFonts w:ascii="Arial" w:cs="Arial" w:eastAsia="Arial" w:hAnsi="Arial"/>
                <w:sz w:val="16"/>
                <w:szCs w:val="16"/>
                <w:color w:val="auto"/>
              </w:rPr>
              <w:t>USD</w:t>
            </w:r>
          </w:p>
        </w:tc>
        <w:tc>
          <w:tcPr>
            <w:tcW w:w="1620" w:type="dxa"/>
            <w:vAlign w:val="bottom"/>
          </w:tcPr>
          <w:p>
            <w:pPr>
              <w:jc w:val="center"/>
              <w:spacing w:after="0"/>
              <w:rPr>
                <w:sz w:val="20"/>
                <w:szCs w:val="20"/>
                <w:color w:val="auto"/>
              </w:rPr>
            </w:pPr>
            <w:r>
              <w:rPr>
                <w:rFonts w:ascii="Arial" w:cs="Arial" w:eastAsia="Arial" w:hAnsi="Arial"/>
                <w:sz w:val="16"/>
                <w:szCs w:val="16"/>
                <w:color w:val="auto"/>
              </w:rPr>
              <w:t>LIBOR + 1.75%</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USD Dresden Equipment Financing</w:t>
            </w:r>
          </w:p>
        </w:tc>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USD</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LIBOR + 1.75%</w:t>
            </w:r>
          </w:p>
        </w:tc>
        <w:tc>
          <w:tcPr>
            <w:tcW w:w="114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2024</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4"/>
        </w:trPr>
        <w:tc>
          <w:tcPr>
            <w:tcW w:w="3280" w:type="dxa"/>
            <w:vAlign w:val="bottom"/>
          </w:tcPr>
          <w:p>
            <w:pPr>
              <w:ind w:left="20"/>
              <w:spacing w:after="0"/>
              <w:rPr>
                <w:sz w:val="20"/>
                <w:szCs w:val="20"/>
                <w:color w:val="auto"/>
              </w:rPr>
            </w:pPr>
            <w:r>
              <w:rPr>
                <w:rFonts w:ascii="Arial" w:cs="Arial" w:eastAsia="Arial" w:hAnsi="Arial"/>
                <w:sz w:val="16"/>
                <w:szCs w:val="16"/>
                <w:color w:val="auto"/>
              </w:rPr>
              <w:t>2020 USD Equipment Financing</w:t>
            </w:r>
          </w:p>
        </w:tc>
        <w:tc>
          <w:tcPr>
            <w:tcW w:w="1220" w:type="dxa"/>
            <w:vAlign w:val="bottom"/>
          </w:tcPr>
          <w:p>
            <w:pPr>
              <w:ind w:left="180"/>
              <w:spacing w:after="0"/>
              <w:rPr>
                <w:sz w:val="20"/>
                <w:szCs w:val="20"/>
                <w:color w:val="auto"/>
              </w:rPr>
            </w:pPr>
            <w:r>
              <w:rPr>
                <w:rFonts w:ascii="Arial" w:cs="Arial" w:eastAsia="Arial" w:hAnsi="Arial"/>
                <w:sz w:val="16"/>
                <w:szCs w:val="16"/>
                <w:color w:val="auto"/>
              </w:rPr>
              <w:t>USD</w:t>
            </w:r>
          </w:p>
        </w:tc>
        <w:tc>
          <w:tcPr>
            <w:tcW w:w="1620" w:type="dxa"/>
            <w:vAlign w:val="bottom"/>
          </w:tcPr>
          <w:p>
            <w:pPr>
              <w:jc w:val="center"/>
              <w:spacing w:after="0"/>
              <w:rPr>
                <w:sz w:val="20"/>
                <w:szCs w:val="20"/>
                <w:color w:val="auto"/>
              </w:rPr>
            </w:pPr>
            <w:r>
              <w:rPr>
                <w:rFonts w:ascii="Arial" w:cs="Arial" w:eastAsia="Arial" w:hAnsi="Arial"/>
                <w:sz w:val="16"/>
                <w:szCs w:val="16"/>
                <w:color w:val="auto"/>
              </w:rPr>
              <w:t>LIBOR + 1.90%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EUR Dresden Equipment Financing</w:t>
            </w:r>
          </w:p>
        </w:tc>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EUR</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EURIBOR + 1.75%</w:t>
            </w:r>
          </w:p>
        </w:tc>
        <w:tc>
          <w:tcPr>
            <w:tcW w:w="114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2026</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6"/>
                <w:szCs w:val="16"/>
                <w:color w:val="auto"/>
              </w:rPr>
              <w:t>Various</w:t>
            </w:r>
          </w:p>
        </w:tc>
        <w:tc>
          <w:tcPr>
            <w:tcW w:w="1220" w:type="dxa"/>
            <w:vAlign w:val="bottom"/>
          </w:tcPr>
          <w:p>
            <w:pPr>
              <w:ind w:left="180"/>
              <w:spacing w:after="0"/>
              <w:rPr>
                <w:sz w:val="20"/>
                <w:szCs w:val="20"/>
                <w:color w:val="auto"/>
              </w:rPr>
            </w:pPr>
            <w:r>
              <w:rPr>
                <w:rFonts w:ascii="Arial" w:cs="Arial" w:eastAsia="Arial" w:hAnsi="Arial"/>
                <w:sz w:val="16"/>
                <w:szCs w:val="16"/>
                <w:color w:val="auto"/>
              </w:rPr>
              <w:t>EUR, USD</w:t>
            </w: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Various</w:t>
            </w:r>
          </w:p>
        </w:tc>
        <w:tc>
          <w:tcPr>
            <w:tcW w:w="1140" w:type="dxa"/>
            <w:vAlign w:val="bottom"/>
          </w:tcPr>
          <w:p>
            <w:pPr>
              <w:jc w:val="center"/>
              <w:spacing w:after="0"/>
              <w:rPr>
                <w:sz w:val="20"/>
                <w:szCs w:val="20"/>
                <w:color w:val="auto"/>
              </w:rPr>
            </w:pPr>
            <w:r>
              <w:rPr>
                <w:rFonts w:ascii="Arial" w:cs="Arial" w:eastAsia="Arial" w:hAnsi="Arial"/>
                <w:sz w:val="16"/>
                <w:szCs w:val="16"/>
                <w:color w:val="auto"/>
              </w:rPr>
              <w:t>2024-2026</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3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total</w:t>
            </w:r>
          </w:p>
        </w:tc>
        <w:tc>
          <w:tcPr>
            <w:tcW w:w="1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297</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 Tool Equipment Purchase and Lease</w:t>
            </w:r>
          </w:p>
        </w:tc>
        <w:tc>
          <w:tcPr>
            <w:tcW w:w="1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w:t>
            </w:r>
          </w:p>
        </w:tc>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USD</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LIBOR + 1.75%</w:t>
            </w:r>
          </w:p>
        </w:tc>
        <w:tc>
          <w:tcPr>
            <w:tcW w:w="114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2024</w:t>
            </w: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6"/>
                <w:szCs w:val="16"/>
                <w:color w:val="auto"/>
              </w:rPr>
              <w:t>2019 USD Dresden Equipment Financing</w:t>
            </w:r>
          </w:p>
        </w:tc>
        <w:tc>
          <w:tcPr>
            <w:tcW w:w="1220" w:type="dxa"/>
            <w:vAlign w:val="bottom"/>
          </w:tcPr>
          <w:p>
            <w:pPr>
              <w:ind w:left="180"/>
              <w:spacing w:after="0"/>
              <w:rPr>
                <w:sz w:val="20"/>
                <w:szCs w:val="20"/>
                <w:color w:val="auto"/>
              </w:rPr>
            </w:pPr>
            <w:r>
              <w:rPr>
                <w:rFonts w:ascii="Arial" w:cs="Arial" w:eastAsia="Arial" w:hAnsi="Arial"/>
                <w:sz w:val="16"/>
                <w:szCs w:val="16"/>
                <w:color w:val="auto"/>
              </w:rPr>
              <w:t>USD</w:t>
            </w:r>
          </w:p>
        </w:tc>
        <w:tc>
          <w:tcPr>
            <w:tcW w:w="1620" w:type="dxa"/>
            <w:vAlign w:val="bottom"/>
          </w:tcPr>
          <w:p>
            <w:pPr>
              <w:jc w:val="center"/>
              <w:spacing w:after="0"/>
              <w:rPr>
                <w:sz w:val="20"/>
                <w:szCs w:val="20"/>
                <w:color w:val="auto"/>
              </w:rPr>
            </w:pPr>
            <w:r>
              <w:rPr>
                <w:rFonts w:ascii="Arial" w:cs="Arial" w:eastAsia="Arial" w:hAnsi="Arial"/>
                <w:sz w:val="16"/>
                <w:szCs w:val="16"/>
                <w:color w:val="auto"/>
              </w:rPr>
              <w:t>LIBOR + 1.75%</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 USD Equipment Financing</w:t>
            </w:r>
          </w:p>
        </w:tc>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USD</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LIBOR + 1.90%</w:t>
            </w:r>
          </w:p>
        </w:tc>
        <w:tc>
          <w:tcPr>
            <w:tcW w:w="114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2025</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6"/>
                <w:szCs w:val="16"/>
                <w:color w:val="auto"/>
              </w:rPr>
              <w:t>USD Term Loan A</w:t>
            </w:r>
          </w:p>
        </w:tc>
        <w:tc>
          <w:tcPr>
            <w:tcW w:w="1220" w:type="dxa"/>
            <w:vAlign w:val="bottom"/>
          </w:tcPr>
          <w:p>
            <w:pPr>
              <w:ind w:left="180"/>
              <w:spacing w:after="0"/>
              <w:rPr>
                <w:sz w:val="20"/>
                <w:szCs w:val="20"/>
                <w:color w:val="auto"/>
              </w:rPr>
            </w:pPr>
            <w:r>
              <w:rPr>
                <w:rFonts w:ascii="Arial" w:cs="Arial" w:eastAsia="Arial" w:hAnsi="Arial"/>
                <w:sz w:val="16"/>
                <w:szCs w:val="16"/>
                <w:color w:val="auto"/>
              </w:rPr>
              <w:t>USD</w:t>
            </w:r>
          </w:p>
        </w:tc>
        <w:tc>
          <w:tcPr>
            <w:tcW w:w="1620" w:type="dxa"/>
            <w:vAlign w:val="bottom"/>
          </w:tcPr>
          <w:p>
            <w:pPr>
              <w:jc w:val="center"/>
              <w:spacing w:after="0"/>
              <w:rPr>
                <w:sz w:val="20"/>
                <w:szCs w:val="20"/>
                <w:color w:val="auto"/>
              </w:rPr>
            </w:pPr>
            <w:r>
              <w:rPr>
                <w:rFonts w:ascii="Arial" w:cs="Arial" w:eastAsia="Arial" w:hAnsi="Arial"/>
                <w:sz w:val="16"/>
                <w:szCs w:val="16"/>
                <w:color w:val="auto"/>
              </w:rPr>
              <w:t>LIBOR + 2.90%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EUR Term Loan A</w:t>
            </w:r>
          </w:p>
        </w:tc>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EUR</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EURIBOR + 2.60%</w:t>
            </w:r>
          </w:p>
        </w:tc>
        <w:tc>
          <w:tcPr>
            <w:tcW w:w="114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2025</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6"/>
                <w:szCs w:val="16"/>
                <w:color w:val="auto"/>
              </w:rPr>
              <w:t>2019 EUR Dresden Equipment Financing</w:t>
            </w:r>
          </w:p>
        </w:tc>
        <w:tc>
          <w:tcPr>
            <w:tcW w:w="1220" w:type="dxa"/>
            <w:vAlign w:val="bottom"/>
          </w:tcPr>
          <w:p>
            <w:pPr>
              <w:ind w:left="180"/>
              <w:spacing w:after="0"/>
              <w:rPr>
                <w:sz w:val="20"/>
                <w:szCs w:val="20"/>
                <w:color w:val="auto"/>
              </w:rPr>
            </w:pPr>
            <w:r>
              <w:rPr>
                <w:rFonts w:ascii="Arial" w:cs="Arial" w:eastAsia="Arial" w:hAnsi="Arial"/>
                <w:sz w:val="16"/>
                <w:szCs w:val="16"/>
                <w:color w:val="auto"/>
              </w:rPr>
              <w:t>EUR</w:t>
            </w:r>
          </w:p>
        </w:tc>
        <w:tc>
          <w:tcPr>
            <w:tcW w:w="1620" w:type="dxa"/>
            <w:vAlign w:val="bottom"/>
          </w:tcPr>
          <w:p>
            <w:pPr>
              <w:jc w:val="center"/>
              <w:spacing w:after="0"/>
              <w:rPr>
                <w:sz w:val="20"/>
                <w:szCs w:val="20"/>
                <w:color w:val="auto"/>
              </w:rPr>
            </w:pPr>
            <w:r>
              <w:rPr>
                <w:rFonts w:ascii="Arial" w:cs="Arial" w:eastAsia="Arial" w:hAnsi="Arial"/>
                <w:sz w:val="16"/>
                <w:szCs w:val="16"/>
                <w:color w:val="auto"/>
              </w:rPr>
              <w:t>EURIBOR + 1.75%</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 SGD EDB Loan</w:t>
            </w:r>
          </w:p>
        </w:tc>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SGD</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1.40%</w:t>
            </w:r>
          </w:p>
        </w:tc>
        <w:tc>
          <w:tcPr>
            <w:tcW w:w="114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2041</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6"/>
                <w:szCs w:val="16"/>
                <w:color w:val="auto"/>
              </w:rPr>
              <w:t>Various</w:t>
            </w:r>
          </w:p>
        </w:tc>
        <w:tc>
          <w:tcPr>
            <w:tcW w:w="1220" w:type="dxa"/>
            <w:vAlign w:val="bottom"/>
          </w:tcPr>
          <w:p>
            <w:pPr>
              <w:ind w:left="180"/>
              <w:spacing w:after="0"/>
              <w:rPr>
                <w:sz w:val="20"/>
                <w:szCs w:val="20"/>
                <w:color w:val="auto"/>
              </w:rPr>
            </w:pPr>
            <w:r>
              <w:rPr>
                <w:rFonts w:ascii="Arial" w:cs="Arial" w:eastAsia="Arial" w:hAnsi="Arial"/>
                <w:sz w:val="16"/>
                <w:szCs w:val="16"/>
                <w:color w:val="auto"/>
              </w:rPr>
              <w:t>EUR, USD</w:t>
            </w: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Various</w:t>
            </w:r>
          </w:p>
        </w:tc>
        <w:tc>
          <w:tcPr>
            <w:tcW w:w="1140" w:type="dxa"/>
            <w:vAlign w:val="bottom"/>
          </w:tcPr>
          <w:p>
            <w:pPr>
              <w:jc w:val="center"/>
              <w:spacing w:after="0"/>
              <w:rPr>
                <w:sz w:val="20"/>
                <w:szCs w:val="20"/>
                <w:color w:val="auto"/>
              </w:rPr>
            </w:pPr>
            <w:r>
              <w:rPr>
                <w:rFonts w:ascii="Arial" w:cs="Arial" w:eastAsia="Arial" w:hAnsi="Arial"/>
                <w:sz w:val="16"/>
                <w:szCs w:val="16"/>
                <w:color w:val="auto"/>
              </w:rPr>
              <w:t>2024-2027</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3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total</w:t>
            </w:r>
          </w:p>
        </w:tc>
        <w:tc>
          <w:tcPr>
            <w:tcW w:w="1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1,716</w:t>
            </w:r>
          </w:p>
        </w:tc>
        <w:tc>
          <w:tcPr>
            <w:tcW w:w="0" w:type="dxa"/>
            <w:vAlign w:val="bottom"/>
          </w:tcPr>
          <w:p>
            <w:pPr>
              <w:spacing w:after="0"/>
              <w:rPr>
                <w:sz w:val="1"/>
                <w:szCs w:val="1"/>
                <w:color w:val="auto"/>
              </w:rPr>
            </w:pPr>
          </w:p>
        </w:tc>
      </w:tr>
      <w:tr>
        <w:trPr>
          <w:trHeight w:val="217"/>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2,216</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necessary to fund operations: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33"/>
        </w:trPr>
        <w:tc>
          <w:tcPr>
            <w:tcW w:w="7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7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Citibank Revolving Credit Facility</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r>
      <w:tr>
        <w:trPr>
          <w:trHeight w:val="224"/>
        </w:trPr>
        <w:tc>
          <w:tcPr>
            <w:tcW w:w="7920" w:type="dxa"/>
            <w:vAlign w:val="bottom"/>
          </w:tcPr>
          <w:p>
            <w:pPr>
              <w:ind w:left="20"/>
              <w:spacing w:after="0"/>
              <w:rPr>
                <w:sz w:val="20"/>
                <w:szCs w:val="20"/>
                <w:color w:val="auto"/>
              </w:rPr>
            </w:pPr>
            <w:r>
              <w:rPr>
                <w:rFonts w:ascii="Arial" w:cs="Arial" w:eastAsia="Arial" w:hAnsi="Arial"/>
                <w:sz w:val="16"/>
                <w:szCs w:val="16"/>
                <w:color w:val="auto"/>
              </w:rPr>
              <w:t>SGD EDB Loan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1,029</w:t>
            </w:r>
          </w:p>
        </w:tc>
      </w:tr>
      <w:tr>
        <w:trPr>
          <w:trHeight w:val="33"/>
        </w:trPr>
        <w:tc>
          <w:tcPr>
            <w:tcW w:w="7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Societe Generale Singapore Revolving Credit Facility</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Societe Generale Singapore Factoring</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7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6"/>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1,395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2,145</w:t>
            </w:r>
          </w:p>
        </w:tc>
      </w:tr>
      <w:tr>
        <w:trPr>
          <w:trHeight w:val="33"/>
        </w:trPr>
        <w:tc>
          <w:tcPr>
            <w:tcW w:w="7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(1) subject to lender approval before draw-down or being usable.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Related Party Disclosures</w:t>
      </w:r>
    </w:p>
    <w:p>
      <w:pPr>
        <w:spacing w:after="0" w:line="29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Related party balances disclosed in the interim condensed consolidated statements of financial position relates to Silicon Manufacturing Partners Pte Ltd. ("SMP"). SMP is a joint venture with LSI Technology (Singapore) Pte. Ltd. The Company holds a 49% interest in SMP and manages all aspects of its manufacturing operations. The total amounts of $12 million and $8 million due from related parties as of September 30, 2022 and December 31, 2021, respectively, have been included in receivables, prepayments and other assets (see Note 6). The $12 million and $9 million due to related parties as of September 30, 2022 and December 31, 2021, respectively, have been included in trade and other payables.</w:t>
      </w:r>
    </w:p>
    <w:p>
      <w:pPr>
        <w:spacing w:after="0" w:line="241"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 following table presents the related party transactions included in the interim condensed consolidated statements of operations and comprehensive income (loss):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420" w:type="dxa"/>
            <w:vAlign w:val="bottom"/>
            <w:gridSpan w:val="3"/>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3340" w:type="dxa"/>
            <w:vAlign w:val="bottom"/>
            <w:gridSpan w:val="3"/>
          </w:tcPr>
          <w:p>
            <w:pPr>
              <w:ind w:left="340"/>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3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6"/>
        </w:trPr>
        <w:tc>
          <w:tcPr>
            <w:tcW w:w="436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Purchases from: *</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2021</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2021</w:t>
            </w: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color w:val="auto"/>
              </w:rPr>
              <w:t>SMP</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$15</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$13</w:t>
            </w:r>
          </w:p>
        </w:tc>
        <w:tc>
          <w:tcPr>
            <w:tcW w:w="1680" w:type="dxa"/>
            <w:vAlign w:val="bottom"/>
          </w:tcPr>
          <w:p>
            <w:pPr>
              <w:jc w:val="center"/>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$42</w:t>
            </w:r>
          </w:p>
        </w:tc>
      </w:tr>
      <w:tr>
        <w:trPr>
          <w:trHeight w:val="40"/>
        </w:trPr>
        <w:tc>
          <w:tcPr>
            <w:tcW w:w="436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43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Other transactions with:</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3"/>
        </w:trPr>
        <w:tc>
          <w:tcPr>
            <w:tcW w:w="4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SMP (reimbursement of expenses and contribution of tools)</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$16</w:t>
            </w:r>
          </w:p>
        </w:tc>
        <w:tc>
          <w:tcPr>
            <w:tcW w:w="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$27</w:t>
            </w:r>
          </w:p>
        </w:tc>
      </w:tr>
      <w:tr>
        <w:trPr>
          <w:trHeight w:val="217"/>
        </w:trPr>
        <w:tc>
          <w:tcPr>
            <w:tcW w:w="436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$16</w:t>
            </w:r>
          </w:p>
        </w:tc>
        <w:tc>
          <w:tcPr>
            <w:tcW w:w="8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$5</w:t>
            </w: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$27</w:t>
            </w:r>
          </w:p>
        </w:tc>
      </w:tr>
      <w:tr>
        <w:trPr>
          <w:trHeight w:val="33"/>
        </w:trPr>
        <w:tc>
          <w:tcPr>
            <w:tcW w:w="43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 Purchases from SMP were primarily comprised of wafer purchases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20"/>
                <w:szCs w:val="20"/>
                <w:color w:val="auto"/>
              </w:rPr>
            </w:pPr>
            <w:r>
              <w:rPr>
                <w:rFonts w:ascii="Arial" w:cs="Arial" w:eastAsia="Arial" w:hAnsi="Arial"/>
                <w:sz w:val="16"/>
                <w:szCs w:val="16"/>
                <w:b w:val="1"/>
                <w:bCs w:val="1"/>
                <w:color w:val="auto"/>
              </w:rPr>
              <w:t>Note 10. Commitments and Contingencies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7660" w:type="dxa"/>
            <w:vAlign w:val="bottom"/>
          </w:tcPr>
          <w:p>
            <w:pPr>
              <w:spacing w:after="0"/>
              <w:rPr>
                <w:sz w:val="20"/>
                <w:szCs w:val="20"/>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 The Company’s unconditional purchase commitments are as follows:</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24"/>
                <w:szCs w:val="24"/>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4"/>
                <w:szCs w:val="24"/>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07"/>
        </w:trPr>
        <w:tc>
          <w:tcPr>
            <w:tcW w:w="7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08"/>
        </w:trPr>
        <w:tc>
          <w:tcPr>
            <w:tcW w:w="7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Contracts for capital expenditures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23"/>
        </w:trPr>
        <w:tc>
          <w:tcPr>
            <w:tcW w:w="7660" w:type="dxa"/>
            <w:vAlign w:val="bottom"/>
          </w:tcPr>
          <w:p>
            <w:pPr>
              <w:ind w:left="80"/>
              <w:spacing w:after="0"/>
              <w:rPr>
                <w:sz w:val="20"/>
                <w:szCs w:val="20"/>
                <w:color w:val="auto"/>
              </w:rPr>
            </w:pPr>
            <w:r>
              <w:rPr>
                <w:rFonts w:ascii="Arial" w:cs="Arial" w:eastAsia="Arial" w:hAnsi="Arial"/>
                <w:sz w:val="16"/>
                <w:szCs w:val="16"/>
                <w:color w:val="auto"/>
              </w:rPr>
              <w:t>Contracts for operating expenditures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3,405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6,400</w:t>
            </w:r>
          </w:p>
        </w:tc>
        <w:tc>
          <w:tcPr>
            <w:tcW w:w="0" w:type="dxa"/>
            <w:vAlign w:val="bottom"/>
          </w:tcPr>
          <w:p>
            <w:pPr>
              <w:spacing w:after="0"/>
              <w:rPr>
                <w:sz w:val="1"/>
                <w:szCs w:val="1"/>
                <w:color w:val="auto"/>
              </w:rPr>
            </w:pPr>
          </w:p>
        </w:tc>
      </w:tr>
      <w:tr>
        <w:trPr>
          <w:trHeight w:val="217"/>
        </w:trPr>
        <w:tc>
          <w:tcPr>
            <w:tcW w:w="7660" w:type="dxa"/>
            <w:vAlign w:val="bottom"/>
          </w:tcPr>
          <w:p>
            <w:pPr>
              <w:ind w:left="80"/>
              <w:spacing w:after="0"/>
              <w:rPr>
                <w:sz w:val="20"/>
                <w:szCs w:val="20"/>
                <w:color w:val="auto"/>
              </w:rPr>
            </w:pPr>
            <w:r>
              <w:rPr>
                <w:rFonts w:ascii="Arial" w:cs="Arial" w:eastAsia="Arial" w:hAnsi="Arial"/>
                <w:sz w:val="16"/>
                <w:szCs w:val="16"/>
                <w:b w:val="1"/>
                <w:bCs w:val="1"/>
                <w:color w:val="auto"/>
              </w:rPr>
              <w:t>Due within the next 12 months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3,656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3,543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to the above, the Company obtained letters of credit to primarily guarantee payments for utility supplies and foreign statutory payroll related charges. The Company has available letters of credit of $20 million September 30, 2022 and December 31, 2021 and has drawn down bank guarantees of $3 million as of September 30, 2022 and December 31, 2021.</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From time to time, the Company is a party to claims that arise in the normal course of business. These claims include allegations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condensed consolidated statements of financial position or interim condensed consolidated statements of operations and comprehensive income (loss).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April 28, 2021, International Business Machines (“IBM”) sent the Company a letter alleging that the Company did not fulfill the Company’s obligations under the contracts the Company entered into with IBM in 2014 associated with the Company’s acquisition of IBM’s Microelectronics business. IBM asserted that the Company engaged in fraudulent misrepresentations during the underlying negotiations, and claimed the Company owed them at least $2.5 billion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the Company's motion to dismiss IBM’s claims of fraud, unjust enrichment and breach of the implied covenant of good faith and fair dealing. IBM appealed its fraud claim, and on April 7, 2022, the New York Appellate Division reversed the Court’s decision. The Company believes, based on discussions with legal counsel, that it has meritorious defenses against IBM’s claims. The Company disputes IBM’s claims and intends to vigorously defend against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Fair Value Measurements</w:t>
      </w:r>
    </w:p>
    <w:p>
      <w:pPr>
        <w:spacing w:after="0" w:line="28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126"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5" w:lineRule="exact"/>
        <w:rPr>
          <w:rFonts w:ascii="Arial" w:cs="Arial" w:eastAsia="Arial" w:hAnsi="Arial"/>
          <w:sz w:val="16"/>
          <w:szCs w:val="16"/>
          <w:color w:val="auto"/>
        </w:rPr>
      </w:pPr>
    </w:p>
    <w:p>
      <w:pPr>
        <w:jc w:val="both"/>
        <w:ind w:left="660" w:hanging="328"/>
        <w:spacing w:after="0" w:line="25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 and</w:t>
      </w:r>
    </w:p>
    <w:p>
      <w:pPr>
        <w:ind w:left="660" w:hanging="328"/>
        <w:spacing w:after="0" w:line="260"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3: unobservable inputs for which little or no market data exists, therefore requiring management judgment to develop the Company’s own models with estimates and assumptions.</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include U.S. Treasury Securities, U.S. Government Sponsored Enterprises, floating rate securities, money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mutual funds, corporate debt instruments and other Notes, bonds or debt securities issued by non-U.S. sovereign or multilateral entities, as these securities all have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Quoted Prices</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Identical Assets/</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Significant Other</w:t>
            </w:r>
          </w:p>
        </w:tc>
        <w:tc>
          <w:tcPr>
            <w:tcW w:w="300" w:type="dxa"/>
            <w:vAlign w:val="bottom"/>
          </w:tcPr>
          <w:p>
            <w:pPr>
              <w:spacing w:after="0"/>
              <w:rPr>
                <w:sz w:val="17"/>
                <w:szCs w:val="17"/>
                <w:color w:val="auto"/>
              </w:rPr>
            </w:pPr>
          </w:p>
        </w:tc>
        <w:tc>
          <w:tcPr>
            <w:tcW w:w="1460" w:type="dxa"/>
            <w:vAlign w:val="bottom"/>
          </w:tcPr>
          <w:p>
            <w:pPr>
              <w:jc w:val="center"/>
              <w:ind w:right="219"/>
              <w:spacing w:after="0"/>
              <w:rPr>
                <w:sz w:val="20"/>
                <w:szCs w:val="20"/>
                <w:color w:val="auto"/>
              </w:rPr>
            </w:pPr>
            <w:r>
              <w:rPr>
                <w:rFonts w:ascii="Arial" w:cs="Arial" w:eastAsia="Arial" w:hAnsi="Arial"/>
                <w:sz w:val="16"/>
                <w:szCs w:val="16"/>
                <w:b w:val="1"/>
                <w:bCs w:val="1"/>
                <w:color w:val="auto"/>
              </w:rPr>
              <w:t>Significant</w:t>
            </w:r>
          </w:p>
        </w:tc>
      </w:tr>
      <w:tr>
        <w:trPr>
          <w:trHeight w:val="21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Inputs</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57"/>
        </w:trPr>
        <w:tc>
          <w:tcPr>
            <w:tcW w:w="4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2"/>
                <w:szCs w:val="22"/>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2"/>
                <w:szCs w:val="22"/>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22"/>
                <w:szCs w:val="22"/>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33"/>
        </w:trPr>
        <w:tc>
          <w:tcPr>
            <w:tcW w:w="4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40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0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September 30, 2022</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5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40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3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on the Company’s interim condensed consolidated statements of financial position.</w:t>
      </w:r>
    </w:p>
    <w:p>
      <w:pPr>
        <w:spacing w:after="0" w:line="153" w:lineRule="exact"/>
        <w:rPr>
          <w:rFonts w:ascii="Arial" w:cs="Arial" w:eastAsia="Arial" w:hAnsi="Arial"/>
          <w:sz w:val="16"/>
          <w:szCs w:val="16"/>
          <w:color w:val="auto"/>
        </w:rPr>
      </w:pPr>
    </w:p>
    <w:p>
      <w:pPr>
        <w:ind w:firstLine="8"/>
        <w:spacing w:after="0" w:line="260"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current and non-current receivables, prepayments and other assets on the Company’s interim condensed consolidated statements of financial position.</w:t>
      </w:r>
    </w:p>
    <w:p>
      <w:pPr>
        <w:spacing w:after="0" w:line="100" w:lineRule="exact"/>
        <w:rPr>
          <w:rFonts w:ascii="Arial" w:cs="Arial" w:eastAsia="Arial" w:hAnsi="Arial"/>
          <w:sz w:val="16"/>
          <w:szCs w:val="16"/>
          <w:color w:val="auto"/>
        </w:rPr>
      </w:pPr>
    </w:p>
    <w:p>
      <w:pPr>
        <w:ind w:firstLine="8"/>
        <w:spacing w:after="0" w:line="260" w:lineRule="auto"/>
        <w:tabs>
          <w:tab w:leader="none" w:pos="264"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foreign currency forward contracts, interest rate swaps, cross currency swaps and commodity hedge. Included in other current and non-current financial assets on the Company’s interim condensed consolidated statements of financial position.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2022 and 2021, there were no transfers between Level 1, Level 2 or Level 3 fair value measurements.</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Measured and Recorded at Fair Value on a Non- Recurring Basis</w:t>
      </w:r>
    </w:p>
    <w:p>
      <w:pPr>
        <w:spacing w:after="0" w:line="28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Certain assets and liabilities, such as equity method investments, intangible assets and property, plant and equipment, and other non-financial assets are recorded at fair value only if an impairment or observable price adjustment is recognized in the current period.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Financial instruments not recorded at fair value on a recurring basis include grants receivable, loans receivable, lease obligations and the Company’s current and noncurrent portion of long-term debt.</w:t>
      </w:r>
    </w:p>
    <w:p>
      <w:pPr>
        <w:spacing w:after="0" w:line="128" w:lineRule="exact"/>
        <w:rPr>
          <w:sz w:val="20"/>
          <w:szCs w:val="20"/>
          <w:color w:val="auto"/>
        </w:rPr>
      </w:pPr>
    </w:p>
    <w:p>
      <w:pPr>
        <w:ind w:right="500"/>
        <w:spacing w:after="0" w:line="278" w:lineRule="auto"/>
        <w:rPr>
          <w:sz w:val="20"/>
          <w:szCs w:val="20"/>
          <w:color w:val="auto"/>
        </w:rPr>
      </w:pPr>
      <w:r>
        <w:rPr>
          <w:rFonts w:ascii="Arial" w:cs="Arial" w:eastAsia="Arial" w:hAnsi="Arial"/>
          <w:sz w:val="16"/>
          <w:szCs w:val="16"/>
          <w:color w:val="auto"/>
        </w:rPr>
        <w:t>The carrying and fair values of the Company’s financial instruments not recorded at fair value on a recurring basis are presented in the following table, classified according to the categories of financial liabilities at amortized cost (“FLAC”):</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5"/>
          </w:tcPr>
          <w:p>
            <w:pPr>
              <w:ind w:left="700"/>
              <w:spacing w:after="0"/>
              <w:rPr>
                <w:sz w:val="20"/>
                <w:szCs w:val="20"/>
                <w:color w:val="auto"/>
              </w:rPr>
            </w:pPr>
            <w:r>
              <w:rPr>
                <w:rFonts w:ascii="Arial" w:cs="Arial" w:eastAsia="Arial" w:hAnsi="Arial"/>
                <w:sz w:val="16"/>
                <w:szCs w:val="16"/>
                <w:b w:val="1"/>
                <w:bCs w:val="1"/>
                <w:color w:val="auto"/>
              </w:rPr>
              <w:t>September 30, 2022</w:t>
            </w:r>
          </w:p>
        </w:tc>
        <w:tc>
          <w:tcPr>
            <w:tcW w:w="180" w:type="dxa"/>
            <w:vAlign w:val="bottom"/>
          </w:tcPr>
          <w:p>
            <w:pPr>
              <w:spacing w:after="0"/>
              <w:rPr>
                <w:sz w:val="18"/>
                <w:szCs w:val="18"/>
                <w:color w:val="auto"/>
              </w:rPr>
            </w:pPr>
          </w:p>
        </w:tc>
        <w:tc>
          <w:tcPr>
            <w:tcW w:w="31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December 31, 2021</w:t>
            </w:r>
          </w:p>
        </w:tc>
      </w:tr>
      <w:tr>
        <w:trPr>
          <w:trHeight w:val="33"/>
        </w:trPr>
        <w:tc>
          <w:tcPr>
            <w:tcW w:w="25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Financial Liabilities</w:t>
            </w:r>
          </w:p>
        </w:tc>
        <w:tc>
          <w:tcPr>
            <w:tcW w:w="220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Category</w:t>
            </w:r>
          </w:p>
        </w:tc>
        <w:tc>
          <w:tcPr>
            <w:tcW w:w="1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Carrying Amount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Carrying Amount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17"/>
        </w:trPr>
        <w:tc>
          <w:tcPr>
            <w:tcW w:w="25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Long-term debt</w:t>
            </w:r>
          </w:p>
        </w:tc>
        <w:tc>
          <w:tcPr>
            <w:tcW w:w="2200" w:type="dxa"/>
            <w:vAlign w:val="bottom"/>
            <w:tcBorders>
              <w:top w:val="single" w:sz="8" w:color="auto"/>
            </w:tcBorders>
            <w:gridSpan w:val="2"/>
          </w:tcPr>
          <w:p>
            <w:pPr>
              <w:jc w:val="right"/>
              <w:ind w:right="739"/>
              <w:spacing w:after="0"/>
              <w:rPr>
                <w:sz w:val="20"/>
                <w:szCs w:val="20"/>
                <w:color w:val="auto"/>
              </w:rPr>
            </w:pPr>
            <w:r>
              <w:rPr>
                <w:rFonts w:ascii="Arial" w:cs="Arial" w:eastAsia="Arial" w:hAnsi="Arial"/>
                <w:sz w:val="16"/>
                <w:szCs w:val="16"/>
                <w:color w:val="auto"/>
              </w:rPr>
              <w:t>FLAC</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2,138</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2,006</w:t>
            </w:r>
          </w:p>
        </w:tc>
      </w:tr>
      <w:tr>
        <w:trPr>
          <w:trHeight w:val="33"/>
        </w:trPr>
        <w:tc>
          <w:tcPr>
            <w:tcW w:w="25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2,006</w:t>
            </w:r>
          </w:p>
        </w:tc>
      </w:tr>
      <w:tr>
        <w:trPr>
          <w:trHeight w:val="20"/>
        </w:trPr>
        <w:tc>
          <w:tcPr>
            <w:tcW w:w="2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Estimated fair values of long-term debt are based on quoted prices for similar liabilities for which significant inputs are observable and represents a Level 2 valuation. The fair values are estimated based on the type of debt and their maturities. The Company estimates the fair value using market interest rates of debts with similar maturities.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Share-Based Compensation</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measure and recognize compensation expense related to share-based transactions, including employee, consultant, and non-employee director share option awards, in our consolidated financial statements based on fair value. We estimate the share option fair value at the date of grant using the Black-Scholes option pricing model, which requires management to make certain assumptions of future expectations based on historical and current data. The assumptions include the expected term of the share option, expected volatility, dividend yield, and risk-free interest rate. The expected term represents the amount of time that options granted are expected to be outstanding, based on forecasted exercise behavior. The risk-free rate is based on the rate at grant date of zero- coupon Treasury notes with a term comparable to the expected term of the option. We estimate expected volatility based on the historical volatility of comparable public entities’ share price from the same industry. We base our dividend yield on forecasted expected payments, which we expect to be zero for the immediate future. We recognize compensation expense over the vesting period of the award on a graded attribution basis, and we estimate forfeitures.</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Stock Purchase Plan</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and prior to the consummation of, the Company's initial public offering, the Company's board of</w:t>
      </w:r>
    </w:p>
    <w:p>
      <w:pPr>
        <w:spacing w:after="0" w:line="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directors adopted the GLOBALFOUNDRIES Inc. 2021 Employee Stock Purchase Plan (the “ESPP”). The ESPP is administered by the Company's board of directors or, as applicable, its delegate (the “ESPP Administrator”).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equitable adjustments in connection with certain events affecting the outstanding ordinary shares</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reserved for issuance as awards, the maximum aggregate number of our ordinary shares that may be issued or transferred under the ESPP with respect to awards is 7,500,000 ordinary shares; provided that the share reserve under the ESPP will, unless otherwise determined by our board of directors, automatically increase on January 1 of each year for 8 years commencing on January 1, 2023 and ending on (and including) January 1, 2031 in an amount equal to 0.25% of the total number of ordinary shares outstanding on December 31 of the preceding year. In no event will the number of ordinary shares that may be issued or transferred pursuant to rights granted under the ESPP exceed 18,750,000, in the aggregate, subject to the adjustments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Stock Units</w:t>
      </w:r>
    </w:p>
    <w:p>
      <w:pPr>
        <w:spacing w:after="0" w:line="27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During the second quarter of 2022, the Company awarded Performance Stock Units (“PSUs”) to certain senior level employees, which will vest if certain financial performance objectives are achieved over 2 years to 3 years performance periods and the grantee remains employed by the Company through that performance period. Each PSU represents a contingent right to receive shares of the Company’s stock if the Company meets certain performance measures over the requisite period. The PSU awards entitle recipients to receive, upon vesting, a number of shares that ranges from 0% to 200% of the number of PSUs awarded, depending on the level of achievement of the specified performance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240"/>
          </w:cols>
          <w:pgMar w:left="320" w:top="94"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Management Discussion and Analysis of Financial Condition and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00" w:lineRule="exact"/>
        <w:rPr>
          <w:sz w:val="20"/>
          <w:szCs w:val="20"/>
          <w:color w:val="auto"/>
        </w:rPr>
      </w:pP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the COVID-19 pandemic and supply chain disruptions due to the Russia/Ukraine conflict and actions taken in response to such events; the market for our products may develop more slowly than expected or than it has in the past;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damage our reputation; we could experience interruptions or performance problems associated with our technology, including a service outage; and global economic conditions could deteriorate, including due to increasing interest rates, rising inflation, and any potential recession.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GLOBALFOUNDRIES’ Annual Report on Form 20-F for the year ended December 31, 2021, current reports on Form 6-K and other reports filed with the Securities and Exchange Commission (the “SEC”). Copies of our SEC filings are available on our Investor Relations website, investors.gf.com, or from the SEC website, www.sec.gov.</w:t>
      </w:r>
    </w:p>
    <w:p>
      <w:pPr>
        <w:sectPr>
          <w:pgSz w:w="11900" w:h="16838" w:orient="portrait"/>
          <w:cols w:equalWidth="0" w:num="1">
            <w:col w:w="11240"/>
          </w:cols>
          <w:pgMar w:left="320" w:top="1417" w:right="339" w:bottom="1440" w:gutter="0" w:footer="0" w:header="0"/>
        </w:sectPr>
      </w:pPr>
    </w:p>
    <w:bookmarkStart w:id="20" w:name="page21"/>
    <w:bookmarkEnd w:id="20"/>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FINANCIAL REVIEWS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GLOBALFOUNDRIES Inc. (“We,” “GF,” or the “Company”) is one of the world’s leading semiconductor foundries. We manufacture complex, feature-rich integrated circuits (“ICs”) that enable billions of electronic devices that are pervasive throughout nearly every sector of the global economy. With our specialized foundry manufacturing processes, a library consisting of thousands of IP titles, and differentiated transistor and device technology, we serve a broad range of customers, including the global leaders in IC design, and provide optimized solutions for the function, performance and power requirements of critical applications driving key secular growth end markets.</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combination of our highly-differentiated technology and our scaled manufacturing footprint enables us to attract a large share of single-sourced products and long-term supply agreements, providing a high degree of revenue visibility and significant operating leverage, resulting in improved financial performance and bottom line growth. As of September 30, 2022, the aggregate long-term revenue commitment reflected by these agreements amounted to $27 billion, including more than $10 billion during the period from January 2022 through December 2023 and more than $3.5 billion in advanced payments and capacity reservation fees. These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38 customers as of September 30, 2022, many of whom are the global leaders in their field.</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242424"/>
        </w:rPr>
        <w:t>Against the backdrop of increasing macroeconomic and geopolitical uncertainty, recently, some customers under long term agreements (“LTAs”) have requested to adjust downward their 2023 demand outlook, which could eventually lead to softening orders and revenue. We continue to pay close attention to the overall economic environment and are working closely with customers to monitor demand.</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2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generate the majority of our revenue from volume production and sales of semiconductor wafers, which are priced on a per-wafer basis for the applicable design. We also generate revenue from pre-fabrication services such as rendering of non-recurring engineering (“NRE”) services, mask production and post-fabrication services such as bump, test, and packaging. Pricing is typically agreed prior to production and then updated based on subsequent period negotiations.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We expect cost of revenue to grow at a pace lower than our revenue growth. As it pertains to inflation and inflationary-headwinds we are facing within our business, while we have experienced an increase in costs for materials and energy in the current period, we continue to estimate the impact of these inflationary costs to our current year financial results to not be material.</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Depreciation and amortization charges primarily include the depreciation of clean room production equipment. We depreciate equipment on a straight-line basis over a two-to-ten-year period and buildings on a straight-line basis up to 26 years (or the remaining lease term of related land on which the buildings are erected, if shorter).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operating expenses consist of research and development ("R&amp;D") and selling, general and administrative expenses. Personnel costs are the most significant component of our operating expenses and consist of salaries, benefits, bonuses, share-based compensation, and commissions.</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(“R&amp;D”)</w:t>
      </w:r>
    </w:p>
    <w:p>
      <w:pPr>
        <w:spacing w:after="0" w:line="27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R&amp;D efforts are focused on developing highly-differentiated process technologies and solutions. As part of our strategic repositioning in 2018, we focus our efforts on technologies where we can deliver a highly-differentiated solution. Our R&amp;D expense includes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and we believe that continued investment in our technology portfolio is important for our future growth and acquisition of new customers.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(“SG&amp;A”)</w:t>
      </w:r>
    </w:p>
    <w:p>
      <w:pPr>
        <w:spacing w:after="0" w:line="27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SG&amp;A expenses consist primarily of personnel-related costs, including sales commissions to independent sales representatives and professional fees, including the costs of audit, accounting, information technology, legal, regulatory and tax compliance. Additionally, costs related to advertising, trade shows, corporate marketing and allocated overhead costs are also included in SG&amp;A expenses. Since we became a publicly-traded company in October 2021, we have and will continue to incur increased audit, accounting, legal, information technology, regulatory, compliance, director and officer insurance costs as well as investor and public relations expenses associated with operating as a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Finance Expenses, net</w:t>
      </w: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Finance expenses, net consist primarily of interest on borrowings, amortization of debt issuance costs under our term loans, revolving credit facility, finance leases and the other credit facilities we maintain with various financial institutions, net of interest income related to investing activities.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of Profit from Joint Ventures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Share of profit from joint ventures relates to our portion of profit and loss in investments that we do not consolidate.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consists of one-time gains and losses and other miscellaneous income and expense items unrelated to our core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26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Income tax expense consists primarily of income taxes in jurisdictions in which we conduct business, which mainly include Germany, Singapore and the United States.</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Results of Operations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consolidated statements of operations data for the periods indicated: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80" w:type="dxa"/>
            <w:vAlign w:val="bottom"/>
            <w:gridSpan w:val="13"/>
          </w:tcPr>
          <w:p>
            <w:pPr>
              <w:jc w:val="center"/>
              <w:ind w:right="80"/>
              <w:spacing w:after="0"/>
              <w:rPr>
                <w:sz w:val="20"/>
                <w:szCs w:val="20"/>
                <w:color w:val="auto"/>
              </w:rPr>
            </w:pPr>
            <w:r>
              <w:rPr>
                <w:rFonts w:ascii="Arial" w:cs="Arial" w:eastAsia="Arial" w:hAnsi="Arial"/>
                <w:sz w:val="16"/>
                <w:szCs w:val="16"/>
                <w:b w:val="1"/>
                <w:bCs w:val="1"/>
                <w:color w:val="auto"/>
              </w:rPr>
              <w:t>Three Months Ended September 30,</w:t>
            </w:r>
          </w:p>
        </w:tc>
        <w:tc>
          <w:tcPr>
            <w:tcW w:w="3180" w:type="dxa"/>
            <w:vAlign w:val="bottom"/>
            <w:gridSpan w:val="9"/>
          </w:tcPr>
          <w:p>
            <w:pPr>
              <w:jc w:val="right"/>
              <w:ind w:right="1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3"/>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1,700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4,738</w:t>
            </w:r>
          </w:p>
        </w:tc>
        <w:tc>
          <w:tcPr>
            <w:tcW w:w="0" w:type="dxa"/>
            <w:vAlign w:val="bottom"/>
          </w:tcPr>
          <w:p>
            <w:pPr>
              <w:spacing w:after="0"/>
              <w:rPr>
                <w:sz w:val="1"/>
                <w:szCs w:val="1"/>
                <w:color w:val="auto"/>
              </w:rPr>
            </w:pPr>
          </w:p>
        </w:tc>
      </w:tr>
      <w:tr>
        <w:trPr>
          <w:trHeight w:val="213"/>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1,400</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4,108</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300</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630</w:t>
            </w:r>
          </w:p>
        </w:tc>
        <w:tc>
          <w:tcPr>
            <w:tcW w:w="0" w:type="dxa"/>
            <w:vAlign w:val="bottom"/>
          </w:tcPr>
          <w:p>
            <w:pPr>
              <w:spacing w:after="0"/>
              <w:rPr>
                <w:sz w:val="1"/>
                <w:szCs w:val="1"/>
                <w:color w:val="auto"/>
              </w:rPr>
            </w:pPr>
          </w:p>
        </w:tc>
      </w:tr>
      <w:tr>
        <w:trPr>
          <w:trHeight w:val="207"/>
        </w:trPr>
        <w:tc>
          <w:tcPr>
            <w:tcW w:w="3020" w:type="dxa"/>
            <w:vAlign w:val="bottom"/>
            <w:gridSpan w:val="4"/>
          </w:tcPr>
          <w:p>
            <w:pPr>
              <w:ind w:left="20"/>
              <w:spacing w:after="0"/>
              <w:rPr>
                <w:sz w:val="20"/>
                <w:szCs w:val="20"/>
                <w:color w:val="auto"/>
              </w:rPr>
            </w:pPr>
            <w:r>
              <w:rPr>
                <w:rFonts w:ascii="Arial" w:cs="Arial" w:eastAsia="Arial" w:hAnsi="Arial"/>
                <w:sz w:val="16"/>
                <w:szCs w:val="16"/>
                <w:color w:val="auto"/>
              </w:rPr>
              <w:t>Research and development expenses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114</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9"/>
        </w:trPr>
        <w:tc>
          <w:tcPr>
            <w:tcW w:w="33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248</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776</w:t>
            </w:r>
          </w:p>
        </w:tc>
        <w:tc>
          <w:tcPr>
            <w:tcW w:w="0" w:type="dxa"/>
            <w:vAlign w:val="bottom"/>
          </w:tcPr>
          <w:p>
            <w:pPr>
              <w:spacing w:after="0"/>
              <w:rPr>
                <w:sz w:val="1"/>
                <w:szCs w:val="1"/>
                <w:color w:val="auto"/>
              </w:rPr>
            </w:pPr>
          </w:p>
        </w:tc>
      </w:tr>
      <w:tr>
        <w:trPr>
          <w:trHeight w:val="210"/>
        </w:trPr>
        <w:tc>
          <w:tcPr>
            <w:tcW w:w="302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w:t>
            </w: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Arial" w:cs="Arial" w:eastAsia="Arial" w:hAnsi="Arial"/>
                <w:sz w:val="16"/>
                <w:szCs w:val="16"/>
                <w:color w:val="auto"/>
              </w:rPr>
              <w:t>Finance expenses, net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Arial" w:cs="Arial" w:eastAsia="Arial" w:hAnsi="Arial"/>
                <w:sz w:val="16"/>
                <w:szCs w:val="16"/>
                <w:color w:val="auto"/>
                <w:w w:val="98"/>
              </w:rPr>
              <w:t>(27)</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9"/>
        </w:trPr>
        <w:tc>
          <w:tcPr>
            <w:tcW w:w="33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Share of profit of joint ventures and associates</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302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(244)</w:t>
            </w:r>
          </w:p>
        </w:tc>
        <w:tc>
          <w:tcPr>
            <w:tcW w:w="0" w:type="dxa"/>
            <w:vAlign w:val="bottom"/>
          </w:tcPr>
          <w:p>
            <w:pPr>
              <w:spacing w:after="0"/>
              <w:rPr>
                <w:sz w:val="1"/>
                <w:szCs w:val="1"/>
                <w:color w:val="auto"/>
              </w:rPr>
            </w:pPr>
          </w:p>
        </w:tc>
      </w:tr>
      <w:tr>
        <w:trPr>
          <w:trHeight w:val="213"/>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8"/>
              </w:rPr>
              <w:t>(22)</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2"/>
        </w:trPr>
        <w:tc>
          <w:tcPr>
            <w:tcW w:w="302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for the period</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w:t>
            </w:r>
          </w:p>
        </w:tc>
        <w:tc>
          <w:tcPr>
            <w:tcW w:w="0" w:type="dxa"/>
            <w:vAlign w:val="bottom"/>
          </w:tcPr>
          <w:p>
            <w:pPr>
              <w:spacing w:after="0"/>
              <w:rPr>
                <w:sz w:val="1"/>
                <w:szCs w:val="1"/>
                <w:color w:val="auto"/>
              </w:rPr>
            </w:pPr>
          </w:p>
        </w:tc>
      </w:tr>
      <w:tr>
        <w:trPr>
          <w:trHeight w:val="777"/>
        </w:trPr>
        <w:tc>
          <w:tcPr>
            <w:tcW w:w="6460" w:type="dxa"/>
            <w:vAlign w:val="bottom"/>
            <w:tcBorders>
              <w:bottom w:val="single" w:sz="8" w:color="auto"/>
            </w:tcBorders>
            <w:gridSpan w:val="14"/>
          </w:tcPr>
          <w:p>
            <w:pPr>
              <w:spacing w:after="0"/>
              <w:rPr>
                <w:sz w:val="20"/>
                <w:szCs w:val="20"/>
                <w:color w:val="auto"/>
              </w:rPr>
            </w:pPr>
            <w:r>
              <w:rPr>
                <w:rFonts w:ascii="Arial" w:cs="Arial" w:eastAsia="Arial" w:hAnsi="Arial"/>
                <w:sz w:val="16"/>
                <w:szCs w:val="16"/>
                <w:b w:val="1"/>
                <w:bCs w:val="1"/>
                <w:color w:val="auto"/>
              </w:rPr>
              <w:t>Comparison of Three months and Nine months ended September 30, 2022 and 2021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1880" w:type="dxa"/>
            <w:vAlign w:val="bottom"/>
          </w:tcPr>
          <w:p>
            <w:pPr>
              <w:spacing w:after="0"/>
              <w:rPr>
                <w:sz w:val="20"/>
                <w:szCs w:val="20"/>
                <w:color w:val="auto"/>
              </w:rPr>
            </w:pPr>
            <w:r>
              <w:rPr>
                <w:rFonts w:ascii="Arial" w:cs="Arial" w:eastAsia="Arial" w:hAnsi="Arial"/>
                <w:sz w:val="16"/>
                <w:szCs w:val="16"/>
                <w:b w:val="1"/>
                <w:bCs w:val="1"/>
                <w:i w:val="1"/>
                <w:iCs w:val="1"/>
                <w:color w:val="auto"/>
              </w:rPr>
              <w:t>Net Revenue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7"/>
          </w:tcPr>
          <w:p>
            <w:pPr>
              <w:ind w:left="10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7"/>
          </w:tcPr>
          <w:p>
            <w:pPr>
              <w:ind w:left="3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5"/>
              </w:rPr>
              <w:t>2021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114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 Change</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0"/>
        </w:trPr>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80" w:type="dxa"/>
            <w:vAlign w:val="bottom"/>
            <w:shd w:val="clear" w:color="auto" w:fill="CCEEFF"/>
          </w:tcPr>
          <w:p>
            <w:pPr>
              <w:spacing w:after="0"/>
              <w:rPr>
                <w:sz w:val="19"/>
                <w:szCs w:val="19"/>
                <w:color w:val="auto"/>
              </w:rPr>
            </w:pPr>
          </w:p>
        </w:tc>
        <w:tc>
          <w:tcPr>
            <w:tcW w:w="1520" w:type="dxa"/>
            <w:vAlign w:val="bottom"/>
            <w:gridSpan w:val="6"/>
            <w:shd w:val="clear" w:color="auto" w:fill="CCEEFF"/>
          </w:tcPr>
          <w:p>
            <w:pPr>
              <w:jc w:val="right"/>
              <w:ind w:right="100"/>
              <w:spacing w:after="0"/>
              <w:rPr>
                <w:sz w:val="20"/>
                <w:szCs w:val="20"/>
                <w:color w:val="auto"/>
              </w:rPr>
            </w:pPr>
            <w:r>
              <w:rPr>
                <w:rFonts w:ascii="Arial" w:cs="Arial" w:eastAsia="Arial" w:hAnsi="Arial"/>
                <w:sz w:val="16"/>
                <w:szCs w:val="16"/>
                <w:color w:val="auto"/>
              </w:rPr>
              <w:t>22.0 %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38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26.8 %</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revenue increased by $374 million, or 22.0%, for the three months ended September 30, 2022, compared to the three months ended September 30, 2021. The increase was primarily a result of higher wafer shipment volumes and average selling prices (“ASP”). For the three months ended September 30, 2022, wafer shipments were 637 thousand (300mm equivalent), a 4.5% increase from the prior year. ASP per wafer increased 14% year over year, driven by ramping long-term customer agreements with better pricing, and continued improvement in product mix.</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Net revenue increased by $1,269 million, or 26.8%, for the nine months ended September 30, 2022, compared to the nine months ended September 30, 2021. The increase was primarily a result of higher wafer shipment volumes and ASP. For the nine months ended September 30, 2022, wafer shipments were approximately 1.9 million (300mm equivalent), an 8% increase from the prior year. ASP per wafer increased 16% year over year, driven by ramping long-term customer agreements with better pricing, and improved mix.</w:t>
      </w:r>
    </w:p>
    <w:p>
      <w:pPr>
        <w:sectPr>
          <w:pgSz w:w="11900" w:h="16838" w:orient="portrait"/>
          <w:cols w:equalWidth="0" w:num="1">
            <w:col w:w="11240"/>
          </w:cols>
          <w:pgMar w:left="320" w:top="144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5"/>
        </w:trPr>
        <w:tc>
          <w:tcPr>
            <w:tcW w:w="196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4"/>
                <w:szCs w:val="24"/>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1"/>
        </w:trPr>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4.6 %  $</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24"/>
        </w:trPr>
        <w:tc>
          <w:tcPr>
            <w:tcW w:w="196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6"/>
                <w:szCs w:val="16"/>
                <w:i w:val="1"/>
                <w:iCs w:val="1"/>
                <w:color w:val="auto"/>
              </w:rPr>
              <w:t>+1,180bps</w:t>
            </w:r>
          </w:p>
        </w:tc>
        <w:tc>
          <w:tcPr>
            <w:tcW w:w="880" w:type="dxa"/>
            <w:vAlign w:val="bottom"/>
          </w:tcPr>
          <w:p>
            <w:pPr>
              <w:jc w:val="right"/>
              <w:spacing w:after="0"/>
              <w:rPr>
                <w:sz w:val="20"/>
                <w:szCs w:val="20"/>
                <w:color w:val="auto"/>
              </w:rPr>
            </w:pPr>
            <w:r>
              <w:rPr>
                <w:rFonts w:ascii="Arial" w:cs="Arial" w:eastAsia="Arial" w:hAnsi="Arial"/>
                <w:sz w:val="16"/>
                <w:szCs w:val="16"/>
                <w:color w:val="auto"/>
              </w:rPr>
              <w:t>26.9 %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220"/>
              <w:spacing w:after="0"/>
              <w:rPr>
                <w:sz w:val="20"/>
                <w:szCs w:val="20"/>
                <w:color w:val="auto"/>
              </w:rPr>
            </w:pPr>
            <w:r>
              <w:rPr>
                <w:rFonts w:ascii="Arial" w:cs="Arial" w:eastAsia="Arial" w:hAnsi="Arial"/>
                <w:sz w:val="16"/>
                <w:szCs w:val="16"/>
                <w:i w:val="1"/>
                <w:iCs w:val="1"/>
                <w:color w:val="auto"/>
              </w:rPr>
              <w:t>+136bps</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Cost of revenue increased by $64 million, or 4.6%, for the three months ended September 30, 2022, compared to the three months ended September 30, 2021. The increase was primarily a result of a 4.5% increase in wafer shipments partially offset by increased fixed cost absorption from factory utilization. Share-based compensation also increased by $6 million.</w:t>
      </w:r>
    </w:p>
    <w:p>
      <w:pPr>
        <w:spacing w:after="0" w:line="24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Cost of revenue increased by $282 million, or 6.9%, for the nine months ended September 30, 2022, compared to the nine months ended September 30, 2021. The increase was primarily a result of a 8% increase in wafer shipments partially offset by increased fixed cost absorption from higher factory utilization. Share-based compensation also increased by $42 million.</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298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Research and Development Expenses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4"/>
                <w:szCs w:val="2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4"/>
          </w:tcPr>
          <w:p>
            <w:pPr>
              <w:ind w:left="360"/>
              <w:spacing w:after="0"/>
              <w:rPr>
                <w:sz w:val="20"/>
                <w:szCs w:val="20"/>
                <w:color w:val="auto"/>
              </w:rPr>
            </w:pPr>
            <w:r>
              <w:rPr>
                <w:rFonts w:ascii="Arial" w:cs="Arial" w:eastAsia="Arial" w:hAnsi="Arial"/>
                <w:sz w:val="16"/>
                <w:szCs w:val="16"/>
                <w:b w:val="1"/>
                <w:bCs w:val="1"/>
                <w:color w:val="auto"/>
                <w:w w:val="99"/>
              </w:rPr>
              <w:t>Nine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4"/>
          </w:tcPr>
          <w:p>
            <w:pPr>
              <w:ind w:left="56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w w:val="95"/>
              </w:rPr>
              <w:t>2022</w:t>
            </w: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1"/>
        </w:trPr>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372</w:t>
            </w: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349</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08"/>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development expenses</w:t>
            </w: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vMerge w:val="continue"/>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3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3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ind w:left="20"/>
              <w:spacing w:after="0"/>
              <w:rPr>
                <w:sz w:val="20"/>
                <w:szCs w:val="20"/>
                <w:color w:val="auto"/>
              </w:rPr>
            </w:pPr>
            <w:r>
              <w:rPr>
                <w:rFonts w:ascii="Arial" w:cs="Arial" w:eastAsia="Arial" w:hAnsi="Arial"/>
                <w:sz w:val="16"/>
                <w:szCs w:val="16"/>
                <w:color w:val="auto"/>
              </w:rPr>
              <w:t>As a % of revenue</w:t>
            </w:r>
          </w:p>
        </w:tc>
        <w:tc>
          <w:tcPr>
            <w:tcW w:w="2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360"/>
              <w:spacing w:after="0"/>
              <w:rPr>
                <w:sz w:val="20"/>
                <w:szCs w:val="20"/>
                <w:color w:val="auto"/>
              </w:rPr>
            </w:pPr>
            <w:r>
              <w:rPr>
                <w:rFonts w:ascii="Arial" w:cs="Arial" w:eastAsia="Arial" w:hAnsi="Arial"/>
                <w:sz w:val="16"/>
                <w:szCs w:val="16"/>
                <w:color w:val="auto"/>
                <w:w w:val="93"/>
              </w:rPr>
              <w:t>6.2%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Research and development expenses increased by $10 million, or 8.8%, for the three months ended September 30, 2022, compared to the three months ended September 30, 2021. The increase was primarily a result of a $10 million increase in R&amp;D technology portfolio investments, and a $4 million increase in share-based compensation, partially offset by $3 million reduction in R&amp;D pre-production costs.</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Research and development expenses increased by $23 million, or 6.6%, for the nine months ended September 30, 2022, compared to the nine months ended September 30, 2021. The increase was primarily a result of $23 million increase in R&amp;D technology portfolio investments, $12 million increase in share-based compensation and employee-related expenses, partially offset by $12 million reduction in R&amp;D pre-production costs.</w:t>
      </w:r>
    </w:p>
    <w:p>
      <w:pPr>
        <w:sectPr>
          <w:pgSz w:w="11900" w:h="16838" w:orient="portrait"/>
          <w:cols w:equalWidth="0" w:num="1">
            <w:col w:w="11240"/>
          </w:cols>
          <w:pgMar w:left="320" w:top="141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5"/>
        </w:trPr>
        <w:tc>
          <w:tcPr>
            <w:tcW w:w="4120" w:type="dxa"/>
            <w:vAlign w:val="bottom"/>
            <w:gridSpan w:val="7"/>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1"/>
        </w:trPr>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14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(3.7)%  $</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administrative</w:t>
            </w:r>
          </w:p>
        </w:tc>
        <w:tc>
          <w:tcPr>
            <w:tcW w:w="22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3"/>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20"/>
              <w:spacing w:after="0"/>
              <w:rPr>
                <w:sz w:val="20"/>
                <w:szCs w:val="20"/>
                <w:color w:val="auto"/>
              </w:rPr>
            </w:pPr>
            <w:r>
              <w:rPr>
                <w:rFonts w:ascii="Arial" w:cs="Arial" w:eastAsia="Arial" w:hAnsi="Arial"/>
                <w:sz w:val="16"/>
                <w:szCs w:val="16"/>
                <w:color w:val="auto"/>
              </w:rPr>
              <w:t>As a % of revenue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Selling, general and administrative expenses decreased by $5 million, or 3.7%, for the three months ended September 30, 2022, compared to the three months ended September 30, 2021. The decline was primarily a result of a decrease in share-based compensation of $6 million.</w:t>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Selling, general and administrative expenses decreased by $61 million, or 14.3%, for the nine months ended September 30, 2022, compared to the nine months ended September 30, 2021. The decrease was primarily a result of $52 million reduction in share-based compensation, lower employee-related expenses of $45 million, partially offset by $36 million increased costs associated with operating as a public company.</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Finance expense, 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0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20" w:type="dxa"/>
            <w:vAlign w:val="bottom"/>
            <w:gridSpan w:val="2"/>
            <w:vMerge w:val="continue"/>
          </w:tcPr>
          <w:p>
            <w:pPr>
              <w:spacing w:after="0"/>
              <w:rPr>
                <w:sz w:val="18"/>
                <w:szCs w:val="18"/>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expenses, net   $</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(59.3)%  $</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(58)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Finance expense, net decreased by $16 million, or 59.3%, for the three months ended September 30, 2022, compared to the three months ended September 30, 2021. The decrease was primarily a result of $17 million higher interest income generated from money market funds and investments in marketable debt securities.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Finance expense, net decreased by $24 million, or 29.3%, for the nine months ended September 30, 2022, compared to the nine months ended September 30, 2021. The decrease was primarily a result of $25 million higher interest income generated from money market funds and investments in marketable debt securities.</w:t>
      </w:r>
    </w:p>
    <w:p>
      <w:pPr>
        <w:sectPr>
          <w:pgSz w:w="11900" w:h="16838" w:orient="portrait"/>
          <w:cols w:equalWidth="0" w:num="1">
            <w:col w:w="11240"/>
          </w:cols>
          <w:pgMar w:left="320" w:top="141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5"/>
        </w:trPr>
        <w:tc>
          <w:tcPr>
            <w:tcW w:w="296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3"/>
        </w:trPr>
        <w:tc>
          <w:tcPr>
            <w:tcW w:w="1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24"/>
                <w:szCs w:val="24"/>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1"/>
        </w:trPr>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700.0 %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268.4 %</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income (expense), net increased by $7 million, for the three months ended September 30, 2022, compared to the three months ended September 30, 2021. The increase was primarily a result of $7 million increased tool sales to third parties in 2022.</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Other income (expense), net increased by $51 million, for the nine months ended September 30, 2022, compared to the nine months ended September 30, 2021. The increase was primarily a result of a $34 million provision for settlement with our previous joint venture in China recorded in 2021 and $22 million increase in tool sales to third parties in 2022.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40" w:type="dxa"/>
            <w:vAlign w:val="bottom"/>
          </w:tcPr>
          <w:p>
            <w:pPr>
              <w:spacing w:after="0"/>
              <w:rPr>
                <w:sz w:val="20"/>
                <w:szCs w:val="20"/>
                <w:color w:val="auto"/>
              </w:rPr>
            </w:pPr>
            <w:r>
              <w:rPr>
                <w:rFonts w:ascii="Arial" w:cs="Arial" w:eastAsia="Arial" w:hAnsi="Arial"/>
                <w:sz w:val="16"/>
                <w:szCs w:val="16"/>
                <w:b w:val="1"/>
                <w:bCs w:val="1"/>
                <w:i w:val="1"/>
                <w:iCs w:val="1"/>
                <w:color w:val="auto"/>
              </w:rPr>
              <w:t>Income Tax Expense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24"/>
                <w:szCs w:val="24"/>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(13.6)%  $</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(78)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Income tax expense decreased by $3 million, or 13.6%, for the three months ended September 30, 2022, compared to the three months ended September 30, 2021. The decrease was primarily a result of an improved mix of income in certain jurisdictions, with higher tax rates offset by withholding tax accrued in the United States.</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Income tax expense increased by $26 million, or 50.0%, for the nine months ended September 30, 2022, compared to the nine months ended September 30, 2021. The increase was primarily due to a higher mix of income in jurisdictions with higher tax rates and additional withholding tax accrued in the United States.</w:t>
      </w:r>
    </w:p>
    <w:p>
      <w:pPr>
        <w:sectPr>
          <w:pgSz w:w="11900" w:h="16838" w:orient="portrait"/>
          <w:cols w:equalWidth="0" w:num="1">
            <w:col w:w="11240"/>
          </w:cols>
          <w:pgMar w:left="320" w:top="1417" w:right="339" w:bottom="1440" w:gutter="0" w:footer="0" w:header="0"/>
        </w:sectPr>
      </w:pPr>
    </w:p>
    <w:bookmarkStart w:id="26" w:name="page27"/>
    <w:bookmarkEnd w:id="26"/>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have financed operations primarily through cash and cash equivalents, marketable securities, as well as cash generated from our business operations, including customers' prepayments under long term agreements, debt and government funding. As of September 30, 2022, our cash, cash equivalent and marketable securities balances of $3,473 million included $2,541 million of cash and cash equivalent and $932 million of marketable securities.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September 30, 2022 and December 31, 2021, we had an undrawn revolving credit facility of $1,000 million. In addition to our available revolvers, which were undrawn as of September 30, 2022 and December 31, 2021, we had $2,216 million and $2,013 million of debt outstanding as of September 30, 2022 and December 31, 2021, respectively, which was primarily comprised of multiple term loans in various currencies. Our future capital requirements will depend on many factors, including our revenue growth rate, the timing and the amount we receive from customers, the timing and extent of spending to support development efforts, the introduction of new and enhanced products and solutions, and the continuing market adoption of our platform. We may from time to time seek to raise additional capital to support our growth. As of September 30, 2022, we believe that our existing cash, cash equivalents, investment in marketable securities, credit under our revolving credit facility, and expected cash generated from operations are sufficient to meet our capital requirements.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32"/>
        </w:trPr>
        <w:tc>
          <w:tcPr>
            <w:tcW w:w="7940" w:type="dxa"/>
            <w:vAlign w:val="bottom"/>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2"/>
        </w:trPr>
        <w:tc>
          <w:tcPr>
            <w:tcW w:w="7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79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8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2,133</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(3,007)</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(824)</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by financing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482</w:t>
            </w: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w:t>
            </w:r>
          </w:p>
        </w:tc>
      </w:tr>
      <w:tr>
        <w:trPr>
          <w:trHeight w:val="206"/>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08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increase/(decrease) in cash and cash equivalents</w:t>
            </w:r>
          </w:p>
        </w:tc>
        <w:tc>
          <w:tcPr>
            <w:tcW w:w="1080" w:type="dxa"/>
            <w:vAlign w:val="bottom"/>
            <w:tcBorders>
              <w:bottom w:val="single" w:sz="8" w:color="auto"/>
            </w:tcBorders>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8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Net cash provided by operating activities was $2,133 million for the nine months ended September 30, 2022 an increase of $441 million compared to $1,692 million for the nine month period ended September 30, 2021. The change was primarily attributable to a significant increase in net income of $1,074 million offset by unfavorable changes in working capital of $554 million. Working capital changes were driven by changes in trade and other payables of $647 million primarily due to lower customer prepayments and $63 million of increased inventory levels to support higher sales. This was partially offset by a decrease of $156 million in receivables, prepayments and other assets due to lower prepayments made to suppliers.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cash used in investing activities was $3,007 million for the nine months ended September 30, 2022, an increase of $2,183 million from a use of $824 million for the nine months ended September 30, 2021. The increase was primarily attributable to capital expenditures of $2,068 million, an increase of $950 million from prior period, principally associated with activities to expand capacity within certain of our fabrication facilities, net purchases of marketable securities of $938 million and $257 million of reduced proceeds from the sale of equipment.</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Net cash provided by financing activities was $482 million for the nine months ended September 30, 2022, an increase of $1,231 million from a use of $749 for the nine months ended September 30, 2021. The increase was primarily attributable to $568 million of reduced repayments related to a shareholder loan, $412 million of reduced repayments of debt and financing lease obligations, $183 million due to lower proceeds from borrowings and $142 million increased proceeds from the issuance of equity instruments from options exercised. This increase was slightly offset by a reduction in proceeds from government grants and restricted cash.</w:t>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Other Information</w:t>
      </w: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information presented below updates, and should be read in conjunction with, the risks described under Item 3.D. “Key Information - Risk Factors,” in our Annual Report on From 20-F for the fiscal year ended December 31, 2021. Except as set forth below, there have been no material changes to the Company’s risk factors as disclosed in Item 3.D, “Key Information - Risk Factors,” in such Annual Report. These risks are not exclusive, and additional risks to which we are subject include, but are not limited to, the factors mentioned under “Forward-Looking Statements”.</w:t>
      </w:r>
    </w:p>
    <w:p>
      <w:pPr>
        <w:spacing w:after="0" w:line="200" w:lineRule="exact"/>
        <w:rPr>
          <w:sz w:val="20"/>
          <w:szCs w:val="20"/>
          <w:color w:val="auto"/>
        </w:rPr>
      </w:pPr>
    </w:p>
    <w:p>
      <w:pPr>
        <w:spacing w:after="0" w:line="23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unable to obtain adequate supplies of raw materials in a timely manner and at commercially reasonable prices our revenue and profitability may decline.</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42424"/>
        </w:rPr>
        <w:t xml:space="preserve">Our production operations require that we obtain adequate supplies of raw materials, such as silicon wafers, gases, chemicals and photoresist, on a timely` basis and at commercially reasonable prices, many of which are not commodities easily replaced with substitutions. In the past, shortages in the supply of some materials, whether by specific vendors or by the industry generally, have resulted in occasional industry-wide price adjustments and delivery delays. Moreover, major natural disasters, trade barriers and political or economic turmoil occurring within the country of origin of such raw materials may also significantly disrupt the availability of such raw materials or increase their prices. Further, since we procure some of our raw materials from sole-sourced suppliers, </w:t>
      </w:r>
      <w:r>
        <w:rPr>
          <w:rFonts w:ascii="Arial" w:cs="Arial" w:eastAsia="Arial" w:hAnsi="Arial"/>
          <w:sz w:val="16"/>
          <w:szCs w:val="16"/>
          <w:color w:val="000000"/>
        </w:rPr>
        <w:t>including raw materials that are significant to our production operations, there is a risk that our need for such raw materials may not be met or that</w:t>
      </w:r>
      <w:r>
        <w:rPr>
          <w:rFonts w:ascii="Arial" w:cs="Arial" w:eastAsia="Arial" w:hAnsi="Arial"/>
          <w:sz w:val="16"/>
          <w:szCs w:val="16"/>
          <w:color w:val="242424"/>
        </w:rPr>
        <w:t xml:space="preserve"> </w:t>
      </w:r>
      <w:r>
        <w:rPr>
          <w:rFonts w:ascii="Arial" w:cs="Arial" w:eastAsia="Arial" w:hAnsi="Arial"/>
          <w:sz w:val="16"/>
          <w:szCs w:val="16"/>
          <w:color w:val="000000"/>
        </w:rPr>
        <w:t>back-up supplies may not be readily available. In addition, recent trade tensions between the United States and China and the conflict in Ukraine have resulted in the price volatility and reduced the availability of raw materials, including rare earth metals and natural gases used in our products or in our production operations.. Tariffs, sanctions, export control or other non-tariff barriers, and other measures undertaken by state actors due to global or local economic conditions could also affect material cost and availability. If the availability of such raw materials is disrupted, manufacturing lines may be stopped or significantly disrupted, impacting our supply chain, which could materially and adversely affect our results of operations. From time to time, including recently, we are advised of shortages of raw materials that could impact our operations. In these instances, including currently, we seek alternative suppliers and substitute materials and work closely with our existing vendors to support their efforts to provide us with uninterrupted supply.</w:t>
      </w:r>
    </w:p>
    <w:p>
      <w:pPr>
        <w:spacing w:after="0" w:line="200" w:lineRule="exact"/>
        <w:rPr>
          <w:sz w:val="20"/>
          <w:szCs w:val="20"/>
          <w:color w:val="auto"/>
        </w:rPr>
      </w:pPr>
    </w:p>
    <w:p>
      <w:pPr>
        <w:spacing w:after="0" w:line="28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Certain raw materials and other inputs, such as electricity and water, necessary for our production operations may experience substantial price volatility in regions where we operate our fabs. Hedging transactions for many of those raw materials and other inputs are not available to us or are not available on terms we believe are commercially acceptable. Economic and financial hedges that we enter into with respect to certain inputs, such as electricity, or alternative energy supplies we may seek to secure, may not be effective to avoid disruptions to our manufacturing operations. Additionally, once our prices with a customer are negotiated, we are generally unable to revise pricing with that customer until our next regularly scheduled price adjustment. As a result, if market prices for essential components increase, we will often be unable to pass the price increases through to our customers for products purchased under an existing agreement. Consequently, we are exposed to the risks associated with the volatility of prices for these components and our cost of revenue could increase and our gross margins could decrease in the event of price increases. Recently, as a result of demand driven by the semiconductor supply shortage, the costs of raw wafers as well as certain other raw materials are relatively high. Failure to obtain adequate supplies could result in our being unable to meet commitments under our contracts with customers, which could expose us to substantial liquidated damages and other claims, which could materially and adversely affect our results of operations, financial condition, business and prospects.</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2022-11-22T15:40:43Z</dcterms:created>
  <dcterms:modified xsi:type="dcterms:W3CDTF">2022-11-22T15:40:43Z</dcterms:modified>
</cp:coreProperties>
</file>