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Dorchak Glenda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12020</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58.46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subject to a lock-up agreement that expires on May 10, 2026 that was entered into with the underwriters in connection with an offering of securities by the issuer's majority shareholder. The sale of shares is a permissible exemption under the terms of the lock-up agreement. The sale reported in this Form 4 was effected pursuant to a Rule 10b5-1 trading plan adopted by the reporting person prior to the offering.</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8620"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2026-04-22T11:41:13Z</dcterms:created>
  <dcterms:modified xsi:type="dcterms:W3CDTF">2026-04-22T11:41:13Z</dcterms:modified>
</cp:coreProperties>
</file>