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0001704268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GLOBALFOUNDRIES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001-40974</w:t>
      </w:r>
    </w:p>
    <w:p>
      <w:pPr>
        <w:spacing w:after="0" w:line="44" w:lineRule="exact"/>
        <w:rPr>
          <w:sz w:val="24"/>
          <w:szCs w:val="24"/>
          <w:color w:val="auto"/>
        </w:rPr>
      </w:pPr>
    </w:p>
    <w:p>
      <w:pPr>
        <w:ind w:right="1740"/>
        <w:spacing w:after="0" w:line="241" w:lineRule="auto"/>
        <w:rPr>
          <w:sz w:val="20"/>
          <w:szCs w:val="20"/>
          <w:color w:val="auto"/>
        </w:rPr>
      </w:pPr>
      <w:r>
        <w:rPr>
          <w:rFonts w:ascii="Times New Roman" w:cs="Times New Roman" w:eastAsia="Times New Roman" w:hAnsi="Times New Roman"/>
          <w:sz w:val="22"/>
          <w:szCs w:val="22"/>
          <w:color w:val="auto"/>
        </w:rPr>
        <w:t>400 Stonebreak Road Extension Malta</w:t>
      </w:r>
    </w:p>
    <w:p>
      <w:pPr>
        <w:spacing w:after="0" w:line="232" w:lineRule="auto"/>
        <w:rPr>
          <w:sz w:val="20"/>
          <w:szCs w:val="20"/>
          <w:color w:val="auto"/>
        </w:rPr>
      </w:pPr>
      <w:r>
        <w:rPr>
          <w:rFonts w:ascii="Times New Roman" w:cs="Times New Roman" w:eastAsia="Times New Roman" w:hAnsi="Times New Roman"/>
          <w:sz w:val="22"/>
          <w:szCs w:val="22"/>
          <w:color w:val="auto"/>
        </w:rPr>
        <w:t>NEW YORK</w:t>
      </w:r>
    </w:p>
    <w:p>
      <w:pPr>
        <w:spacing w:after="0"/>
        <w:rPr>
          <w:sz w:val="20"/>
          <w:szCs w:val="20"/>
          <w:color w:val="auto"/>
        </w:rPr>
      </w:pPr>
      <w:r>
        <w:rPr>
          <w:rFonts w:ascii="Times New Roman" w:cs="Times New Roman" w:eastAsia="Times New Roman" w:hAnsi="Times New Roman"/>
          <w:sz w:val="22"/>
          <w:szCs w:val="22"/>
          <w:color w:val="auto"/>
        </w:rPr>
        <w:t>12020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(518) 305-9013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Mubadala Technology Investment Company</w:t>
      </w:r>
    </w:p>
    <w:p>
      <w:pPr>
        <w:spacing w:after="0" w:line="56" w:lineRule="exact"/>
        <w:rPr>
          <w:sz w:val="24"/>
          <w:szCs w:val="24"/>
          <w:color w:val="auto"/>
        </w:rPr>
      </w:pPr>
    </w:p>
    <w:p>
      <w:pPr>
        <w:sectPr>
          <w:pgSz w:w="11900" w:h="16838" w:orient="portrait"/>
          <w:cols w:equalWidth="0" w:num="2">
            <w:col w:w="6000" w:space="720"/>
            <w:col w:w="4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&amp; Co.</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Ordinary shares, par value</w:t>
        <w:tab/>
        <w:t>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US$0.02 per share</w:t>
      </w:r>
      <w:r>
        <w:rPr>
          <w:sz w:val="20"/>
          <w:szCs w:val="20"/>
          <w:color w:val="auto"/>
        </w:rPr>
        <w:tab/>
      </w:r>
      <w:r>
        <w:rPr>
          <w:rFonts w:ascii="Times New Roman" w:cs="Times New Roman" w:eastAsia="Times New Roman" w:hAnsi="Times New Roman"/>
          <w:sz w:val="21"/>
          <w:szCs w:val="21"/>
          <w:color w:val="auto"/>
        </w:rPr>
        <w:t>1585 Broadway</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10036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w w:val="97"/>
              </w:rPr>
              <w:t>22000000</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1979120000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548416440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60" w:type="dxa"/>
            <w:vAlign w:val="bottom"/>
          </w:tcPr>
          <w:p>
            <w:pPr>
              <w:jc w:val="center"/>
              <w:ind w:right="183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60" w:type="dxa"/>
            <w:vAlign w:val="bottom"/>
          </w:tcPr>
          <w:p>
            <w:pPr>
              <w:jc w:val="center"/>
              <w:ind w:right="18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Ordinary</w:t>
            </w:r>
          </w:p>
        </w:tc>
        <w:tc>
          <w:tcPr>
            <w:tcW w:w="1120" w:type="dxa"/>
            <w:vAlign w:val="bottom"/>
          </w:tcPr>
          <w:p>
            <w:pPr>
              <w:spacing w:after="0"/>
              <w:rPr>
                <w:sz w:val="23"/>
                <w:szCs w:val="23"/>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2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See Nature of</w:t>
            </w:r>
          </w:p>
        </w:tc>
        <w:tc>
          <w:tcPr>
            <w:tcW w:w="0" w:type="dxa"/>
            <w:vAlign w:val="bottom"/>
          </w:tcPr>
          <w:p>
            <w:pPr>
              <w:spacing w:after="0"/>
              <w:rPr>
                <w:sz w:val="1"/>
                <w:szCs w:val="1"/>
                <w:color w:val="auto"/>
              </w:rPr>
            </w:pPr>
          </w:p>
        </w:tc>
      </w:tr>
      <w:tr>
        <w:trPr>
          <w:trHeight w:val="122"/>
        </w:trPr>
        <w:tc>
          <w:tcPr>
            <w:tcW w:w="13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 par</w:t>
            </w:r>
          </w:p>
        </w:tc>
        <w:tc>
          <w:tcPr>
            <w:tcW w:w="1120" w:type="dxa"/>
            <w:vAlign w:val="bottom"/>
          </w:tcPr>
          <w:p>
            <w:pPr>
              <w:spacing w:after="0"/>
              <w:rPr>
                <w:sz w:val="10"/>
                <w:szCs w:val="10"/>
                <w:color w:val="auto"/>
              </w:rPr>
            </w:pPr>
          </w:p>
        </w:tc>
        <w:tc>
          <w:tcPr>
            <w:tcW w:w="1560" w:type="dxa"/>
            <w:vAlign w:val="bottom"/>
            <w:vMerge w:val="restart"/>
          </w:tcPr>
          <w:p>
            <w:pPr>
              <w:ind w:left="20"/>
              <w:spacing w:after="0" w:line="243" w:lineRule="exact"/>
              <w:rPr>
                <w:sz w:val="20"/>
                <w:szCs w:val="20"/>
                <w:color w:val="auto"/>
              </w:rPr>
            </w:pPr>
            <w:r>
              <w:rPr>
                <w:rFonts w:ascii="Times New Roman" w:cs="Times New Roman" w:eastAsia="Times New Roman" w:hAnsi="Times New Roman"/>
                <w:sz w:val="22"/>
                <w:szCs w:val="22"/>
                <w:color w:val="auto"/>
              </w:rPr>
              <w:t>prior to the</w:t>
            </w:r>
          </w:p>
        </w:tc>
        <w:tc>
          <w:tcPr>
            <w:tcW w:w="148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80" w:type="dxa"/>
            <w:vAlign w:val="bottom"/>
            <w:vMerge w:val="continue"/>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10/27/2021</w:t>
            </w:r>
          </w:p>
        </w:tc>
        <w:tc>
          <w:tcPr>
            <w:tcW w:w="1560" w:type="dxa"/>
            <w:vAlign w:val="bottom"/>
            <w:vMerge w:val="continue"/>
          </w:tcPr>
          <w:p>
            <w:pPr>
              <w:spacing w:after="0"/>
              <w:rPr>
                <w:sz w:val="10"/>
                <w:szCs w:val="10"/>
                <w:color w:val="auto"/>
              </w:rPr>
            </w:pP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The Issuer</w:t>
            </w:r>
          </w:p>
        </w:tc>
        <w:tc>
          <w:tcPr>
            <w:tcW w:w="2760" w:type="dxa"/>
            <w:vAlign w:val="bottom"/>
            <w:vMerge w:val="restart"/>
          </w:tcPr>
          <w:p>
            <w:pPr>
              <w:jc w:val="right"/>
              <w:ind w:right="52"/>
              <w:spacing w:after="0"/>
              <w:rPr>
                <w:sz w:val="20"/>
                <w:szCs w:val="20"/>
                <w:color w:val="auto"/>
              </w:rPr>
            </w:pPr>
            <w:r>
              <w:rPr>
                <w:rFonts w:ascii="Times New Roman" w:cs="Times New Roman" w:eastAsia="Times New Roman" w:hAnsi="Times New Roman"/>
                <w:sz w:val="22"/>
                <w:szCs w:val="22"/>
                <w:color w:val="auto"/>
              </w:rPr>
              <w:t>378273074</w:t>
            </w:r>
          </w:p>
        </w:tc>
        <w:tc>
          <w:tcPr>
            <w:tcW w:w="240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10/27/2021 Acquisition</w:t>
            </w:r>
          </w:p>
        </w:tc>
        <w:tc>
          <w:tcPr>
            <w:tcW w:w="0" w:type="dxa"/>
            <w:vAlign w:val="bottom"/>
          </w:tcPr>
          <w:p>
            <w:pPr>
              <w:spacing w:after="0"/>
              <w:rPr>
                <w:sz w:val="1"/>
                <w:szCs w:val="1"/>
                <w:color w:val="auto"/>
              </w:rPr>
            </w:pPr>
          </w:p>
        </w:tc>
      </w:tr>
      <w:tr>
        <w:trPr>
          <w:trHeight w:val="216"/>
        </w:trPr>
        <w:tc>
          <w:tcPr>
            <w:tcW w:w="138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value US$0.02</w:t>
            </w:r>
          </w:p>
        </w:tc>
        <w:tc>
          <w:tcPr>
            <w:tcW w:w="1120" w:type="dxa"/>
            <w:vAlign w:val="bottom"/>
            <w:vMerge w:val="continue"/>
          </w:tcPr>
          <w:p>
            <w:pPr>
              <w:spacing w:after="0"/>
              <w:rPr>
                <w:sz w:val="18"/>
                <w:szCs w:val="18"/>
                <w:color w:val="auto"/>
              </w:rPr>
            </w:pPr>
          </w:p>
        </w:tc>
        <w:tc>
          <w:tcPr>
            <w:tcW w:w="15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Issuer's initial</w:t>
            </w:r>
          </w:p>
        </w:tc>
        <w:tc>
          <w:tcPr>
            <w:tcW w:w="1480" w:type="dxa"/>
            <w:vAlign w:val="bottom"/>
            <w:vMerge w:val="continue"/>
          </w:tcPr>
          <w:p>
            <w:pPr>
              <w:spacing w:after="0"/>
              <w:rPr>
                <w:sz w:val="18"/>
                <w:szCs w:val="18"/>
                <w:color w:val="auto"/>
              </w:rPr>
            </w:pPr>
          </w:p>
        </w:tc>
        <w:tc>
          <w:tcPr>
            <w:tcW w:w="2760" w:type="dxa"/>
            <w:vAlign w:val="bottom"/>
            <w:vMerge w:val="continue"/>
          </w:tcPr>
          <w:p>
            <w:pPr>
              <w:spacing w:after="0"/>
              <w:rPr>
                <w:sz w:val="18"/>
                <w:szCs w:val="18"/>
                <w:color w:val="auto"/>
              </w:rPr>
            </w:pPr>
          </w:p>
        </w:tc>
        <w:tc>
          <w:tcPr>
            <w:tcW w:w="2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per share</w:t>
            </w:r>
          </w:p>
        </w:tc>
        <w:tc>
          <w:tcPr>
            <w:tcW w:w="1120" w:type="dxa"/>
            <w:vAlign w:val="bottom"/>
          </w:tcPr>
          <w:p>
            <w:pPr>
              <w:spacing w:after="0"/>
              <w:rPr>
                <w:sz w:val="21"/>
                <w:szCs w:val="21"/>
                <w:color w:val="auto"/>
              </w:rPr>
            </w:pPr>
          </w:p>
        </w:tc>
        <w:tc>
          <w:tcPr>
            <w:tcW w:w="15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public offering</w:t>
            </w:r>
          </w:p>
        </w:tc>
        <w:tc>
          <w:tcPr>
            <w:tcW w:w="148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240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Transaction</w:t>
            </w:r>
          </w:p>
        </w:tc>
        <w:tc>
          <w:tcPr>
            <w:tcW w:w="0" w:type="dxa"/>
            <w:vAlign w:val="bottom"/>
          </w:tcPr>
          <w:p>
            <w:pPr>
              <w:spacing w:after="0"/>
              <w:rPr>
                <w:sz w:val="1"/>
                <w:szCs w:val="1"/>
                <w:color w:val="auto"/>
              </w:rPr>
            </w:pPr>
          </w:p>
        </w:tc>
      </w:tr>
      <w:tr>
        <w:trPr>
          <w:trHeight w:val="66"/>
        </w:trPr>
        <w:tc>
          <w:tcPr>
            <w:tcW w:w="138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48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Mubadala Technology Investment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Company</w:t>
      </w:r>
    </w:p>
    <w:p>
      <w:pPr>
        <w:ind w:left="40"/>
        <w:spacing w:after="0"/>
        <w:rPr>
          <w:sz w:val="20"/>
          <w:szCs w:val="20"/>
          <w:color w:val="auto"/>
        </w:rPr>
      </w:pPr>
      <w:r>
        <w:rPr>
          <w:rFonts w:ascii="Times New Roman" w:cs="Times New Roman" w:eastAsia="Times New Roman" w:hAnsi="Times New Roman"/>
          <w:sz w:val="21"/>
          <w:szCs w:val="21"/>
          <w:color w:val="auto"/>
        </w:rPr>
        <w:t>Maples Corporate Services Limited</w:t>
      </w:r>
    </w:p>
    <w:p>
      <w:pPr>
        <w:ind w:left="40"/>
        <w:spacing w:after="0" w:line="231" w:lineRule="auto"/>
        <w:rPr>
          <w:sz w:val="20"/>
          <w:szCs w:val="20"/>
          <w:color w:val="auto"/>
        </w:rPr>
      </w:pPr>
      <w:r>
        <w:rPr>
          <w:rFonts w:ascii="Times New Roman" w:cs="Times New Roman" w:eastAsia="Times New Roman" w:hAnsi="Times New Roman"/>
          <w:sz w:val="22"/>
          <w:szCs w:val="22"/>
          <w:color w:val="auto"/>
        </w:rPr>
        <w:t>PO Box 309, Ugland House</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Grand Cayman  E9  KY1-1104</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540" w:type="dxa"/>
            <w:vAlign w:val="bottom"/>
          </w:tcPr>
          <w:p>
            <w:pPr>
              <w:spacing w:after="0"/>
              <w:rPr>
                <w:sz w:val="22"/>
                <w:szCs w:val="2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1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40" w:type="dxa"/>
            <w:vAlign w:val="bottom"/>
            <w:vMerge w:val="continue"/>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7"/>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Ordinary shares, par value US$0.02 per</w:t>
            </w:r>
          </w:p>
        </w:tc>
        <w:tc>
          <w:tcPr>
            <w:tcW w:w="2380" w:type="dxa"/>
            <w:vAlign w:val="bottom"/>
            <w:gridSpan w:val="2"/>
          </w:tcPr>
          <w:p>
            <w:pPr>
              <w:jc w:val="right"/>
              <w:ind w:right="272"/>
              <w:spacing w:after="0"/>
              <w:rPr>
                <w:sz w:val="20"/>
                <w:szCs w:val="20"/>
                <w:color w:val="auto"/>
              </w:rPr>
            </w:pPr>
            <w:r>
              <w:rPr>
                <w:rFonts w:ascii="Times New Roman" w:cs="Times New Roman" w:eastAsia="Times New Roman" w:hAnsi="Times New Roman"/>
                <w:sz w:val="22"/>
                <w:szCs w:val="22"/>
                <w:color w:val="auto"/>
              </w:rPr>
              <w:t>03/13/2026 28813857</w:t>
            </w: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1176901989.17</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share</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64"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right="220"/>
        <w:spacing w:after="0" w:line="253" w:lineRule="auto"/>
        <w:rPr>
          <w:sz w:val="20"/>
          <w:szCs w:val="20"/>
          <w:color w:val="auto"/>
        </w:rPr>
      </w:pPr>
      <w:r>
        <w:rPr>
          <w:rFonts w:ascii="Times New Roman" w:cs="Times New Roman" w:eastAsia="Times New Roman" w:hAnsi="Times New Roman"/>
          <w:sz w:val="21"/>
          <w:szCs w:val="21"/>
          <w:color w:val="auto"/>
        </w:rPr>
        <w:t>The securities reported in Table II as sold in the past 3 months consist of shares sold pursuant to an effective registration statement and thus such sales are excluded from the volume limitation calculation, pursuant to Rule 144,</w:t>
      </w:r>
    </w:p>
    <w:p>
      <w:pPr>
        <w:spacing w:after="0" w:line="1" w:lineRule="exact"/>
        <w:rPr>
          <w:sz w:val="20"/>
          <w:szCs w:val="20"/>
          <w:color w:val="auto"/>
        </w:rPr>
      </w:pPr>
    </w:p>
    <w:p>
      <w:pPr>
        <w:ind w:left="940" w:right="40" w:hanging="899"/>
        <w:spacing w:after="0" w:line="278"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pursuant to Rule 144(e)(3)(vii). The securities transaction reported in Table II includes the exercise by the underwriters on April 10, 2026 of their option to purchase 1,469,017 additional ordinary shares. The shares proposed to be sold are owned directly by Mubadala Technology Investment Company, a wholly-owned subsidiary of Mubadala Investment Company PJSC.</w:t>
      </w:r>
    </w:p>
    <w:tbl>
      <w:tblPr>
        <w:tblLayout w:type="fixed"/>
        <w:tblInd w:w="40" w:type="dxa"/>
        <w:tblCellMar>
          <w:top w:w="0" w:type="dxa"/>
          <w:left w:w="0" w:type="dxa"/>
          <w:bottom w:w="0" w:type="dxa"/>
          <w:right w:w="0" w:type="dxa"/>
        </w:tblCellMar>
      </w:tblPr>
      <w:tr>
        <w:trPr>
          <w:trHeight w:val="246"/>
        </w:trPr>
        <w:tc>
          <w:tcPr>
            <w:tcW w:w="780" w:type="dxa"/>
            <w:vAlign w:val="bottom"/>
          </w:tcPr>
          <w:p>
            <w:pPr>
              <w:spacing w:after="0" w:line="246" w:lineRule="exact"/>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05/26/2026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Hernan Daniel Pellegrini</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2026-05-26T20:44:29Z</dcterms:created>
  <dcterms:modified xsi:type="dcterms:W3CDTF">2026-05-26T20:44:29Z</dcterms:modified>
</cp:coreProperties>
</file>