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September 14,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GLOBALFOUNDRIES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7088" w:type="dxa"/>
        <w:jc w:val="left"/>
        <w:tblInd w:w="0" w:type="dxa"/>
        <w:tblLayout w:type="fixed"/>
        <w:tblCellMar>
          <w:top w:w="28" w:type="dxa"/>
          <w:left w:w="28" w:type="dxa"/>
          <w:bottom w:w="28" w:type="dxa"/>
          <w:right w:w="28" w:type="dxa"/>
        </w:tblCellMar>
      </w:tblPr>
      <w:tblGrid>
        <w:gridCol w:w="857"/>
        <w:gridCol w:w="755"/>
        <w:gridCol w:w="758"/>
        <w:gridCol w:w="109"/>
        <w:gridCol w:w="109"/>
        <w:gridCol w:w="109"/>
        <w:gridCol w:w="747"/>
        <w:gridCol w:w="747"/>
        <w:gridCol w:w="755"/>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98-0604079</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(Primary Standard Industrial</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400 Stonebreak Road Extension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Malta, New York 12020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(518) 305-9013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GlobalFoundries Inc. 2021 Equity Compensation Plan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GlobalFoundries Inc. 2021 Employee Stock Purchase Plan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(Full title of the plan)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Corporation Service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251 Little Falls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Wilmington, DE 19808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927-9801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and telephone number, including area code, of agent for service)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i/>
          <w:color w:val="000000"/>
          <w:sz w:val="20"/>
        </w:rPr>
      </w:pPr>
      <w:r>
        <w:rPr>
          <w:rFonts w:ascii="Times New Roman;serif" w:hAnsi="Times New Roman;serif"/>
          <w:b/>
          <w:i/>
          <w:color w:val="000000"/>
          <w:sz w:val="20"/>
        </w:rPr>
        <w:t xml:space="preserve">Copies to: </w:t>
      </w:r>
    </w:p>
    <w:p>
      <w:pPr>
        <w:pStyle w:val="TextBody"/>
        <w:bidi w:val="0"/>
        <w:spacing w:lineRule="auto" w:line="288" w:before="0" w:after="0"/>
        <w:jc w:val="left"/>
        <w:rPr>
          <w:color w:val="000000"/>
        </w:rPr>
      </w:pPr>
      <w:r>
        <w:rPr>
          <w:color w:val="000000"/>
        </w:rPr>
        <w:t> </w:t>
      </w:r>
    </w:p>
    <w:tbl>
      <w:tblPr>
        <w:tblW w:w="3477" w:type="dxa"/>
        <w:jc w:val="left"/>
        <w:tblInd w:w="0" w:type="dxa"/>
        <w:tblLayout w:type="fixed"/>
        <w:tblCellMar>
          <w:top w:w="28" w:type="dxa"/>
          <w:left w:w="28" w:type="dxa"/>
          <w:bottom w:w="28" w:type="dxa"/>
          <w:right w:w="28" w:type="dxa"/>
        </w:tblCellMar>
      </w:tblPr>
      <w:tblGrid>
        <w:gridCol w:w="414"/>
        <w:gridCol w:w="364"/>
        <w:gridCol w:w="364"/>
        <w:gridCol w:w="364"/>
        <w:gridCol w:w="364"/>
        <w:gridCol w:w="364"/>
        <w:gridCol w:w="364"/>
        <w:gridCol w:w="364"/>
        <w:gridCol w:w="515"/>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Adam Fleisher, Esq.</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Michael J. Albano, Esq.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Shuangjun Wang, Esq.</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Cleary Gottlieb Steen &amp; Hamilton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Liberty Plaza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10006</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(212) 225-2000</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6021"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45"/>
        <w:gridCol w:w="145"/>
        <w:gridCol w:w="146"/>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OF ADDITIONAL SHARES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GENERAL INSTRUCTION E OF FORM S-8</w:t>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Pursuant to General Instruction E of Form S-8, GLOBALFOUNDRIES Inc., an exempted company incorporated in the Cayman Islands with limited liability (the “</w:t>
      </w:r>
      <w:r>
        <w:rPr>
          <w:rFonts w:ascii="Times New Roman;serif" w:hAnsi="Times New Roman;serif"/>
          <w:b/>
          <w:color w:val="000000"/>
          <w:sz w:val="20"/>
        </w:rPr>
        <w:t>Registrant</w:t>
      </w:r>
      <w:r>
        <w:rPr>
          <w:color w:val="000000"/>
        </w:rPr>
        <w:t>”</w:t>
      </w:r>
      <w:r>
        <w:rPr>
          <w:rFonts w:ascii="Times New Roman;serif" w:hAnsi="Times New Roman;serif"/>
          <w:b w:val="false"/>
          <w:color w:val="000000"/>
          <w:sz w:val="20"/>
        </w:rPr>
        <w:t>), is filing this Registration Statement with the Securities and Exchange Commission (the “</w:t>
      </w:r>
      <w:r>
        <w:rPr>
          <w:rFonts w:ascii="Times New Roman;serif" w:hAnsi="Times New Roman;serif"/>
          <w:b/>
          <w:color w:val="000000"/>
          <w:sz w:val="20"/>
        </w:rPr>
        <w:t>Commission</w:t>
      </w:r>
      <w:r>
        <w:rPr>
          <w:color w:val="000000"/>
        </w:rPr>
        <w:t>”</w:t>
      </w:r>
      <w:r>
        <w:rPr>
          <w:rFonts w:ascii="Times New Roman;serif" w:hAnsi="Times New Roman;serif"/>
          <w:b w:val="false"/>
          <w:color w:val="000000"/>
          <w:sz w:val="20"/>
        </w:rPr>
        <w:t>) to register (i) 14,151,525 ordinary shares of the Registrant, $0.02 par value per ordinary share, (the “</w:t>
      </w:r>
      <w:r>
        <w:rPr>
          <w:rFonts w:ascii="Times New Roman;serif" w:hAnsi="Times New Roman;serif"/>
          <w:b/>
          <w:color w:val="000000"/>
          <w:sz w:val="20"/>
        </w:rPr>
        <w:t>Ordinary Shares</w:t>
      </w:r>
      <w:r>
        <w:rPr>
          <w:color w:val="000000"/>
        </w:rPr>
        <w:t>”</w:t>
      </w:r>
      <w:r>
        <w:rPr>
          <w:rFonts w:ascii="Times New Roman;serif" w:hAnsi="Times New Roman;serif"/>
          <w:b w:val="false"/>
          <w:color w:val="000000"/>
          <w:sz w:val="20"/>
        </w:rPr>
        <w:t>) issuable to eligible employees, non-employee directors, consultants, and advisors of the Registrant under the GlobalFoundries Inc. 2021 Equity Compensation Plan (the “</w:t>
      </w:r>
      <w:r>
        <w:rPr>
          <w:rFonts w:ascii="Times New Roman;serif" w:hAnsi="Times New Roman;serif"/>
          <w:b/>
          <w:color w:val="000000"/>
          <w:sz w:val="20"/>
        </w:rPr>
        <w:t>Equity Compensation Plan</w:t>
      </w:r>
      <w:r>
        <w:rPr>
          <w:color w:val="000000"/>
        </w:rPr>
        <w:t>”</w:t>
      </w:r>
      <w:r>
        <w:rPr>
          <w:rFonts w:ascii="Times New Roman;serif" w:hAnsi="Times New Roman;serif"/>
          <w:b w:val="false"/>
          <w:color w:val="000000"/>
          <w:sz w:val="20"/>
        </w:rPr>
        <w:t>), which includes 11,724,176 Ordinary Shares that have been reserved for issuance pursuant to an annual “evergreen” increase provision of the Equity Compensation Plan providing for an automatic increase in the number of Ordinary Shares reserved for issuance under such plan and 2,427,349 Ordinary Shares previously issued or granted and subsequently forfeited or otherwise returned to the Registrant as of August 31, 2026 that have become available for issuance again under the Equity Compensation Plan since the 2025 Registration Statement in accordance with the share recycling provision of such plan; and (ii) 5,477,642 additional Ordinary Shares that have been reserved for issuance to eligible employees of the Registrant and its affiliates under the GlobalFoundries Inc. 2021 Employee Stock Purchase Plan (the “</w:t>
      </w:r>
      <w:r>
        <w:rPr>
          <w:rFonts w:ascii="Times New Roman;serif" w:hAnsi="Times New Roman;serif"/>
          <w:b/>
          <w:color w:val="000000"/>
          <w:sz w:val="20"/>
        </w:rPr>
        <w:t>Employee Stock Purchase Plan</w:t>
      </w:r>
      <w:r>
        <w:rPr>
          <w:color w:val="000000"/>
        </w:rPr>
        <w:t xml:space="preserve">” </w:t>
      </w:r>
      <w:r>
        <w:rPr>
          <w:rFonts w:ascii="Times New Roman;serif" w:hAnsi="Times New Roman;serif"/>
          <w:b w:val="false"/>
          <w:color w:val="000000"/>
          <w:sz w:val="20"/>
        </w:rPr>
        <w:t>and, together with the Equity Compensation Plan, the “</w:t>
      </w:r>
      <w:r>
        <w:rPr>
          <w:rFonts w:ascii="Times New Roman;serif" w:hAnsi="Times New Roman;serif"/>
          <w:b/>
          <w:color w:val="000000"/>
          <w:sz w:val="20"/>
        </w:rPr>
        <w:t>Plans</w:t>
      </w:r>
      <w:r>
        <w:rPr>
          <w:color w:val="000000"/>
        </w:rPr>
        <w:t>”</w:t>
      </w:r>
      <w:r>
        <w:rPr>
          <w:rFonts w:ascii="Times New Roman;serif" w:hAnsi="Times New Roman;serif"/>
          <w:b w:val="false"/>
          <w:color w:val="000000"/>
          <w:sz w:val="20"/>
        </w:rPr>
        <w:t>) pursuant to an annual “evergreen” provision of the Employee Stock Purchase Plan providing for an automatic increase in the number of Ordinary Shares reserved for issuance under such plan. The Registrant previously filed registration statements on Form S-8 filed with the Commission on November 2, 2021 (Registration No. 333-260674) (the “</w:t>
      </w:r>
      <w:r>
        <w:rPr>
          <w:rFonts w:ascii="Times New Roman;serif" w:hAnsi="Times New Roman;serif"/>
          <w:b/>
          <w:color w:val="000000"/>
          <w:sz w:val="20"/>
        </w:rPr>
        <w:t>2021 Registration Statement</w:t>
      </w:r>
      <w:r>
        <w:rPr>
          <w:color w:val="000000"/>
        </w:rPr>
        <w:t>”</w:t>
      </w:r>
      <w:r>
        <w:rPr>
          <w:rFonts w:ascii="Times New Roman;serif" w:hAnsi="Times New Roman;serif"/>
          <w:b w:val="false"/>
          <w:color w:val="000000"/>
          <w:sz w:val="20"/>
        </w:rPr>
        <w:t>) and on September 11, 2025 (Registration Statement No. 333-290196) (the “</w:t>
      </w:r>
      <w:r>
        <w:rPr>
          <w:rFonts w:ascii="Times New Roman;serif" w:hAnsi="Times New Roman;serif"/>
          <w:b/>
          <w:color w:val="000000"/>
          <w:sz w:val="20"/>
        </w:rPr>
        <w:t>2025 Registration Statement</w:t>
      </w:r>
      <w:r>
        <w:rPr>
          <w:color w:val="000000"/>
        </w:rPr>
        <w:t xml:space="preserve">” </w:t>
      </w:r>
      <w:r>
        <w:rPr>
          <w:rFonts w:ascii="Times New Roman;serif" w:hAnsi="Times New Roman;serif"/>
          <w:b w:val="false"/>
          <w:color w:val="000000"/>
          <w:sz w:val="20"/>
        </w:rPr>
        <w:t>and together with the 2021 Registration Statement, the “</w:t>
      </w:r>
      <w:r>
        <w:rPr>
          <w:rFonts w:ascii="Times New Roman;serif" w:hAnsi="Times New Roman;serif"/>
          <w:b/>
          <w:color w:val="000000"/>
          <w:sz w:val="20"/>
        </w:rPr>
        <w:t>Prior Registration Statements</w:t>
      </w:r>
      <w:r>
        <w:rPr>
          <w:color w:val="000000"/>
        </w:rPr>
        <w:t>”</w:t>
      </w:r>
      <w:r>
        <w:rPr>
          <w:rFonts w:ascii="Times New Roman;serif" w:hAnsi="Times New Roman;serif"/>
          <w:b w:val="false"/>
          <w:color w:val="000000"/>
          <w:sz w:val="20"/>
        </w:rPr>
        <w:t>) relating to the Ordinary Shares issuable under the Plans, which are currently effective. Pursuant to General Instruction E of Form S-8, the contents of the Prior Registration Statements relating to the Plans, including annual reports and other reports that the Registrant filed after the Prior Registration Statements to maintain current information about the Registrant, are incorporated herein by reference and made part of this Registration Statement, except to the extent supplemented, superseded or modified by the specific information set forth below and/or the specific exhibits attached hereto.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INFORMATION REQUIRED IN REGISTRATION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3. Incorporation of Documents by Reference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This Registration Statement incorporates by reference the documents listed below, as filed by the Registrant with the Commission pursuant to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In addition, any Report on Form 6-K of the Registrant hereafter furnished to the Commission pursuant to the Exchange Act shall be incorporated by reference into this Registration Statement if and to the extent provided in such document.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    The Registrant’s annual report on Form 20-F for the fiscal year ended December 31, 2025, filed with the Commission on February 27, 2026 (File No. 001-40974).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(b)    All other reports filed by the Registrant pursuant to Section 13(a) or 15(d) of the Exchange Act since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reports and other documents subsequently filed by the Registrant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reports and other documents. Except as provided in the last sentence of the first paragraph of the section of this Registration Statement entitled “Item 3. Incorporation of Documents by Reference”, nothing in this Registration Statement shall be deemed to incorporate any information provided in documents that is furnished (rather than filed) or is otherwise not deemed to be filed under applicable Commission rules.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5"/>
        <w:gridCol w:w="224"/>
        <w:gridCol w:w="227"/>
        <w:gridCol w:w="109"/>
        <w:gridCol w:w="3103"/>
        <w:gridCol w:w="2583"/>
        <w:gridCol w:w="370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 xml:space="preserve">Second Amended and Restated Memorandum and Articles of Association of the Registrant (incorporated by reference to Exhibit 4.1 to the Registrant’s Registration Statement on Form S-8 (File No. 333-260674) filed with the SEC on November 2, 2021).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51formsx8.htm">
              <w:r>
                <w:rPr>
                  <w:rStyle w:val="InternetLink"/>
                  <w:rFonts w:ascii="Times New Roman;serif" w:hAnsi="Times New Roman;serif"/>
                  <w:b w:val="false"/>
                  <w:color w:val="0000FF"/>
                  <w:sz w:val="20"/>
                  <w:u w:val="single"/>
                </w:rPr>
                <w:t>Opinion of Maples and Calder (Cayman) LLP</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xsx8.htm">
              <w:r>
                <w:rPr>
                  <w:rStyle w:val="InternetLink"/>
                  <w:rFonts w:ascii="Times New Roman;serif" w:hAnsi="Times New Roman;serif"/>
                  <w:b w:val="false"/>
                  <w:color w:val="0000FF"/>
                  <w:sz w:val="20"/>
                  <w:u w:val="single"/>
                </w:rPr>
                <w:t>Consent of PricewaterhouseCoopers LLP, Independent Registered Public Accounting Firm</w:t>
              </w:r>
            </w:hyperlink>
            <w:r>
              <w:rPr>
                <w:color w:val="000000"/>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2xsx8.htm">
              <w:r>
                <w:rPr>
                  <w:rStyle w:val="InternetLink"/>
                  <w:rFonts w:ascii="Times New Roman;serif" w:hAnsi="Times New Roman;serif"/>
                  <w:b w:val="false"/>
                  <w:color w:val="0000FF"/>
                  <w:sz w:val="20"/>
                  <w:u w:val="single"/>
                </w:rPr>
                <w:t>Consent of KPMG LLP, Independent Registered Public Accounting Firm</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51formsx8.htm">
              <w:r>
                <w:rPr>
                  <w:rStyle w:val="InternetLink"/>
                  <w:rFonts w:ascii="Times New Roman;serif" w:hAnsi="Times New Roman;serif"/>
                  <w:b w:val="false"/>
                  <w:color w:val="0000FF"/>
                  <w:sz w:val="20"/>
                  <w:u w:val="single"/>
                </w:rPr>
                <w:t>Consent of Maples and Calder (Cayman) LLP (included in Exhibit 5.1)</w:t>
              </w:r>
            </w:hyperlink>
            <w:r>
              <w:rPr>
                <w:color w:val="000000"/>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86e33f29f544f3921a0a101520e8ff_7">
              <w:r>
                <w:rPr>
                  <w:rStyle w:val="InternetLink"/>
                  <w:rFonts w:ascii="Times New Roman;serif" w:hAnsi="Times New Roman;serif"/>
                  <w:b w:val="false"/>
                  <w:color w:val="0000FF"/>
                  <w:sz w:val="20"/>
                  <w:u w:val="single"/>
                </w:rPr>
                <w:t xml:space="preserve">Power of Attorney (included on signature page)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 xml:space="preserve">GlobalFoundries Inc. 2021 Equity Compensation Plan (incorporated by reference to Exhibit 10.1 to the Registrant’s Registration Statement on Form F-1 (File No. 333-260003) filed with the SEC on October 4, 2021).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 xml:space="preserve">GlobalFoundries Inc. 2021 Employee Stock Purchase Plan (incorporated by reference to Exhibit 10.11 to the Registrant’s Registration Statement on Form F-1 (File No. 333-260003) filed with the SEC on October 4, 2021). </w:t>
              </w:r>
            </w:hyperlink>
          </w:p>
        </w:tc>
      </w:tr>
      <w:tr>
        <w:trPr/>
        <w:tc>
          <w:tcPr>
            <w:tcW w:w="81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gridSpan w:val="3"/>
            <w:tcBorders/>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jc w:val="left"/>
        <w:rPr>
          <w:color w:val="000000"/>
        </w:rPr>
      </w:pPr>
      <w:r>
        <w:rPr>
          <w:color w:val="000000"/>
        </w:rPr>
        <w:t> </w:t>
      </w:r>
    </w:p>
    <w:tbl>
      <w:tblPr>
        <w:tblW w:w="1752" w:type="dxa"/>
        <w:jc w:val="left"/>
        <w:tblInd w:w="0" w:type="dxa"/>
        <w:tblLayout w:type="fixed"/>
        <w:tblCellMar>
          <w:top w:w="28" w:type="dxa"/>
          <w:left w:w="28" w:type="dxa"/>
          <w:bottom w:w="28" w:type="dxa"/>
          <w:right w:w="28" w:type="dxa"/>
        </w:tblCellMar>
      </w:tblPr>
      <w:tblGrid>
        <w:gridCol w:w="124"/>
        <w:gridCol w:w="109"/>
        <w:gridCol w:w="109"/>
        <w:gridCol w:w="413"/>
        <w:gridCol w:w="413"/>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both"/>
        <w:rPr/>
      </w:pPr>
      <w:r>
        <w:rPr>
          <w:rFonts w:ascii="Times New Roman;serif" w:hAnsi="Times New Roman;serif"/>
          <w:b w:val="false"/>
          <w:color w:val="000000"/>
          <w:sz w:val="20"/>
        </w:rPr>
        <w:t>Pursuant to the requirements of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xml:space="preserve">), the registrant certifies that it has reasonable grounds to believe that it meets all of the requirements for filing on Form S-8 and has duly caused this Registration Statement to be signed on its behalf by the undersigned, thereunto duly authorized, in the city of Malta, New York, on September 14, 2026. </w:t>
      </w:r>
    </w:p>
    <w:p>
      <w:pPr>
        <w:pStyle w:val="TextBody"/>
        <w:bidi w:val="0"/>
        <w:spacing w:lineRule="auto" w:line="288" w:before="0" w:after="0"/>
        <w:jc w:val="left"/>
        <w:rPr>
          <w:color w:val="000000"/>
        </w:rPr>
      </w:pPr>
      <w:r>
        <w:rPr>
          <w:color w:val="000000"/>
        </w:rPr>
        <w:t> </w:t>
      </w:r>
    </w:p>
    <w:tbl>
      <w:tblPr>
        <w:tblW w:w="4100" w:type="dxa"/>
        <w:jc w:val="right"/>
        <w:tblInd w:w="0" w:type="dxa"/>
        <w:tblLayout w:type="fixed"/>
        <w:tblCellMar>
          <w:top w:w="28" w:type="dxa"/>
          <w:left w:w="28" w:type="dxa"/>
          <w:bottom w:w="28" w:type="dxa"/>
          <w:right w:w="28" w:type="dxa"/>
        </w:tblCellMar>
      </w:tblPr>
      <w:tblGrid>
        <w:gridCol w:w="295"/>
        <w:gridCol w:w="260"/>
        <w:gridCol w:w="260"/>
        <w:gridCol w:w="260"/>
        <w:gridCol w:w="260"/>
        <w:gridCol w:w="260"/>
        <w:gridCol w:w="731"/>
        <w:gridCol w:w="731"/>
        <w:gridCol w:w="1043"/>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GLOBALFOUNDRIES Inc.</w:t>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Sam Franklin</w:t>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person whose signature appears below hereby constitutes and appoints Mr. Tim Breen and Mr. Sam Franklin and each of them, individually, as his true and lawful attorneys-in-fact and agents, with full power of substitution and resubstitution, for him and in his name, place and stead in any and all capacities, in connection with this Registration Statement on Form S-8 and any or all amendments, including post-effective amendments to the Registration Statement and any registration statement for the same offering that is to be effective upon filing pursuant to Rule 462 under the Securities Act,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this registration statement has been signed below by the following persons in the capacities set forth below on September 14, 2026. </w:t>
      </w:r>
    </w:p>
    <w:p>
      <w:pPr>
        <w:pStyle w:val="TextBody"/>
        <w:bidi w:val="0"/>
        <w:spacing w:lineRule="auto" w:line="288"/>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46" w:type="dxa"/>
        <w:jc w:val="center"/>
        <w:tblInd w:w="0" w:type="dxa"/>
        <w:tblLayout w:type="fixed"/>
        <w:tblCellMar>
          <w:top w:w="28" w:type="dxa"/>
          <w:left w:w="28" w:type="dxa"/>
          <w:bottom w:w="28" w:type="dxa"/>
          <w:right w:w="28" w:type="dxa"/>
        </w:tblCellMar>
      </w:tblPr>
      <w:tblGrid>
        <w:gridCol w:w="906"/>
        <w:gridCol w:w="796"/>
        <w:gridCol w:w="803"/>
        <w:gridCol w:w="109"/>
        <w:gridCol w:w="109"/>
        <w:gridCol w:w="109"/>
        <w:gridCol w:w="2101"/>
        <w:gridCol w:w="2101"/>
        <w:gridCol w:w="3012"/>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Breen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principal executive officer and authorized representative in the United States)</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Tim Breen</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Sam Franklin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 Pedersen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Greg Pedersen</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Antaki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Marc Antaki</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Dr. Thomas Caulfield</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Glenda Dorchak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Glenda Dorchak</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Samer Halawa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Samer Halawa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Kerko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David Kerko</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Camilla Languille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Name: Camilla Languille</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Jack Lazar</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Ganesh Moorthy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Ganesh Moorthy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Obeid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Name: Carlos Obeid</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Bobby Yerramilli-Rao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Bobby Yerramilli-Rao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Calculation of Filing Fee Tables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S-8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Type)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GLOBALFOUNDRIES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p>
      <w:pPr>
        <w:pStyle w:val="TextBody"/>
        <w:bidi w:val="0"/>
        <w:spacing w:lineRule="auto" w:line="288" w:before="240" w:after="283"/>
        <w:jc w:val="center"/>
        <w:rPr/>
      </w:pPr>
      <w:r>
        <w:rPr>
          <w:rFonts w:ascii="Times New Roman;serif" w:hAnsi="Times New Roman;serif"/>
          <w:b w:val="false"/>
          <w:color w:val="000000"/>
          <w:sz w:val="20"/>
          <w:u w:val="single"/>
        </w:rPr>
        <w:t>Table 1: Newly Registered Securities</w:t>
      </w:r>
      <w:r>
        <w:rPr>
          <w:color w:val="000000"/>
        </w:rPr>
        <w:t> </w:t>
      </w:r>
    </w:p>
    <w:tbl>
      <w:tblPr>
        <w:tblW w:w="10205" w:type="dxa"/>
        <w:jc w:val="center"/>
        <w:tblInd w:w="0" w:type="dxa"/>
        <w:tblLayout w:type="fixed"/>
        <w:tblCellMar>
          <w:top w:w="28" w:type="dxa"/>
          <w:left w:w="28" w:type="dxa"/>
          <w:bottom w:w="28" w:type="dxa"/>
          <w:right w:w="28" w:type="dxa"/>
        </w:tblCellMar>
      </w:tblPr>
      <w:tblGrid>
        <w:gridCol w:w="239"/>
        <w:gridCol w:w="211"/>
        <w:gridCol w:w="213"/>
        <w:gridCol w:w="1013"/>
        <w:gridCol w:w="1013"/>
        <w:gridCol w:w="1022"/>
        <w:gridCol w:w="349"/>
        <w:gridCol w:w="349"/>
        <w:gridCol w:w="351"/>
        <w:gridCol w:w="305"/>
        <w:gridCol w:w="305"/>
        <w:gridCol w:w="306"/>
        <w:gridCol w:w="127"/>
        <w:gridCol w:w="127"/>
        <w:gridCol w:w="128"/>
        <w:gridCol w:w="230"/>
        <w:gridCol w:w="230"/>
        <w:gridCol w:w="231"/>
        <w:gridCol w:w="439"/>
        <w:gridCol w:w="439"/>
        <w:gridCol w:w="443"/>
        <w:gridCol w:w="319"/>
        <w:gridCol w:w="319"/>
        <w:gridCol w:w="323"/>
        <w:gridCol w:w="109"/>
        <w:gridCol w:w="320"/>
        <w:gridCol w:w="320"/>
        <w:gridCol w:w="425"/>
      </w:tblGrid>
      <w:tr>
        <w:trPr/>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op w:val="single" w:sz="8" w:space="0" w:color="000000"/>
              <w:left w:val="single" w:sz="8" w:space="0" w:color="000000"/>
            </w:tcBorders>
            <w:tcMar>
              <w:top w:w="30" w:type="dxa"/>
              <w:left w:w="7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Type</w:t>
            </w:r>
          </w:p>
        </w:tc>
        <w:tc>
          <w:tcPr>
            <w:tcW w:w="3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Class Title</w:t>
            </w:r>
          </w:p>
        </w:tc>
        <w:tc>
          <w:tcPr>
            <w:tcW w:w="1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Calculation Rule</w:t>
            </w:r>
          </w:p>
        </w:tc>
        <w:tc>
          <w:tcPr>
            <w:tcW w:w="1298"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4"/>
              </w:rPr>
              <w:t>Amount</w:t>
              <w:br/>
              <w:t>Registered</w:t>
            </w:r>
            <w:r>
              <w:rPr>
                <w:rFonts w:ascii="Times New Roman;serif" w:hAnsi="Times New Roman;serif"/>
                <w:b w:val="false"/>
                <w:color w:val="000000"/>
                <w:sz w:val="9"/>
              </w:rPr>
              <w:t>(1)</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4"/>
              </w:rPr>
              <w:t>Proposed</w:t>
              <w:br/>
              <w:t>Maximum</w:t>
              <w:br/>
              <w:t>Offering</w:t>
              <w:br/>
              <w:t>Price Per</w:t>
              <w:br/>
              <w:t>Unit</w:t>
            </w:r>
            <w:r>
              <w:rPr>
                <w:rFonts w:ascii="Times New Roman;serif" w:hAnsi="Times New Roman;serif"/>
                <w:b w:val="false"/>
                <w:color w:val="000000"/>
                <w:sz w:val="9"/>
              </w:rPr>
              <w:t>(3)</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Maximum Aggregate</w:t>
              <w:br/>
              <w:t>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Rate</w:t>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 of</w:t>
              <w:br/>
              <w:t>Registration Fee</w:t>
            </w:r>
          </w:p>
        </w:tc>
      </w:tr>
      <w:tr>
        <w:trPr/>
        <w:tc>
          <w:tcPr>
            <w:tcW w:w="663" w:type="dxa"/>
            <w:gridSpan w:val="3"/>
            <w:tcBorders>
              <w:top w:val="single" w:sz="8" w:space="0" w:color="000000"/>
              <w:left w:val="single" w:sz="8" w:space="0" w:color="000000"/>
            </w:tcBorders>
            <w:tcMar>
              <w:top w:w="30" w:type="dxa"/>
              <w:left w:w="7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3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Ordinary Shares, par value US$0.02 per share, reserved for future issuance under GlobalFoundries Inc. 2021 Equity Compensation Plan</w:t>
            </w:r>
          </w:p>
        </w:tc>
        <w:tc>
          <w:tcPr>
            <w:tcW w:w="1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ind w:left="0" w:right="0" w:hanging="17"/>
              <w:jc w:val="center"/>
              <w:rPr>
                <w:rFonts w:ascii="Times New Roman;serif" w:hAnsi="Times New Roman;serif"/>
                <w:b w:val="false"/>
                <w:color w:val="000000"/>
                <w:sz w:val="16"/>
              </w:rPr>
            </w:pPr>
            <w:r>
              <w:rPr>
                <w:rFonts w:ascii="Times New Roman;serif" w:hAnsi="Times New Roman;serif"/>
                <w:b w:val="false"/>
                <w:color w:val="000000"/>
                <w:sz w:val="16"/>
              </w:rPr>
              <w:t>Rule 457(c) and Rule 457(h)</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14,151,525</w:t>
            </w:r>
          </w:p>
        </w:tc>
        <w:tc>
          <w:tcPr>
            <w:tcW w:w="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9"/>
              </w:rPr>
            </w:pPr>
            <w:r>
              <w:rPr>
                <w:rFonts w:ascii="Times New Roman;serif" w:hAnsi="Times New Roman;serif"/>
                <w:b w:val="false"/>
                <w:color w:val="000000"/>
                <w:sz w:val="9"/>
              </w:rPr>
              <w:t>(2)</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$45.67</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$646,300,146.75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0.00013810</w:t>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$89,254.05</w:t>
            </w:r>
          </w:p>
        </w:tc>
      </w:tr>
      <w:tr>
        <w:trPr/>
        <w:tc>
          <w:tcPr>
            <w:tcW w:w="663" w:type="dxa"/>
            <w:gridSpan w:val="3"/>
            <w:tcBorders>
              <w:top w:val="single" w:sz="8" w:space="0" w:color="000000"/>
              <w:left w:val="single" w:sz="8" w:space="0" w:color="000000"/>
              <w:bottom w:val="single" w:sz="8" w:space="0" w:color="000000"/>
            </w:tcBorders>
            <w:tcMar>
              <w:top w:w="30" w:type="dxa"/>
              <w:left w:w="7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30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Ordinary Shares, par value US$0.02 per share, reserved for future issuance under the GlobalFoundries Inc. 2021 Employee Stock Purchase Plan</w:t>
            </w:r>
          </w:p>
        </w:tc>
        <w:tc>
          <w:tcPr>
            <w:tcW w:w="10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 457(c) and Rule 457(h)</w:t>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5,477,642</w:t>
            </w:r>
          </w:p>
        </w:tc>
        <w:tc>
          <w:tcPr>
            <w:tcW w:w="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9"/>
              </w:rPr>
            </w:pPr>
            <w:r>
              <w:rPr>
                <w:rFonts w:ascii="Times New Roman;serif" w:hAnsi="Times New Roman;serif"/>
                <w:b w:val="false"/>
                <w:color w:val="000000"/>
                <w:sz w:val="9"/>
              </w:rPr>
              <w:t>(4)</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$45.67</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$250,163,910.14</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0.00013810</w:t>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$34,547.64</w:t>
            </w:r>
          </w:p>
        </w:tc>
      </w:tr>
      <w:tr>
        <w:trPr/>
        <w:tc>
          <w:tcPr>
            <w:tcW w:w="6058" w:type="dxa"/>
            <w:gridSpan w:val="15"/>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$896,464,056.89</w:t>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$123,801.69</w:t>
            </w:r>
          </w:p>
        </w:tc>
      </w:tr>
      <w:tr>
        <w:trPr/>
        <w:tc>
          <w:tcPr>
            <w:tcW w:w="6058"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6058"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6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$123,801.69</w:t>
            </w:r>
          </w:p>
        </w:tc>
      </w:tr>
    </w:tbl>
    <w:p>
      <w:pPr>
        <w:pStyle w:val="TextBody"/>
        <w:bidi w:val="0"/>
        <w:spacing w:lineRule="auto" w:line="288"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Pursuant to Rule 416(a) of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this Registration Statement covers any additional ordinary shares of the Registrant, $0.02 par value per ordinary share (“</w:t>
            </w:r>
            <w:r>
              <w:rPr>
                <w:rFonts w:ascii="Times New Roman;serif" w:hAnsi="Times New Roman;serif"/>
                <w:b/>
                <w:color w:val="000000"/>
                <w:sz w:val="20"/>
              </w:rPr>
              <w:t>Ordinary Shares</w:t>
            </w:r>
            <w:r>
              <w:rPr>
                <w:color w:val="000000"/>
              </w:rPr>
              <w:t>”</w:t>
            </w:r>
            <w:r>
              <w:rPr>
                <w:rFonts w:ascii="Times New Roman;serif" w:hAnsi="Times New Roman;serif"/>
                <w:b w:val="false"/>
                <w:color w:val="000000"/>
                <w:sz w:val="20"/>
              </w:rPr>
              <w:t>) that become issuable under the Registrant’s 2021 Equity Compensation Plan (the “</w:t>
            </w:r>
            <w:r>
              <w:rPr>
                <w:rFonts w:ascii="Times New Roman;serif" w:hAnsi="Times New Roman;serif"/>
                <w:b/>
                <w:color w:val="000000"/>
                <w:sz w:val="20"/>
              </w:rPr>
              <w:t>2021 Plan</w:t>
            </w:r>
            <w:r>
              <w:rPr>
                <w:color w:val="000000"/>
              </w:rPr>
              <w:t>”</w:t>
            </w:r>
            <w:r>
              <w:rPr>
                <w:rFonts w:ascii="Times New Roman;serif" w:hAnsi="Times New Roman;serif"/>
                <w:b w:val="false"/>
                <w:color w:val="000000"/>
                <w:sz w:val="20"/>
              </w:rPr>
              <w:t>) and the Registrant’s Employee Stock Purchase Plan (the “</w:t>
            </w:r>
            <w:r>
              <w:rPr>
                <w:rFonts w:ascii="Times New Roman;serif" w:hAnsi="Times New Roman;serif"/>
                <w:b/>
                <w:color w:val="000000"/>
                <w:sz w:val="20"/>
              </w:rPr>
              <w:t>ESPP</w:t>
            </w:r>
            <w:r>
              <w:rPr>
                <w:color w:val="000000"/>
              </w:rPr>
              <w:t>”</w:t>
            </w:r>
            <w:r>
              <w:rPr>
                <w:rFonts w:ascii="Times New Roman;serif" w:hAnsi="Times New Roman;serif"/>
                <w:b w:val="false"/>
                <w:color w:val="000000"/>
                <w:sz w:val="20"/>
              </w:rPr>
              <w:t>) by reason of any stock dividend, stock split or other similar transaction effected without the Registrant’s receipt of consideration which results in an increase in the number of the outstanding Ordinary Shares.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11,724,176 Ordinary Shares that were automatically added to the shares authorized for issuance under the 2021 Plan pursuant to an annual “evergreen” increase provision contained in the 2021 Plan, and 2,427,349 Ordinary Shares that have become available for issuance again as of August 31, 2026 under the 2021 Plan in accordance with the share recycling provision of such plan.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solely for the purpose of calculating the registration fee pursuant to Rules 457(c) and 457(h) of the Securities Act, based on the average of the high and low prices per Ordinary Share of the Registrant as reported on the Nasdaq Stock Exchange on September 9, 2026, of $45.67.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5,477,642 additional Ordinary Shares that were automatically added to the shares authorized for issuance under the ESPP pursuant to an annual “evergreen” increase provision contained in the ESPP.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right"/>
        <w:rPr>
          <w:rFonts w:ascii="Arial;sans-serif" w:hAnsi="Arial;sans-serif"/>
          <w:b w:val="false"/>
          <w:color w:val="000000"/>
          <w:sz w:val="21"/>
        </w:rPr>
      </w:pPr>
      <w:r>
        <w:rPr>
          <w:rFonts w:ascii="Arial;sans-serif" w:hAnsi="Arial;sans-serif"/>
          <w:b w:val="false"/>
          <w:color w:val="000000"/>
          <w:sz w:val="21"/>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914400" cy="8572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5"/>
                    <a:stretch>
                      <a:fillRect/>
                    </a:stretch>
                  </pic:blipFill>
                  <pic:spPr bwMode="auto">
                    <a:xfrm>
                      <a:off x="0" y="0"/>
                      <a:ext cx="914400" cy="857250"/>
                    </a:xfrm>
                    <a:prstGeom prst="rect">
                      <a:avLst/>
                    </a:prstGeom>
                  </pic:spPr>
                </pic:pic>
              </a:graphicData>
            </a:graphic>
          </wp:inline>
        </w:drawing>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Our ref: DJT/646943-000001/89991506v2        </w:t>
      </w:r>
    </w:p>
    <w:p>
      <w:pPr>
        <w:pStyle w:val="TextBody"/>
        <w:bidi w:val="0"/>
        <w:spacing w:before="120" w:after="120"/>
        <w:jc w:val="both"/>
        <w:rPr/>
      </w:pPr>
      <w:r>
        <w:rPr/>
      </w:r>
    </w:p>
    <w:tbl>
      <w:tblPr>
        <w:tblW w:w="2774" w:type="dxa"/>
        <w:jc w:val="left"/>
        <w:tblInd w:w="0" w:type="dxa"/>
        <w:tblLayout w:type="fixed"/>
        <w:tblCellMar>
          <w:top w:w="28" w:type="dxa"/>
          <w:left w:w="28" w:type="dxa"/>
          <w:bottom w:w="28" w:type="dxa"/>
          <w:right w:w="28" w:type="dxa"/>
        </w:tblCellMar>
      </w:tblPr>
      <w:tblGrid>
        <w:gridCol w:w="888"/>
        <w:gridCol w:w="780"/>
        <w:gridCol w:w="1106"/>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GLOBALFOUNDRIES Inc.</w:t>
            </w:r>
          </w:p>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PO Box 309, Ugland House</w:t>
            </w:r>
          </w:p>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Grand Cayman, KY1-1104</w:t>
            </w:r>
          </w:p>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 xml:space="preserve">Cayman Islands </w:t>
            </w:r>
          </w:p>
        </w:tc>
      </w:tr>
    </w:tbl>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14 September 2026</w:t>
      </w:r>
    </w:p>
    <w:p>
      <w:pPr>
        <w:pStyle w:val="TextBody"/>
        <w:bidi w:val="0"/>
        <w:spacing w:lineRule="auto" w:line="288" w:before="120" w:after="120"/>
        <w:jc w:val="both"/>
        <w:rPr>
          <w:rFonts w:ascii="Arial;sans-serif" w:hAnsi="Arial;sans-serif"/>
          <w:b/>
          <w:color w:val="000000"/>
          <w:sz w:val="21"/>
        </w:rPr>
      </w:pPr>
      <w:r>
        <w:rPr>
          <w:rFonts w:ascii="Arial;sans-serif" w:hAnsi="Arial;sans-serif"/>
          <w:b/>
          <w:color w:val="000000"/>
          <w:sz w:val="21"/>
        </w:rPr>
        <w:t xml:space="preserve">GLOBALFOUNDRIES Inc. </w:t>
      </w:r>
    </w:p>
    <w:p>
      <w:pPr>
        <w:pStyle w:val="TextBody"/>
        <w:bidi w:val="0"/>
        <w:spacing w:lineRule="auto" w:line="288" w:before="120" w:after="120"/>
        <w:jc w:val="both"/>
        <w:rPr/>
      </w:pPr>
      <w:r>
        <w:rPr>
          <w:rFonts w:ascii="Arial;sans-serif" w:hAnsi="Arial;sans-serif"/>
          <w:b w:val="false"/>
          <w:color w:val="000000"/>
          <w:sz w:val="21"/>
        </w:rPr>
        <w:t>We have acted as Cayman Islands counsel to GLOBALFOUNDRIES Inc. (the "</w:t>
      </w:r>
      <w:r>
        <w:rPr>
          <w:rFonts w:ascii="Arial;sans-serif" w:hAnsi="Arial;sans-serif"/>
          <w:b/>
          <w:color w:val="000000"/>
          <w:sz w:val="21"/>
        </w:rPr>
        <w:t>Company</w:t>
      </w:r>
      <w:r>
        <w:rPr>
          <w:rFonts w:ascii="Arial;sans-serif" w:hAnsi="Arial;sans-serif"/>
          <w:b w:val="false"/>
          <w:color w:val="000000"/>
          <w:sz w:val="21"/>
        </w:rPr>
        <w:t xml:space="preserve">") </w:t>
      </w:r>
      <w:r>
        <w:rPr>
          <w:rFonts w:ascii="Arial;sans-serif" w:hAnsi="Arial;sans-serif"/>
          <w:b w:val="false"/>
          <w:color w:val="000000"/>
          <w:sz w:val="20"/>
        </w:rPr>
        <w:t>to provide this legal opinion in connection with the Company's registration statement on Form S-8, including all amendments or supplements thereto (the "</w:t>
      </w:r>
      <w:r>
        <w:rPr>
          <w:rFonts w:ascii="Arial;sans-serif" w:hAnsi="Arial;sans-serif"/>
          <w:b/>
          <w:color w:val="000000"/>
          <w:sz w:val="20"/>
        </w:rPr>
        <w:t>Form S-8</w:t>
      </w:r>
      <w:r>
        <w:rPr>
          <w:rFonts w:ascii="Arial;sans-serif" w:hAnsi="Arial;sans-serif"/>
          <w:b w:val="false"/>
          <w:color w:val="000000"/>
          <w:sz w:val="20"/>
        </w:rPr>
        <w:t>"), filed with the United States Securities and Exchange Commission (the "</w:t>
      </w:r>
      <w:r>
        <w:rPr>
          <w:rFonts w:ascii="Arial;sans-serif" w:hAnsi="Arial;sans-serif"/>
          <w:b/>
          <w:color w:val="000000"/>
          <w:sz w:val="20"/>
        </w:rPr>
        <w:t>Commission</w:t>
      </w:r>
      <w:r>
        <w:rPr>
          <w:rFonts w:ascii="Arial;sans-serif" w:hAnsi="Arial;sans-serif"/>
          <w:b w:val="false"/>
          <w:color w:val="000000"/>
          <w:sz w:val="20"/>
        </w:rPr>
        <w:t>") under the United States Securities Act of 1933, as amended (the "</w:t>
      </w:r>
      <w:r>
        <w:rPr>
          <w:rFonts w:ascii="Arial;sans-serif" w:hAnsi="Arial;sans-serif"/>
          <w:b/>
          <w:color w:val="000000"/>
          <w:sz w:val="20"/>
        </w:rPr>
        <w:t>Registration Statement</w:t>
      </w:r>
      <w:r>
        <w:rPr>
          <w:rFonts w:ascii="Arial;sans-serif" w:hAnsi="Arial;sans-serif"/>
          <w:b w:val="false"/>
          <w:color w:val="000000"/>
          <w:sz w:val="20"/>
        </w:rPr>
        <w:t xml:space="preserve">") relating to (i) </w:t>
      </w:r>
      <w:r>
        <w:rPr>
          <w:rFonts w:ascii="Arial;sans-serif" w:hAnsi="Arial;sans-serif"/>
          <w:b w:val="false"/>
          <w:color w:val="000000"/>
          <w:sz w:val="21"/>
        </w:rPr>
        <w:t>14,151,525</w:t>
      </w:r>
      <w:r>
        <w:rPr>
          <w:color w:val="000000"/>
        </w:rPr>
        <w:t xml:space="preserve"> </w:t>
      </w:r>
      <w:r>
        <w:rPr>
          <w:rFonts w:ascii="Arial;sans-serif" w:hAnsi="Arial;sans-serif"/>
          <w:b w:val="false"/>
          <w:color w:val="000000"/>
          <w:sz w:val="20"/>
        </w:rPr>
        <w:t>Ordinary Shares of the Company of a par value of US$0.02 each (the "</w:t>
      </w:r>
      <w:r>
        <w:rPr>
          <w:rFonts w:ascii="Arial;sans-serif" w:hAnsi="Arial;sans-serif"/>
          <w:b/>
          <w:color w:val="000000"/>
          <w:sz w:val="20"/>
        </w:rPr>
        <w:t>2021 Shares</w:t>
      </w:r>
      <w:r>
        <w:rPr>
          <w:rFonts w:ascii="Arial;sans-serif" w:hAnsi="Arial;sans-serif"/>
          <w:b w:val="false"/>
          <w:color w:val="000000"/>
          <w:sz w:val="20"/>
        </w:rPr>
        <w:t>") reserved for issuance pursuant to future awards under the Company's 2021 Equity Compensation Plan (the "</w:t>
      </w:r>
      <w:r>
        <w:rPr>
          <w:rFonts w:ascii="Arial;sans-serif" w:hAnsi="Arial;sans-serif"/>
          <w:b/>
          <w:color w:val="000000"/>
          <w:sz w:val="20"/>
        </w:rPr>
        <w:t>2021 Plan</w:t>
      </w:r>
      <w:r>
        <w:rPr>
          <w:rFonts w:ascii="Arial;sans-serif" w:hAnsi="Arial;sans-serif"/>
          <w:b w:val="false"/>
          <w:color w:val="000000"/>
          <w:sz w:val="20"/>
        </w:rPr>
        <w:t xml:space="preserve">"), which includes 11,724,176 Ordinary Shares that have been reserved for issuance pursuant to an annual “evergreen” increase provision of the 2021 Plan providing for an automatic increase in the number of Ordinary Shares reserved for issuance under such plan and </w:t>
      </w:r>
      <w:r>
        <w:rPr>
          <w:rFonts w:ascii="Arial;sans-serif" w:hAnsi="Arial;sans-serif"/>
          <w:b w:val="false"/>
          <w:color w:val="000000"/>
          <w:sz w:val="21"/>
        </w:rPr>
        <w:t>2,427,349</w:t>
      </w:r>
      <w:r>
        <w:rPr>
          <w:color w:val="000000"/>
        </w:rPr>
        <w:t xml:space="preserve"> </w:t>
      </w:r>
      <w:r>
        <w:rPr>
          <w:rFonts w:ascii="Arial;sans-serif" w:hAnsi="Arial;sans-serif"/>
          <w:b w:val="false"/>
          <w:color w:val="000000"/>
          <w:sz w:val="20"/>
        </w:rPr>
        <w:t xml:space="preserve">Ordinary Shares previously issued or granted and subsequently forfeited or otherwise returned to the Company that have become available for issuance again under the 2021 Plan in accordance with the share recycling provision of such plan; and (ii) </w:t>
      </w:r>
      <w:r>
        <w:rPr>
          <w:rFonts w:ascii="Arial;sans-serif" w:hAnsi="Arial;sans-serif"/>
          <w:b w:val="false"/>
          <w:color w:val="000000"/>
          <w:sz w:val="21"/>
        </w:rPr>
        <w:t>5,477,642</w:t>
      </w:r>
      <w:r>
        <w:rPr>
          <w:color w:val="000000"/>
        </w:rPr>
        <w:t xml:space="preserve"> </w:t>
      </w:r>
      <w:r>
        <w:rPr>
          <w:rFonts w:ascii="Arial;sans-serif" w:hAnsi="Arial;sans-serif"/>
          <w:b w:val="false"/>
          <w:color w:val="000000"/>
          <w:sz w:val="20"/>
        </w:rPr>
        <w:t>Ordinary Shares of the Company of a par value of US$0.02 each (the "</w:t>
      </w:r>
      <w:r>
        <w:rPr>
          <w:rFonts w:ascii="Arial;sans-serif" w:hAnsi="Arial;sans-serif"/>
          <w:b/>
          <w:color w:val="000000"/>
          <w:sz w:val="20"/>
        </w:rPr>
        <w:t>ESPP Shares</w:t>
      </w:r>
      <w:r>
        <w:rPr>
          <w:rFonts w:ascii="Arial;sans-serif" w:hAnsi="Arial;sans-serif"/>
          <w:b w:val="false"/>
          <w:color w:val="000000"/>
          <w:sz w:val="20"/>
        </w:rPr>
        <w:t>" and, together with the 2021 Shares, the "</w:t>
      </w:r>
      <w:r>
        <w:rPr>
          <w:rFonts w:ascii="Arial;sans-serif" w:hAnsi="Arial;sans-serif"/>
          <w:b/>
          <w:color w:val="000000"/>
          <w:sz w:val="20"/>
        </w:rPr>
        <w:t>Shares</w:t>
      </w:r>
      <w:r>
        <w:rPr>
          <w:rFonts w:ascii="Arial;sans-serif" w:hAnsi="Arial;sans-serif"/>
          <w:b w:val="false"/>
          <w:color w:val="000000"/>
          <w:sz w:val="20"/>
        </w:rPr>
        <w:t>"), to be issued under the Company's Employee Stock Purchase Plan (the "</w:t>
      </w:r>
      <w:r>
        <w:rPr>
          <w:rFonts w:ascii="Arial;sans-serif" w:hAnsi="Arial;sans-serif"/>
          <w:b/>
          <w:color w:val="000000"/>
          <w:sz w:val="20"/>
        </w:rPr>
        <w:t>ESPP</w:t>
      </w:r>
      <w:r>
        <w:rPr>
          <w:rFonts w:ascii="Arial;sans-serif" w:hAnsi="Arial;sans-serif"/>
          <w:b w:val="false"/>
          <w:color w:val="000000"/>
          <w:sz w:val="20"/>
        </w:rPr>
        <w:t>" and together with the 2021 Plan, the "</w:t>
      </w:r>
      <w:r>
        <w:rPr>
          <w:rFonts w:ascii="Arial;sans-serif" w:hAnsi="Arial;sans-serif"/>
          <w:b/>
          <w:color w:val="000000"/>
          <w:sz w:val="20"/>
        </w:rPr>
        <w:t>Plans</w:t>
      </w:r>
      <w:r>
        <w:rPr>
          <w:rFonts w:ascii="Arial;sans-serif" w:hAnsi="Arial;sans-serif"/>
          <w:b w:val="false"/>
          <w:color w:val="000000"/>
          <w:sz w:val="20"/>
        </w:rPr>
        <w:t>") pursuant to an annual "evergreen" provision of the ESPP providing for an automatic increase in the number of Ordinary Shares reserved for issuance under such plan.</w:t>
      </w:r>
    </w:p>
    <w:p>
      <w:pPr>
        <w:pStyle w:val="TextBody"/>
        <w:bidi w:val="0"/>
        <w:spacing w:lineRule="auto" w:line="240" w:before="240" w:after="120"/>
        <w:ind w:left="0" w:right="0" w:hanging="720"/>
        <w:jc w:val="both"/>
        <w:rPr>
          <w:rFonts w:ascii="Arial;sans-serif" w:hAnsi="Arial;sans-serif"/>
          <w:b/>
          <w:color w:val="000000"/>
          <w:sz w:val="22"/>
        </w:rPr>
      </w:pPr>
      <w:r>
        <w:rPr>
          <w:rFonts w:ascii="Arial;sans-serif" w:hAnsi="Arial;sans-serif"/>
          <w:b/>
          <w:color w:val="000000"/>
          <w:sz w:val="22"/>
        </w:rPr>
        <w:t>1Documents Reviewed</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We have reviewed originals, copies, drafts or conformed copies of the following documents, and such other documents as we deem necessary:</w:t>
      </w:r>
    </w:p>
    <w:p>
      <w:pPr>
        <w:pStyle w:val="TextBody"/>
        <w:bidi w:val="0"/>
        <w:spacing w:lineRule="auto" w:line="240" w:before="240" w:after="120"/>
        <w:ind w:left="0" w:right="0" w:hanging="720"/>
        <w:jc w:val="both"/>
        <w:rPr/>
      </w:pPr>
      <w:r>
        <w:rPr>
          <w:rFonts w:ascii="Arial;sans-serif" w:hAnsi="Arial;sans-serif"/>
          <w:b w:val="false"/>
          <w:color w:val="000000"/>
          <w:sz w:val="21"/>
        </w:rPr>
        <w:t>1.1The certificate of incorporation dated 7 October 2008, the certificate of incorporation on change of name dated 4 March 2009 and the amended and restated memorandum and articles of association of the Company as adopted by special resolution dated 19 October 2021 and effective 1 November 2021 (the "</w:t>
      </w:r>
      <w:r>
        <w:rPr>
          <w:rFonts w:ascii="Arial;sans-serif" w:hAnsi="Arial;sans-serif"/>
          <w:b/>
          <w:color w:val="000000"/>
          <w:sz w:val="21"/>
        </w:rPr>
        <w:t>Memorandum and Articles</w:t>
      </w:r>
      <w:r>
        <w:rPr>
          <w:rFonts w:ascii="Arial;sans-serif" w:hAnsi="Arial;sans-serif"/>
          <w:b w:val="false"/>
          <w:color w:val="000000"/>
          <w:sz w:val="21"/>
        </w:rPr>
        <w:t>").</w:t>
      </w:r>
    </w:p>
    <w:p>
      <w:pPr>
        <w:pStyle w:val="TextBody"/>
        <w:bidi w:val="0"/>
        <w:spacing w:lineRule="auto" w:line="240" w:before="240" w:after="120"/>
        <w:ind w:left="0" w:right="0" w:hanging="720"/>
        <w:jc w:val="both"/>
        <w:rPr/>
      </w:pPr>
      <w:r>
        <w:rPr>
          <w:rFonts w:ascii="Arial;sans-serif" w:hAnsi="Arial;sans-serif"/>
          <w:b w:val="false"/>
          <w:color w:val="000000"/>
          <w:sz w:val="21"/>
        </w:rPr>
        <w:t>1.2The minutes (the "</w:t>
      </w:r>
      <w:r>
        <w:rPr>
          <w:rFonts w:ascii="Arial;sans-serif" w:hAnsi="Arial;sans-serif"/>
          <w:b/>
          <w:color w:val="000000"/>
          <w:sz w:val="21"/>
        </w:rPr>
        <w:t>Minutes</w:t>
      </w:r>
      <w:r>
        <w:rPr>
          <w:rFonts w:ascii="Arial;sans-serif" w:hAnsi="Arial;sans-serif"/>
          <w:b w:val="false"/>
          <w:color w:val="000000"/>
          <w:sz w:val="21"/>
        </w:rPr>
        <w:t>") of the meetings of the board of directors of the Company held on 1 October 2021.</w:t>
      </w:r>
    </w:p>
    <w:p>
      <w:pPr>
        <w:pStyle w:val="TextBody"/>
        <w:bidi w:val="0"/>
        <w:spacing w:before="120" w:after="12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73125"/>
                <wp:effectExtent l="0" t="0" r="0" b="0"/>
                <wp:wrapNone/>
                <wp:docPr id="9" name="Frame8"/>
                <a:graphic xmlns:a="http://schemas.openxmlformats.org/drawingml/2006/main">
                  <a:graphicData uri="http://schemas.microsoft.com/office/word/2010/wordprocessingShape">
                    <wps:wsp>
                      <wps:cNvSpPr txBox="1"/>
                      <wps:spPr>
                        <a:xfrm>
                          <a:off x="0" y="0"/>
                          <a:ext cx="6480175" cy="873125"/>
                        </a:xfrm>
                        <a:prstGeom prst="rect"/>
                        <a:solidFill>
                          <a:srgbClr val="FFFFFF"/>
                        </a:solidFill>
                      </wps:spPr>
                      <wps:txbx>
                        <w:txbxContent>
                          <w:p>
                            <w:pPr>
                              <w:pStyle w:val="TextBody"/>
                              <w:bidi w:val="0"/>
                              <w:spacing w:before="240" w:after="120"/>
                              <w:jc w:val="both"/>
                              <w:rPr/>
                            </w:pPr>
                            <w:r>
                              <w:rPr/>
                              <w:drawing>
                                <wp:inline distT="0" distB="0" distL="0" distR="0">
                                  <wp:extent cx="6210300" cy="6572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6"/>
                                          <a:stretch>
                                            <a:fillRect/>
                                          </a:stretch>
                                        </pic:blipFill>
                                        <pic:spPr bwMode="auto">
                                          <a:xfrm>
                                            <a:off x="0" y="0"/>
                                            <a:ext cx="6210300" cy="6572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20"/>
                        <w:jc w:val="both"/>
                        <w:rPr/>
                      </w:pPr>
                      <w:r>
                        <w:rPr/>
                        <w:drawing>
                          <wp:inline distT="0" distB="0" distL="0" distR="0">
                            <wp:extent cx="6210300" cy="6572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7"/>
                                    <a:stretch>
                                      <a:fillRect/>
                                    </a:stretch>
                                  </pic:blipFill>
                                  <pic:spPr bwMode="auto">
                                    <a:xfrm>
                                      <a:off x="0" y="0"/>
                                      <a:ext cx="6210300" cy="657225"/>
                                    </a:xfrm>
                                    <a:prstGeom prst="rect">
                                      <a:avLst/>
                                    </a:prstGeom>
                                  </pic:spPr>
                                </pic:pic>
                              </a:graphicData>
                            </a:graphic>
                          </wp:inline>
                        </w:drawing>
                      </w:r>
                    </w:p>
                  </w:txbxContent>
                </v:textbox>
                <w10:wrap type="none"/>
              </v:rect>
            </w:pict>
          </mc:Fallback>
        </mc:AlternateConten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1.3The following corporate records of the Company maintained at its registered office in the Cayman Islands, each as at the date of this opinion letter:</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(a)register of directors and officers; and</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(b)register of mortgages and charges.</w:t>
      </w:r>
    </w:p>
    <w:p>
      <w:pPr>
        <w:pStyle w:val="TextBody"/>
        <w:bidi w:val="0"/>
        <w:spacing w:lineRule="auto" w:line="240" w:before="240" w:after="120"/>
        <w:ind w:left="0" w:right="0" w:hanging="720"/>
        <w:jc w:val="both"/>
        <w:rPr/>
      </w:pPr>
      <w:r>
        <w:rPr>
          <w:rFonts w:ascii="Arial;sans-serif" w:hAnsi="Arial;sans-serif"/>
          <w:b w:val="false"/>
          <w:color w:val="000000"/>
          <w:sz w:val="21"/>
        </w:rPr>
        <w:t>1.4A certificate of good standing with respect to the Company issued by the Registrar of Companies (the "</w:t>
      </w:r>
      <w:r>
        <w:rPr>
          <w:rFonts w:ascii="Arial;sans-serif" w:hAnsi="Arial;sans-serif"/>
          <w:b/>
          <w:color w:val="000000"/>
          <w:sz w:val="21"/>
        </w:rPr>
        <w:t>Certificate of Good Standing</w:t>
      </w:r>
      <w:r>
        <w:rPr>
          <w:rFonts w:ascii="Arial;sans-serif" w:hAnsi="Arial;sans-serif"/>
          <w:b w:val="false"/>
          <w:color w:val="000000"/>
          <w:sz w:val="21"/>
        </w:rPr>
        <w:t>") dated 3 September 2026.</w:t>
      </w:r>
    </w:p>
    <w:p>
      <w:pPr>
        <w:pStyle w:val="TextBody"/>
        <w:bidi w:val="0"/>
        <w:spacing w:lineRule="auto" w:line="240" w:before="240" w:after="120"/>
        <w:ind w:left="0" w:right="0" w:hanging="720"/>
        <w:jc w:val="both"/>
        <w:rPr/>
      </w:pPr>
      <w:r>
        <w:rPr>
          <w:rFonts w:ascii="Arial;sans-serif" w:hAnsi="Arial;sans-serif"/>
          <w:b w:val="false"/>
          <w:color w:val="000000"/>
          <w:sz w:val="21"/>
        </w:rPr>
        <w:t>1.5A certificate from a director of the Company a copy of which is attached to this opinion letter (the "</w:t>
      </w:r>
      <w:r>
        <w:rPr>
          <w:rFonts w:ascii="Arial;sans-serif" w:hAnsi="Arial;sans-serif"/>
          <w:b/>
          <w:color w:val="000000"/>
          <w:sz w:val="21"/>
        </w:rPr>
        <w:t>Director's Certificate</w:t>
      </w:r>
      <w:r>
        <w:rPr>
          <w:rFonts w:ascii="Arial;sans-serif" w:hAnsi="Arial;sans-serif"/>
          <w:b w:val="false"/>
          <w:color w:val="000000"/>
          <w:sz w:val="21"/>
        </w:rPr>
        <w: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1.6The Plans.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1.7The Registration Statement.</w:t>
      </w:r>
    </w:p>
    <w:p>
      <w:pPr>
        <w:pStyle w:val="TextBody"/>
        <w:bidi w:val="0"/>
        <w:spacing w:lineRule="auto" w:line="240" w:before="240" w:after="120"/>
        <w:ind w:left="0" w:right="0" w:hanging="720"/>
        <w:jc w:val="both"/>
        <w:rPr>
          <w:rFonts w:ascii="Arial;sans-serif" w:hAnsi="Arial;sans-serif"/>
          <w:b/>
          <w:color w:val="000000"/>
          <w:sz w:val="22"/>
        </w:rPr>
      </w:pPr>
      <w:r>
        <w:rPr>
          <w:rFonts w:ascii="Arial;sans-serif" w:hAnsi="Arial;sans-serif"/>
          <w:b/>
          <w:color w:val="000000"/>
          <w:sz w:val="22"/>
        </w:rPr>
        <w:t>2Assumptions</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2.1The Registration Statement and the Plans have been or will be authorised and duly executed and unconditionally delivered by or on behalf of all relevant parties in accordance with all relevant laws (other than, with respect to the Company, the laws of the Cayman Islands).</w:t>
      </w:r>
    </w:p>
    <w:p>
      <w:pPr>
        <w:pStyle w:val="TextBody"/>
        <w:bidi w:val="0"/>
        <w:spacing w:lineRule="auto" w:line="240" w:before="120" w:after="120"/>
        <w:ind w:left="0" w:right="0" w:hanging="720"/>
        <w:jc w:val="both"/>
        <w:rPr/>
      </w:pPr>
      <w:r>
        <w:rPr>
          <w:rFonts w:ascii="Arial;sans-serif" w:hAnsi="Arial;sans-serif"/>
          <w:b w:val="false"/>
          <w:color w:val="000000"/>
          <w:sz w:val="21"/>
        </w:rPr>
        <w:t>2.2The Registration Statement and the Plans are, or will be, legal, valid, binding and enforceable against all relevant parties in accordance with their terms under the laws of the State of Delaware (the "</w:t>
      </w:r>
      <w:r>
        <w:rPr>
          <w:rFonts w:ascii="Arial;sans-serif" w:hAnsi="Arial;sans-serif"/>
          <w:b/>
          <w:color w:val="000000"/>
          <w:sz w:val="21"/>
        </w:rPr>
        <w:t>Relevant Law</w:t>
      </w:r>
      <w:r>
        <w:rPr>
          <w:rFonts w:ascii="Arial;sans-serif" w:hAnsi="Arial;sans-serif"/>
          <w:b w:val="false"/>
          <w:color w:val="000000"/>
          <w:sz w:val="21"/>
        </w:rPr>
        <w:t>") and all other relevant laws (other than, with respect to the Company, the laws of the Cayman Islands).</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2.3The choice of the Relevant Law as the governing law of the Plans has been made in good faith and would be regarded as a valid and binding selection which will be upheld by the courts of the State of Delaware and any other relevant jurisdiction (other than the Cayman Islands) as a matter of the Relevant Law and all other relevant laws (other than the laws of the Cayman Islands).</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2.4Copies of documents, conformed copies or drafts of documents provided to us are true and complete copies of, or in the final forms of, the originals.</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2.5All signatures, initials and seals are genuine.</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2.6The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Registration Statement and the Plans.</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2.7No monies paid to or for the account of any party under the Registration Statement or the Plans or any property received or disposed of by any party to the Registration Statement or the Plans in each case in connection with the Registration Statement or the Plans or the consummation of the transactions contemplated thereby represent or will represent proceeds of criminal conduct or criminal property or terrorist property (as defined in the Proceeds of Crime Act (As Revised) and the Terrorism Act (As Revised), respectively).</w:t>
      </w:r>
    </w:p>
    <w:p>
      <w:pPr>
        <w:pStyle w:val="TextBody"/>
        <w:bidi w:val="0"/>
        <w:spacing w:before="12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2"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2</w:t>
                      </w:r>
                    </w:p>
                  </w:txbxContent>
                </v:textbox>
                <w10:wrap type="none"/>
              </v:rect>
            </w:pict>
          </mc:Fallback>
        </mc:AlternateConten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2.8There is nothing contained in the minute book or corporate records of the Company (which, other than the records set out in paragraphs 1.1, 1.2 and 1.3 of this opinion letter, we have not inspected) which would or might affect the opinions set out below.</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2.9There is nothing under any law (other than the laws of the Cayman Islands) which would or might affect the opinions set out below. Specifically, we have made no independent investigation of the Relevant Law.</w:t>
      </w:r>
    </w:p>
    <w:p>
      <w:pPr>
        <w:pStyle w:val="TextBody"/>
        <w:bidi w:val="0"/>
        <w:spacing w:lineRule="auto" w:line="240" w:before="120" w:after="120"/>
        <w:ind w:left="0" w:right="0" w:hanging="720"/>
        <w:jc w:val="both"/>
        <w:rPr/>
      </w:pPr>
      <w:r>
        <w:rPr>
          <w:rFonts w:ascii="Arial;sans-serif" w:hAnsi="Arial;sans-serif"/>
          <w:b w:val="false"/>
          <w:color w:val="000000"/>
          <w:sz w:val="21"/>
        </w:rPr>
        <w:t>2.10The Company has received, or will receive, money or money's worth (the "</w:t>
      </w:r>
      <w:r>
        <w:rPr>
          <w:rFonts w:ascii="Arial;sans-serif" w:hAnsi="Arial;sans-serif"/>
          <w:b/>
          <w:color w:val="000000"/>
          <w:sz w:val="21"/>
        </w:rPr>
        <w:t>Consideration</w:t>
      </w:r>
      <w:r>
        <w:rPr>
          <w:rFonts w:ascii="Arial;sans-serif" w:hAnsi="Arial;sans-serif"/>
          <w:b w:val="false"/>
          <w:color w:val="000000"/>
          <w:sz w:val="21"/>
        </w:rPr>
        <w:t>") in consideration for the issue of the Shares, and none of the Shares have, or will be, issued for less than par value.</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Save as aforesaid we have not been instructed to undertake and have not undertaken any further enquiry or due diligence in relation to the transaction the subject of this opinion.</w:t>
      </w:r>
    </w:p>
    <w:p>
      <w:pPr>
        <w:pStyle w:val="TextBody"/>
        <w:bidi w:val="0"/>
        <w:spacing w:lineRule="auto" w:line="240" w:before="120" w:after="120"/>
        <w:ind w:left="0" w:right="0" w:hanging="720"/>
        <w:jc w:val="both"/>
        <w:rPr>
          <w:rFonts w:ascii="Arial;sans-serif" w:hAnsi="Arial;sans-serif"/>
          <w:b/>
          <w:color w:val="000000"/>
          <w:sz w:val="22"/>
        </w:rPr>
      </w:pPr>
      <w:r>
        <w:rPr>
          <w:rFonts w:ascii="Arial;sans-serif" w:hAnsi="Arial;sans-serif"/>
          <w:b/>
          <w:color w:val="000000"/>
          <w:sz w:val="22"/>
        </w:rPr>
        <w:t>3Opinions</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Based upon, and subject to, the foregoing assumptions and the qualifications set out below, and having regard to such legal considerations as we deem relevant, we are of the opinion that the Shares to be offered and issued by the Company as contemplated by the Registration Statement and pursuant to the provisions of the Plans, have been duly authorised for issue, and when such Shares are issued by the Company in accordance with the Memorandum and Articles , the Registration Statement and pursuant to the provisions of the Plans for the consideration fixed thereto and duly registered in the Company's register of members (shareholders), will be validly issued and (assuming that all of the Consideration is received by the Company) will be fully paid and non-assessable.</w:t>
      </w:r>
    </w:p>
    <w:p>
      <w:pPr>
        <w:pStyle w:val="TextBody"/>
        <w:bidi w:val="0"/>
        <w:spacing w:lineRule="auto" w:line="240" w:before="120" w:after="120"/>
        <w:ind w:left="0" w:right="0" w:hanging="720"/>
        <w:jc w:val="both"/>
        <w:rPr>
          <w:rFonts w:ascii="Arial;sans-serif" w:hAnsi="Arial;sans-serif"/>
          <w:b/>
          <w:color w:val="000000"/>
          <w:sz w:val="22"/>
        </w:rPr>
      </w:pPr>
      <w:r>
        <w:rPr>
          <w:rFonts w:ascii="Arial;sans-serif" w:hAnsi="Arial;sans-serif"/>
          <w:b/>
          <w:color w:val="000000"/>
          <w:sz w:val="22"/>
        </w:rPr>
        <w:t>4Qualifications</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The opinions expressed above are subject to the following qualifications:</w:t>
      </w:r>
    </w:p>
    <w:p>
      <w:pPr>
        <w:pStyle w:val="TextBody"/>
        <w:bidi w:val="0"/>
        <w:spacing w:lineRule="auto" w:line="240" w:before="240" w:after="120"/>
        <w:ind w:left="0" w:right="0" w:hanging="720"/>
        <w:jc w:val="both"/>
        <w:rPr/>
      </w:pPr>
      <w:r>
        <w:rPr>
          <w:rFonts w:ascii="Arial;sans-serif" w:hAnsi="Arial;sans-serif"/>
          <w:b w:val="false"/>
          <w:color w:val="000000"/>
          <w:sz w:val="21"/>
        </w:rPr>
        <w:t xml:space="preserve">4.1Under Cayman Islands law, the register of members (shareholders) is </w:t>
      </w:r>
      <w:r>
        <w:rPr>
          <w:rFonts w:ascii="Arial;sans-serif" w:hAnsi="Arial;sans-serif"/>
          <w:b w:val="false"/>
          <w:i/>
          <w:color w:val="000000"/>
          <w:sz w:val="21"/>
        </w:rPr>
        <w:t>prima facie</w:t>
      </w:r>
      <w:r>
        <w:rPr>
          <w:color w:val="000000"/>
        </w:rPr>
        <w:t xml:space="preserve"> </w:t>
      </w:r>
      <w:r>
        <w:rPr>
          <w:rFonts w:ascii="Arial;sans-serif" w:hAnsi="Arial;sans-serif"/>
          <w:b w:val="false"/>
          <w:color w:val="000000"/>
          <w:sz w:val="21"/>
        </w:rPr>
        <w:t>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4.2In this opinion letter,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We hereby consent to the filing of this opinion as an exhibit to the Registration Statement. In providing our consent, we do not thereby admit that we are in the category of persons whose consent is required under Section 7 of the Act or the Rules and Regulations of the Commission thereunder.</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We express no view as to the commercial terms of the Registration Statement or the Plans or whether such terms represent the intentions of the parties and make no comment with regard to warranties or representations that may be made by the Company.</w:t>
      </w:r>
    </w:p>
    <w:p>
      <w:pPr>
        <w:pStyle w:val="TextBody"/>
        <w:bidi w:val="0"/>
        <w:spacing w:before="12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13" name="Frame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3</w:t>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The opinions in this opinion letter are strictly limited to the matters contained in the opinions section above and do not extend to any other matters. We have not been asked to review and we therefore have not reviewed any of the ancillary documents relating to the Plans and express no opinion or observation upon the terms of any such document.</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This opinion is addressed to you and may be relied upon by you and your counsel. This opinion is limited to the matters detailed herein and is not to be read as an opinion with respect to any other matter.</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Yours faithfully</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/s/ Maples and Calder (Cayman) LLP</w:t>
      </w:r>
    </w:p>
    <w:p>
      <w:pPr>
        <w:pStyle w:val="TextBody"/>
        <w:bidi w:val="0"/>
        <w:spacing w:before="120" w:after="120"/>
        <w:jc w:val="both"/>
        <w:rPr/>
      </w:pPr>
      <w:r>
        <w:rPr/>
      </w:r>
    </w:p>
    <w:p>
      <w:pPr>
        <w:pStyle w:val="TextBody"/>
        <w:bidi w:val="0"/>
        <w:spacing w:lineRule="auto" w:line="240" w:before="120" w:after="120"/>
        <w:jc w:val="both"/>
        <w:rPr>
          <w:rFonts w:ascii="Arial;sans-serif" w:hAnsi="Arial;sans-serif"/>
          <w:b w:val="false"/>
          <w:color w:val="000000"/>
          <w:sz w:val="21"/>
        </w:rPr>
      </w:pPr>
      <w:r>
        <w:rPr>
          <w:rFonts w:ascii="Arial;sans-serif" w:hAnsi="Arial;sans-serif"/>
          <w:b w:val="false"/>
          <w:color w:val="000000"/>
          <w:sz w:val="21"/>
        </w:rPr>
        <w:t>Maples and Calder (Cayman) LLP</w:t>
      </w:r>
    </w:p>
    <w:p>
      <w:pPr>
        <w:pStyle w:val="TextBody"/>
        <w:bidi w:val="0"/>
        <w:jc w:val="center"/>
        <w:rPr/>
      </w:pPr>
      <w:r>
        <w:rPr/>
      </w:r>
    </w:p>
    <w:p>
      <w:pPr>
        <w:pStyle w:val="TextBody"/>
        <w:bidi w:val="0"/>
        <w:spacing w:before="12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660"/>
                <wp:effectExtent l="0" t="0" r="0" b="0"/>
                <wp:wrapNone/>
                <wp:docPr id="14"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4</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GLOBALFOUNDRIES Inc.</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PO Box 309, Ugland House</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Grand Cayman</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KY1-1104</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Cayman Islands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14 September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To:    Maples and Calder (Cayman) LLP</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PO Box 309, Ugland House</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Grand Cayman</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KY1-1104</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Cayman Islands</w:t>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color w:val="000000"/>
          <w:sz w:val="21"/>
        </w:rPr>
        <w:t>GLOBALFOUNDRIES Inc.</w:t>
      </w:r>
      <w:r>
        <w:rPr>
          <w:color w:val="000000"/>
        </w:rPr>
        <w:t xml:space="preserve"> </w:t>
      </w:r>
      <w:r>
        <w:rPr>
          <w:rFonts w:ascii="Arial;sans-serif" w:hAnsi="Arial;sans-serif"/>
          <w:b w:val="false"/>
          <w:color w:val="000000"/>
          <w:sz w:val="21"/>
        </w:rPr>
        <w:t>(the "</w:t>
      </w:r>
      <w:r>
        <w:rPr>
          <w:rFonts w:ascii="Arial;sans-serif" w:hAnsi="Arial;sans-serif"/>
          <w:b/>
          <w:color w:val="000000"/>
          <w:sz w:val="21"/>
        </w:rPr>
        <w:t>Company</w:t>
      </w:r>
      <w:r>
        <w:rPr>
          <w:rFonts w:ascii="Arial;sans-serif" w:hAnsi="Arial;sans-serif"/>
          <w:b w:val="false"/>
          <w:color w:val="000000"/>
          <w:sz w:val="21"/>
        </w:rPr>
        <w:t>")</w:t>
      </w:r>
    </w:p>
    <w:p>
      <w:pPr>
        <w:pStyle w:val="TextBody"/>
        <w:bidi w:val="0"/>
        <w:spacing w:lineRule="auto" w:line="288" w:before="120" w:after="120"/>
        <w:jc w:val="both"/>
        <w:rPr/>
      </w:pPr>
      <w:r>
        <w:rPr>
          <w:rFonts w:ascii="Arial;sans-serif" w:hAnsi="Arial;sans-serif"/>
          <w:b w:val="false"/>
          <w:color w:val="000000"/>
          <w:sz w:val="21"/>
        </w:rPr>
        <w:t>I, the undersigned, being a director of the Company, am aware that you are being asked to provide an opinion letter (the "</w:t>
      </w:r>
      <w:r>
        <w:rPr>
          <w:rFonts w:ascii="Arial;sans-serif" w:hAnsi="Arial;sans-serif"/>
          <w:b/>
          <w:color w:val="000000"/>
          <w:sz w:val="21"/>
        </w:rPr>
        <w:t>Opinion</w:t>
      </w:r>
      <w:r>
        <w:rPr>
          <w:rFonts w:ascii="Arial;sans-serif" w:hAnsi="Arial;sans-serif"/>
          <w:b w:val="false"/>
          <w:color w:val="000000"/>
          <w:sz w:val="21"/>
        </w:rPr>
        <w:t>") in relation to certain aspects of Cayman Islands law. Unless otherwise defined herein, capitalised terms used in this certificate have the respective meanings given to them in the Opinion. I hereby certify that: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1The Memorandum and Articles remain in full force and effect and are unamended.</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2The Company has not entered into any mortgages or charges over its property or assets other than those entered in the register of mortgages and charges of the Company.</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3The Minutes are each a true and correct record of the proceedings of the relevant Meeting, which was duly convened and held, and at which a quorum was present throughout, in each case, in the manner prescribed in the Memorandum and Articles. The resolutions set out in the Minutes were duly adopted, are in full force and effect at the date hereof and have not been amended, varied or revoked in any respect.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4The authorised share capital of the Company is US$30,000,000 divided into (i) 1,300,000,000 Ordinary Shares of a nominal or par value of US$0.02 each, and (ii) 200,000,000 Preferred Shares of a nominal or par value of US$0.02 each.</w:t>
      </w:r>
    </w:p>
    <w:p>
      <w:pPr>
        <w:pStyle w:val="TextBody"/>
        <w:bidi w:val="0"/>
        <w:spacing w:lineRule="auto" w:line="240" w:before="240" w:after="120"/>
        <w:ind w:left="0" w:right="0" w:hanging="720"/>
        <w:jc w:val="both"/>
        <w:rPr/>
      </w:pPr>
      <w:r>
        <w:rPr>
          <w:rFonts w:ascii="Arial;sans-serif" w:hAnsi="Arial;sans-serif"/>
          <w:b w:val="false"/>
          <w:color w:val="000000"/>
          <w:sz w:val="21"/>
        </w:rPr>
        <w:t>5The shareholders of the Company (the "</w:t>
      </w:r>
      <w:r>
        <w:rPr>
          <w:rFonts w:ascii="Arial;sans-serif" w:hAnsi="Arial;sans-serif"/>
          <w:b/>
          <w:color w:val="000000"/>
          <w:sz w:val="21"/>
        </w:rPr>
        <w:t>Shareholders</w:t>
      </w:r>
      <w:r>
        <w:rPr>
          <w:rFonts w:ascii="Arial;sans-serif" w:hAnsi="Arial;sans-serif"/>
          <w:b w:val="false"/>
          <w:color w:val="000000"/>
          <w:sz w:val="21"/>
        </w:rPr>
        <w:t>") have not restricted the powers of the directors of the Company in any way (other than as set out in the Memorandum and Articles).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6There is no contractual or other prohibition (other than as arising under Cayman Islands law) binding on the Company prohibiting it from entering into and performing its obligations under the Plans.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7The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 xml:space="preserve">8Prior to, at the time of, and immediately following the approval of the transactions the subject of the Plans the Company was, or will be, able to pay its debts as they fell, or fall, due and has </w:t>
      </w:r>
    </w:p>
    <w:p>
      <w:pPr>
        <w:pStyle w:val="TextBody"/>
        <w:bidi w:val="0"/>
        <w:spacing w:before="12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660"/>
                <wp:effectExtent l="0" t="0" r="0" b="0"/>
                <wp:wrapNone/>
                <wp:docPr id="15"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5</w:t>
                      </w:r>
                    </w:p>
                  </w:txbxContent>
                </v:textbox>
                <w10:wrap type="none"/>
              </v:rect>
            </w:pict>
          </mc:Fallback>
        </mc:AlternateContent>
      </w:r>
    </w:p>
    <w:p>
      <w:pPr>
        <w:pStyle w:val="TextBody"/>
        <w:bidi w:val="0"/>
        <w:spacing w:lineRule="auto" w:line="240" w:before="240" w:after="120"/>
        <w:jc w:val="both"/>
        <w:rPr>
          <w:rFonts w:ascii="Arial;sans-serif" w:hAnsi="Arial;sans-serif"/>
          <w:b w:val="false"/>
          <w:color w:val="000000"/>
          <w:sz w:val="21"/>
        </w:rPr>
      </w:pPr>
      <w:r>
        <w:rPr>
          <w:rFonts w:ascii="Arial;sans-serif" w:hAnsi="Arial;sans-serif"/>
          <w:b w:val="false"/>
          <w:color w:val="000000"/>
          <w:sz w:val="21"/>
        </w:rPr>
        <w:t>entered, or will enter, into the transactions the subject of the Plans for proper value and not with an intention to defraud or wilfully defeat an obligation owed to any creditor or with a view to giving a creditor a preference.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9Each director of the Company considers the transactions contemplated by the Plans to be of commercial benefit to the Company and has acted in good faith in the best interests of the Company, and for a proper purpose of the Company, in relation to the transactions which are the subject of the Opinion.</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10To the best of my knowledge and belief, having made due inquiry, the Company is not the subject of material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11No invitation has been made or will be made by or on behalf of the Company to the public in the Cayman Islands to subscribe for any of the Shares.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12The Company is not a central bank, monetary authority or other sovereign entity of any state and is not a subsidiary, direct or indirect, of any sovereign entity or state.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13There is no contractual or other prohibition or restriction (other than as arising under Cayman Islands law) binding on the Company prohibiting or restricting it from entering into and performing its obligations under the Registration Statement.</w:t>
      </w:r>
    </w:p>
    <w:p>
      <w:pPr>
        <w:pStyle w:val="TextBody"/>
        <w:bidi w:val="0"/>
        <w:spacing w:lineRule="auto" w:line="240" w:before="240" w:after="120"/>
        <w:jc w:val="center"/>
        <w:rPr>
          <w:rFonts w:ascii="Arial;sans-serif" w:hAnsi="Arial;sans-serif"/>
          <w:b w:val="false"/>
          <w:color w:val="000000"/>
          <w:sz w:val="20"/>
        </w:rPr>
      </w:pPr>
      <w:r>
        <w:rPr>
          <w:rFonts w:ascii="Arial;sans-serif" w:hAnsi="Arial;sans-serif"/>
          <w:b w:val="false"/>
          <w:color w:val="000000"/>
          <w:sz w:val="20"/>
        </w:rPr>
        <w:t>(Signature Page follows)</w:t>
      </w:r>
    </w:p>
    <w:p>
      <w:pPr>
        <w:pStyle w:val="TextBody"/>
        <w:bidi w:val="0"/>
        <w:spacing w:before="12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660"/>
                <wp:effectExtent l="0" t="0" r="0" b="0"/>
                <wp:wrapNone/>
                <wp:docPr id="16" name="Frame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6</w:t>
                      </w:r>
                    </w:p>
                  </w:txbxContent>
                </v:textbox>
                <w10:wrap type="none"/>
              </v:rect>
            </w:pict>
          </mc:Fallback>
        </mc:AlternateContent>
      </w:r>
    </w:p>
    <w:p>
      <w:pPr>
        <w:pStyle w:val="TextBody"/>
        <w:bidi w:val="0"/>
        <w:spacing w:lineRule="auto" w:line="288" w:before="240" w:after="120"/>
        <w:jc w:val="both"/>
        <w:rPr>
          <w:rFonts w:ascii="Arial;sans-serif" w:hAnsi="Arial;sans-serif"/>
          <w:b w:val="false"/>
          <w:color w:val="000000"/>
          <w:sz w:val="21"/>
        </w:rPr>
      </w:pPr>
      <w:r>
        <w:rPr>
          <w:rFonts w:ascii="Arial;sans-serif" w:hAnsi="Arial;sans-serif"/>
          <w:b w:val="false"/>
          <w:color w:val="000000"/>
          <w:sz w:val="21"/>
        </w:rPr>
        <w:t>I confirm that you may continue to rely on this certificate as being true and correct on the day that you issue the Opinion unless I shall have previously notified you personally to the contrary.</w:t>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lineRule="auto" w:line="288" w:before="240" w:after="120"/>
        <w:jc w:val="both"/>
        <w:rPr/>
      </w:pPr>
      <w:r>
        <w:rPr>
          <w:rFonts w:ascii="Arial;sans-serif" w:hAnsi="Arial;sans-serif"/>
          <w:b w:val="false"/>
          <w:color w:val="000000"/>
          <w:sz w:val="21"/>
        </w:rPr>
        <w:t>Signature:    __</w:t>
      </w:r>
      <w:r>
        <w:rPr>
          <w:rFonts w:ascii="Arial;sans-serif" w:hAnsi="Arial;sans-serif"/>
          <w:b w:val="false"/>
          <w:color w:val="000000"/>
          <w:sz w:val="21"/>
          <w:u w:val="single"/>
        </w:rPr>
        <w:t>/s/ Tim Breen</w:t>
      </w:r>
      <w:r>
        <w:rPr>
          <w:rFonts w:ascii="Arial;sans-serif" w:hAnsi="Arial;sans-serif"/>
          <w:b w:val="false"/>
          <w:color w:val="000000"/>
          <w:sz w:val="21"/>
        </w:rPr>
        <w:t>____________________</w:t>
      </w:r>
    </w:p>
    <w:p>
      <w:pPr>
        <w:pStyle w:val="TextBody"/>
        <w:bidi w:val="0"/>
        <w:spacing w:lineRule="auto" w:line="288" w:before="240" w:after="120"/>
        <w:jc w:val="both"/>
        <w:rPr>
          <w:rFonts w:ascii="Arial;sans-serif" w:hAnsi="Arial;sans-serif"/>
          <w:b w:val="false"/>
          <w:color w:val="000000"/>
          <w:sz w:val="21"/>
        </w:rPr>
      </w:pPr>
      <w:r>
        <w:rPr>
          <w:rFonts w:ascii="Arial;sans-serif" w:hAnsi="Arial;sans-serif"/>
          <w:b w:val="false"/>
          <w:color w:val="000000"/>
          <w:sz w:val="21"/>
        </w:rPr>
        <w:t>Name:        Tim Breen</w:t>
      </w:r>
    </w:p>
    <w:p>
      <w:pPr>
        <w:pStyle w:val="TextBody"/>
        <w:bidi w:val="0"/>
        <w:spacing w:lineRule="auto" w:line="288" w:before="240" w:after="120"/>
        <w:jc w:val="both"/>
        <w:rPr>
          <w:rFonts w:ascii="Arial;sans-serif" w:hAnsi="Arial;sans-serif"/>
          <w:b w:val="false"/>
          <w:color w:val="000000"/>
          <w:sz w:val="21"/>
        </w:rPr>
      </w:pPr>
      <w:r>
        <w:rPr>
          <w:rFonts w:ascii="Arial;sans-serif" w:hAnsi="Arial;sans-serif"/>
          <w:b w:val="false"/>
          <w:color w:val="000000"/>
          <w:sz w:val="21"/>
        </w:rPr>
        <w:t>Title:        Director</w:t>
      </w:r>
    </w:p>
    <w:p>
      <w:pPr>
        <w:pStyle w:val="TextBody"/>
        <w:bidi w:val="0"/>
        <w:spacing w:before="12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Georgia;serif" w:hAnsi="Georgia;serif"/>
          <w:b w:val="false"/>
          <w:color w:val="000000"/>
          <w:sz w:val="22"/>
        </w:rPr>
      </w:pPr>
      <w:r>
        <w:rPr>
          <w:rFonts w:ascii="Georgia;serif" w:hAnsi="Georgia;serif"/>
          <w:b w:val="false"/>
          <w:color w:val="000000"/>
          <w:sz w:val="22"/>
        </w:rPr>
        <w:t>Exhibit 23.1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660"/>
                <wp:effectExtent l="0" t="0" r="0" b="0"/>
                <wp:wrapNone/>
                <wp:docPr id="17" name="Frame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23.9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rFonts w:ascii="Georgia;serif" w:hAnsi="Georgia;serif"/>
          <w:b w:val="false"/>
          <w:color w:val="000000"/>
          <w:sz w:val="20"/>
        </w:rPr>
      </w:pPr>
      <w:r>
        <w:rPr>
          <w:rFonts w:ascii="Georgia;serif" w:hAnsi="Georgia;serif"/>
          <w:b w:val="false"/>
          <w:color w:val="000000"/>
          <w:sz w:val="20"/>
        </w:rPr>
        <w:t>We hereby consent to the incorporation by reference in this Registration Statement on Form S-8 of GLOBALFOUNDRIES Inc. of our report dated February 27, 2026 relating to the financial statements and the effectiveness of internal control over financial reporting, which appears in GLOBALFOUNDRIES Inc.’s Annual Report on Form 20-F for the year ended December 31, 2025.</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88" w:before="93" w:after="283"/>
        <w:jc w:val="left"/>
        <w:rPr>
          <w:rFonts w:ascii="Georgia;serif" w:hAnsi="Georgia;serif"/>
          <w:b w:val="false"/>
          <w:color w:val="000000"/>
          <w:sz w:val="20"/>
        </w:rPr>
      </w:pPr>
      <w:r>
        <w:rPr>
          <w:rFonts w:ascii="Georgia;serif" w:hAnsi="Georgia;serif"/>
          <w:b w:val="false"/>
          <w:color w:val="000000"/>
          <w:sz w:val="20"/>
        </w:rPr>
        <w:t>/s/ PricewaterhouseCoopers LLP San Jose, California</w:t>
      </w:r>
    </w:p>
    <w:p>
      <w:pPr>
        <w:pStyle w:val="TextBody"/>
        <w:bidi w:val="0"/>
        <w:spacing w:lineRule="auto" w:line="288" w:before="2" w:after="283"/>
        <w:jc w:val="left"/>
        <w:rPr>
          <w:rFonts w:ascii="Georgia;serif" w:hAnsi="Georgia;serif"/>
          <w:b w:val="false"/>
          <w:color w:val="000000"/>
          <w:sz w:val="20"/>
        </w:rPr>
      </w:pPr>
      <w:r>
        <w:rPr>
          <w:rFonts w:ascii="Georgia;serif" w:hAnsi="Georgia;serif"/>
          <w:b w:val="false"/>
          <w:color w:val="000000"/>
          <w:sz w:val="20"/>
        </w:rPr>
        <w:t>September 14,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0" w:after="0"/>
        <w:jc w:val="right"/>
        <w:rPr>
          <w:rFonts w:ascii="Georgia;serif" w:hAnsi="Georgia;serif"/>
          <w:b w:val="false"/>
          <w:color w:val="000000"/>
          <w:sz w:val="22"/>
        </w:rPr>
      </w:pPr>
      <w:r>
        <w:rPr>
          <w:rFonts w:ascii="Georgia;serif" w:hAnsi="Georgia;serif"/>
          <w:b w:val="false"/>
          <w:color w:val="000000"/>
          <w:sz w:val="22"/>
        </w:rPr>
        <w:t>Exhibit 23.1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3.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9" w:after="283"/>
        <w:jc w:val="right"/>
        <w:rPr>
          <w:rFonts w:ascii="Georgia;serif" w:hAnsi="Georgia;serif"/>
          <w:b w:val="false"/>
          <w:color w:val="000000"/>
          <w:sz w:val="20"/>
        </w:rPr>
      </w:pPr>
      <w:r>
        <w:rPr>
          <w:rFonts w:ascii="Georgia;serif" w:hAnsi="Georgia;serif"/>
          <w:b w:val="false"/>
          <w:color w:val="000000"/>
          <w:sz w:val="20"/>
        </w:rPr>
        <w:t>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23.2</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157" w:after="283"/>
        <w:jc w:val="left"/>
        <w:rPr>
          <w:rFonts w:ascii="Arial;sans-serif" w:hAnsi="Arial;sans-serif"/>
          <w:b w:val="false"/>
          <w:color w:val="000000"/>
          <w:sz w:val="20"/>
        </w:rPr>
      </w:pPr>
      <w:r>
        <w:rPr>
          <w:rFonts w:ascii="Arial;sans-serif" w:hAnsi="Arial;sans-serif"/>
          <w:b w:val="false"/>
          <w:color w:val="000000"/>
          <w:sz w:val="20"/>
        </w:rPr>
        <w:t>We consent to the use of our report dated April 29, 2024, with respect to the consolidated financial statements of GLOBALFOUNDRIES Inc.,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/s/ KPMG LLP Singapore September 14, 2026</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9048/000119312521316296/d206275dex41.htm" TargetMode="External"/><Relationship Id="rId3" Type="http://schemas.openxmlformats.org/officeDocument/2006/relationships/hyperlink" Target="https://www.sec.gov/Archives/edgar/data/1709048/000119312521290644/d192411dex101.htm" TargetMode="External"/><Relationship Id="rId4" Type="http://schemas.openxmlformats.org/officeDocument/2006/relationships/hyperlink" Target="https://www.sec.gov/Archives/edgar/data/1709048/000119312521290644/d192411dex101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4423</Words>
  <Characters>23715</Characters>
  <CharactersWithSpaces>28012</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