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Hogan Michael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STONE BREAK ROAD EXTENSION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GLOBALFOUNDRIES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GFS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Business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MALTA</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12020</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4"/>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05/05/2026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500</w:t>
            </w:r>
            <w:r>
              <w:rPr>
                <w:rFonts w:ascii="Times New Roman" w:cs="Times New Roman" w:eastAsia="Times New Roman" w:hAnsi="Times New Roman"/>
                <w:sz w:val="11"/>
                <w:szCs w:val="11"/>
                <w:color w:val="008000"/>
                <w:w w:val="93"/>
              </w:rPr>
              <w:t>(1)</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15,395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subject to a lock-up agreement that expires on May 10, 2026 that was entered into with the underwriters in connection with an offering of securities by the issuer's majority shareholder. The sale of shares is a permissible exemption under the terms of the lock-up agreement. The sale reported in this Form 4 was effected pursuant to a Rule 10b5-1 trading plan adopted by the reporting person prior to the offering.</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Jeff Worth,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7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 for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15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20107" TargetMode="External"/><Relationship Id="rId14" Type="http://schemas.openxmlformats.org/officeDocument/2006/relationships/hyperlink" Target="http://www.sec.gov/cgi-bin/browse-edgar?action=getcompany&amp;CIK=00017090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2026-05-07T12:09:19Z</dcterms:created>
  <dcterms:modified xsi:type="dcterms:W3CDTF">2026-05-07T12:09:19Z</dcterms:modified>
</cp:coreProperties>
</file>