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jc w:val="center"/>
        <w:spacing w:after="0" w:line="199"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38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167" w:lineRule="exact"/>
        <w:rPr>
          <w:sz w:val="24"/>
          <w:szCs w:val="24"/>
          <w:color w:val="auto"/>
        </w:rPr>
      </w:pPr>
    </w:p>
    <w:p>
      <w:pPr>
        <w:ind w:left="420"/>
        <w:spacing w:after="0"/>
        <w:rPr>
          <w:sz w:val="20"/>
          <w:szCs w:val="20"/>
          <w:color w:val="auto"/>
        </w:rPr>
      </w:pPr>
      <w:r>
        <w:rPr>
          <w:rFonts w:ascii="Georgia" w:cs="Georgia" w:eastAsia="Georgia" w:hAnsi="Georgia"/>
          <w:sz w:val="22"/>
          <w:szCs w:val="22"/>
          <w:b w:val="1"/>
          <w:bCs w:val="1"/>
          <w:color w:val="auto"/>
        </w:rPr>
        <w:t>REPORT OF FOREIGN PRIVATE ISSUER PURSUANT TO RULE 13a-16 OR 15d-16 UNDER THE</w:t>
      </w:r>
    </w:p>
    <w:p>
      <w:pPr>
        <w:jc w:val="center"/>
        <w:spacing w:after="0" w:line="234" w:lineRule="auto"/>
        <w:rPr>
          <w:sz w:val="20"/>
          <w:szCs w:val="20"/>
          <w:color w:val="auto"/>
        </w:rPr>
      </w:pPr>
      <w:r>
        <w:rPr>
          <w:rFonts w:ascii="Georgia" w:cs="Georgia" w:eastAsia="Georgia" w:hAnsi="Georgia"/>
          <w:sz w:val="22"/>
          <w:szCs w:val="22"/>
          <w:b w:val="1"/>
          <w:bCs w:val="1"/>
          <w:color w:val="auto"/>
        </w:rPr>
        <w:t>SECURITIES EXCHANGE ACT OF 1934</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February 2023</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001-40974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GLOBALFOUNDRIES Inc.</w:t>
      </w:r>
    </w:p>
    <w:p>
      <w:pPr>
        <w:spacing w:after="0" w:line="18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400 Stonebreak Road Extension</w:t>
      </w:r>
    </w:p>
    <w:p>
      <w:pPr>
        <w:ind w:left="4980"/>
        <w:spacing w:after="0" w:line="210" w:lineRule="auto"/>
        <w:rPr>
          <w:sz w:val="20"/>
          <w:szCs w:val="20"/>
          <w:color w:val="auto"/>
        </w:rPr>
      </w:pPr>
      <w:r>
        <w:rPr>
          <w:rFonts w:ascii="Times New Roman" w:cs="Times New Roman" w:eastAsia="Times New Roman" w:hAnsi="Times New Roman"/>
          <w:sz w:val="18"/>
          <w:szCs w:val="18"/>
          <w:b w:val="1"/>
          <w:bCs w:val="1"/>
          <w:color w:val="auto"/>
        </w:rPr>
        <w:t>Malta, NY 12020</w:t>
      </w: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5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49" w:lineRule="exact"/>
        <w:rPr>
          <w:sz w:val="24"/>
          <w:szCs w:val="24"/>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Attached hereto is the following exhibit.</w:t>
      </w:r>
    </w:p>
    <w:p>
      <w:pPr>
        <w:spacing w:after="0" w:line="52" w:lineRule="exact"/>
        <w:rPr>
          <w:sz w:val="24"/>
          <w:szCs w:val="24"/>
          <w:color w:val="auto"/>
        </w:rPr>
      </w:pPr>
    </w:p>
    <w:p>
      <w:pPr>
        <w:ind w:left="20"/>
        <w:spacing w:after="0"/>
        <w:tabs>
          <w:tab w:leader="none" w:pos="2000" w:val="left"/>
        </w:tabs>
        <w:rPr>
          <w:sz w:val="20"/>
          <w:szCs w:val="20"/>
          <w:color w:val="auto"/>
        </w:rPr>
      </w:pPr>
      <w:r>
        <w:rPr>
          <w:rFonts w:ascii="Times New Roman" w:cs="Times New Roman" w:eastAsia="Times New Roman" w:hAnsi="Times New Roman"/>
          <w:sz w:val="35"/>
          <w:szCs w:val="35"/>
          <w:u w:val="single" w:color="auto"/>
          <w:color w:val="0000FF"/>
          <w:vertAlign w:val="subscript"/>
        </w:rPr>
        <w:t>Exhibit 99.1</w:t>
      </w:r>
      <w:r>
        <w:rPr>
          <w:sz w:val="20"/>
          <w:szCs w:val="20"/>
          <w:color w:val="auto"/>
        </w:rPr>
        <w:tab/>
      </w:r>
      <w:r>
        <w:rPr>
          <w:rFonts w:ascii="Times New Roman" w:cs="Times New Roman" w:eastAsia="Times New Roman" w:hAnsi="Times New Roman"/>
          <w:sz w:val="17"/>
          <w:szCs w:val="17"/>
          <w:u w:val="single" w:color="auto"/>
          <w:color w:val="0000FF"/>
        </w:rPr>
        <w:t>Press release issued by Registrant on February 14, 2023.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4"/>
          <w:szCs w:val="24"/>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1440" w:right="339" w:bottom="1440" w:gutter="0" w:footer="0" w:header="0"/>
        </w:sectPr>
      </w:pPr>
    </w:p>
    <w:bookmarkStart w:id="1" w:name="page2"/>
    <w:bookmarkEnd w:id="1"/>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74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GLOBALFOUNDRIES Inc.</w:t>
            </w:r>
          </w:p>
        </w:tc>
      </w:tr>
      <w:tr>
        <w:trPr>
          <w:trHeight w:val="55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2023</w:t>
            </w:r>
          </w:p>
        </w:tc>
        <w:tc>
          <w:tcPr>
            <w:tcW w:w="27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Thomas Caulfield</w:t>
            </w:r>
          </w:p>
        </w:tc>
      </w:tr>
      <w:tr>
        <w:trPr>
          <w:trHeight w:val="40"/>
        </w:trPr>
        <w:tc>
          <w:tcPr>
            <w:tcW w:w="3380" w:type="dxa"/>
            <w:vAlign w:val="bottom"/>
          </w:tcPr>
          <w:p>
            <w:pPr>
              <w:spacing w:after="0"/>
              <w:rPr>
                <w:sz w:val="3"/>
                <w:szCs w:val="3"/>
                <w:color w:val="auto"/>
              </w:rPr>
            </w:pPr>
          </w:p>
        </w:tc>
        <w:tc>
          <w:tcPr>
            <w:tcW w:w="2740" w:type="dxa"/>
            <w:vAlign w:val="bottom"/>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37"/>
        </w:trPr>
        <w:tc>
          <w:tcPr>
            <w:tcW w:w="3380" w:type="dxa"/>
            <w:vAlign w:val="bottom"/>
          </w:tcPr>
          <w:p>
            <w:pPr>
              <w:spacing w:after="0"/>
              <w:rPr>
                <w:sz w:val="20"/>
                <w:szCs w:val="20"/>
                <w:color w:val="auto"/>
              </w:rPr>
            </w:pPr>
          </w:p>
        </w:tc>
        <w:tc>
          <w:tcPr>
            <w:tcW w:w="27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Thomas Caulfield</w:t>
            </w:r>
          </w:p>
        </w:tc>
      </w:tr>
      <w:tr>
        <w:trPr>
          <w:trHeight w:val="283"/>
        </w:trPr>
        <w:tc>
          <w:tcPr>
            <w:tcW w:w="3380" w:type="dxa"/>
            <w:vAlign w:val="bottom"/>
          </w:tcPr>
          <w:p>
            <w:pPr>
              <w:spacing w:after="0"/>
              <w:rPr>
                <w:sz w:val="24"/>
                <w:szCs w:val="24"/>
                <w:color w:val="auto"/>
              </w:rPr>
            </w:pPr>
          </w:p>
        </w:tc>
        <w:tc>
          <w:tcPr>
            <w:tcW w:w="27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ectPr>
          <w:pgSz w:w="11900" w:h="16838" w:orient="portrait"/>
          <w:cols w:equalWidth="0" w:num="1">
            <w:col w:w="11120"/>
          </w:cols>
          <w:pgMar w:left="340" w:top="1440" w:right="439" w:bottom="1440" w:gutter="0" w:footer="0" w:header="0"/>
        </w:sectPr>
      </w:pPr>
    </w:p>
    <w:bookmarkStart w:id="2" w:name="page3"/>
    <w:bookmarkEnd w:id="2"/>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GlobalFoundries Reports Fourth Quarter and Fiscal Year 2022 Financial Results</w:t>
      </w:r>
    </w:p>
    <w:p>
      <w:pPr>
        <w:jc w:val="center"/>
        <w:spacing w:after="0"/>
        <w:rPr>
          <w:sz w:val="20"/>
          <w:szCs w:val="20"/>
          <w:color w:val="auto"/>
        </w:rPr>
      </w:pPr>
      <w:r>
        <w:rPr>
          <w:rFonts w:ascii="Arial" w:cs="Arial" w:eastAsia="Arial" w:hAnsi="Arial"/>
          <w:sz w:val="22"/>
          <w:szCs w:val="22"/>
          <w:i w:val="1"/>
          <w:iCs w:val="1"/>
          <w:color w:val="auto"/>
        </w:rPr>
        <w:t>Record Revenue, Gross Margin, Adjusted EBITDA, and Net Income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356" w:lineRule="auto"/>
        <w:rPr>
          <w:sz w:val="20"/>
          <w:szCs w:val="20"/>
          <w:color w:val="auto"/>
        </w:rPr>
      </w:pPr>
      <w:r>
        <w:rPr>
          <w:rFonts w:ascii="Arial" w:cs="Arial" w:eastAsia="Arial" w:hAnsi="Arial"/>
          <w:sz w:val="16"/>
          <w:szCs w:val="16"/>
          <w:b w:val="1"/>
          <w:bCs w:val="1"/>
          <w:color w:val="auto"/>
        </w:rPr>
        <w:t>Malta, New York</w:t>
      </w:r>
      <w:r>
        <w:rPr>
          <w:rFonts w:ascii="Arial" w:cs="Arial" w:eastAsia="Arial" w:hAnsi="Arial"/>
          <w:sz w:val="16"/>
          <w:szCs w:val="16"/>
          <w:color w:val="auto"/>
        </w:rPr>
        <w:t>, February 14, 2023 - GlobalFoundries Inc. (GF) (Nasdaq: GFS) today announced preliminary financial results for the fourth quarter and</w:t>
      </w:r>
      <w:r>
        <w:rPr>
          <w:rFonts w:ascii="Arial" w:cs="Arial" w:eastAsia="Arial" w:hAnsi="Arial"/>
          <w:sz w:val="16"/>
          <w:szCs w:val="16"/>
          <w:b w:val="1"/>
          <w:bCs w:val="1"/>
          <w:color w:val="auto"/>
        </w:rPr>
        <w:t xml:space="preserve"> </w:t>
      </w:r>
      <w:r>
        <w:rPr>
          <w:rFonts w:ascii="Arial" w:cs="Arial" w:eastAsia="Arial" w:hAnsi="Arial"/>
          <w:sz w:val="16"/>
          <w:szCs w:val="16"/>
          <w:color w:val="auto"/>
        </w:rPr>
        <w:t>fiscal year ended December 31, 2022.</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Fourth Quarter Financial Highlights</w:t>
      </w:r>
    </w:p>
    <w:p>
      <w:pPr>
        <w:spacing w:after="0" w:line="59" w:lineRule="exact"/>
        <w:rPr>
          <w:sz w:val="20"/>
          <w:szCs w:val="20"/>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Revenue of $2,101 million, up 14% year-over-year.</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Gross margin of 29.6% and adjusted gross margin of 30.1%.</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Net income of $668 million.</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Adjusted EBITDA of $821 million.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Cash, cash equivalents and marketable securities of $3,346 million.</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b w:val="1"/>
          <w:bCs w:val="1"/>
          <w:color w:val="auto"/>
        </w:rPr>
        <w:t>Key Full Year 2022 Financial Highlights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Revenue of $8,108 million, up 23% year-over-year.</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Gross margin of 27.6% and adjusted gross margin of 28.4%.</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Net income margin of 17.8% and adjusted EBITDA margin of 38.1%.</w:t>
      </w:r>
    </w:p>
    <w:p>
      <w:pPr>
        <w:spacing w:after="0" w:line="316" w:lineRule="exact"/>
        <w:rPr>
          <w:sz w:val="20"/>
          <w:szCs w:val="20"/>
          <w:color w:val="auto"/>
        </w:rPr>
      </w:pPr>
    </w:p>
    <w:p>
      <w:pPr>
        <w:jc w:val="both"/>
        <w:spacing w:after="0" w:line="336" w:lineRule="auto"/>
        <w:rPr>
          <w:sz w:val="20"/>
          <w:szCs w:val="20"/>
          <w:color w:val="auto"/>
        </w:rPr>
      </w:pPr>
      <w:r>
        <w:rPr>
          <w:rFonts w:ascii="Arial" w:cs="Arial" w:eastAsia="Arial" w:hAnsi="Arial"/>
          <w:sz w:val="16"/>
          <w:szCs w:val="16"/>
          <w:color w:val="auto"/>
        </w:rPr>
        <w:t>“Our revenue in 2022 grew 23% year-over-year, and we delivered record gross margin and net income, making significant progress toward our long-term financial model," said CEO Dr. Thomas Caulfield. "In the fourth quarter, the GF team continued to execute on its commitments to customers and shareholders, despite the well-publicized inventory correction. As we look to 2023, we will continue to deepen our engagements with our customers in bringing specialty and differentiated solutions to market.”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Business Highlights</w:t>
      </w:r>
    </w:p>
    <w:p>
      <w:pPr>
        <w:spacing w:after="0" w:line="302" w:lineRule="exact"/>
        <w:rPr>
          <w:sz w:val="20"/>
          <w:szCs w:val="20"/>
          <w:color w:val="auto"/>
        </w:rPr>
      </w:pPr>
    </w:p>
    <w:p>
      <w:pPr>
        <w:jc w:val="both"/>
        <w:ind w:left="660" w:hanging="328"/>
        <w:spacing w:after="0" w:line="345"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GF and General Motors jointly announced that General Motors has entered into a long-term agreement with GF to secure a capacity corridor in our advanced Fab in Upstate NY for GM's U.S. supply chain. This first-of-its-kind, multi-year agreement brings a critical process to the U.S. and supports GM’s strategy to reduce the number of unique chips needed to power increasingly complex and tech-laden vehicles.</w:t>
      </w:r>
    </w:p>
    <w:p>
      <w:pPr>
        <w:spacing w:after="0" w:line="205" w:lineRule="exact"/>
        <w:rPr>
          <w:rFonts w:ascii="Arial" w:cs="Arial" w:eastAsia="Arial" w:hAnsi="Arial"/>
          <w:sz w:val="16"/>
          <w:szCs w:val="16"/>
          <w:color w:val="auto"/>
        </w:rPr>
      </w:pPr>
    </w:p>
    <w:p>
      <w:pPr>
        <w:jc w:val="both"/>
        <w:ind w:left="660" w:hanging="328"/>
        <w:spacing w:after="0" w:line="336"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GF announced that it has acquired Renesas Electronics Corporation's proprietary and production-proven Conductive Bridging Random Access Memory (CBRAM) Technology, a low power memory solution designed to enable a range of applications in home and industrial IoT and smart mobile devices. The transaction further strengthens GF's memory portfolio and extends its roadmap of embedded nonvolatile memory solutions that is easy to integrate into other technology nodes.</w:t>
      </w:r>
    </w:p>
    <w:p>
      <w:pPr>
        <w:spacing w:after="0" w:line="198" w:lineRule="exact"/>
        <w:rPr>
          <w:rFonts w:ascii="Arial" w:cs="Arial" w:eastAsia="Arial" w:hAnsi="Arial"/>
          <w:sz w:val="16"/>
          <w:szCs w:val="16"/>
          <w:color w:val="auto"/>
        </w:rPr>
      </w:pPr>
    </w:p>
    <w:p>
      <w:pPr>
        <w:jc w:val="both"/>
        <w:ind w:left="660" w:hanging="328"/>
        <w:spacing w:after="0" w:line="345"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GF completed the sale of its East Fishkill, NY, facility to onsemi, on December 31, 2022, for a final purchase price of $406m. The deal enables GlobalFoundries to further optimize our assets globally and intensify our investments in the differentiated technologies that fuel our growth while securing a long-term future for the East Fishkill facility and its employees.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 of 10</w:t>
      </w:r>
    </w:p>
    <w:p>
      <w:pPr>
        <w:sectPr>
          <w:pgSz w:w="11900" w:h="16838" w:orient="portrait"/>
          <w:cols w:equalWidth="0" w:num="1">
            <w:col w:w="11240"/>
          </w:cols>
          <w:pgMar w:left="320" w:top="1440"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6"/>
          <w:szCs w:val="16"/>
          <w:b w:val="1"/>
          <w:bCs w:val="1"/>
          <w:u w:val="single" w:color="auto"/>
          <w:color w:val="auto"/>
        </w:rPr>
        <w:t>Unaudited Summary Quarterly Results (in millions USD, except per share amounts and wafer shipments)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9"/>
              </w:rPr>
              <w:t>Year-over-year</w:t>
            </w:r>
          </w:p>
        </w:tc>
        <w:tc>
          <w:tcPr>
            <w:tcW w:w="520" w:type="dxa"/>
            <w:vAlign w:val="bottom"/>
          </w:tcPr>
          <w:p>
            <w:pPr>
              <w:spacing w:after="0"/>
              <w:rPr>
                <w:sz w:val="17"/>
                <w:szCs w:val="17"/>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Sequential</w:t>
            </w:r>
          </w:p>
        </w:tc>
      </w:tr>
      <w:tr>
        <w:trPr>
          <w:trHeight w:val="164"/>
        </w:trPr>
        <w:tc>
          <w:tcPr>
            <w:tcW w:w="3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Q4'22</w:t>
            </w:r>
          </w:p>
        </w:tc>
        <w:tc>
          <w:tcPr>
            <w:tcW w:w="240" w:type="dxa"/>
            <w:vAlign w:val="bottom"/>
          </w:tcPr>
          <w:p>
            <w:pPr>
              <w:spacing w:after="0"/>
              <w:rPr>
                <w:sz w:val="14"/>
                <w:szCs w:val="14"/>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Q3'22</w:t>
            </w:r>
          </w:p>
        </w:tc>
        <w:tc>
          <w:tcPr>
            <w:tcW w:w="340" w:type="dxa"/>
            <w:vAlign w:val="bottom"/>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Q4'21</w:t>
            </w:r>
          </w:p>
        </w:tc>
        <w:tc>
          <w:tcPr>
            <w:tcW w:w="520" w:type="dxa"/>
            <w:vAlign w:val="bottom"/>
          </w:tcPr>
          <w:p>
            <w:pPr>
              <w:spacing w:after="0"/>
              <w:rPr>
                <w:sz w:val="14"/>
                <w:szCs w:val="14"/>
                <w:color w:val="auto"/>
              </w:rPr>
            </w:pPr>
          </w:p>
        </w:tc>
        <w:tc>
          <w:tcPr>
            <w:tcW w:w="15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Q4'22 vs Q4'21</w:t>
            </w:r>
          </w:p>
        </w:tc>
        <w:tc>
          <w:tcPr>
            <w:tcW w:w="520" w:type="dxa"/>
            <w:vAlign w:val="bottom"/>
          </w:tcPr>
          <w:p>
            <w:pPr>
              <w:spacing w:after="0"/>
              <w:rPr>
                <w:sz w:val="14"/>
                <w:szCs w:val="14"/>
                <w:color w:val="auto"/>
              </w:rPr>
            </w:pPr>
          </w:p>
        </w:tc>
        <w:tc>
          <w:tcPr>
            <w:tcW w:w="14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Q4'22 vs Q3'22</w:t>
            </w:r>
          </w:p>
        </w:tc>
      </w:tr>
      <w:tr>
        <w:trPr>
          <w:trHeight w:val="136"/>
        </w:trPr>
        <w:tc>
          <w:tcPr>
            <w:tcW w:w="38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r>
      <w:tr>
        <w:trPr>
          <w:trHeight w:val="20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5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2,101</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2,074</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1,847</w:t>
            </w:r>
          </w:p>
        </w:tc>
        <w:tc>
          <w:tcPr>
            <w:tcW w:w="52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254</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14 %</w:t>
            </w:r>
          </w:p>
        </w:tc>
        <w:tc>
          <w:tcPr>
            <w:tcW w:w="52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27</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1 %</w:t>
            </w:r>
          </w:p>
        </w:tc>
      </w:tr>
      <w:tr>
        <w:trPr>
          <w:trHeight w:val="61"/>
        </w:trPr>
        <w:tc>
          <w:tcPr>
            <w:tcW w:w="38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r>
      <w:tr>
        <w:trPr>
          <w:trHeight w:val="20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5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622</w:t>
            </w:r>
          </w:p>
        </w:tc>
        <w:tc>
          <w:tcPr>
            <w:tcW w:w="2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610</w:t>
            </w:r>
          </w:p>
        </w:tc>
        <w:tc>
          <w:tcPr>
            <w:tcW w:w="3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384</w:t>
            </w:r>
          </w:p>
        </w:tc>
        <w:tc>
          <w:tcPr>
            <w:tcW w:w="52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238</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62 %</w:t>
            </w:r>
          </w:p>
        </w:tc>
        <w:tc>
          <w:tcPr>
            <w:tcW w:w="52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12</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2 %</w:t>
            </w:r>
          </w:p>
        </w:tc>
      </w:tr>
      <w:tr>
        <w:trPr>
          <w:trHeight w:val="268"/>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Gross margin</w:t>
            </w:r>
          </w:p>
        </w:tc>
        <w:tc>
          <w:tcPr>
            <w:tcW w:w="50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i w:val="1"/>
                <w:iCs w:val="1"/>
                <w:color w:val="auto"/>
              </w:rPr>
              <w:t>29.6 %</w:t>
            </w:r>
          </w:p>
        </w:tc>
        <w:tc>
          <w:tcPr>
            <w:tcW w:w="2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gridSpan w:val="3"/>
          </w:tcPr>
          <w:p>
            <w:pPr>
              <w:jc w:val="right"/>
              <w:ind w:right="80"/>
              <w:spacing w:after="0"/>
              <w:rPr>
                <w:sz w:val="20"/>
                <w:szCs w:val="20"/>
                <w:color w:val="auto"/>
              </w:rPr>
            </w:pPr>
            <w:r>
              <w:rPr>
                <w:rFonts w:ascii="Arial" w:cs="Arial" w:eastAsia="Arial" w:hAnsi="Arial"/>
                <w:sz w:val="14"/>
                <w:szCs w:val="14"/>
                <w:i w:val="1"/>
                <w:iCs w:val="1"/>
                <w:color w:val="auto"/>
              </w:rPr>
              <w:t>29.4 %</w:t>
            </w:r>
          </w:p>
        </w:tc>
        <w:tc>
          <w:tcPr>
            <w:tcW w:w="34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4"/>
                <w:szCs w:val="14"/>
                <w:i w:val="1"/>
                <w:iCs w:val="1"/>
                <w:color w:val="auto"/>
              </w:rPr>
              <w:t>20.8 %</w:t>
            </w:r>
          </w:p>
        </w:tc>
        <w:tc>
          <w:tcPr>
            <w:tcW w:w="5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i w:val="1"/>
                <w:iCs w:val="1"/>
                <w:color w:val="auto"/>
              </w:rPr>
              <w:t>+880bps</w:t>
            </w:r>
          </w:p>
        </w:tc>
        <w:tc>
          <w:tcPr>
            <w:tcW w:w="5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+20bps</w:t>
            </w:r>
          </w:p>
        </w:tc>
      </w:tr>
      <w:tr>
        <w:trPr>
          <w:trHeight w:val="203"/>
        </w:trPr>
        <w:tc>
          <w:tcPr>
            <w:tcW w:w="382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4"/>
                <w:szCs w:val="14"/>
                <w:b w:val="1"/>
                <w:bCs w:val="1"/>
                <w:color w:val="auto"/>
              </w:rPr>
              <w:t>Adjusted gross profit</w:t>
            </w:r>
            <w:r>
              <w:rPr>
                <w:rFonts w:ascii="Arial" w:cs="Arial" w:eastAsia="Arial" w:hAnsi="Arial"/>
                <w:sz w:val="18"/>
                <w:szCs w:val="18"/>
                <w:b w:val="1"/>
                <w:bCs w:val="1"/>
                <w:color w:val="auto"/>
                <w:vertAlign w:val="superscript"/>
              </w:rPr>
              <w:t>(1)</w:t>
            </w:r>
          </w:p>
        </w:tc>
        <w:tc>
          <w:tcPr>
            <w:tcW w:w="5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633</w:t>
            </w:r>
          </w:p>
        </w:tc>
        <w:tc>
          <w:tcPr>
            <w:tcW w:w="2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621</w:t>
            </w:r>
          </w:p>
        </w:tc>
        <w:tc>
          <w:tcPr>
            <w:tcW w:w="3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397</w:t>
            </w:r>
          </w:p>
        </w:tc>
        <w:tc>
          <w:tcPr>
            <w:tcW w:w="5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236</w:t>
            </w:r>
          </w:p>
        </w:tc>
        <w:tc>
          <w:tcPr>
            <w:tcW w:w="9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59 %</w:t>
            </w:r>
          </w:p>
        </w:tc>
        <w:tc>
          <w:tcPr>
            <w:tcW w:w="5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12</w:t>
            </w: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2 %</w:t>
            </w:r>
          </w:p>
        </w:tc>
      </w:tr>
      <w:tr>
        <w:trPr>
          <w:trHeight w:val="20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Adjusted gross margin</w:t>
            </w:r>
          </w:p>
        </w:tc>
        <w:tc>
          <w:tcPr>
            <w:tcW w:w="5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i w:val="1"/>
                <w:iCs w:val="1"/>
                <w:color w:val="auto"/>
              </w:rPr>
              <w:t>30.1 %</w:t>
            </w:r>
          </w:p>
        </w:tc>
        <w:tc>
          <w:tcPr>
            <w:tcW w:w="2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i w:val="1"/>
                <w:iCs w:val="1"/>
                <w:color w:val="auto"/>
              </w:rPr>
              <w:t>29.9 %</w:t>
            </w:r>
          </w:p>
        </w:tc>
        <w:tc>
          <w:tcPr>
            <w:tcW w:w="3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i w:val="1"/>
                <w:iCs w:val="1"/>
                <w:color w:val="auto"/>
              </w:rPr>
              <w:t>21.5 %</w:t>
            </w: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i w:val="1"/>
                <w:iCs w:val="1"/>
                <w:color w:val="auto"/>
              </w:rPr>
              <w:t>+860bps</w:t>
            </w: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+20bps</w:t>
            </w:r>
          </w:p>
        </w:tc>
      </w:tr>
      <w:tr>
        <w:trPr>
          <w:trHeight w:val="61"/>
        </w:trPr>
        <w:tc>
          <w:tcPr>
            <w:tcW w:w="38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r>
      <w:tr>
        <w:trPr>
          <w:trHeight w:val="20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profit</w:t>
            </w:r>
          </w:p>
        </w:tc>
        <w:tc>
          <w:tcPr>
            <w:tcW w:w="5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288</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357</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87</w:t>
            </w:r>
          </w:p>
        </w:tc>
        <w:tc>
          <w:tcPr>
            <w:tcW w:w="52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201</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231 %</w:t>
            </w:r>
          </w:p>
        </w:tc>
        <w:tc>
          <w:tcPr>
            <w:tcW w:w="52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(69)</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(19)%</w:t>
            </w:r>
          </w:p>
        </w:tc>
      </w:tr>
      <w:tr>
        <w:trPr>
          <w:trHeight w:val="268"/>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Operating margin</w:t>
            </w:r>
          </w:p>
        </w:tc>
        <w:tc>
          <w:tcPr>
            <w:tcW w:w="50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i w:val="1"/>
                <w:iCs w:val="1"/>
                <w:color w:val="auto"/>
              </w:rPr>
              <w:t>13.7 %</w:t>
            </w:r>
          </w:p>
        </w:tc>
        <w:tc>
          <w:tcPr>
            <w:tcW w:w="2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gridSpan w:val="3"/>
          </w:tcPr>
          <w:p>
            <w:pPr>
              <w:jc w:val="right"/>
              <w:ind w:right="80"/>
              <w:spacing w:after="0"/>
              <w:rPr>
                <w:sz w:val="20"/>
                <w:szCs w:val="20"/>
                <w:color w:val="auto"/>
              </w:rPr>
            </w:pPr>
            <w:r>
              <w:rPr>
                <w:rFonts w:ascii="Arial" w:cs="Arial" w:eastAsia="Arial" w:hAnsi="Arial"/>
                <w:sz w:val="14"/>
                <w:szCs w:val="14"/>
                <w:i w:val="1"/>
                <w:iCs w:val="1"/>
                <w:color w:val="auto"/>
              </w:rPr>
              <w:t>17.2 %</w:t>
            </w:r>
          </w:p>
        </w:tc>
        <w:tc>
          <w:tcPr>
            <w:tcW w:w="34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4"/>
                <w:szCs w:val="14"/>
                <w:i w:val="1"/>
                <w:iCs w:val="1"/>
                <w:color w:val="auto"/>
              </w:rPr>
              <w:t>4.7 %</w:t>
            </w:r>
          </w:p>
        </w:tc>
        <w:tc>
          <w:tcPr>
            <w:tcW w:w="5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i w:val="1"/>
                <w:iCs w:val="1"/>
                <w:color w:val="auto"/>
              </w:rPr>
              <w:t>+900bps</w:t>
            </w:r>
          </w:p>
        </w:tc>
        <w:tc>
          <w:tcPr>
            <w:tcW w:w="5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(350)bps</w:t>
            </w:r>
          </w:p>
        </w:tc>
      </w:tr>
      <w:tr>
        <w:trPr>
          <w:trHeight w:val="203"/>
        </w:trPr>
        <w:tc>
          <w:tcPr>
            <w:tcW w:w="382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4"/>
                <w:szCs w:val="14"/>
                <w:b w:val="1"/>
                <w:bCs w:val="1"/>
                <w:color w:val="auto"/>
              </w:rPr>
              <w:t>Adjusted operating profit</w:t>
            </w:r>
            <w:r>
              <w:rPr>
                <w:rFonts w:ascii="Arial" w:cs="Arial" w:eastAsia="Arial" w:hAnsi="Arial"/>
                <w:sz w:val="18"/>
                <w:szCs w:val="18"/>
                <w:b w:val="1"/>
                <w:bCs w:val="1"/>
                <w:color w:val="auto"/>
                <w:vertAlign w:val="superscript"/>
              </w:rPr>
              <w:t>(1)</w:t>
            </w:r>
          </w:p>
        </w:tc>
        <w:tc>
          <w:tcPr>
            <w:tcW w:w="5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425</w:t>
            </w:r>
          </w:p>
        </w:tc>
        <w:tc>
          <w:tcPr>
            <w:tcW w:w="2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389</w:t>
            </w:r>
          </w:p>
        </w:tc>
        <w:tc>
          <w:tcPr>
            <w:tcW w:w="3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142</w:t>
            </w:r>
          </w:p>
        </w:tc>
        <w:tc>
          <w:tcPr>
            <w:tcW w:w="5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283</w:t>
            </w:r>
          </w:p>
        </w:tc>
        <w:tc>
          <w:tcPr>
            <w:tcW w:w="9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199 %</w:t>
            </w:r>
          </w:p>
        </w:tc>
        <w:tc>
          <w:tcPr>
            <w:tcW w:w="5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36</w:t>
            </w: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9 %</w:t>
            </w:r>
          </w:p>
        </w:tc>
      </w:tr>
      <w:tr>
        <w:trPr>
          <w:trHeight w:val="20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Adjusted operating margin</w:t>
            </w:r>
          </w:p>
        </w:tc>
        <w:tc>
          <w:tcPr>
            <w:tcW w:w="5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i w:val="1"/>
                <w:iCs w:val="1"/>
                <w:color w:val="auto"/>
              </w:rPr>
              <w:t>20.2 %</w:t>
            </w:r>
          </w:p>
        </w:tc>
        <w:tc>
          <w:tcPr>
            <w:tcW w:w="2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i w:val="1"/>
                <w:iCs w:val="1"/>
                <w:color w:val="auto"/>
              </w:rPr>
              <w:t>18.8 %</w:t>
            </w:r>
          </w:p>
        </w:tc>
        <w:tc>
          <w:tcPr>
            <w:tcW w:w="3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i w:val="1"/>
                <w:iCs w:val="1"/>
                <w:color w:val="auto"/>
              </w:rPr>
              <w:t>7.7 %</w:t>
            </w: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i w:val="1"/>
                <w:iCs w:val="1"/>
                <w:color w:val="auto"/>
              </w:rPr>
              <w:t>+1,250bps</w:t>
            </w: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+140bps</w:t>
            </w:r>
          </w:p>
        </w:tc>
      </w:tr>
      <w:tr>
        <w:trPr>
          <w:trHeight w:val="61"/>
        </w:trPr>
        <w:tc>
          <w:tcPr>
            <w:tcW w:w="38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r>
      <w:tr>
        <w:trPr>
          <w:trHeight w:val="203"/>
        </w:trPr>
        <w:tc>
          <w:tcPr>
            <w:tcW w:w="382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Net income</w:t>
            </w:r>
            <w:r>
              <w:rPr>
                <w:rFonts w:ascii="Arial" w:cs="Arial" w:eastAsia="Arial" w:hAnsi="Arial"/>
                <w:sz w:val="18"/>
                <w:szCs w:val="18"/>
                <w:b w:val="1"/>
                <w:bCs w:val="1"/>
                <w:color w:val="auto"/>
                <w:vertAlign w:val="superscript"/>
              </w:rPr>
              <w:t>(2)</w:t>
            </w:r>
          </w:p>
        </w:tc>
        <w:tc>
          <w:tcPr>
            <w:tcW w:w="5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668</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336</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43</w:t>
            </w:r>
          </w:p>
        </w:tc>
        <w:tc>
          <w:tcPr>
            <w:tcW w:w="52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625</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1,453 %</w:t>
            </w:r>
          </w:p>
        </w:tc>
        <w:tc>
          <w:tcPr>
            <w:tcW w:w="52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332</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99 %</w:t>
            </w:r>
          </w:p>
        </w:tc>
      </w:tr>
      <w:tr>
        <w:trPr>
          <w:trHeight w:val="268"/>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Net income margin</w:t>
            </w:r>
          </w:p>
        </w:tc>
        <w:tc>
          <w:tcPr>
            <w:tcW w:w="50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i w:val="1"/>
                <w:iCs w:val="1"/>
                <w:color w:val="auto"/>
              </w:rPr>
              <w:t>31.8 %</w:t>
            </w:r>
          </w:p>
        </w:tc>
        <w:tc>
          <w:tcPr>
            <w:tcW w:w="2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gridSpan w:val="3"/>
          </w:tcPr>
          <w:p>
            <w:pPr>
              <w:jc w:val="right"/>
              <w:ind w:right="80"/>
              <w:spacing w:after="0"/>
              <w:rPr>
                <w:sz w:val="20"/>
                <w:szCs w:val="20"/>
                <w:color w:val="auto"/>
              </w:rPr>
            </w:pPr>
            <w:r>
              <w:rPr>
                <w:rFonts w:ascii="Arial" w:cs="Arial" w:eastAsia="Arial" w:hAnsi="Arial"/>
                <w:sz w:val="14"/>
                <w:szCs w:val="14"/>
                <w:i w:val="1"/>
                <w:iCs w:val="1"/>
                <w:color w:val="auto"/>
              </w:rPr>
              <w:t>16.2 %</w:t>
            </w:r>
          </w:p>
        </w:tc>
        <w:tc>
          <w:tcPr>
            <w:tcW w:w="34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4"/>
                <w:szCs w:val="14"/>
                <w:i w:val="1"/>
                <w:iCs w:val="1"/>
                <w:color w:val="auto"/>
              </w:rPr>
              <w:t>2.3 %</w:t>
            </w:r>
          </w:p>
        </w:tc>
        <w:tc>
          <w:tcPr>
            <w:tcW w:w="5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i w:val="1"/>
                <w:iCs w:val="1"/>
                <w:color w:val="auto"/>
              </w:rPr>
              <w:t>+2,950bps</w:t>
            </w:r>
          </w:p>
        </w:tc>
        <w:tc>
          <w:tcPr>
            <w:tcW w:w="5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+1,560bps</w:t>
            </w:r>
          </w:p>
        </w:tc>
      </w:tr>
      <w:tr>
        <w:trPr>
          <w:trHeight w:val="203"/>
        </w:trPr>
        <w:tc>
          <w:tcPr>
            <w:tcW w:w="382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4"/>
                <w:szCs w:val="14"/>
                <w:b w:val="1"/>
                <w:bCs w:val="1"/>
                <w:color w:val="auto"/>
              </w:rPr>
              <w:t>Adjusted net income</w:t>
            </w:r>
            <w:r>
              <w:rPr>
                <w:rFonts w:ascii="Arial" w:cs="Arial" w:eastAsia="Arial" w:hAnsi="Arial"/>
                <w:sz w:val="18"/>
                <w:szCs w:val="18"/>
                <w:b w:val="1"/>
                <w:bCs w:val="1"/>
                <w:color w:val="auto"/>
                <w:vertAlign w:val="superscript"/>
              </w:rPr>
              <w:t>(1)(2)(3)</w:t>
            </w:r>
          </w:p>
        </w:tc>
        <w:tc>
          <w:tcPr>
            <w:tcW w:w="5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800</w:t>
            </w:r>
          </w:p>
        </w:tc>
        <w:tc>
          <w:tcPr>
            <w:tcW w:w="2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368</w:t>
            </w:r>
          </w:p>
        </w:tc>
        <w:tc>
          <w:tcPr>
            <w:tcW w:w="3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98</w:t>
            </w:r>
          </w:p>
        </w:tc>
        <w:tc>
          <w:tcPr>
            <w:tcW w:w="5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702</w:t>
            </w:r>
          </w:p>
        </w:tc>
        <w:tc>
          <w:tcPr>
            <w:tcW w:w="9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716 %</w:t>
            </w:r>
          </w:p>
        </w:tc>
        <w:tc>
          <w:tcPr>
            <w:tcW w:w="5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432</w:t>
            </w: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117 %</w:t>
            </w:r>
          </w:p>
        </w:tc>
      </w:tr>
      <w:tr>
        <w:trPr>
          <w:trHeight w:val="20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Adjusted net income margin</w:t>
            </w:r>
          </w:p>
        </w:tc>
        <w:tc>
          <w:tcPr>
            <w:tcW w:w="5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i w:val="1"/>
                <w:iCs w:val="1"/>
                <w:color w:val="auto"/>
              </w:rPr>
              <w:t>38.1 %</w:t>
            </w:r>
          </w:p>
        </w:tc>
        <w:tc>
          <w:tcPr>
            <w:tcW w:w="2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i w:val="1"/>
                <w:iCs w:val="1"/>
                <w:color w:val="auto"/>
              </w:rPr>
              <w:t>17.7 %</w:t>
            </w:r>
          </w:p>
        </w:tc>
        <w:tc>
          <w:tcPr>
            <w:tcW w:w="3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i w:val="1"/>
                <w:iCs w:val="1"/>
                <w:color w:val="auto"/>
              </w:rPr>
              <w:t>5.3 %</w:t>
            </w: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i w:val="1"/>
                <w:iCs w:val="1"/>
                <w:color w:val="auto"/>
              </w:rPr>
              <w:t>+3,280bps</w:t>
            </w: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+2,040bps</w:t>
            </w:r>
          </w:p>
        </w:tc>
      </w:tr>
      <w:tr>
        <w:trPr>
          <w:trHeight w:val="61"/>
        </w:trPr>
        <w:tc>
          <w:tcPr>
            <w:tcW w:w="38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r>
      <w:tr>
        <w:trPr>
          <w:trHeight w:val="20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 earnings per share ("EPS")</w:t>
            </w:r>
          </w:p>
        </w:tc>
        <w:tc>
          <w:tcPr>
            <w:tcW w:w="5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1.21</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0.61</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0.08</w:t>
            </w:r>
          </w:p>
        </w:tc>
        <w:tc>
          <w:tcPr>
            <w:tcW w:w="52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1.13</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1,413 %</w:t>
            </w:r>
          </w:p>
        </w:tc>
        <w:tc>
          <w:tcPr>
            <w:tcW w:w="52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0.60</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98 %</w:t>
            </w:r>
          </w:p>
        </w:tc>
      </w:tr>
      <w:tr>
        <w:trPr>
          <w:trHeight w:val="61"/>
        </w:trPr>
        <w:tc>
          <w:tcPr>
            <w:tcW w:w="38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r>
      <w:tr>
        <w:trPr>
          <w:trHeight w:val="203"/>
        </w:trPr>
        <w:tc>
          <w:tcPr>
            <w:tcW w:w="382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Adjusted diluted earnings per share</w:t>
            </w:r>
            <w:r>
              <w:rPr>
                <w:rFonts w:ascii="Arial" w:cs="Arial" w:eastAsia="Arial" w:hAnsi="Arial"/>
                <w:sz w:val="18"/>
                <w:szCs w:val="18"/>
                <w:b w:val="1"/>
                <w:bCs w:val="1"/>
                <w:color w:val="auto"/>
                <w:vertAlign w:val="superscript"/>
              </w:rPr>
              <w:t>(1)</w:t>
            </w:r>
          </w:p>
        </w:tc>
        <w:tc>
          <w:tcPr>
            <w:tcW w:w="5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1.44</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0.67</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0.18</w:t>
            </w:r>
          </w:p>
        </w:tc>
        <w:tc>
          <w:tcPr>
            <w:tcW w:w="52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1.26</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700 %</w:t>
            </w:r>
          </w:p>
        </w:tc>
        <w:tc>
          <w:tcPr>
            <w:tcW w:w="52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0.77</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115 %</w:t>
            </w:r>
          </w:p>
        </w:tc>
      </w:tr>
      <w:tr>
        <w:trPr>
          <w:trHeight w:val="61"/>
        </w:trPr>
        <w:tc>
          <w:tcPr>
            <w:tcW w:w="38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r>
      <w:tr>
        <w:trPr>
          <w:trHeight w:val="203"/>
        </w:trPr>
        <w:tc>
          <w:tcPr>
            <w:tcW w:w="382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18"/>
                <w:szCs w:val="18"/>
                <w:b w:val="1"/>
                <w:bCs w:val="1"/>
                <w:color w:val="auto"/>
                <w:vertAlign w:val="superscript"/>
              </w:rPr>
              <w:t>(1)(4)</w:t>
            </w:r>
          </w:p>
        </w:tc>
        <w:tc>
          <w:tcPr>
            <w:tcW w:w="5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821</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793</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584</w:t>
            </w:r>
          </w:p>
        </w:tc>
        <w:tc>
          <w:tcPr>
            <w:tcW w:w="52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237</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41 %</w:t>
            </w:r>
          </w:p>
        </w:tc>
        <w:tc>
          <w:tcPr>
            <w:tcW w:w="52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28</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4 %</w:t>
            </w:r>
          </w:p>
        </w:tc>
      </w:tr>
      <w:tr>
        <w:trPr>
          <w:trHeight w:val="269"/>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Adjusted EBITDA margin</w:t>
            </w:r>
          </w:p>
        </w:tc>
        <w:tc>
          <w:tcPr>
            <w:tcW w:w="50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i w:val="1"/>
                <w:iCs w:val="1"/>
                <w:color w:val="auto"/>
              </w:rPr>
              <w:t>39.1 %</w:t>
            </w:r>
          </w:p>
        </w:tc>
        <w:tc>
          <w:tcPr>
            <w:tcW w:w="2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gridSpan w:val="3"/>
          </w:tcPr>
          <w:p>
            <w:pPr>
              <w:jc w:val="right"/>
              <w:ind w:right="80"/>
              <w:spacing w:after="0"/>
              <w:rPr>
                <w:sz w:val="20"/>
                <w:szCs w:val="20"/>
                <w:color w:val="auto"/>
              </w:rPr>
            </w:pPr>
            <w:r>
              <w:rPr>
                <w:rFonts w:ascii="Arial" w:cs="Arial" w:eastAsia="Arial" w:hAnsi="Arial"/>
                <w:sz w:val="14"/>
                <w:szCs w:val="14"/>
                <w:i w:val="1"/>
                <w:iCs w:val="1"/>
                <w:color w:val="auto"/>
              </w:rPr>
              <w:t>38.2 %</w:t>
            </w:r>
          </w:p>
        </w:tc>
        <w:tc>
          <w:tcPr>
            <w:tcW w:w="34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4"/>
                <w:szCs w:val="14"/>
                <w:i w:val="1"/>
                <w:iCs w:val="1"/>
                <w:color w:val="auto"/>
              </w:rPr>
              <w:t>31.6 %</w:t>
            </w:r>
          </w:p>
        </w:tc>
        <w:tc>
          <w:tcPr>
            <w:tcW w:w="5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i w:val="1"/>
                <w:iCs w:val="1"/>
                <w:color w:val="auto"/>
              </w:rPr>
              <w:t>+750bps</w:t>
            </w:r>
          </w:p>
        </w:tc>
        <w:tc>
          <w:tcPr>
            <w:tcW w:w="5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i w:val="1"/>
                <w:iCs w:val="1"/>
                <w:color w:val="auto"/>
              </w:rPr>
              <w:t>+90bps</w:t>
            </w:r>
          </w:p>
        </w:tc>
      </w:tr>
      <w:tr>
        <w:trPr>
          <w:trHeight w:val="268"/>
        </w:trPr>
        <w:tc>
          <w:tcPr>
            <w:tcW w:w="382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from operations</w:t>
            </w:r>
          </w:p>
        </w:tc>
        <w:tc>
          <w:tcPr>
            <w:tcW w:w="500" w:type="dxa"/>
            <w:vAlign w:val="bottom"/>
            <w:tcBorders>
              <w:top w:val="single" w:sz="8" w:color="auto"/>
              <w:bottom w:val="single" w:sz="8" w:color="CCEEF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CCEEFF"/>
            </w:tcBorders>
            <w:gridSpan w:val="2"/>
          </w:tcPr>
          <w:p>
            <w:pPr>
              <w:jc w:val="right"/>
              <w:ind w:right="260"/>
              <w:spacing w:after="0"/>
              <w:rPr>
                <w:sz w:val="20"/>
                <w:szCs w:val="20"/>
                <w:color w:val="auto"/>
              </w:rPr>
            </w:pPr>
            <w:r>
              <w:rPr>
                <w:rFonts w:ascii="Arial" w:cs="Arial" w:eastAsia="Arial" w:hAnsi="Arial"/>
                <w:sz w:val="14"/>
                <w:szCs w:val="14"/>
                <w:b w:val="1"/>
                <w:bCs w:val="1"/>
                <w:color w:val="auto"/>
              </w:rPr>
              <w:t>491</w:t>
            </w:r>
          </w:p>
        </w:tc>
        <w:tc>
          <w:tcPr>
            <w:tcW w:w="240" w:type="dxa"/>
            <w:vAlign w:val="bottom"/>
            <w:tcBorders>
              <w:top w:val="single" w:sz="8" w:color="auto"/>
              <w:bottom w:val="single" w:sz="8" w:color="CCEEF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CCEEFF"/>
            </w:tcBorders>
            <w:gridSpan w:val="3"/>
          </w:tcPr>
          <w:p>
            <w:pPr>
              <w:jc w:val="right"/>
              <w:ind w:right="260"/>
              <w:spacing w:after="0"/>
              <w:rPr>
                <w:sz w:val="20"/>
                <w:szCs w:val="20"/>
                <w:color w:val="auto"/>
              </w:rPr>
            </w:pPr>
            <w:r>
              <w:rPr>
                <w:rFonts w:ascii="Arial" w:cs="Arial" w:eastAsia="Arial" w:hAnsi="Arial"/>
                <w:sz w:val="14"/>
                <w:szCs w:val="14"/>
                <w:b w:val="1"/>
                <w:bCs w:val="1"/>
                <w:color w:val="auto"/>
              </w:rPr>
              <w:t>679</w:t>
            </w:r>
          </w:p>
        </w:tc>
        <w:tc>
          <w:tcPr>
            <w:tcW w:w="340" w:type="dxa"/>
            <w:vAlign w:val="bottom"/>
            <w:tcBorders>
              <w:top w:val="single" w:sz="8" w:color="auto"/>
              <w:bottom w:val="single" w:sz="8" w:color="CCEEF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CCEEFF"/>
            </w:tcBorders>
            <w:gridSpan w:val="2"/>
          </w:tcPr>
          <w:p>
            <w:pPr>
              <w:jc w:val="right"/>
              <w:ind w:right="220"/>
              <w:spacing w:after="0"/>
              <w:rPr>
                <w:sz w:val="20"/>
                <w:szCs w:val="20"/>
                <w:color w:val="auto"/>
              </w:rPr>
            </w:pPr>
            <w:r>
              <w:rPr>
                <w:rFonts w:ascii="Arial" w:cs="Arial" w:eastAsia="Arial" w:hAnsi="Arial"/>
                <w:sz w:val="14"/>
                <w:szCs w:val="14"/>
                <w:b w:val="1"/>
                <w:bCs w:val="1"/>
                <w:color w:val="auto"/>
              </w:rPr>
              <w:t>1,148</w:t>
            </w:r>
          </w:p>
        </w:tc>
        <w:tc>
          <w:tcPr>
            <w:tcW w:w="520" w:type="dxa"/>
            <w:vAlign w:val="bottom"/>
            <w:tcBorders>
              <w:top w:val="single" w:sz="8" w:color="auto"/>
              <w:bottom w:val="single" w:sz="8" w:color="CCEEFF"/>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CCEEFF"/>
            </w:tcBorders>
          </w:tcPr>
          <w:p>
            <w:pPr>
              <w:jc w:val="right"/>
              <w:ind w:right="108"/>
              <w:spacing w:after="0"/>
              <w:rPr>
                <w:sz w:val="20"/>
                <w:szCs w:val="20"/>
                <w:color w:val="auto"/>
              </w:rPr>
            </w:pPr>
            <w:r>
              <w:rPr>
                <w:rFonts w:ascii="Arial" w:cs="Arial" w:eastAsia="Arial" w:hAnsi="Arial"/>
                <w:sz w:val="14"/>
                <w:szCs w:val="14"/>
                <w:b w:val="1"/>
                <w:bCs w:val="1"/>
                <w:color w:val="auto"/>
              </w:rPr>
              <w:t>(657)</w:t>
            </w:r>
          </w:p>
        </w:tc>
        <w:tc>
          <w:tcPr>
            <w:tcW w:w="960" w:type="dxa"/>
            <w:vAlign w:val="bottom"/>
            <w:tcBorders>
              <w:top w:val="single" w:sz="8" w:color="auto"/>
              <w:bottom w:val="single" w:sz="8" w:color="CCEEFF"/>
            </w:tcBorders>
            <w:gridSpan w:val="2"/>
          </w:tcPr>
          <w:p>
            <w:pPr>
              <w:jc w:val="right"/>
              <w:ind w:right="80"/>
              <w:spacing w:after="0"/>
              <w:rPr>
                <w:sz w:val="20"/>
                <w:szCs w:val="20"/>
                <w:color w:val="auto"/>
              </w:rPr>
            </w:pPr>
            <w:r>
              <w:rPr>
                <w:rFonts w:ascii="Arial" w:cs="Arial" w:eastAsia="Arial" w:hAnsi="Arial"/>
                <w:sz w:val="14"/>
                <w:szCs w:val="14"/>
                <w:b w:val="1"/>
                <w:bCs w:val="1"/>
                <w:color w:val="auto"/>
              </w:rPr>
              <w:t>(57)%</w:t>
            </w:r>
          </w:p>
        </w:tc>
        <w:tc>
          <w:tcPr>
            <w:tcW w:w="520" w:type="dxa"/>
            <w:vAlign w:val="bottom"/>
            <w:tcBorders>
              <w:top w:val="single" w:sz="8" w:color="auto"/>
              <w:bottom w:val="single" w:sz="8" w:color="CCEEFF"/>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CCEEFF"/>
            </w:tcBorders>
          </w:tcPr>
          <w:p>
            <w:pPr>
              <w:jc w:val="right"/>
              <w:ind w:right="128"/>
              <w:spacing w:after="0"/>
              <w:rPr>
                <w:sz w:val="20"/>
                <w:szCs w:val="20"/>
                <w:color w:val="auto"/>
              </w:rPr>
            </w:pPr>
            <w:r>
              <w:rPr>
                <w:rFonts w:ascii="Arial" w:cs="Arial" w:eastAsia="Arial" w:hAnsi="Arial"/>
                <w:sz w:val="14"/>
                <w:szCs w:val="14"/>
                <w:b w:val="1"/>
                <w:bCs w:val="1"/>
                <w:color w:val="auto"/>
              </w:rPr>
              <w:t>(188)</w:t>
            </w:r>
          </w:p>
        </w:tc>
        <w:tc>
          <w:tcPr>
            <w:tcW w:w="900" w:type="dxa"/>
            <w:vAlign w:val="bottom"/>
            <w:tcBorders>
              <w:top w:val="single" w:sz="8" w:color="auto"/>
              <w:bottom w:val="single" w:sz="8" w:color="CCEEFF"/>
            </w:tcBorders>
            <w:gridSpan w:val="2"/>
          </w:tcPr>
          <w:p>
            <w:pPr>
              <w:jc w:val="right"/>
              <w:ind w:right="20"/>
              <w:spacing w:after="0"/>
              <w:rPr>
                <w:sz w:val="20"/>
                <w:szCs w:val="20"/>
                <w:color w:val="auto"/>
              </w:rPr>
            </w:pPr>
            <w:r>
              <w:rPr>
                <w:rFonts w:ascii="Arial" w:cs="Arial" w:eastAsia="Arial" w:hAnsi="Arial"/>
                <w:sz w:val="14"/>
                <w:szCs w:val="14"/>
                <w:b w:val="1"/>
                <w:bCs w:val="1"/>
                <w:color w:val="auto"/>
              </w:rPr>
              <w:t>(28)%</w:t>
            </w:r>
          </w:p>
        </w:tc>
      </w:tr>
      <w:tr>
        <w:trPr>
          <w:trHeight w:val="200"/>
        </w:trPr>
        <w:tc>
          <w:tcPr>
            <w:tcW w:w="38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Wafer shipments (300mm equivalent) (in thousands)</w:t>
            </w:r>
          </w:p>
        </w:tc>
        <w:tc>
          <w:tcPr>
            <w:tcW w:w="5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580</w:t>
            </w: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637</w:t>
            </w:r>
          </w:p>
        </w:tc>
        <w:tc>
          <w:tcPr>
            <w:tcW w:w="3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622</w:t>
            </w:r>
          </w:p>
        </w:tc>
        <w:tc>
          <w:tcPr>
            <w:tcW w:w="5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(42)</w:t>
            </w:r>
          </w:p>
        </w:tc>
        <w:tc>
          <w:tcPr>
            <w:tcW w:w="9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(7)%</w:t>
            </w:r>
          </w:p>
        </w:tc>
        <w:tc>
          <w:tcPr>
            <w:tcW w:w="5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(57)</w:t>
            </w: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(9)%</w:t>
            </w:r>
          </w:p>
        </w:tc>
      </w:tr>
    </w:tbl>
    <w:p>
      <w:pPr>
        <w:spacing w:after="0" w:line="335" w:lineRule="exact"/>
        <w:rPr>
          <w:sz w:val="20"/>
          <w:szCs w:val="20"/>
          <w:color w:val="auto"/>
        </w:rPr>
      </w:pPr>
    </w:p>
    <w:p>
      <w:pPr>
        <w:ind w:firstLine="8"/>
        <w:spacing w:after="0"/>
        <w:tabs>
          <w:tab w:leader="none" w:pos="122" w:val="left"/>
        </w:tabs>
        <w:numPr>
          <w:ilvl w:val="0"/>
          <w:numId w:val="3"/>
        </w:numPr>
        <w:rPr>
          <w:rFonts w:ascii="Arial" w:cs="Arial" w:eastAsia="Arial" w:hAnsi="Arial"/>
          <w:sz w:val="14"/>
          <w:szCs w:val="14"/>
          <w:color w:val="auto"/>
          <w:vertAlign w:val="superscript"/>
        </w:rPr>
      </w:pPr>
      <w:r>
        <w:rPr>
          <w:rFonts w:ascii="Arial" w:cs="Arial" w:eastAsia="Arial" w:hAnsi="Arial"/>
          <w:sz w:val="11"/>
          <w:szCs w:val="11"/>
          <w:color w:val="auto"/>
        </w:rPr>
        <w:t>Adjusted gross profit, adjusted operating profit, adjusted net income, adjusted diluted earnings per share, and adjusted EBITDA are adjusted non-IFRS metrics; please see the reconciliation of IFRS to adjusted non-IFRS metrics in the section "Unaudited Reconciliation of IFRS to Adjusted non-IFRS" below.</w:t>
      </w:r>
    </w:p>
    <w:p>
      <w:pPr>
        <w:spacing w:after="0" w:line="194" w:lineRule="exact"/>
        <w:rPr>
          <w:rFonts w:ascii="Arial" w:cs="Arial" w:eastAsia="Arial" w:hAnsi="Arial"/>
          <w:sz w:val="14"/>
          <w:szCs w:val="14"/>
          <w:color w:val="auto"/>
          <w:vertAlign w:val="superscript"/>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Includes the gain on sale of our EFK business in December 2022.</w:t>
      </w:r>
    </w:p>
    <w:p>
      <w:pPr>
        <w:spacing w:after="0" w:line="198" w:lineRule="exact"/>
        <w:rPr>
          <w:rFonts w:ascii="Arial" w:cs="Arial" w:eastAsia="Arial" w:hAnsi="Arial"/>
          <w:sz w:val="16"/>
          <w:szCs w:val="16"/>
          <w:color w:val="auto"/>
          <w:vertAlign w:val="superscript"/>
        </w:rPr>
      </w:pPr>
    </w:p>
    <w:p>
      <w:pPr>
        <w:jc w:val="both"/>
        <w:ind w:firstLine="8"/>
        <w:spacing w:after="0" w:line="226" w:lineRule="auto"/>
        <w:tabs>
          <w:tab w:leader="none" w:pos="136" w:val="left"/>
        </w:tabs>
        <w:numPr>
          <w:ilvl w:val="0"/>
          <w:numId w:val="3"/>
        </w:numPr>
        <w:rPr>
          <w:rFonts w:ascii="Arial" w:cs="Arial" w:eastAsia="Arial" w:hAnsi="Arial"/>
          <w:sz w:val="15"/>
          <w:szCs w:val="15"/>
          <w:color w:val="auto"/>
          <w:vertAlign w:val="superscript"/>
        </w:rPr>
      </w:pPr>
      <w:r>
        <w:rPr>
          <w:rFonts w:ascii="Arial" w:cs="Arial" w:eastAsia="Arial" w:hAnsi="Arial"/>
          <w:sz w:val="12"/>
          <w:szCs w:val="12"/>
          <w:color w:val="auto"/>
        </w:rPr>
        <w:t>Beginning in Q4 2022, the Company has revised its definition of adjusted net income to include an adjustment for restructuring charges and the associated tax impact. The change was made due to a restructuring undertaken in Q4 2022. The Company believes the revised definition provides management and investors with more useful information to evaluate the operations of our business. Adjusted net income (loss) is now defined as net income (loss) adjusted for share-based compensation expense, restructuring charges and the associated tax impact.</w:t>
      </w:r>
    </w:p>
    <w:p>
      <w:pPr>
        <w:spacing w:after="0" w:line="198" w:lineRule="exact"/>
        <w:rPr>
          <w:rFonts w:ascii="Arial" w:cs="Arial" w:eastAsia="Arial" w:hAnsi="Arial"/>
          <w:sz w:val="15"/>
          <w:szCs w:val="15"/>
          <w:color w:val="auto"/>
          <w:vertAlign w:val="superscript"/>
        </w:rPr>
      </w:pPr>
    </w:p>
    <w:p>
      <w:pPr>
        <w:jc w:val="both"/>
        <w:ind w:firstLine="8"/>
        <w:spacing w:after="0" w:line="242" w:lineRule="auto"/>
        <w:tabs>
          <w:tab w:leader="none" w:pos="122" w:val="left"/>
        </w:tabs>
        <w:numPr>
          <w:ilvl w:val="0"/>
          <w:numId w:val="3"/>
        </w:numPr>
        <w:rPr>
          <w:rFonts w:ascii="Arial" w:cs="Arial" w:eastAsia="Arial" w:hAnsi="Arial"/>
          <w:sz w:val="14"/>
          <w:szCs w:val="14"/>
          <w:color w:val="auto"/>
          <w:vertAlign w:val="superscript"/>
        </w:rPr>
      </w:pPr>
      <w:r>
        <w:rPr>
          <w:rFonts w:ascii="Arial" w:cs="Arial" w:eastAsia="Arial" w:hAnsi="Arial"/>
          <w:sz w:val="11"/>
          <w:szCs w:val="11"/>
          <w:color w:val="auto"/>
        </w:rPr>
        <w:t>Beginning in Q3 2022, the Company has revised its definition of adjusted EBITDA to include an adjustment for finance income. The change was made due to the Company making an investment during Q2 2022 of approximately $1.0 billion in marketable securities. The Company believes the revised definition provides management and investors more useful information to evaluate the operations of our business. Adjusted EBITDA is now defined as net income (loss), adjusted for the impact of finance expense, finance income, income tax expense, depreciation, amortization, share-based compensation expense, transaction gains and associated expenses, restructuring charges, labor optimization initiatives and litigation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2 of 10</w:t>
      </w:r>
    </w:p>
    <w:p>
      <w:pPr>
        <w:sectPr>
          <w:pgSz w:w="11900" w:h="16838" w:orient="portrait"/>
          <w:cols w:equalWidth="0" w:num="1">
            <w:col w:w="11240"/>
          </w:cols>
          <w:pgMar w:left="320" w:top="1408" w:right="339" w:bottom="1440" w:gutter="0" w:footer="0" w:header="0"/>
        </w:sectPr>
      </w:pPr>
    </w:p>
    <w:bookmarkStart w:id="4" w:name="page5"/>
    <w:bookmarkEnd w:id="4"/>
    <w:p>
      <w:pPr>
        <w:jc w:val="center"/>
        <w:ind w:right="-11"/>
        <w:spacing w:after="0"/>
        <w:rPr>
          <w:sz w:val="20"/>
          <w:szCs w:val="20"/>
          <w:color w:val="auto"/>
        </w:rPr>
      </w:pPr>
      <w:r>
        <w:rPr>
          <w:rFonts w:ascii="Arial" w:cs="Arial" w:eastAsia="Arial" w:hAnsi="Arial"/>
          <w:sz w:val="16"/>
          <w:szCs w:val="16"/>
          <w:b w:val="1"/>
          <w:bCs w:val="1"/>
          <w:u w:val="single" w:color="auto"/>
          <w:color w:val="auto"/>
        </w:rPr>
        <w:t>Unaudited Summary Annual Results (in millions USD, except per share amounts and wafer shipments)</w:t>
      </w:r>
    </w:p>
    <w:p>
      <w:pPr>
        <w:spacing w:after="0" w:line="280" w:lineRule="exact"/>
        <w:rPr>
          <w:sz w:val="20"/>
          <w:szCs w:val="20"/>
          <w:color w:val="auto"/>
        </w:rPr>
      </w:pPr>
    </w:p>
    <w:tbl>
      <w:tblPr>
        <w:tblLayout w:type="fixed"/>
        <w:tblInd w:w="752" w:type="dxa"/>
        <w:tblCellMar>
          <w:top w:w="0" w:type="dxa"/>
          <w:left w:w="0" w:type="dxa"/>
          <w:bottom w:w="0" w:type="dxa"/>
          <w:right w:w="0" w:type="dxa"/>
        </w:tblCellMar>
      </w:tblPr>
      <w:tr>
        <w:trPr>
          <w:trHeight w:val="196"/>
        </w:trPr>
        <w:tc>
          <w:tcPr>
            <w:tcW w:w="4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60" w:type="dxa"/>
            <w:vAlign w:val="bottom"/>
            <w:gridSpan w:val="3"/>
          </w:tcPr>
          <w:p>
            <w:pPr>
              <w:jc w:val="right"/>
              <w:ind w:right="608"/>
              <w:spacing w:after="0"/>
              <w:rPr>
                <w:sz w:val="20"/>
                <w:szCs w:val="20"/>
                <w:color w:val="auto"/>
              </w:rPr>
            </w:pPr>
            <w:r>
              <w:rPr>
                <w:rFonts w:ascii="Arial" w:cs="Arial" w:eastAsia="Arial" w:hAnsi="Arial"/>
                <w:sz w:val="14"/>
                <w:szCs w:val="14"/>
                <w:b w:val="1"/>
                <w:bCs w:val="1"/>
                <w:color w:val="auto"/>
              </w:rPr>
              <w:t>Year-over-year</w:t>
            </w:r>
          </w:p>
        </w:tc>
      </w:tr>
      <w:tr>
        <w:trPr>
          <w:trHeight w:val="164"/>
        </w:trPr>
        <w:tc>
          <w:tcPr>
            <w:tcW w:w="4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FY2022</w:t>
            </w:r>
          </w:p>
        </w:tc>
        <w:tc>
          <w:tcPr>
            <w:tcW w:w="260" w:type="dxa"/>
            <w:vAlign w:val="bottom"/>
          </w:tcPr>
          <w:p>
            <w:pPr>
              <w:spacing w:after="0"/>
              <w:rPr>
                <w:sz w:val="14"/>
                <w:szCs w:val="14"/>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FY2021</w:t>
            </w:r>
          </w:p>
        </w:tc>
        <w:tc>
          <w:tcPr>
            <w:tcW w:w="44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FY22 vs FY21</w:t>
            </w:r>
          </w:p>
        </w:tc>
        <w:tc>
          <w:tcPr>
            <w:tcW w:w="700" w:type="dxa"/>
            <w:vAlign w:val="bottom"/>
          </w:tcPr>
          <w:p>
            <w:pPr>
              <w:spacing w:after="0"/>
              <w:rPr>
                <w:sz w:val="14"/>
                <w:szCs w:val="14"/>
                <w:color w:val="auto"/>
              </w:rPr>
            </w:pPr>
          </w:p>
        </w:tc>
      </w:tr>
      <w:tr>
        <w:trPr>
          <w:trHeight w:val="136"/>
        </w:trPr>
        <w:tc>
          <w:tcPr>
            <w:tcW w:w="4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r>
        <w:trPr>
          <w:trHeight w:val="203"/>
        </w:trPr>
        <w:tc>
          <w:tcPr>
            <w:tcW w:w="4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revenue</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8,108</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6,585</w:t>
            </w:r>
          </w:p>
        </w:tc>
        <w:tc>
          <w:tcPr>
            <w:tcW w:w="44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b w:val="1"/>
                <w:bCs w:val="1"/>
                <w:color w:val="auto"/>
              </w:rPr>
              <w:t>1,523</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23 %</w:t>
            </w:r>
          </w:p>
        </w:tc>
      </w:tr>
      <w:tr>
        <w:trPr>
          <w:trHeight w:val="61"/>
        </w:trPr>
        <w:tc>
          <w:tcPr>
            <w:tcW w:w="4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203"/>
        </w:trPr>
        <w:tc>
          <w:tcPr>
            <w:tcW w:w="4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Gross profit</w:t>
            </w:r>
          </w:p>
        </w:tc>
        <w:tc>
          <w:tcPr>
            <w:tcW w:w="8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2,239</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1,013</w:t>
            </w:r>
          </w:p>
        </w:tc>
        <w:tc>
          <w:tcPr>
            <w:tcW w:w="44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b w:val="1"/>
                <w:bCs w:val="1"/>
                <w:color w:val="auto"/>
              </w:rPr>
              <w:t>1,226</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121 %</w:t>
            </w:r>
          </w:p>
        </w:tc>
      </w:tr>
      <w:tr>
        <w:trPr>
          <w:trHeight w:val="194"/>
        </w:trPr>
        <w:tc>
          <w:tcPr>
            <w:tcW w:w="4260" w:type="dxa"/>
            <w:vAlign w:val="bottom"/>
          </w:tcPr>
          <w:p>
            <w:pPr>
              <w:spacing w:after="0"/>
              <w:rPr>
                <w:sz w:val="20"/>
                <w:szCs w:val="20"/>
                <w:color w:val="auto"/>
              </w:rPr>
            </w:pPr>
            <w:r>
              <w:rPr>
                <w:rFonts w:ascii="Arial" w:cs="Arial" w:eastAsia="Arial" w:hAnsi="Arial"/>
                <w:sz w:val="14"/>
                <w:szCs w:val="14"/>
                <w:i w:val="1"/>
                <w:iCs w:val="1"/>
                <w:color w:val="auto"/>
              </w:rPr>
              <w:t>Gross margin</w:t>
            </w:r>
          </w:p>
        </w:tc>
        <w:tc>
          <w:tcPr>
            <w:tcW w:w="860" w:type="dxa"/>
            <w:vAlign w:val="bottom"/>
          </w:tcPr>
          <w:p>
            <w:pPr>
              <w:spacing w:after="0"/>
              <w:rPr>
                <w:sz w:val="16"/>
                <w:szCs w:val="16"/>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i w:val="1"/>
                <w:iCs w:val="1"/>
                <w:color w:val="auto"/>
              </w:rPr>
              <w:t>27.6 %</w:t>
            </w:r>
          </w:p>
        </w:tc>
        <w:tc>
          <w:tcPr>
            <w:tcW w:w="260" w:type="dxa"/>
            <w:vAlign w:val="bottom"/>
          </w:tcPr>
          <w:p>
            <w:pPr>
              <w:spacing w:after="0"/>
              <w:rPr>
                <w:sz w:val="16"/>
                <w:szCs w:val="16"/>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i w:val="1"/>
                <w:iCs w:val="1"/>
                <w:color w:val="auto"/>
              </w:rPr>
              <w:t>15.4 %</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+1,220bps</w:t>
            </w:r>
          </w:p>
        </w:tc>
      </w:tr>
      <w:tr>
        <w:trPr>
          <w:trHeight w:val="69"/>
        </w:trPr>
        <w:tc>
          <w:tcPr>
            <w:tcW w:w="4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Adjusted gross profit</w:t>
            </w:r>
            <w:r>
              <w:rPr>
                <w:rFonts w:ascii="Arial" w:cs="Arial" w:eastAsia="Arial" w:hAnsi="Arial"/>
                <w:sz w:val="18"/>
                <w:szCs w:val="18"/>
                <w:b w:val="1"/>
                <w:bCs w:val="1"/>
                <w:color w:val="auto"/>
                <w:vertAlign w:val="superscript"/>
              </w:rPr>
              <w:t>(1)</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2,303</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1,068</w:t>
            </w:r>
          </w:p>
        </w:tc>
        <w:tc>
          <w:tcPr>
            <w:tcW w:w="44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b w:val="1"/>
                <w:bCs w:val="1"/>
                <w:color w:val="auto"/>
              </w:rPr>
              <w:t>1,235</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116 %</w:t>
            </w:r>
          </w:p>
        </w:tc>
      </w:tr>
      <w:tr>
        <w:trPr>
          <w:trHeight w:val="194"/>
        </w:trPr>
        <w:tc>
          <w:tcPr>
            <w:tcW w:w="4260" w:type="dxa"/>
            <w:vAlign w:val="bottom"/>
          </w:tcPr>
          <w:p>
            <w:pPr>
              <w:spacing w:after="0"/>
              <w:rPr>
                <w:sz w:val="20"/>
                <w:szCs w:val="20"/>
                <w:color w:val="auto"/>
              </w:rPr>
            </w:pPr>
            <w:r>
              <w:rPr>
                <w:rFonts w:ascii="Arial" w:cs="Arial" w:eastAsia="Arial" w:hAnsi="Arial"/>
                <w:sz w:val="14"/>
                <w:szCs w:val="14"/>
                <w:i w:val="1"/>
                <w:iCs w:val="1"/>
                <w:color w:val="auto"/>
              </w:rPr>
              <w:t>Adjusted gross margin</w:t>
            </w:r>
          </w:p>
        </w:tc>
        <w:tc>
          <w:tcPr>
            <w:tcW w:w="860" w:type="dxa"/>
            <w:vAlign w:val="bottom"/>
          </w:tcPr>
          <w:p>
            <w:pPr>
              <w:spacing w:after="0"/>
              <w:rPr>
                <w:sz w:val="16"/>
                <w:szCs w:val="16"/>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i w:val="1"/>
                <w:iCs w:val="1"/>
                <w:color w:val="auto"/>
              </w:rPr>
              <w:t>28.4 %</w:t>
            </w:r>
          </w:p>
        </w:tc>
        <w:tc>
          <w:tcPr>
            <w:tcW w:w="260" w:type="dxa"/>
            <w:vAlign w:val="bottom"/>
          </w:tcPr>
          <w:p>
            <w:pPr>
              <w:spacing w:after="0"/>
              <w:rPr>
                <w:sz w:val="16"/>
                <w:szCs w:val="16"/>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i w:val="1"/>
                <w:iCs w:val="1"/>
                <w:color w:val="auto"/>
              </w:rPr>
              <w:t>16.2 %</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+1,220bps</w:t>
            </w:r>
          </w:p>
        </w:tc>
      </w:tr>
      <w:tr>
        <w:trPr>
          <w:trHeight w:val="69"/>
        </w:trPr>
        <w:tc>
          <w:tcPr>
            <w:tcW w:w="4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r>
      <w:tr>
        <w:trPr>
          <w:trHeight w:val="203"/>
        </w:trPr>
        <w:tc>
          <w:tcPr>
            <w:tcW w:w="4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profit (loss)</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1,167</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(60)</w:t>
            </w:r>
          </w:p>
        </w:tc>
        <w:tc>
          <w:tcPr>
            <w:tcW w:w="44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b w:val="1"/>
                <w:bCs w:val="1"/>
                <w:color w:val="auto"/>
              </w:rPr>
              <w:t>1,227</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2,045 %</w:t>
            </w:r>
          </w:p>
        </w:tc>
      </w:tr>
      <w:tr>
        <w:trPr>
          <w:trHeight w:val="194"/>
        </w:trPr>
        <w:tc>
          <w:tcPr>
            <w:tcW w:w="4260" w:type="dxa"/>
            <w:vAlign w:val="bottom"/>
          </w:tcPr>
          <w:p>
            <w:pPr>
              <w:spacing w:after="0"/>
              <w:rPr>
                <w:sz w:val="20"/>
                <w:szCs w:val="20"/>
                <w:color w:val="auto"/>
              </w:rPr>
            </w:pPr>
            <w:r>
              <w:rPr>
                <w:rFonts w:ascii="Arial" w:cs="Arial" w:eastAsia="Arial" w:hAnsi="Arial"/>
                <w:sz w:val="14"/>
                <w:szCs w:val="14"/>
                <w:i w:val="1"/>
                <w:iCs w:val="1"/>
                <w:color w:val="auto"/>
              </w:rPr>
              <w:t>Operating margin</w:t>
            </w:r>
          </w:p>
        </w:tc>
        <w:tc>
          <w:tcPr>
            <w:tcW w:w="860" w:type="dxa"/>
            <w:vAlign w:val="bottom"/>
          </w:tcPr>
          <w:p>
            <w:pPr>
              <w:spacing w:after="0"/>
              <w:rPr>
                <w:sz w:val="16"/>
                <w:szCs w:val="16"/>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i w:val="1"/>
                <w:iCs w:val="1"/>
                <w:color w:val="auto"/>
              </w:rPr>
              <w:t>14.4 %</w:t>
            </w:r>
          </w:p>
        </w:tc>
        <w:tc>
          <w:tcPr>
            <w:tcW w:w="260" w:type="dxa"/>
            <w:vAlign w:val="bottom"/>
          </w:tcPr>
          <w:p>
            <w:pPr>
              <w:spacing w:after="0"/>
              <w:rPr>
                <w:sz w:val="16"/>
                <w:szCs w:val="16"/>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i w:val="1"/>
                <w:iCs w:val="1"/>
                <w:color w:val="auto"/>
              </w:rPr>
              <w:t>(0.9)%</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+1,530bps</w:t>
            </w:r>
          </w:p>
        </w:tc>
      </w:tr>
      <w:tr>
        <w:trPr>
          <w:trHeight w:val="69"/>
        </w:trPr>
        <w:tc>
          <w:tcPr>
            <w:tcW w:w="4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Adjusted operating profit</w:t>
            </w:r>
            <w:r>
              <w:rPr>
                <w:rFonts w:ascii="Arial" w:cs="Arial" w:eastAsia="Arial" w:hAnsi="Arial"/>
                <w:sz w:val="18"/>
                <w:szCs w:val="18"/>
                <w:b w:val="1"/>
                <w:bCs w:val="1"/>
                <w:color w:val="auto"/>
                <w:vertAlign w:val="superscript"/>
              </w:rPr>
              <w:t>(1)</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1,443</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168</w:t>
            </w:r>
          </w:p>
        </w:tc>
        <w:tc>
          <w:tcPr>
            <w:tcW w:w="44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b w:val="1"/>
                <w:bCs w:val="1"/>
                <w:color w:val="auto"/>
              </w:rPr>
              <w:t>1,275</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759 %</w:t>
            </w:r>
          </w:p>
        </w:tc>
      </w:tr>
      <w:tr>
        <w:trPr>
          <w:trHeight w:val="195"/>
        </w:trPr>
        <w:tc>
          <w:tcPr>
            <w:tcW w:w="4260" w:type="dxa"/>
            <w:vAlign w:val="bottom"/>
          </w:tcPr>
          <w:p>
            <w:pPr>
              <w:spacing w:after="0"/>
              <w:rPr>
                <w:sz w:val="20"/>
                <w:szCs w:val="20"/>
                <w:color w:val="auto"/>
              </w:rPr>
            </w:pPr>
            <w:r>
              <w:rPr>
                <w:rFonts w:ascii="Arial" w:cs="Arial" w:eastAsia="Arial" w:hAnsi="Arial"/>
                <w:sz w:val="14"/>
                <w:szCs w:val="14"/>
                <w:i w:val="1"/>
                <w:iCs w:val="1"/>
                <w:color w:val="auto"/>
              </w:rPr>
              <w:t>Adjusted operating margin</w:t>
            </w:r>
          </w:p>
        </w:tc>
        <w:tc>
          <w:tcPr>
            <w:tcW w:w="860" w:type="dxa"/>
            <w:vAlign w:val="bottom"/>
          </w:tcPr>
          <w:p>
            <w:pPr>
              <w:spacing w:after="0"/>
              <w:rPr>
                <w:sz w:val="16"/>
                <w:szCs w:val="16"/>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i w:val="1"/>
                <w:iCs w:val="1"/>
                <w:color w:val="auto"/>
              </w:rPr>
              <w:t>17.8 %</w:t>
            </w:r>
          </w:p>
        </w:tc>
        <w:tc>
          <w:tcPr>
            <w:tcW w:w="260" w:type="dxa"/>
            <w:vAlign w:val="bottom"/>
          </w:tcPr>
          <w:p>
            <w:pPr>
              <w:spacing w:after="0"/>
              <w:rPr>
                <w:sz w:val="16"/>
                <w:szCs w:val="16"/>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i w:val="1"/>
                <w:iCs w:val="1"/>
                <w:color w:val="auto"/>
              </w:rPr>
              <w:t>2.6 %</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+1,520bps</w:t>
            </w:r>
          </w:p>
        </w:tc>
      </w:tr>
      <w:tr>
        <w:trPr>
          <w:trHeight w:val="69"/>
        </w:trPr>
        <w:tc>
          <w:tcPr>
            <w:tcW w:w="4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Net income (loss)</w:t>
            </w:r>
            <w:r>
              <w:rPr>
                <w:rFonts w:ascii="Arial" w:cs="Arial" w:eastAsia="Arial" w:hAnsi="Arial"/>
                <w:sz w:val="18"/>
                <w:szCs w:val="18"/>
                <w:b w:val="1"/>
                <w:bCs w:val="1"/>
                <w:color w:val="auto"/>
                <w:vertAlign w:val="superscript"/>
              </w:rPr>
              <w:t>(2)</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1,446</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(254)</w:t>
            </w:r>
          </w:p>
        </w:tc>
        <w:tc>
          <w:tcPr>
            <w:tcW w:w="44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b w:val="1"/>
                <w:bCs w:val="1"/>
                <w:color w:val="auto"/>
              </w:rPr>
              <w:t>1,700</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669 %</w:t>
            </w:r>
          </w:p>
        </w:tc>
      </w:tr>
      <w:tr>
        <w:trPr>
          <w:trHeight w:val="194"/>
        </w:trPr>
        <w:tc>
          <w:tcPr>
            <w:tcW w:w="4260" w:type="dxa"/>
            <w:vAlign w:val="bottom"/>
          </w:tcPr>
          <w:p>
            <w:pPr>
              <w:spacing w:after="0"/>
              <w:rPr>
                <w:sz w:val="20"/>
                <w:szCs w:val="20"/>
                <w:color w:val="auto"/>
              </w:rPr>
            </w:pPr>
            <w:r>
              <w:rPr>
                <w:rFonts w:ascii="Arial" w:cs="Arial" w:eastAsia="Arial" w:hAnsi="Arial"/>
                <w:sz w:val="14"/>
                <w:szCs w:val="14"/>
                <w:i w:val="1"/>
                <w:iCs w:val="1"/>
                <w:color w:val="auto"/>
              </w:rPr>
              <w:t>Net income margin</w:t>
            </w:r>
          </w:p>
        </w:tc>
        <w:tc>
          <w:tcPr>
            <w:tcW w:w="860" w:type="dxa"/>
            <w:vAlign w:val="bottom"/>
          </w:tcPr>
          <w:p>
            <w:pPr>
              <w:spacing w:after="0"/>
              <w:rPr>
                <w:sz w:val="16"/>
                <w:szCs w:val="16"/>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i w:val="1"/>
                <w:iCs w:val="1"/>
                <w:color w:val="auto"/>
              </w:rPr>
              <w:t>17.8 %</w:t>
            </w:r>
          </w:p>
        </w:tc>
        <w:tc>
          <w:tcPr>
            <w:tcW w:w="260" w:type="dxa"/>
            <w:vAlign w:val="bottom"/>
          </w:tcPr>
          <w:p>
            <w:pPr>
              <w:spacing w:after="0"/>
              <w:rPr>
                <w:sz w:val="16"/>
                <w:szCs w:val="16"/>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i w:val="1"/>
                <w:iCs w:val="1"/>
                <w:color w:val="auto"/>
              </w:rPr>
              <w:t>(3.9)%</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+2,170bps</w:t>
            </w:r>
          </w:p>
        </w:tc>
      </w:tr>
      <w:tr>
        <w:trPr>
          <w:trHeight w:val="69"/>
        </w:trPr>
        <w:tc>
          <w:tcPr>
            <w:tcW w:w="4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Adjusted net income (loss)</w:t>
            </w:r>
            <w:r>
              <w:rPr>
                <w:rFonts w:ascii="Arial" w:cs="Arial" w:eastAsia="Arial" w:hAnsi="Arial"/>
                <w:sz w:val="18"/>
                <w:szCs w:val="18"/>
                <w:b w:val="1"/>
                <w:bCs w:val="1"/>
                <w:color w:val="auto"/>
                <w:vertAlign w:val="superscript"/>
              </w:rPr>
              <w:t>(1)(2)(3)</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1,717</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(26)</w:t>
            </w:r>
          </w:p>
        </w:tc>
        <w:tc>
          <w:tcPr>
            <w:tcW w:w="44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b w:val="1"/>
                <w:bCs w:val="1"/>
                <w:color w:val="auto"/>
              </w:rPr>
              <w:t>1,743</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6,704 %</w:t>
            </w:r>
          </w:p>
        </w:tc>
      </w:tr>
      <w:tr>
        <w:trPr>
          <w:trHeight w:val="194"/>
        </w:trPr>
        <w:tc>
          <w:tcPr>
            <w:tcW w:w="4260" w:type="dxa"/>
            <w:vAlign w:val="bottom"/>
          </w:tcPr>
          <w:p>
            <w:pPr>
              <w:spacing w:after="0"/>
              <w:rPr>
                <w:sz w:val="20"/>
                <w:szCs w:val="20"/>
                <w:color w:val="auto"/>
              </w:rPr>
            </w:pPr>
            <w:r>
              <w:rPr>
                <w:rFonts w:ascii="Arial" w:cs="Arial" w:eastAsia="Arial" w:hAnsi="Arial"/>
                <w:sz w:val="14"/>
                <w:szCs w:val="14"/>
                <w:i w:val="1"/>
                <w:iCs w:val="1"/>
                <w:color w:val="auto"/>
              </w:rPr>
              <w:t>Adjusted net income(loss) margin</w:t>
            </w:r>
          </w:p>
        </w:tc>
        <w:tc>
          <w:tcPr>
            <w:tcW w:w="860" w:type="dxa"/>
            <w:vAlign w:val="bottom"/>
          </w:tcPr>
          <w:p>
            <w:pPr>
              <w:spacing w:after="0"/>
              <w:rPr>
                <w:sz w:val="16"/>
                <w:szCs w:val="16"/>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i w:val="1"/>
                <w:iCs w:val="1"/>
                <w:color w:val="auto"/>
              </w:rPr>
              <w:t>21.2 %</w:t>
            </w:r>
          </w:p>
        </w:tc>
        <w:tc>
          <w:tcPr>
            <w:tcW w:w="260" w:type="dxa"/>
            <w:vAlign w:val="bottom"/>
          </w:tcPr>
          <w:p>
            <w:pPr>
              <w:spacing w:after="0"/>
              <w:rPr>
                <w:sz w:val="16"/>
                <w:szCs w:val="16"/>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i w:val="1"/>
                <w:iCs w:val="1"/>
                <w:color w:val="auto"/>
              </w:rPr>
              <w:t>(0.4)%</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+2,160bps</w:t>
            </w:r>
          </w:p>
        </w:tc>
      </w:tr>
      <w:tr>
        <w:trPr>
          <w:trHeight w:val="69"/>
        </w:trPr>
        <w:tc>
          <w:tcPr>
            <w:tcW w:w="4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r>
      <w:tr>
        <w:trPr>
          <w:trHeight w:val="203"/>
        </w:trPr>
        <w:tc>
          <w:tcPr>
            <w:tcW w:w="4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Diluted EPS</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2.62</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(0.49)</w:t>
            </w:r>
          </w:p>
        </w:tc>
        <w:tc>
          <w:tcPr>
            <w:tcW w:w="44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b w:val="1"/>
                <w:bCs w:val="1"/>
                <w:color w:val="auto"/>
              </w:rPr>
              <w:t>3.11</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635 %</w:t>
            </w:r>
          </w:p>
        </w:tc>
      </w:tr>
      <w:tr>
        <w:trPr>
          <w:trHeight w:val="61"/>
        </w:trPr>
        <w:tc>
          <w:tcPr>
            <w:tcW w:w="4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Adjusted diluted earnings per share</w:t>
            </w:r>
            <w:r>
              <w:rPr>
                <w:rFonts w:ascii="Arial" w:cs="Arial" w:eastAsia="Arial" w:hAnsi="Arial"/>
                <w:sz w:val="18"/>
                <w:szCs w:val="18"/>
                <w:b w:val="1"/>
                <w:bCs w:val="1"/>
                <w:color w:val="auto"/>
                <w:vertAlign w:val="superscript"/>
              </w:rPr>
              <w:t>(1)</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3.11</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(0.05)</w:t>
            </w:r>
          </w:p>
        </w:tc>
        <w:tc>
          <w:tcPr>
            <w:tcW w:w="44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b w:val="1"/>
                <w:bCs w:val="1"/>
                <w:color w:val="auto"/>
              </w:rPr>
              <w:t>3.16</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6,320 %</w:t>
            </w:r>
          </w:p>
        </w:tc>
      </w:tr>
      <w:tr>
        <w:trPr>
          <w:trHeight w:val="61"/>
        </w:trPr>
        <w:tc>
          <w:tcPr>
            <w:tcW w:w="4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18"/>
                <w:szCs w:val="18"/>
                <w:b w:val="1"/>
                <w:bCs w:val="1"/>
                <w:color w:val="auto"/>
                <w:vertAlign w:val="superscript"/>
              </w:rPr>
              <w:t>(1)(4)</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3,088</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1,848</w:t>
            </w:r>
          </w:p>
        </w:tc>
        <w:tc>
          <w:tcPr>
            <w:tcW w:w="44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b w:val="1"/>
                <w:bCs w:val="1"/>
                <w:color w:val="auto"/>
              </w:rPr>
              <w:t>1,240</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67 %</w:t>
            </w:r>
          </w:p>
        </w:tc>
      </w:tr>
      <w:tr>
        <w:trPr>
          <w:trHeight w:val="194"/>
        </w:trPr>
        <w:tc>
          <w:tcPr>
            <w:tcW w:w="4260" w:type="dxa"/>
            <w:vAlign w:val="bottom"/>
          </w:tcPr>
          <w:p>
            <w:pPr>
              <w:spacing w:after="0"/>
              <w:rPr>
                <w:sz w:val="20"/>
                <w:szCs w:val="20"/>
                <w:color w:val="auto"/>
              </w:rPr>
            </w:pPr>
            <w:r>
              <w:rPr>
                <w:rFonts w:ascii="Arial" w:cs="Arial" w:eastAsia="Arial" w:hAnsi="Arial"/>
                <w:sz w:val="14"/>
                <w:szCs w:val="14"/>
                <w:i w:val="1"/>
                <w:iCs w:val="1"/>
                <w:color w:val="auto"/>
              </w:rPr>
              <w:t>Adjusted EBITDA margin</w:t>
            </w:r>
          </w:p>
        </w:tc>
        <w:tc>
          <w:tcPr>
            <w:tcW w:w="860" w:type="dxa"/>
            <w:vAlign w:val="bottom"/>
          </w:tcPr>
          <w:p>
            <w:pPr>
              <w:spacing w:after="0"/>
              <w:rPr>
                <w:sz w:val="16"/>
                <w:szCs w:val="16"/>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i w:val="1"/>
                <w:iCs w:val="1"/>
                <w:color w:val="auto"/>
              </w:rPr>
              <w:t>38.1 %</w:t>
            </w:r>
          </w:p>
        </w:tc>
        <w:tc>
          <w:tcPr>
            <w:tcW w:w="260" w:type="dxa"/>
            <w:vAlign w:val="bottom"/>
          </w:tcPr>
          <w:p>
            <w:pPr>
              <w:spacing w:after="0"/>
              <w:rPr>
                <w:sz w:val="16"/>
                <w:szCs w:val="16"/>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i w:val="1"/>
                <w:iCs w:val="1"/>
                <w:color w:val="auto"/>
              </w:rPr>
              <w:t>28.1 %</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+1,000bps</w:t>
            </w:r>
          </w:p>
        </w:tc>
      </w:tr>
      <w:tr>
        <w:trPr>
          <w:trHeight w:val="69"/>
        </w:trPr>
        <w:tc>
          <w:tcPr>
            <w:tcW w:w="4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r>
      <w:tr>
        <w:trPr>
          <w:trHeight w:val="203"/>
        </w:trPr>
        <w:tc>
          <w:tcPr>
            <w:tcW w:w="4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from operations</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2,624</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2,839</w:t>
            </w:r>
          </w:p>
        </w:tc>
        <w:tc>
          <w:tcPr>
            <w:tcW w:w="44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(215)</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8 %</w:t>
            </w:r>
          </w:p>
        </w:tc>
      </w:tr>
      <w:tr>
        <w:trPr>
          <w:trHeight w:val="61"/>
        </w:trPr>
        <w:tc>
          <w:tcPr>
            <w:tcW w:w="4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203"/>
        </w:trPr>
        <w:tc>
          <w:tcPr>
            <w:tcW w:w="4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Wafer shipments (300mm equivalent) (in thousands)</w:t>
            </w:r>
          </w:p>
        </w:tc>
        <w:tc>
          <w:tcPr>
            <w:tcW w:w="8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2,472</w:t>
            </w:r>
          </w:p>
        </w:tc>
        <w:tc>
          <w:tcPr>
            <w:tcW w:w="2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2,374</w:t>
            </w:r>
          </w:p>
        </w:tc>
        <w:tc>
          <w:tcPr>
            <w:tcW w:w="4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b w:val="1"/>
                <w:bCs w:val="1"/>
                <w:color w:val="auto"/>
              </w:rPr>
              <w:t>98</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4 %</w:t>
            </w:r>
          </w:p>
        </w:tc>
      </w:tr>
    </w:tbl>
    <w:p>
      <w:pPr>
        <w:spacing w:after="0" w:line="333" w:lineRule="exact"/>
        <w:rPr>
          <w:sz w:val="20"/>
          <w:szCs w:val="20"/>
          <w:color w:val="auto"/>
        </w:rPr>
      </w:pPr>
    </w:p>
    <w:p>
      <w:pPr>
        <w:ind w:left="-8" w:firstLine="8"/>
        <w:spacing w:after="0"/>
        <w:tabs>
          <w:tab w:leader="none" w:pos="114" w:val="left"/>
        </w:tabs>
        <w:numPr>
          <w:ilvl w:val="0"/>
          <w:numId w:val="4"/>
        </w:numPr>
        <w:rPr>
          <w:rFonts w:ascii="Arial" w:cs="Arial" w:eastAsia="Arial" w:hAnsi="Arial"/>
          <w:sz w:val="14"/>
          <w:szCs w:val="14"/>
          <w:color w:val="auto"/>
          <w:vertAlign w:val="superscript"/>
        </w:rPr>
      </w:pPr>
      <w:r>
        <w:rPr>
          <w:rFonts w:ascii="Arial" w:cs="Arial" w:eastAsia="Arial" w:hAnsi="Arial"/>
          <w:sz w:val="11"/>
          <w:szCs w:val="11"/>
          <w:color w:val="auto"/>
        </w:rPr>
        <w:t>Adjusted gross profit, adjusted operating profit, adjusted net income, adjusted diluted earnings per share, and adjusted EBITDA are adjusted non-IFRS metrics; please see the reconciliation of IFRS to adjusted non-IFRS metrics in the section "Unaudited Reconciliation of IFRS to Adjusted non-IFRS" below.</w:t>
      </w:r>
    </w:p>
    <w:p>
      <w:pPr>
        <w:spacing w:after="0" w:line="194" w:lineRule="exact"/>
        <w:rPr>
          <w:rFonts w:ascii="Arial" w:cs="Arial" w:eastAsia="Arial" w:hAnsi="Arial"/>
          <w:sz w:val="14"/>
          <w:szCs w:val="14"/>
          <w:color w:val="auto"/>
          <w:vertAlign w:val="superscript"/>
        </w:rPr>
      </w:pPr>
    </w:p>
    <w:p>
      <w:pPr>
        <w:ind w:left="132" w:hanging="132"/>
        <w:spacing w:after="0"/>
        <w:tabs>
          <w:tab w:leader="none" w:pos="132"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Includes the gain on sale of our EFK business in December 2022.</w:t>
      </w:r>
    </w:p>
    <w:p>
      <w:pPr>
        <w:spacing w:after="0" w:line="198" w:lineRule="exact"/>
        <w:rPr>
          <w:rFonts w:ascii="Arial" w:cs="Arial" w:eastAsia="Arial" w:hAnsi="Arial"/>
          <w:sz w:val="16"/>
          <w:szCs w:val="16"/>
          <w:color w:val="auto"/>
          <w:vertAlign w:val="superscript"/>
        </w:rPr>
      </w:pPr>
    </w:p>
    <w:p>
      <w:pPr>
        <w:jc w:val="both"/>
        <w:ind w:left="-8" w:firstLine="8"/>
        <w:spacing w:after="0" w:line="226" w:lineRule="auto"/>
        <w:tabs>
          <w:tab w:leader="none" w:pos="128" w:val="left"/>
        </w:tabs>
        <w:numPr>
          <w:ilvl w:val="0"/>
          <w:numId w:val="4"/>
        </w:numPr>
        <w:rPr>
          <w:rFonts w:ascii="Arial" w:cs="Arial" w:eastAsia="Arial" w:hAnsi="Arial"/>
          <w:sz w:val="15"/>
          <w:szCs w:val="15"/>
          <w:color w:val="auto"/>
          <w:vertAlign w:val="superscript"/>
        </w:rPr>
      </w:pPr>
      <w:r>
        <w:rPr>
          <w:rFonts w:ascii="Arial" w:cs="Arial" w:eastAsia="Arial" w:hAnsi="Arial"/>
          <w:sz w:val="12"/>
          <w:szCs w:val="12"/>
          <w:color w:val="auto"/>
        </w:rPr>
        <w:t>Beginning in Q4 2022, the Company has revised its definition of adjusted net income to include an adjustment for restructuring charges and the associated tax impact. The change was made due to a restructuring undertaken in Q4 2022. The Company believes the revised definition provides management and investors with more useful information to evaluate the operations of our business. Adjusted net income (loss) is now defined as net income (loss) adjusted for share-based compensation expense, restructuring charges and the associated tax impact.</w:t>
      </w:r>
    </w:p>
    <w:p>
      <w:pPr>
        <w:spacing w:after="0" w:line="198" w:lineRule="exact"/>
        <w:rPr>
          <w:rFonts w:ascii="Arial" w:cs="Arial" w:eastAsia="Arial" w:hAnsi="Arial"/>
          <w:sz w:val="15"/>
          <w:szCs w:val="15"/>
          <w:color w:val="auto"/>
          <w:vertAlign w:val="superscript"/>
        </w:rPr>
      </w:pPr>
    </w:p>
    <w:p>
      <w:pPr>
        <w:jc w:val="both"/>
        <w:ind w:left="-8" w:firstLine="8"/>
        <w:spacing w:after="0" w:line="242" w:lineRule="auto"/>
        <w:tabs>
          <w:tab w:leader="none" w:pos="114" w:val="left"/>
        </w:tabs>
        <w:numPr>
          <w:ilvl w:val="0"/>
          <w:numId w:val="4"/>
        </w:numPr>
        <w:rPr>
          <w:rFonts w:ascii="Arial" w:cs="Arial" w:eastAsia="Arial" w:hAnsi="Arial"/>
          <w:sz w:val="14"/>
          <w:szCs w:val="14"/>
          <w:color w:val="auto"/>
          <w:vertAlign w:val="superscript"/>
        </w:rPr>
      </w:pPr>
      <w:r>
        <w:rPr>
          <w:rFonts w:ascii="Arial" w:cs="Arial" w:eastAsia="Arial" w:hAnsi="Arial"/>
          <w:sz w:val="11"/>
          <w:szCs w:val="11"/>
          <w:color w:val="auto"/>
        </w:rPr>
        <w:t>Beginning in Q3 2022, the Company has revised its definition of adjusted EBITDA to include an adjustment for finance income. The change was made due to the Company making an investment during Q2 2022 of approximately $1.0 billion in marketable securities. The Company believes the revised definition provides management and investors more useful information to evaluate the operations of our business. Adjusted EBITDA is now defined as net income (loss), adjusted for the impact of finance expense, finance income, income tax expense, depreciation, amortization, share-based compensation expense, transaction gains and associated expenses, restructuring charges, labor optimization initiatives and litigation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Page 3 of 10</w:t>
      </w:r>
    </w:p>
    <w:p>
      <w:pPr>
        <w:sectPr>
          <w:pgSz w:w="11900" w:h="16838" w:orient="portrait"/>
          <w:cols w:equalWidth="0" w:num="1">
            <w:col w:w="11232"/>
          </w:cols>
          <w:pgMar w:left="328" w:top="1408" w:right="339" w:bottom="1440" w:gutter="0" w:footer="0" w:header="0"/>
        </w:sectPr>
      </w:pPr>
    </w:p>
    <w:bookmarkStart w:id="5" w:name="page6"/>
    <w:bookmarkEnd w:id="5"/>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Summary of First Quarter 2023 Outlook (unaudited in millions USD, except per share amounts)</w:t>
      </w:r>
      <w:r>
        <w:rPr>
          <w:rFonts w:ascii="Arial" w:cs="Arial" w:eastAsia="Arial" w:hAnsi="Arial"/>
          <w:sz w:val="21"/>
          <w:szCs w:val="21"/>
          <w:b w:val="1"/>
          <w:bCs w:val="1"/>
          <w:color w:val="auto"/>
          <w:vertAlign w:val="superscript"/>
        </w:rPr>
        <w:t>(1)</w:t>
      </w:r>
    </w:p>
    <w:p>
      <w:pPr>
        <w:spacing w:after="0" w:line="218" w:lineRule="exact"/>
        <w:rPr>
          <w:sz w:val="20"/>
          <w:szCs w:val="20"/>
          <w:color w:val="auto"/>
        </w:rPr>
      </w:pPr>
    </w:p>
    <w:tbl>
      <w:tblPr>
        <w:tblLayout w:type="fixed"/>
        <w:tblInd w:w="500" w:type="dxa"/>
        <w:tblCellMar>
          <w:top w:w="0" w:type="dxa"/>
          <w:left w:w="0" w:type="dxa"/>
          <w:bottom w:w="0" w:type="dxa"/>
          <w:right w:w="0" w:type="dxa"/>
        </w:tblCellMar>
      </w:tblPr>
      <w:tr>
        <w:trPr>
          <w:trHeight w:val="224"/>
        </w:trPr>
        <w:tc>
          <w:tcPr>
            <w:tcW w:w="27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2"/>
          </w:tcPr>
          <w:p>
            <w:pPr>
              <w:jc w:val="center"/>
              <w:ind w:left="47"/>
              <w:spacing w:after="0"/>
              <w:rPr>
                <w:sz w:val="20"/>
                <w:szCs w:val="20"/>
                <w:color w:val="auto"/>
              </w:rPr>
            </w:pPr>
            <w:r>
              <w:rPr>
                <w:rFonts w:ascii="Arial" w:cs="Arial" w:eastAsia="Arial" w:hAnsi="Arial"/>
                <w:sz w:val="16"/>
                <w:szCs w:val="16"/>
                <w:b w:val="1"/>
                <w:bCs w:val="1"/>
                <w:color w:val="auto"/>
              </w:rPr>
              <w:t>IFRS</w:t>
            </w:r>
          </w:p>
        </w:tc>
        <w:tc>
          <w:tcPr>
            <w:tcW w:w="316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Share-based compensation</w:t>
            </w:r>
          </w:p>
        </w:tc>
        <w:tc>
          <w:tcPr>
            <w:tcW w:w="212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6"/>
                <w:szCs w:val="16"/>
                <w:b w:val="1"/>
                <w:bCs w:val="1"/>
                <w:color w:val="auto"/>
              </w:rPr>
              <w:t>Non-IFRS Adjusted</w:t>
            </w:r>
          </w:p>
        </w:tc>
      </w:tr>
      <w:tr>
        <w:trPr>
          <w:trHeight w:val="203"/>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$1,810</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 $1,850</w:t>
            </w:r>
          </w:p>
        </w:tc>
        <w:tc>
          <w:tcPr>
            <w:tcW w:w="3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2120" w:type="dxa"/>
            <w:vAlign w:val="bottom"/>
            <w:gridSpan w:val="2"/>
            <w:shd w:val="clear" w:color="auto" w:fill="CCEEFF"/>
          </w:tcPr>
          <w:p>
            <w:pPr>
              <w:jc w:val="right"/>
              <w:ind w:right="748"/>
              <w:spacing w:after="0"/>
              <w:rPr>
                <w:sz w:val="20"/>
                <w:szCs w:val="20"/>
                <w:color w:val="auto"/>
              </w:rPr>
            </w:pPr>
            <w:r>
              <w:rPr>
                <w:rFonts w:ascii="Arial" w:cs="Arial" w:eastAsia="Arial" w:hAnsi="Arial"/>
                <w:sz w:val="14"/>
                <w:szCs w:val="14"/>
                <w:b w:val="1"/>
                <w:bCs w:val="1"/>
                <w:color w:val="auto"/>
              </w:rPr>
              <w:t>—</w:t>
            </w:r>
          </w:p>
        </w:tc>
      </w:tr>
      <w:tr>
        <w:trPr>
          <w:trHeight w:val="201"/>
        </w:trPr>
        <w:tc>
          <w:tcPr>
            <w:tcW w:w="2780" w:type="dxa"/>
            <w:vAlign w:val="bottom"/>
          </w:tcPr>
          <w:p>
            <w:pPr>
              <w:ind w:left="20"/>
              <w:spacing w:after="0"/>
              <w:rPr>
                <w:sz w:val="20"/>
                <w:szCs w:val="20"/>
                <w:color w:val="auto"/>
              </w:rPr>
            </w:pPr>
            <w:r>
              <w:rPr>
                <w:rFonts w:ascii="Arial" w:cs="Arial" w:eastAsia="Arial" w:hAnsi="Arial"/>
                <w:sz w:val="14"/>
                <w:szCs w:val="14"/>
                <w:b w:val="1"/>
                <w:bCs w:val="1"/>
                <w:color w:val="auto"/>
              </w:rPr>
              <w:t>Gross Profit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$481</w:t>
            </w:r>
          </w:p>
        </w:tc>
        <w:tc>
          <w:tcPr>
            <w:tcW w:w="1080" w:type="dxa"/>
            <w:vAlign w:val="bottom"/>
          </w:tcPr>
          <w:p>
            <w:pPr>
              <w:ind w:left="20"/>
              <w:spacing w:after="0"/>
              <w:rPr>
                <w:sz w:val="20"/>
                <w:szCs w:val="20"/>
                <w:color w:val="auto"/>
              </w:rPr>
            </w:pPr>
            <w:r>
              <w:rPr>
                <w:rFonts w:ascii="Arial" w:cs="Arial" w:eastAsia="Arial" w:hAnsi="Arial"/>
                <w:sz w:val="14"/>
                <w:szCs w:val="14"/>
                <w:b w:val="1"/>
                <w:bCs w:val="1"/>
                <w:color w:val="auto"/>
              </w:rPr>
              <w:t>- $512</w:t>
            </w:r>
          </w:p>
        </w:tc>
        <w:tc>
          <w:tcPr>
            <w:tcW w:w="3160" w:type="dxa"/>
            <w:vAlign w:val="bottom"/>
          </w:tcPr>
          <w:p>
            <w:pPr>
              <w:jc w:val="center"/>
              <w:spacing w:after="0"/>
              <w:rPr>
                <w:sz w:val="20"/>
                <w:szCs w:val="20"/>
                <w:color w:val="auto"/>
              </w:rPr>
            </w:pPr>
            <w:r>
              <w:rPr>
                <w:rFonts w:ascii="Arial" w:cs="Arial" w:eastAsia="Arial" w:hAnsi="Arial"/>
                <w:sz w:val="14"/>
                <w:szCs w:val="14"/>
                <w:b w:val="1"/>
                <w:bCs w:val="1"/>
                <w:color w:val="auto"/>
              </w:rPr>
              <w:t>$15- $17</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$498</w:t>
            </w:r>
          </w:p>
        </w:tc>
        <w:tc>
          <w:tcPr>
            <w:tcW w:w="940" w:type="dxa"/>
            <w:vAlign w:val="bottom"/>
          </w:tcPr>
          <w:p>
            <w:pPr>
              <w:ind w:left="20"/>
              <w:spacing w:after="0"/>
              <w:rPr>
                <w:sz w:val="20"/>
                <w:szCs w:val="20"/>
                <w:color w:val="auto"/>
              </w:rPr>
            </w:pPr>
            <w:r>
              <w:rPr>
                <w:rFonts w:ascii="Arial" w:cs="Arial" w:eastAsia="Arial" w:hAnsi="Arial"/>
                <w:sz w:val="14"/>
                <w:szCs w:val="14"/>
                <w:b w:val="1"/>
                <w:bCs w:val="1"/>
                <w:color w:val="auto"/>
              </w:rPr>
              <w:t>- $527</w:t>
            </w:r>
          </w:p>
        </w:tc>
      </w:tr>
      <w:tr>
        <w:trPr>
          <w:trHeight w:val="204"/>
        </w:trPr>
        <w:tc>
          <w:tcPr>
            <w:tcW w:w="278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Gross Margin (mid-point)</w:t>
            </w:r>
          </w:p>
        </w:tc>
        <w:tc>
          <w:tcPr>
            <w:tcW w:w="2180" w:type="dxa"/>
            <w:vAlign w:val="bottom"/>
            <w:gridSpan w:val="2"/>
            <w:shd w:val="clear" w:color="auto" w:fill="CCEEFF"/>
          </w:tcPr>
          <w:p>
            <w:pPr>
              <w:jc w:val="center"/>
              <w:ind w:left="47"/>
              <w:spacing w:after="0"/>
              <w:rPr>
                <w:sz w:val="20"/>
                <w:szCs w:val="20"/>
                <w:color w:val="auto"/>
              </w:rPr>
            </w:pPr>
            <w:r>
              <w:rPr>
                <w:rFonts w:ascii="Arial" w:cs="Arial" w:eastAsia="Arial" w:hAnsi="Arial"/>
                <w:sz w:val="14"/>
                <w:szCs w:val="14"/>
                <w:i w:val="1"/>
                <w:iCs w:val="1"/>
                <w:color w:val="auto"/>
              </w:rPr>
              <w:t>27.1%</w:t>
            </w:r>
          </w:p>
        </w:tc>
        <w:tc>
          <w:tcPr>
            <w:tcW w:w="316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right"/>
              <w:ind w:right="628"/>
              <w:spacing w:after="0"/>
              <w:rPr>
                <w:sz w:val="20"/>
                <w:szCs w:val="20"/>
                <w:color w:val="auto"/>
              </w:rPr>
            </w:pPr>
            <w:r>
              <w:rPr>
                <w:rFonts w:ascii="Arial" w:cs="Arial" w:eastAsia="Arial" w:hAnsi="Arial"/>
                <w:sz w:val="14"/>
                <w:szCs w:val="14"/>
                <w:i w:val="1"/>
                <w:iCs w:val="1"/>
                <w:color w:val="auto"/>
              </w:rPr>
              <w:t>28.0%</w:t>
            </w:r>
          </w:p>
        </w:tc>
      </w:tr>
      <w:tr>
        <w:trPr>
          <w:trHeight w:val="201"/>
        </w:trPr>
        <w:tc>
          <w:tcPr>
            <w:tcW w:w="2780" w:type="dxa"/>
            <w:vAlign w:val="bottom"/>
          </w:tcPr>
          <w:p>
            <w:pPr>
              <w:ind w:left="20"/>
              <w:spacing w:after="0"/>
              <w:rPr>
                <w:sz w:val="20"/>
                <w:szCs w:val="20"/>
                <w:color w:val="auto"/>
              </w:rPr>
            </w:pPr>
            <w:r>
              <w:rPr>
                <w:rFonts w:ascii="Arial" w:cs="Arial" w:eastAsia="Arial" w:hAnsi="Arial"/>
                <w:sz w:val="14"/>
                <w:szCs w:val="14"/>
                <w:b w:val="1"/>
                <w:bCs w:val="1"/>
                <w:color w:val="auto"/>
              </w:rPr>
              <w:t>Operating Profit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$233</w:t>
            </w:r>
          </w:p>
        </w:tc>
        <w:tc>
          <w:tcPr>
            <w:tcW w:w="1080" w:type="dxa"/>
            <w:vAlign w:val="bottom"/>
          </w:tcPr>
          <w:p>
            <w:pPr>
              <w:ind w:left="20"/>
              <w:spacing w:after="0"/>
              <w:rPr>
                <w:sz w:val="20"/>
                <w:szCs w:val="20"/>
                <w:color w:val="auto"/>
              </w:rPr>
            </w:pPr>
            <w:r>
              <w:rPr>
                <w:rFonts w:ascii="Arial" w:cs="Arial" w:eastAsia="Arial" w:hAnsi="Arial"/>
                <w:sz w:val="14"/>
                <w:szCs w:val="14"/>
                <w:b w:val="1"/>
                <w:bCs w:val="1"/>
                <w:color w:val="auto"/>
              </w:rPr>
              <w:t>- $282</w:t>
            </w:r>
          </w:p>
        </w:tc>
        <w:tc>
          <w:tcPr>
            <w:tcW w:w="3160" w:type="dxa"/>
            <w:vAlign w:val="bottom"/>
          </w:tcPr>
          <w:p>
            <w:pPr>
              <w:jc w:val="center"/>
              <w:spacing w:after="0"/>
              <w:rPr>
                <w:sz w:val="20"/>
                <w:szCs w:val="20"/>
                <w:color w:val="auto"/>
              </w:rPr>
            </w:pPr>
            <w:r>
              <w:rPr>
                <w:rFonts w:ascii="Arial" w:cs="Arial" w:eastAsia="Arial" w:hAnsi="Arial"/>
                <w:sz w:val="14"/>
                <w:szCs w:val="14"/>
                <w:b w:val="1"/>
                <w:bCs w:val="1"/>
                <w:color w:val="auto"/>
              </w:rPr>
              <w:t>$40 - $50</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$283</w:t>
            </w:r>
          </w:p>
        </w:tc>
        <w:tc>
          <w:tcPr>
            <w:tcW w:w="940" w:type="dxa"/>
            <w:vAlign w:val="bottom"/>
          </w:tcPr>
          <w:p>
            <w:pPr>
              <w:ind w:left="20"/>
              <w:spacing w:after="0"/>
              <w:rPr>
                <w:sz w:val="20"/>
                <w:szCs w:val="20"/>
                <w:color w:val="auto"/>
              </w:rPr>
            </w:pPr>
            <w:r>
              <w:rPr>
                <w:rFonts w:ascii="Arial" w:cs="Arial" w:eastAsia="Arial" w:hAnsi="Arial"/>
                <w:sz w:val="14"/>
                <w:szCs w:val="14"/>
                <w:b w:val="1"/>
                <w:bCs w:val="1"/>
                <w:color w:val="auto"/>
              </w:rPr>
              <w:t>- $322</w:t>
            </w:r>
          </w:p>
        </w:tc>
      </w:tr>
      <w:tr>
        <w:trPr>
          <w:trHeight w:val="204"/>
        </w:trPr>
        <w:tc>
          <w:tcPr>
            <w:tcW w:w="278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Margin (mid-point)</w:t>
            </w:r>
          </w:p>
        </w:tc>
        <w:tc>
          <w:tcPr>
            <w:tcW w:w="2180" w:type="dxa"/>
            <w:vAlign w:val="bottom"/>
            <w:gridSpan w:val="2"/>
            <w:shd w:val="clear" w:color="auto" w:fill="CCEEFF"/>
          </w:tcPr>
          <w:p>
            <w:pPr>
              <w:jc w:val="center"/>
              <w:ind w:left="47"/>
              <w:spacing w:after="0"/>
              <w:rPr>
                <w:sz w:val="20"/>
                <w:szCs w:val="20"/>
                <w:color w:val="auto"/>
              </w:rPr>
            </w:pPr>
            <w:r>
              <w:rPr>
                <w:rFonts w:ascii="Arial" w:cs="Arial" w:eastAsia="Arial" w:hAnsi="Arial"/>
                <w:sz w:val="14"/>
                <w:szCs w:val="14"/>
                <w:i w:val="1"/>
                <w:iCs w:val="1"/>
                <w:color w:val="auto"/>
              </w:rPr>
              <w:t>14.1%</w:t>
            </w:r>
          </w:p>
        </w:tc>
        <w:tc>
          <w:tcPr>
            <w:tcW w:w="316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right"/>
              <w:ind w:right="628"/>
              <w:spacing w:after="0"/>
              <w:rPr>
                <w:sz w:val="20"/>
                <w:szCs w:val="20"/>
                <w:color w:val="auto"/>
              </w:rPr>
            </w:pPr>
            <w:r>
              <w:rPr>
                <w:rFonts w:ascii="Arial" w:cs="Arial" w:eastAsia="Arial" w:hAnsi="Arial"/>
                <w:sz w:val="14"/>
                <w:szCs w:val="14"/>
                <w:i w:val="1"/>
                <w:iCs w:val="1"/>
                <w:color w:val="auto"/>
              </w:rPr>
              <w:t>16.5%</w:t>
            </w:r>
          </w:p>
        </w:tc>
      </w:tr>
      <w:tr>
        <w:trPr>
          <w:trHeight w:val="201"/>
        </w:trPr>
        <w:tc>
          <w:tcPr>
            <w:tcW w:w="2780" w:type="dxa"/>
            <w:vAlign w:val="bottom"/>
          </w:tcPr>
          <w:p>
            <w:pPr>
              <w:ind w:left="20"/>
              <w:spacing w:after="0"/>
              <w:rPr>
                <w:sz w:val="20"/>
                <w:szCs w:val="20"/>
                <w:color w:val="auto"/>
              </w:rPr>
            </w:pPr>
            <w:r>
              <w:rPr>
                <w:rFonts w:ascii="Arial" w:cs="Arial" w:eastAsia="Arial" w:hAnsi="Arial"/>
                <w:sz w:val="14"/>
                <w:szCs w:val="14"/>
                <w:b w:val="1"/>
                <w:bCs w:val="1"/>
                <w:color w:val="auto"/>
              </w:rPr>
              <w:t>Net Income</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$202</w:t>
            </w:r>
          </w:p>
        </w:tc>
        <w:tc>
          <w:tcPr>
            <w:tcW w:w="1080" w:type="dxa"/>
            <w:vAlign w:val="bottom"/>
          </w:tcPr>
          <w:p>
            <w:pPr>
              <w:ind w:left="20"/>
              <w:spacing w:after="0"/>
              <w:rPr>
                <w:sz w:val="20"/>
                <w:szCs w:val="20"/>
                <w:color w:val="auto"/>
              </w:rPr>
            </w:pPr>
            <w:r>
              <w:rPr>
                <w:rFonts w:ascii="Arial" w:cs="Arial" w:eastAsia="Arial" w:hAnsi="Arial"/>
                <w:sz w:val="14"/>
                <w:szCs w:val="14"/>
                <w:b w:val="1"/>
                <w:bCs w:val="1"/>
                <w:color w:val="auto"/>
              </w:rPr>
              <w:t>- $257</w:t>
            </w:r>
          </w:p>
        </w:tc>
        <w:tc>
          <w:tcPr>
            <w:tcW w:w="3160" w:type="dxa"/>
            <w:vAlign w:val="bottom"/>
          </w:tcPr>
          <w:p>
            <w:pPr>
              <w:jc w:val="center"/>
              <w:spacing w:after="0"/>
              <w:rPr>
                <w:sz w:val="20"/>
                <w:szCs w:val="20"/>
                <w:color w:val="auto"/>
              </w:rPr>
            </w:pPr>
            <w:r>
              <w:rPr>
                <w:rFonts w:ascii="Arial" w:cs="Arial" w:eastAsia="Arial" w:hAnsi="Arial"/>
                <w:sz w:val="14"/>
                <w:szCs w:val="14"/>
                <w:b w:val="1"/>
                <w:bCs w:val="1"/>
                <w:color w:val="auto"/>
              </w:rPr>
              <w:t>$40 - $50</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$252</w:t>
            </w:r>
          </w:p>
        </w:tc>
        <w:tc>
          <w:tcPr>
            <w:tcW w:w="940" w:type="dxa"/>
            <w:vAlign w:val="bottom"/>
          </w:tcPr>
          <w:p>
            <w:pPr>
              <w:ind w:left="20"/>
              <w:spacing w:after="0"/>
              <w:rPr>
                <w:sz w:val="20"/>
                <w:szCs w:val="20"/>
                <w:color w:val="auto"/>
              </w:rPr>
            </w:pPr>
            <w:r>
              <w:rPr>
                <w:rFonts w:ascii="Arial" w:cs="Arial" w:eastAsia="Arial" w:hAnsi="Arial"/>
                <w:sz w:val="14"/>
                <w:szCs w:val="14"/>
                <w:b w:val="1"/>
                <w:bCs w:val="1"/>
                <w:color w:val="auto"/>
              </w:rPr>
              <w:t>- $297</w:t>
            </w:r>
          </w:p>
        </w:tc>
      </w:tr>
      <w:tr>
        <w:trPr>
          <w:trHeight w:val="204"/>
        </w:trPr>
        <w:tc>
          <w:tcPr>
            <w:tcW w:w="278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Net Income Margin (mid-point)</w:t>
            </w:r>
          </w:p>
        </w:tc>
        <w:tc>
          <w:tcPr>
            <w:tcW w:w="2180" w:type="dxa"/>
            <w:vAlign w:val="bottom"/>
            <w:gridSpan w:val="2"/>
            <w:shd w:val="clear" w:color="auto" w:fill="CCEEFF"/>
          </w:tcPr>
          <w:p>
            <w:pPr>
              <w:jc w:val="center"/>
              <w:ind w:left="47"/>
              <w:spacing w:after="0"/>
              <w:rPr>
                <w:sz w:val="20"/>
                <w:szCs w:val="20"/>
                <w:color w:val="auto"/>
              </w:rPr>
            </w:pPr>
            <w:r>
              <w:rPr>
                <w:rFonts w:ascii="Arial" w:cs="Arial" w:eastAsia="Arial" w:hAnsi="Arial"/>
                <w:sz w:val="14"/>
                <w:szCs w:val="14"/>
                <w:i w:val="1"/>
                <w:iCs w:val="1"/>
                <w:color w:val="auto"/>
              </w:rPr>
              <w:t>12.5%</w:t>
            </w:r>
          </w:p>
        </w:tc>
        <w:tc>
          <w:tcPr>
            <w:tcW w:w="316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right"/>
              <w:ind w:right="628"/>
              <w:spacing w:after="0"/>
              <w:rPr>
                <w:sz w:val="20"/>
                <w:szCs w:val="20"/>
                <w:color w:val="auto"/>
              </w:rPr>
            </w:pPr>
            <w:r>
              <w:rPr>
                <w:rFonts w:ascii="Arial" w:cs="Arial" w:eastAsia="Arial" w:hAnsi="Arial"/>
                <w:sz w:val="14"/>
                <w:szCs w:val="14"/>
                <w:i w:val="1"/>
                <w:iCs w:val="1"/>
                <w:color w:val="auto"/>
              </w:rPr>
              <w:t>15.0%</w:t>
            </w:r>
          </w:p>
        </w:tc>
      </w:tr>
      <w:tr>
        <w:trPr>
          <w:trHeight w:val="201"/>
        </w:trPr>
        <w:tc>
          <w:tcPr>
            <w:tcW w:w="2780" w:type="dxa"/>
            <w:vAlign w:val="bottom"/>
          </w:tcPr>
          <w:p>
            <w:pPr>
              <w:ind w:left="20"/>
              <w:spacing w:after="0"/>
              <w:rPr>
                <w:sz w:val="20"/>
                <w:szCs w:val="20"/>
                <w:color w:val="auto"/>
              </w:rPr>
            </w:pPr>
            <w:r>
              <w:rPr>
                <w:rFonts w:ascii="Arial" w:cs="Arial" w:eastAsia="Arial" w:hAnsi="Arial"/>
                <w:sz w:val="14"/>
                <w:szCs w:val="14"/>
                <w:b w:val="1"/>
                <w:bCs w:val="1"/>
                <w:color w:val="auto"/>
              </w:rPr>
              <w:t>Diluted EPS</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$0.36</w:t>
            </w:r>
          </w:p>
        </w:tc>
        <w:tc>
          <w:tcPr>
            <w:tcW w:w="1080" w:type="dxa"/>
            <w:vAlign w:val="bottom"/>
          </w:tcPr>
          <w:p>
            <w:pPr>
              <w:ind w:left="20"/>
              <w:spacing w:after="0"/>
              <w:rPr>
                <w:sz w:val="20"/>
                <w:szCs w:val="20"/>
                <w:color w:val="auto"/>
              </w:rPr>
            </w:pPr>
            <w:r>
              <w:rPr>
                <w:rFonts w:ascii="Arial" w:cs="Arial" w:eastAsia="Arial" w:hAnsi="Arial"/>
                <w:sz w:val="14"/>
                <w:szCs w:val="14"/>
                <w:b w:val="1"/>
                <w:bCs w:val="1"/>
                <w:color w:val="auto"/>
              </w:rPr>
              <w:t>- $0.46</w:t>
            </w:r>
          </w:p>
        </w:tc>
        <w:tc>
          <w:tcPr>
            <w:tcW w:w="3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$0.45</w:t>
            </w:r>
          </w:p>
        </w:tc>
        <w:tc>
          <w:tcPr>
            <w:tcW w:w="940" w:type="dxa"/>
            <w:vAlign w:val="bottom"/>
          </w:tcPr>
          <w:p>
            <w:pPr>
              <w:ind w:left="20"/>
              <w:spacing w:after="0"/>
              <w:rPr>
                <w:sz w:val="20"/>
                <w:szCs w:val="20"/>
                <w:color w:val="auto"/>
              </w:rPr>
            </w:pPr>
            <w:r>
              <w:rPr>
                <w:rFonts w:ascii="Arial" w:cs="Arial" w:eastAsia="Arial" w:hAnsi="Arial"/>
                <w:sz w:val="14"/>
                <w:szCs w:val="14"/>
                <w:b w:val="1"/>
                <w:bCs w:val="1"/>
                <w:color w:val="auto"/>
              </w:rPr>
              <w:t>- $0.53</w:t>
            </w:r>
          </w:p>
        </w:tc>
      </w:tr>
      <w:tr>
        <w:trPr>
          <w:trHeight w:val="204"/>
        </w:trPr>
        <w:tc>
          <w:tcPr>
            <w:tcW w:w="2780" w:type="dxa"/>
            <w:vAlign w:val="bottom"/>
            <w:shd w:val="clear" w:color="auto" w:fill="CCEEFF"/>
          </w:tcPr>
          <w:p>
            <w:pPr>
              <w:ind w:left="20"/>
              <w:spacing w:after="0" w:line="203" w:lineRule="exact"/>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18"/>
                <w:szCs w:val="18"/>
                <w:b w:val="1"/>
                <w:bCs w:val="1"/>
                <w:color w:val="auto"/>
                <w:vertAlign w:val="superscript"/>
              </w:rPr>
              <w:t>(2)</w:t>
            </w:r>
          </w:p>
        </w:tc>
        <w:tc>
          <w:tcPr>
            <w:tcW w:w="2180" w:type="dxa"/>
            <w:vAlign w:val="bottom"/>
            <w:gridSpan w:val="2"/>
            <w:shd w:val="clear" w:color="auto" w:fill="CCEEFF"/>
          </w:tcPr>
          <w:p>
            <w:pPr>
              <w:jc w:val="center"/>
              <w:ind w:left="47"/>
              <w:spacing w:after="0"/>
              <w:rPr>
                <w:sz w:val="20"/>
                <w:szCs w:val="20"/>
                <w:color w:val="auto"/>
              </w:rPr>
            </w:pPr>
            <w:r>
              <w:rPr>
                <w:rFonts w:ascii="Arial" w:cs="Arial" w:eastAsia="Arial" w:hAnsi="Arial"/>
                <w:sz w:val="14"/>
                <w:szCs w:val="14"/>
                <w:b w:val="1"/>
                <w:bCs w:val="1"/>
                <w:color w:val="auto"/>
              </w:rPr>
              <w:t>NA</w:t>
            </w:r>
          </w:p>
        </w:tc>
        <w:tc>
          <w:tcPr>
            <w:tcW w:w="3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$667</w:t>
            </w:r>
          </w:p>
        </w:tc>
        <w:tc>
          <w:tcPr>
            <w:tcW w:w="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 $722</w:t>
            </w:r>
          </w:p>
        </w:tc>
      </w:tr>
      <w:tr>
        <w:trPr>
          <w:trHeight w:val="194"/>
        </w:trPr>
        <w:tc>
          <w:tcPr>
            <w:tcW w:w="2780" w:type="dxa"/>
            <w:vAlign w:val="bottom"/>
          </w:tcPr>
          <w:p>
            <w:pPr>
              <w:ind w:left="140"/>
              <w:spacing w:after="0"/>
              <w:rPr>
                <w:sz w:val="20"/>
                <w:szCs w:val="20"/>
                <w:color w:val="auto"/>
              </w:rPr>
            </w:pPr>
            <w:r>
              <w:rPr>
                <w:rFonts w:ascii="Arial" w:cs="Arial" w:eastAsia="Arial" w:hAnsi="Arial"/>
                <w:sz w:val="14"/>
                <w:szCs w:val="14"/>
                <w:i w:val="1"/>
                <w:iCs w:val="1"/>
                <w:color w:val="auto"/>
              </w:rPr>
              <w:t>Adj. EBITDA Margin (mid-point)</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120" w:type="dxa"/>
            <w:vAlign w:val="bottom"/>
            <w:gridSpan w:val="2"/>
          </w:tcPr>
          <w:p>
            <w:pPr>
              <w:jc w:val="right"/>
              <w:ind w:right="628"/>
              <w:spacing w:after="0"/>
              <w:rPr>
                <w:sz w:val="20"/>
                <w:szCs w:val="20"/>
                <w:color w:val="auto"/>
              </w:rPr>
            </w:pPr>
            <w:r>
              <w:rPr>
                <w:rFonts w:ascii="Arial" w:cs="Arial" w:eastAsia="Arial" w:hAnsi="Arial"/>
                <w:sz w:val="14"/>
                <w:szCs w:val="14"/>
                <w:i w:val="1"/>
                <w:iCs w:val="1"/>
                <w:color w:val="auto"/>
              </w:rPr>
              <w:t>37.9%</w:t>
            </w:r>
          </w:p>
        </w:tc>
      </w:tr>
    </w:tbl>
    <w:p>
      <w:pPr>
        <w:spacing w:after="0" w:line="73" w:lineRule="exact"/>
        <w:rPr>
          <w:sz w:val="20"/>
          <w:szCs w:val="20"/>
          <w:color w:val="auto"/>
        </w:rPr>
      </w:pPr>
    </w:p>
    <w:p>
      <w:pPr>
        <w:jc w:val="both"/>
        <w:ind w:left="340"/>
        <w:spacing w:after="0" w:line="208" w:lineRule="auto"/>
        <w:rPr>
          <w:sz w:val="20"/>
          <w:szCs w:val="20"/>
          <w:color w:val="auto"/>
        </w:rPr>
      </w:pPr>
      <w:r>
        <w:rPr>
          <w:rFonts w:ascii="Arial" w:cs="Arial" w:eastAsia="Arial" w:hAnsi="Arial"/>
          <w:sz w:val="14"/>
          <w:szCs w:val="14"/>
          <w:i w:val="1"/>
          <w:iCs w:val="1"/>
          <w:color w:val="auto"/>
          <w:vertAlign w:val="superscript"/>
        </w:rPr>
        <w:t>(1)</w:t>
      </w:r>
      <w:r>
        <w:rPr>
          <w:rFonts w:ascii="Arial" w:cs="Arial" w:eastAsia="Arial" w:hAnsi="Arial"/>
          <w:sz w:val="11"/>
          <w:szCs w:val="11"/>
          <w:i w:val="1"/>
          <w:iCs w:val="1"/>
          <w:color w:val="auto"/>
        </w:rPr>
        <w:t>The guidance provided above contains forward-looking statements as defined in the U.S. Private Securities Litigation Act of 1995, and is subject to the safe harbors created therein. The guidance includes management’s beliefs and assumptions and is based on information currently available. GF has not provided a reconciliation of its First Fiscal Quarter outlook for adjusted Non-IFRS EBITDA and related Margin because estimates of all of the reconciling items cannot be provided without unreasonable efforts. Certain factors that are materially significant to GF’s ability to estimate these items are out of its control and/or cannot be reasonably predicted.</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vertAlign w:val="superscript"/>
        </w:rPr>
        <w:t>(2)</w:t>
      </w:r>
      <w:r>
        <w:rPr>
          <w:rFonts w:ascii="Arial" w:cs="Arial" w:eastAsia="Arial" w:hAnsi="Arial"/>
          <w:sz w:val="11"/>
          <w:szCs w:val="11"/>
          <w:i w:val="1"/>
          <w:iCs w:val="1"/>
          <w:color w:val="auto"/>
        </w:rPr>
        <w:t>Reflects change to adjusted EBITDA definition discussed in more detail elsewhere in this release</w:t>
      </w:r>
      <w:r>
        <w:rPr>
          <w:rFonts w:ascii="Arial" w:cs="Arial" w:eastAsia="Arial" w:hAnsi="Arial"/>
          <w:sz w:val="12"/>
          <w:szCs w:val="12"/>
          <w:i w:val="1"/>
          <w:iCs w:val="1"/>
          <w:color w:val="auto"/>
        </w:rPr>
        <w: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Unaudited Consolidated Statements of Operations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right"/>
              <w:ind w:right="96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1248"/>
              <w:spacing w:after="0"/>
              <w:rPr>
                <w:sz w:val="20"/>
                <w:szCs w:val="20"/>
                <w:color w:val="auto"/>
              </w:rPr>
            </w:pPr>
            <w:r>
              <w:rPr>
                <w:rFonts w:ascii="Arial" w:cs="Arial" w:eastAsia="Arial" w:hAnsi="Arial"/>
                <w:sz w:val="14"/>
                <w:szCs w:val="14"/>
                <w:b w:val="1"/>
                <w:bCs w:val="1"/>
                <w:color w:val="auto"/>
              </w:rPr>
              <w:t>Year Ended</w:t>
            </w:r>
          </w:p>
        </w:tc>
      </w:tr>
      <w:tr>
        <w:trPr>
          <w:trHeight w:val="210"/>
        </w:trPr>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(in millions USD, except for per share amounts)</w:t>
            </w:r>
          </w:p>
        </w:tc>
        <w:tc>
          <w:tcPr>
            <w:tcW w:w="16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8"/>
                <w:szCs w:val="18"/>
                <w:color w:val="auto"/>
              </w:rPr>
            </w:pPr>
          </w:p>
        </w:tc>
        <w:tc>
          <w:tcPr>
            <w:tcW w:w="1520" w:type="dxa"/>
            <w:vAlign w:val="bottom"/>
          </w:tcPr>
          <w:p>
            <w:pPr>
              <w:jc w:val="right"/>
              <w:ind w:right="108"/>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8"/>
                <w:szCs w:val="18"/>
                <w:color w:val="auto"/>
              </w:rPr>
            </w:pPr>
          </w:p>
        </w:tc>
        <w:tc>
          <w:tcPr>
            <w:tcW w:w="1540" w:type="dxa"/>
            <w:vAlign w:val="bottom"/>
          </w:tcPr>
          <w:p>
            <w:pPr>
              <w:jc w:val="right"/>
              <w:ind w:right="108"/>
              <w:spacing w:after="0"/>
              <w:rPr>
                <w:sz w:val="20"/>
                <w:szCs w:val="20"/>
                <w:color w:val="auto"/>
              </w:rPr>
            </w:pPr>
            <w:r>
              <w:rPr>
                <w:rFonts w:ascii="Arial" w:cs="Arial" w:eastAsia="Arial" w:hAnsi="Arial"/>
                <w:sz w:val="14"/>
                <w:szCs w:val="14"/>
                <w:b w:val="1"/>
                <w:bCs w:val="1"/>
                <w:color w:val="auto"/>
              </w:rPr>
              <w:t>December 31, 2021</w:t>
            </w:r>
          </w:p>
        </w:tc>
      </w:tr>
      <w:tr>
        <w:trPr>
          <w:trHeight w:val="162"/>
        </w:trPr>
        <w:tc>
          <w:tcPr>
            <w:tcW w:w="4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1,847</w:t>
            </w:r>
          </w:p>
        </w:tc>
        <w:tc>
          <w:tcPr>
            <w:tcW w:w="100" w:type="dxa"/>
            <w:vAlign w:val="bottom"/>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8,108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6,585</w:t>
            </w:r>
          </w:p>
        </w:tc>
      </w:tr>
      <w:tr>
        <w:trPr>
          <w:trHeight w:val="198"/>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5,572</w:t>
            </w:r>
          </w:p>
        </w:tc>
      </w:tr>
      <w:tr>
        <w:trPr>
          <w:trHeight w:val="200"/>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384</w:t>
            </w:r>
          </w:p>
        </w:tc>
        <w:tc>
          <w:tcPr>
            <w:tcW w:w="100" w:type="dxa"/>
            <w:vAlign w:val="bottom"/>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2,239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1,013</w:t>
            </w:r>
          </w:p>
        </w:tc>
      </w:tr>
      <w:tr>
        <w:trPr>
          <w:trHeight w:val="178"/>
        </w:trPr>
        <w:tc>
          <w:tcPr>
            <w:tcW w:w="42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07"/>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r>
      <w:tr>
        <w:trPr>
          <w:trHeight w:val="198"/>
        </w:trPr>
        <w:tc>
          <w:tcPr>
            <w:tcW w:w="4220" w:type="dxa"/>
            <w:vAlign w:val="bottom"/>
          </w:tcPr>
          <w:p>
            <w:pPr>
              <w:ind w:left="20"/>
              <w:spacing w:after="0"/>
              <w:rPr>
                <w:sz w:val="20"/>
                <w:szCs w:val="20"/>
                <w:color w:val="auto"/>
              </w:rPr>
            </w:pPr>
            <w:r>
              <w:rPr>
                <w:rFonts w:ascii="Arial" w:cs="Arial" w:eastAsia="Arial" w:hAnsi="Arial"/>
                <w:sz w:val="14"/>
                <w:szCs w:val="14"/>
                <w:color w:val="auto"/>
              </w:rPr>
              <w:t>Sales, marketing, general and administrative</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496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595</w:t>
            </w:r>
          </w:p>
        </w:tc>
      </w:tr>
      <w:tr>
        <w:trPr>
          <w:trHeight w:val="207"/>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charges</w:t>
            </w: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334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297</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1,072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1,073</w:t>
            </w:r>
          </w:p>
        </w:tc>
      </w:tr>
      <w:tr>
        <w:trPr>
          <w:trHeight w:val="197"/>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profit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w:t>
            </w:r>
          </w:p>
        </w:tc>
      </w:tr>
      <w:tr>
        <w:trPr>
          <w:trHeight w:val="198"/>
        </w:trPr>
        <w:tc>
          <w:tcPr>
            <w:tcW w:w="4220" w:type="dxa"/>
            <w:vAlign w:val="bottom"/>
          </w:tcPr>
          <w:p>
            <w:pPr>
              <w:ind w:left="20"/>
              <w:spacing w:after="0"/>
              <w:rPr>
                <w:sz w:val="20"/>
                <w:szCs w:val="20"/>
                <w:color w:val="auto"/>
              </w:rPr>
            </w:pPr>
            <w:r>
              <w:rPr>
                <w:rFonts w:ascii="Arial" w:cs="Arial" w:eastAsia="Arial" w:hAnsi="Arial"/>
                <w:sz w:val="14"/>
                <w:szCs w:val="14"/>
                <w:color w:val="auto"/>
              </w:rPr>
              <w:t>Finance expense, net</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207"/>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98"/>
        </w:trPr>
        <w:tc>
          <w:tcPr>
            <w:tcW w:w="4220" w:type="dxa"/>
            <w:vAlign w:val="bottom"/>
          </w:tcPr>
          <w:p>
            <w:pPr>
              <w:ind w:left="20"/>
              <w:spacing w:after="0"/>
              <w:rPr>
                <w:sz w:val="20"/>
                <w:szCs w:val="20"/>
                <w:color w:val="auto"/>
              </w:rPr>
            </w:pPr>
            <w:r>
              <w:rPr>
                <w:rFonts w:ascii="Arial" w:cs="Arial" w:eastAsia="Arial" w:hAnsi="Arial"/>
                <w:sz w:val="14"/>
                <w:szCs w:val="14"/>
                <w:color w:val="auto"/>
              </w:rPr>
              <w:t>Gain on sale of a business</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403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7"/>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r>
      <w:tr>
        <w:trPr>
          <w:trHeight w:val="195"/>
        </w:trPr>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668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1,446</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(254)</w:t>
            </w: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Attributable to:</w:t>
            </w:r>
          </w:p>
        </w:tc>
        <w:tc>
          <w:tcPr>
            <w:tcW w:w="1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98"/>
        </w:trPr>
        <w:tc>
          <w:tcPr>
            <w:tcW w:w="4220" w:type="dxa"/>
            <w:vAlign w:val="bottom"/>
          </w:tcPr>
          <w:p>
            <w:pPr>
              <w:ind w:left="20"/>
              <w:spacing w:after="0"/>
              <w:rPr>
                <w:sz w:val="20"/>
                <w:szCs w:val="20"/>
                <w:color w:val="auto"/>
              </w:rPr>
            </w:pPr>
            <w:r>
              <w:rPr>
                <w:rFonts w:ascii="Arial" w:cs="Arial" w:eastAsia="Arial" w:hAnsi="Arial"/>
                <w:sz w:val="14"/>
                <w:szCs w:val="14"/>
                <w:color w:val="auto"/>
              </w:rPr>
              <w:t>Shareholders of GlobalFoundries</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1,448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207"/>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16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202"/>
        </w:trPr>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Earnings (Loss) per share :</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(0.49)</w:t>
            </w:r>
          </w:p>
        </w:tc>
      </w:tr>
      <w:tr>
        <w:trPr>
          <w:trHeight w:val="192"/>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0.08</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(0.49)</w:t>
            </w:r>
          </w:p>
        </w:tc>
      </w:tr>
      <w:tr>
        <w:trPr>
          <w:trHeight w:val="187"/>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used in earnings per share calculation:</w:t>
            </w: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98"/>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r>
      <w:tr>
        <w:trPr>
          <w:trHeight w:val="196"/>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4 of 10</w:t>
      </w:r>
    </w:p>
    <w:p>
      <w:pPr>
        <w:sectPr>
          <w:pgSz w:w="11900" w:h="16838" w:orient="portrait"/>
          <w:cols w:equalWidth="0" w:num="1">
            <w:col w:w="11240"/>
          </w:cols>
          <w:pgMar w:left="320" w:top="1440"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u w:val="single" w:color="auto"/>
          <w:color w:val="auto"/>
        </w:rPr>
        <w:t>Unaudited Consolidated Statements of Financial Position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(in millions USD)</w:t>
            </w:r>
          </w:p>
        </w:tc>
        <w:tc>
          <w:tcPr>
            <w:tcW w:w="260" w:type="dxa"/>
            <w:vAlign w:val="bottom"/>
          </w:tcPr>
          <w:p>
            <w:pPr>
              <w:spacing w:after="0"/>
              <w:rPr>
                <w:sz w:val="17"/>
                <w:szCs w:val="17"/>
                <w:color w:val="auto"/>
              </w:rPr>
            </w:pPr>
          </w:p>
        </w:tc>
        <w:tc>
          <w:tcPr>
            <w:tcW w:w="204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Pr>
          <w:p>
            <w:pPr>
              <w:spacing w:after="0"/>
              <w:rPr>
                <w:sz w:val="17"/>
                <w:szCs w:val="17"/>
                <w:color w:val="auto"/>
              </w:rPr>
            </w:pPr>
          </w:p>
        </w:tc>
        <w:tc>
          <w:tcPr>
            <w:tcW w:w="1840" w:type="dxa"/>
            <w:vAlign w:val="bottom"/>
          </w:tcPr>
          <w:p>
            <w:pPr>
              <w:jc w:val="right"/>
              <w:ind w:right="328"/>
              <w:spacing w:after="0"/>
              <w:rPr>
                <w:sz w:val="20"/>
                <w:szCs w:val="20"/>
                <w:color w:val="auto"/>
              </w:rPr>
            </w:pPr>
            <w:r>
              <w:rPr>
                <w:rFonts w:ascii="Arial" w:cs="Arial" w:eastAsia="Arial" w:hAnsi="Arial"/>
                <w:sz w:val="14"/>
                <w:szCs w:val="14"/>
                <w:b w:val="1"/>
                <w:bCs w:val="1"/>
                <w:color w:val="auto"/>
              </w:rPr>
              <w:t>December 31, 2021</w:t>
            </w:r>
          </w:p>
        </w:tc>
      </w:tr>
      <w:tr>
        <w:trPr>
          <w:trHeight w:val="162"/>
        </w:trPr>
        <w:tc>
          <w:tcPr>
            <w:tcW w:w="5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198"/>
        </w:trPr>
        <w:tc>
          <w:tcPr>
            <w:tcW w:w="51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8"/>
              <w:spacing w:after="0"/>
              <w:rPr>
                <w:sz w:val="20"/>
                <w:szCs w:val="20"/>
                <w:color w:val="auto"/>
              </w:rPr>
            </w:pPr>
            <w:r>
              <w:rPr>
                <w:rFonts w:ascii="Arial" w:cs="Arial" w:eastAsia="Arial" w:hAnsi="Arial"/>
                <w:sz w:val="14"/>
                <w:szCs w:val="14"/>
                <w:color w:val="auto"/>
              </w:rPr>
              <w:t>2,352</w:t>
            </w:r>
          </w:p>
        </w:tc>
        <w:tc>
          <w:tcPr>
            <w:tcW w:w="14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2,939</w:t>
            </w:r>
          </w:p>
        </w:tc>
      </w:tr>
      <w:tr>
        <w:trPr>
          <w:trHeight w:val="207"/>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Receivables, prepayments and other</w:t>
            </w: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1,231</w:t>
            </w:r>
          </w:p>
        </w:tc>
      </w:tr>
      <w:tr>
        <w:trPr>
          <w:trHeight w:val="198"/>
        </w:trPr>
        <w:tc>
          <w:tcPr>
            <w:tcW w:w="514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260" w:type="dxa"/>
            <w:vAlign w:val="bottom"/>
          </w:tcPr>
          <w:p>
            <w:pPr>
              <w:spacing w:after="0"/>
              <w:rPr>
                <w:sz w:val="17"/>
                <w:szCs w:val="17"/>
                <w:color w:val="auto"/>
              </w:rPr>
            </w:pPr>
          </w:p>
        </w:tc>
        <w:tc>
          <w:tcPr>
            <w:tcW w:w="1900" w:type="dxa"/>
            <w:vAlign w:val="bottom"/>
          </w:tcPr>
          <w:p>
            <w:pPr>
              <w:jc w:val="right"/>
              <w:ind w:right="8"/>
              <w:spacing w:after="0"/>
              <w:rPr>
                <w:sz w:val="20"/>
                <w:szCs w:val="20"/>
                <w:color w:val="auto"/>
              </w:rPr>
            </w:pPr>
            <w:r>
              <w:rPr>
                <w:rFonts w:ascii="Arial" w:cs="Arial" w:eastAsia="Arial" w:hAnsi="Arial"/>
                <w:sz w:val="14"/>
                <w:szCs w:val="14"/>
                <w:color w:val="auto"/>
              </w:rPr>
              <w:t>622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Inventories</w:t>
            </w:r>
          </w:p>
        </w:tc>
        <w:tc>
          <w:tcPr>
            <w:tcW w:w="26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1,339</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1,121</w:t>
            </w:r>
          </w:p>
        </w:tc>
      </w:tr>
      <w:tr>
        <w:trPr>
          <w:trHeight w:val="195"/>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Current assets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5,800</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5,291</w:t>
            </w:r>
          </w:p>
        </w:tc>
      </w:tr>
      <w:tr>
        <w:trPr>
          <w:trHeight w:val="197"/>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292</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353</w:t>
            </w:r>
          </w:p>
        </w:tc>
      </w:tr>
      <w:tr>
        <w:trPr>
          <w:trHeight w:val="198"/>
        </w:trPr>
        <w:tc>
          <w:tcPr>
            <w:tcW w:w="514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260" w:type="dxa"/>
            <w:vAlign w:val="bottom"/>
          </w:tcPr>
          <w:p>
            <w:pPr>
              <w:spacing w:after="0"/>
              <w:rPr>
                <w:sz w:val="17"/>
                <w:szCs w:val="17"/>
                <w:color w:val="auto"/>
              </w:rPr>
            </w:pPr>
          </w:p>
        </w:tc>
        <w:tc>
          <w:tcPr>
            <w:tcW w:w="1900" w:type="dxa"/>
            <w:vAlign w:val="bottom"/>
          </w:tcPr>
          <w:p>
            <w:pPr>
              <w:jc w:val="right"/>
              <w:ind w:right="8"/>
              <w:spacing w:after="0"/>
              <w:rPr>
                <w:sz w:val="20"/>
                <w:szCs w:val="20"/>
                <w:color w:val="auto"/>
              </w:rPr>
            </w:pPr>
            <w:r>
              <w:rPr>
                <w:rFonts w:ascii="Arial" w:cs="Arial" w:eastAsia="Arial" w:hAnsi="Arial"/>
                <w:sz w:val="14"/>
                <w:szCs w:val="14"/>
                <w:color w:val="auto"/>
              </w:rPr>
              <w:t>10,596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8,713</w:t>
            </w:r>
          </w:p>
        </w:tc>
      </w:tr>
      <w:tr>
        <w:trPr>
          <w:trHeight w:val="207"/>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372</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781</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671</w:t>
            </w:r>
          </w:p>
        </w:tc>
      </w:tr>
      <w:tr>
        <w:trPr>
          <w:trHeight w:val="20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assets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12,041</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9,737</w:t>
            </w:r>
          </w:p>
        </w:tc>
      </w:tr>
      <w:tr>
        <w:trPr>
          <w:trHeight w:val="195"/>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17,841</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15,028</w:t>
            </w:r>
          </w:p>
        </w:tc>
      </w:tr>
      <w:tr>
        <w:trPr>
          <w:trHeight w:val="183"/>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26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198"/>
        </w:trPr>
        <w:tc>
          <w:tcPr>
            <w:tcW w:w="5140" w:type="dxa"/>
            <w:vAlign w:val="bottom"/>
          </w:tcPr>
          <w:p>
            <w:pPr>
              <w:ind w:left="20"/>
              <w:spacing w:after="0"/>
              <w:rPr>
                <w:sz w:val="20"/>
                <w:szCs w:val="20"/>
                <w:color w:val="auto"/>
              </w:rPr>
            </w:pPr>
            <w:r>
              <w:rPr>
                <w:rFonts w:ascii="Arial" w:cs="Arial" w:eastAsia="Arial" w:hAnsi="Arial"/>
                <w:sz w:val="14"/>
                <w:szCs w:val="14"/>
                <w:color w:val="auto"/>
              </w:rPr>
              <w:t>Current portion of long-term debt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8"/>
              <w:spacing w:after="0"/>
              <w:rPr>
                <w:sz w:val="20"/>
                <w:szCs w:val="20"/>
                <w:color w:val="auto"/>
              </w:rPr>
            </w:pPr>
            <w:r>
              <w:rPr>
                <w:rFonts w:ascii="Arial" w:cs="Arial" w:eastAsia="Arial" w:hAnsi="Arial"/>
                <w:sz w:val="14"/>
                <w:szCs w:val="14"/>
                <w:color w:val="auto"/>
              </w:rPr>
              <w:t>223</w:t>
            </w:r>
          </w:p>
        </w:tc>
        <w:tc>
          <w:tcPr>
            <w:tcW w:w="14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297</w:t>
            </w:r>
          </w:p>
        </w:tc>
      </w:tr>
      <w:tr>
        <w:trPr>
          <w:trHeight w:val="207"/>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3,136</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2,866</w:t>
            </w:r>
          </w:p>
        </w:tc>
      </w:tr>
      <w:tr>
        <w:trPr>
          <w:trHeight w:val="195"/>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3,359</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3,163</w:t>
            </w:r>
          </w:p>
        </w:tc>
      </w:tr>
      <w:tr>
        <w:trPr>
          <w:trHeight w:val="197"/>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portion of long-term debt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2,288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1,716</w:t>
            </w:r>
          </w:p>
        </w:tc>
      </w:tr>
      <w:tr>
        <w:trPr>
          <w:trHeight w:val="198"/>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w:t>
            </w:r>
          </w:p>
        </w:tc>
        <w:tc>
          <w:tcPr>
            <w:tcW w:w="2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2,234</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2,116</w:t>
            </w:r>
          </w:p>
        </w:tc>
      </w:tr>
      <w:tr>
        <w:trPr>
          <w:trHeight w:val="20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4,522</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3,832</w:t>
            </w:r>
          </w:p>
        </w:tc>
      </w:tr>
      <w:tr>
        <w:trPr>
          <w:trHeight w:val="178"/>
        </w:trPr>
        <w:tc>
          <w:tcPr>
            <w:tcW w:w="514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2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206"/>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stock/additional paid-in capital</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23,842</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23,498</w:t>
            </w:r>
          </w:p>
        </w:tc>
      </w:tr>
      <w:tr>
        <w:trPr>
          <w:trHeight w:val="199"/>
        </w:trPr>
        <w:tc>
          <w:tcPr>
            <w:tcW w:w="5140" w:type="dxa"/>
            <w:vAlign w:val="bottom"/>
          </w:tcPr>
          <w:p>
            <w:pPr>
              <w:ind w:left="20"/>
              <w:spacing w:after="0"/>
              <w:rPr>
                <w:sz w:val="20"/>
                <w:szCs w:val="20"/>
                <w:color w:val="auto"/>
              </w:rPr>
            </w:pPr>
            <w:r>
              <w:rPr>
                <w:rFonts w:ascii="Arial" w:cs="Arial" w:eastAsia="Arial" w:hAnsi="Arial"/>
                <w:sz w:val="14"/>
                <w:szCs w:val="14"/>
                <w:color w:val="auto"/>
              </w:rPr>
              <w:t>Accumulated deficit</w:t>
            </w:r>
          </w:p>
        </w:tc>
        <w:tc>
          <w:tcPr>
            <w:tcW w:w="26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(14,021)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(15,469)</w:t>
            </w:r>
          </w:p>
        </w:tc>
      </w:tr>
      <w:tr>
        <w:trPr>
          <w:trHeight w:val="206"/>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r>
      <w:tr>
        <w:trPr>
          <w:trHeight w:val="199"/>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w:t>
            </w:r>
          </w:p>
        </w:tc>
        <w:tc>
          <w:tcPr>
            <w:tcW w:w="2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w:t>
            </w:r>
          </w:p>
        </w:tc>
      </w:tr>
      <w:tr>
        <w:trPr>
          <w:trHeight w:val="19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17,841</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15,028</w:t>
            </w:r>
          </w:p>
        </w:tc>
      </w:tr>
    </w:tbl>
    <w:p>
      <w:pPr>
        <w:spacing w:after="0" w:line="200" w:lineRule="exact"/>
        <w:rPr>
          <w:sz w:val="20"/>
          <w:szCs w:val="20"/>
          <w:color w:val="auto"/>
        </w:rPr>
      </w:pPr>
    </w:p>
    <w:p>
      <w:pPr>
        <w:sectPr>
          <w:pgSz w:w="11900" w:h="16838" w:orient="portrait"/>
          <w:cols w:equalWidth="0" w:num="1">
            <w:col w:w="9500"/>
          </w:cols>
          <w:pgMar w:left="1200" w:top="1408"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5 of 10</w:t>
      </w:r>
    </w:p>
    <w:p>
      <w:pPr>
        <w:sectPr>
          <w:pgSz w:w="11900" w:h="16838" w:orient="portrait"/>
          <w:cols w:equalWidth="0" w:num="1">
            <w:col w:w="9500"/>
          </w:cols>
          <w:pgMar w:left="1200" w:top="1408" w:right="1199" w:bottom="1440" w:gutter="0" w:footer="0" w:header="0"/>
          <w:type w:val="continuous"/>
        </w:sectPr>
      </w:pPr>
    </w:p>
    <w:bookmarkStart w:id="7" w:name="page8"/>
    <w:bookmarkEnd w:id="7"/>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Unaudited Consolidated Statements of Cash Flows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888"/>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Year Ended</w:t>
            </w:r>
          </w:p>
        </w:tc>
        <w:tc>
          <w:tcPr>
            <w:tcW w:w="1460" w:type="dxa"/>
            <w:vAlign w:val="bottom"/>
            <w:tcBorders>
              <w:bottom w:val="single" w:sz="8" w:color="auto"/>
            </w:tcBorders>
          </w:tcPr>
          <w:p>
            <w:pPr>
              <w:spacing w:after="0"/>
              <w:rPr>
                <w:sz w:val="17"/>
                <w:szCs w:val="17"/>
                <w:color w:val="auto"/>
              </w:rPr>
            </w:pPr>
          </w:p>
        </w:tc>
      </w:tr>
      <w:tr>
        <w:trPr>
          <w:trHeight w:val="209"/>
        </w:trPr>
        <w:tc>
          <w:tcPr>
            <w:tcW w:w="3840" w:type="dxa"/>
            <w:vAlign w:val="bottom"/>
          </w:tcPr>
          <w:p>
            <w:pPr>
              <w:ind w:left="20"/>
              <w:spacing w:after="0"/>
              <w:rPr>
                <w:sz w:val="20"/>
                <w:szCs w:val="20"/>
                <w:color w:val="auto"/>
              </w:rPr>
            </w:pPr>
            <w:r>
              <w:rPr>
                <w:rFonts w:ascii="Arial" w:cs="Arial" w:eastAsia="Arial" w:hAnsi="Arial"/>
                <w:sz w:val="14"/>
                <w:szCs w:val="14"/>
                <w:b w:val="1"/>
                <w:bCs w:val="1"/>
                <w:color w:val="auto"/>
              </w:rPr>
              <w:t>(in millions USD)</w:t>
            </w:r>
          </w:p>
        </w:tc>
        <w:tc>
          <w:tcPr>
            <w:tcW w:w="140" w:type="dxa"/>
            <w:vAlign w:val="bottom"/>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8"/>
                <w:szCs w:val="18"/>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 2021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 2022</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 2021</w:t>
            </w:r>
          </w:p>
        </w:tc>
      </w:tr>
      <w:tr>
        <w:trPr>
          <w:trHeight w:val="162"/>
        </w:trPr>
        <w:tc>
          <w:tcPr>
            <w:tcW w:w="38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r>
      <w:tr>
        <w:trPr>
          <w:trHeight w:val="203"/>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2"/>
        </w:trPr>
        <w:tc>
          <w:tcPr>
            <w:tcW w:w="38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668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jc w:val="right"/>
              <w:ind w:right="8"/>
              <w:spacing w:after="0"/>
              <w:rPr>
                <w:sz w:val="20"/>
                <w:szCs w:val="20"/>
                <w:color w:val="auto"/>
              </w:rPr>
            </w:pPr>
            <w:r>
              <w:rPr>
                <w:rFonts w:ascii="Arial" w:cs="Arial" w:eastAsia="Arial" w:hAnsi="Arial"/>
                <w:sz w:val="14"/>
                <w:szCs w:val="14"/>
                <w:b w:val="1"/>
                <w:bCs w:val="1"/>
                <w:color w:val="auto"/>
              </w:rPr>
              <w:t>43</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1,446</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(254)</w:t>
            </w:r>
          </w:p>
        </w:tc>
      </w:tr>
      <w:tr>
        <w:trPr>
          <w:trHeight w:val="203"/>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419</w:t>
            </w:r>
          </w:p>
        </w:tc>
        <w:tc>
          <w:tcPr>
            <w:tcW w:w="8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1,623</w:t>
            </w:r>
          </w:p>
        </w:tc>
        <w:tc>
          <w:tcPr>
            <w:tcW w:w="8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w:t>
            </w:r>
          </w:p>
        </w:tc>
      </w:tr>
      <w:tr>
        <w:trPr>
          <w:trHeight w:val="198"/>
        </w:trPr>
        <w:tc>
          <w:tcPr>
            <w:tcW w:w="3840" w:type="dxa"/>
            <w:vAlign w:val="bottom"/>
          </w:tcPr>
          <w:p>
            <w:pPr>
              <w:ind w:left="20"/>
              <w:spacing w:after="0"/>
              <w:rPr>
                <w:sz w:val="20"/>
                <w:szCs w:val="20"/>
                <w:color w:val="auto"/>
              </w:rPr>
            </w:pPr>
            <w:r>
              <w:rPr>
                <w:rFonts w:ascii="Arial" w:cs="Arial" w:eastAsia="Arial" w:hAnsi="Arial"/>
                <w:sz w:val="14"/>
                <w:szCs w:val="14"/>
                <w:color w:val="auto"/>
              </w:rPr>
              <w:t>Gain on the sale of a fabrication facility</w:t>
            </w: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(403)</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expense, net and other</w:t>
            </w:r>
            <w:r>
              <w:rPr>
                <w:rFonts w:ascii="Arial" w:cs="Arial" w:eastAsia="Arial" w:hAnsi="Arial"/>
                <w:sz w:val="18"/>
                <w:szCs w:val="18"/>
                <w:color w:val="auto"/>
                <w:vertAlign w:val="superscript"/>
              </w:rPr>
              <w:t>(1)</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98"/>
        </w:trPr>
        <w:tc>
          <w:tcPr>
            <w:tcW w:w="384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82</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07"/>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non-cash operating activities</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r>
      <w:tr>
        <w:trPr>
          <w:trHeight w:val="198"/>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change in working capital</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629</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1,230</w:t>
            </w:r>
          </w:p>
        </w:tc>
      </w:tr>
      <w:tr>
        <w:trPr>
          <w:trHeight w:val="199"/>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1,148</w:t>
            </w:r>
          </w:p>
        </w:tc>
        <w:tc>
          <w:tcPr>
            <w:tcW w:w="80" w:type="dxa"/>
            <w:vAlign w:val="bottom"/>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2,624</w:t>
            </w: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Cash flows from investing activities:</w:t>
      </w:r>
    </w:p>
    <w:p>
      <w:pPr>
        <w:sectPr>
          <w:pgSz w:w="11900" w:h="16838" w:orient="portrait"/>
          <w:cols w:equalWidth="0" w:num="1">
            <w:col w:w="11240"/>
          </w:cols>
          <w:pgMar w:left="320" w:top="1440" w:right="339" w:bottom="1440" w:gutter="0" w:footer="0" w:header="0"/>
        </w:sectPr>
      </w:pPr>
    </w:p>
    <w:p>
      <w:pPr>
        <w:spacing w:after="0" w:line="42" w:lineRule="exact"/>
        <w:rPr>
          <w:sz w:val="20"/>
          <w:szCs w:val="20"/>
          <w:color w:val="auto"/>
        </w:rPr>
      </w:pPr>
    </w:p>
    <w:p>
      <w:pPr>
        <w:ind w:left="20"/>
        <w:spacing w:after="0" w:line="244" w:lineRule="auto"/>
        <w:rPr>
          <w:sz w:val="20"/>
          <w:szCs w:val="20"/>
          <w:color w:val="auto"/>
        </w:rPr>
      </w:pPr>
      <w:r>
        <w:rPr>
          <w:rFonts w:ascii="Arial" w:cs="Arial" w:eastAsia="Arial" w:hAnsi="Arial"/>
          <w:sz w:val="14"/>
          <w:szCs w:val="14"/>
          <w:color w:val="auto"/>
        </w:rPr>
        <w:t>Purchases of property, plant, equipment,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4551680" cy="128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5168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Other investing activities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455168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51680" cy="137160"/>
                    </a:xfrm>
                    <a:prstGeom prst="rect">
                      <a:avLst/>
                    </a:prstGeom>
                    <a:noFill/>
                  </pic:spPr>
                </pic:pic>
              </a:graphicData>
            </a:graphic>
          </wp:anchor>
        </w:drawing>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(991)</w:t>
            </w:r>
          </w:p>
        </w:tc>
        <w:tc>
          <w:tcPr>
            <w:tcW w:w="120" w:type="dxa"/>
            <w:vAlign w:val="bottom"/>
          </w:tcPr>
          <w:p>
            <w:pPr>
              <w:spacing w:after="0"/>
              <w:rPr>
                <w:sz w:val="16"/>
                <w:szCs w:val="16"/>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(649)</w:t>
            </w:r>
          </w:p>
        </w:tc>
        <w:tc>
          <w:tcPr>
            <w:tcW w:w="80" w:type="dxa"/>
            <w:vAlign w:val="bottom"/>
          </w:tcPr>
          <w:p>
            <w:pPr>
              <w:spacing w:after="0"/>
              <w:rPr>
                <w:sz w:val="16"/>
                <w:szCs w:val="16"/>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(3,059)</w:t>
            </w:r>
          </w:p>
        </w:tc>
        <w:tc>
          <w:tcPr>
            <w:tcW w:w="14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(1,766)</w:t>
            </w:r>
          </w:p>
        </w:tc>
        <w:tc>
          <w:tcPr>
            <w:tcW w:w="0" w:type="dxa"/>
            <w:vAlign w:val="bottom"/>
          </w:tcPr>
          <w:p>
            <w:pPr>
              <w:spacing w:after="0"/>
              <w:rPr>
                <w:sz w:val="1"/>
                <w:szCs w:val="1"/>
                <w:color w:val="auto"/>
              </w:rPr>
            </w:pPr>
          </w:p>
        </w:tc>
      </w:tr>
      <w:tr>
        <w:trPr>
          <w:trHeight w:val="76"/>
        </w:trPr>
        <w:tc>
          <w:tcPr>
            <w:tcW w:w="640" w:type="dxa"/>
            <w:vAlign w:val="bottom"/>
          </w:tcPr>
          <w:p>
            <w:pPr>
              <w:spacing w:after="0"/>
              <w:rPr>
                <w:sz w:val="6"/>
                <w:szCs w:val="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800" w:type="dxa"/>
            <w:vAlign w:val="bottom"/>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99"/>
        </w:trPr>
        <w:tc>
          <w:tcPr>
            <w:tcW w:w="640" w:type="dxa"/>
            <w:vAlign w:val="bottom"/>
          </w:tcPr>
          <w:p>
            <w:pPr>
              <w:jc w:val="right"/>
              <w:ind w:right="46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(1,051)</w:t>
            </w:r>
          </w:p>
        </w:tc>
        <w:tc>
          <w:tcPr>
            <w:tcW w:w="120" w:type="dxa"/>
            <w:vAlign w:val="bottom"/>
          </w:tcPr>
          <w:p>
            <w:pPr>
              <w:spacing w:after="0"/>
              <w:rPr>
                <w:sz w:val="17"/>
                <w:szCs w:val="17"/>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(626)</w:t>
            </w:r>
          </w:p>
        </w:tc>
        <w:tc>
          <w:tcPr>
            <w:tcW w:w="80" w:type="dxa"/>
            <w:vAlign w:val="bottom"/>
          </w:tcPr>
          <w:p>
            <w:pPr>
              <w:spacing w:after="0"/>
              <w:rPr>
                <w:sz w:val="17"/>
                <w:szCs w:val="17"/>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(4,058)</w:t>
            </w: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(1,450)</w:t>
            </w:r>
          </w:p>
        </w:tc>
        <w:tc>
          <w:tcPr>
            <w:tcW w:w="0" w:type="dxa"/>
            <w:vAlign w:val="bottom"/>
          </w:tcPr>
          <w:p>
            <w:pPr>
              <w:spacing w:after="0"/>
              <w:rPr>
                <w:sz w:val="1"/>
                <w:szCs w:val="1"/>
                <w:color w:val="auto"/>
              </w:rPr>
            </w:pPr>
          </w:p>
        </w:tc>
      </w:tr>
      <w:tr>
        <w:trPr>
          <w:trHeight w:val="197"/>
        </w:trPr>
        <w:tc>
          <w:tcPr>
            <w:tcW w:w="6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ectPr>
          <w:pgSz w:w="11900" w:h="16838" w:orient="portrait"/>
          <w:cols w:equalWidth="0" w:num="2">
            <w:col w:w="3540" w:space="300"/>
            <w:col w:w="74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equity instruments</w:t>
            </w: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1,444</w:t>
            </w:r>
          </w:p>
        </w:tc>
        <w:tc>
          <w:tcPr>
            <w:tcW w:w="80" w:type="dxa"/>
            <w:vAlign w:val="bottom"/>
          </w:tcPr>
          <w:p>
            <w:pPr>
              <w:spacing w:after="0"/>
              <w:rPr>
                <w:sz w:val="16"/>
                <w:szCs w:val="16"/>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800" w:type="dxa"/>
            <w:vAlign w:val="bottom"/>
          </w:tcPr>
          <w:p>
            <w:pPr>
              <w:spacing w:after="0"/>
              <w:rPr>
                <w:sz w:val="16"/>
                <w:szCs w:val="16"/>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w:t>
            </w:r>
          </w:p>
        </w:tc>
      </w:tr>
      <w:tr>
        <w:trPr>
          <w:trHeight w:val="199"/>
        </w:trPr>
        <w:tc>
          <w:tcPr>
            <w:tcW w:w="3840" w:type="dxa"/>
            <w:vAlign w:val="bottom"/>
          </w:tcPr>
          <w:p>
            <w:pPr>
              <w:ind w:left="20"/>
              <w:spacing w:after="0"/>
              <w:rPr>
                <w:sz w:val="20"/>
                <w:szCs w:val="20"/>
                <w:color w:val="auto"/>
              </w:rPr>
            </w:pPr>
            <w:r>
              <w:rPr>
                <w:rFonts w:ascii="Arial" w:cs="Arial" w:eastAsia="Arial" w:hAnsi="Arial"/>
                <w:sz w:val="14"/>
                <w:szCs w:val="14"/>
                <w:color w:val="auto"/>
              </w:rPr>
              <w:t>Repayments of shareholder loan</w:t>
            </w:r>
          </w:p>
        </w:tc>
        <w:tc>
          <w:tcPr>
            <w:tcW w:w="6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(568)</w:t>
            </w:r>
          </w:p>
        </w:tc>
      </w:tr>
      <w:tr>
        <w:trPr>
          <w:trHeight w:val="206"/>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(repayment) of debt, net</w:t>
            </w:r>
          </w:p>
        </w:tc>
        <w:tc>
          <w:tcPr>
            <w:tcW w:w="6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800" w:type="dxa"/>
            <w:vAlign w:val="bottom"/>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r>
      <w:tr>
        <w:trPr>
          <w:trHeight w:val="198"/>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financing activities</w:t>
            </w:r>
          </w:p>
        </w:tc>
        <w:tc>
          <w:tcPr>
            <w:tcW w:w="6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8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r>
      <w:tr>
        <w:trPr>
          <w:trHeight w:val="200"/>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360</w:t>
            </w:r>
          </w:p>
        </w:tc>
        <w:tc>
          <w:tcPr>
            <w:tcW w:w="12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1,399</w:t>
            </w:r>
          </w:p>
        </w:tc>
        <w:tc>
          <w:tcPr>
            <w:tcW w:w="80" w:type="dxa"/>
            <w:vAlign w:val="bottom"/>
          </w:tcPr>
          <w:p>
            <w:pPr>
              <w:spacing w:after="0"/>
              <w:rPr>
                <w:sz w:val="17"/>
                <w:szCs w:val="17"/>
                <w:color w:val="auto"/>
              </w:rPr>
            </w:pP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842</w:t>
            </w:r>
          </w:p>
        </w:tc>
        <w:tc>
          <w:tcPr>
            <w:tcW w:w="800" w:type="dxa"/>
            <w:vAlign w:val="bottom"/>
          </w:tcPr>
          <w:p>
            <w:pPr>
              <w:jc w:val="right"/>
              <w:spacing w:after="0"/>
              <w:rPr>
                <w:sz w:val="20"/>
                <w:szCs w:val="20"/>
                <w:color w:val="auto"/>
              </w:rPr>
            </w:pPr>
            <w:r>
              <w:rPr>
                <w:rFonts w:ascii="Arial" w:cs="Arial" w:eastAsia="Arial" w:hAnsi="Arial"/>
                <w:sz w:val="14"/>
                <w:szCs w:val="14"/>
                <w:color w:val="auto"/>
              </w:rPr>
              <w:t>842,000,000</w:t>
            </w: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650</w:t>
            </w:r>
          </w:p>
        </w:tc>
      </w:tr>
      <w:tr>
        <w:trPr>
          <w:trHeight w:val="192"/>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w:t>
            </w:r>
          </w:p>
        </w:tc>
        <w:tc>
          <w:tcPr>
            <w:tcW w:w="6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200"/>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change in cash and cash equivalents</w:t>
            </w: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(189)</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1,920</w:t>
            </w:r>
          </w:p>
        </w:tc>
        <w:tc>
          <w:tcPr>
            <w:tcW w:w="80" w:type="dxa"/>
            <w:vAlign w:val="bottom"/>
          </w:tcPr>
          <w:p>
            <w:pPr>
              <w:spacing w:after="0"/>
              <w:rPr>
                <w:sz w:val="17"/>
                <w:szCs w:val="17"/>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(587)</w:t>
            </w:r>
          </w:p>
        </w:tc>
        <w:tc>
          <w:tcPr>
            <w:tcW w:w="800" w:type="dxa"/>
            <w:vAlign w:val="bottom"/>
          </w:tcPr>
          <w:p>
            <w:pPr>
              <w:spacing w:after="0"/>
              <w:rPr>
                <w:sz w:val="17"/>
                <w:szCs w:val="17"/>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2,031</w:t>
            </w:r>
          </w:p>
        </w:tc>
      </w:tr>
      <w:tr>
        <w:trPr>
          <w:trHeight w:val="198"/>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the beginning of the period</w:t>
            </w:r>
          </w:p>
        </w:tc>
        <w:tc>
          <w:tcPr>
            <w:tcW w:w="6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2,541</w:t>
            </w: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1,019</w:t>
            </w: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2,939</w:t>
            </w:r>
          </w:p>
        </w:tc>
        <w:tc>
          <w:tcPr>
            <w:tcW w:w="8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908</w:t>
            </w:r>
          </w:p>
        </w:tc>
      </w:tr>
      <w:tr>
        <w:trPr>
          <w:trHeight w:val="199"/>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at the end of the period</w:t>
            </w: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2,352</w:t>
            </w:r>
          </w:p>
        </w:tc>
        <w:tc>
          <w:tcPr>
            <w:tcW w:w="12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2,939</w:t>
            </w:r>
          </w:p>
        </w:tc>
        <w:tc>
          <w:tcPr>
            <w:tcW w:w="80" w:type="dxa"/>
            <w:vAlign w:val="bottom"/>
          </w:tcPr>
          <w:p>
            <w:pPr>
              <w:spacing w:after="0"/>
              <w:rPr>
                <w:sz w:val="17"/>
                <w:szCs w:val="17"/>
                <w:color w:val="auto"/>
              </w:rPr>
            </w:pP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2,352</w:t>
            </w:r>
          </w:p>
        </w:tc>
        <w:tc>
          <w:tcPr>
            <w:tcW w:w="800" w:type="dxa"/>
            <w:vAlign w:val="bottom"/>
          </w:tcPr>
          <w:p>
            <w:pPr>
              <w:spacing w:after="0"/>
              <w:rPr>
                <w:sz w:val="17"/>
                <w:szCs w:val="17"/>
                <w:color w:val="auto"/>
              </w:rPr>
            </w:pP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2,939</w:t>
            </w:r>
          </w:p>
        </w:tc>
      </w:tr>
    </w:tbl>
    <w:p>
      <w:pPr>
        <w:spacing w:after="0" w:line="200" w:lineRule="exact"/>
        <w:rPr>
          <w:sz w:val="20"/>
          <w:szCs w:val="20"/>
          <w:color w:val="auto"/>
        </w:rPr>
      </w:pPr>
    </w:p>
    <w:p>
      <w:pPr>
        <w:spacing w:after="0" w:line="214" w:lineRule="exact"/>
        <w:rPr>
          <w:sz w:val="20"/>
          <w:szCs w:val="20"/>
          <w:color w:val="auto"/>
        </w:rPr>
      </w:pPr>
    </w:p>
    <w:p>
      <w:pPr>
        <w:ind w:left="20" w:right="140" w:firstLine="6"/>
        <w:spacing w:after="0" w:line="222" w:lineRule="auto"/>
        <w:tabs>
          <w:tab w:leader="none" w:pos="154" w:val="left"/>
        </w:tabs>
        <w:numPr>
          <w:ilvl w:val="0"/>
          <w:numId w:val="5"/>
        </w:numPr>
        <w:rPr>
          <w:rFonts w:ascii="Arial" w:cs="Arial" w:eastAsia="Arial" w:hAnsi="Arial"/>
          <w:sz w:val="15"/>
          <w:szCs w:val="15"/>
          <w:color w:val="auto"/>
          <w:vertAlign w:val="superscript"/>
        </w:rPr>
      </w:pPr>
      <w:r>
        <w:rPr>
          <w:rFonts w:ascii="Arial" w:cs="Arial" w:eastAsia="Arial" w:hAnsi="Arial"/>
          <w:sz w:val="12"/>
          <w:szCs w:val="12"/>
          <w:color w:val="auto"/>
        </w:rPr>
        <w:t>Finance expense, net and other has been adjusted to include interest and taxes paid that were previously included in "Other non-cash operating activities." Prior period amounts have been adjusted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6 of 10</w:t>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Unaudited Reconciliation of IFRS to Adjusted Non-IFRS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124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209"/>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(in millions USD)</w:t>
            </w:r>
          </w:p>
        </w:tc>
        <w:tc>
          <w:tcPr>
            <w:tcW w:w="14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8"/>
                <w:szCs w:val="18"/>
                <w:color w:val="auto"/>
              </w:rPr>
            </w:pPr>
          </w:p>
        </w:tc>
        <w:tc>
          <w:tcPr>
            <w:tcW w:w="1540" w:type="dxa"/>
            <w:vAlign w:val="bottom"/>
          </w:tcPr>
          <w:p>
            <w:pPr>
              <w:jc w:val="right"/>
              <w:ind w:right="108"/>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57"/>
        </w:trPr>
        <w:tc>
          <w:tcPr>
            <w:tcW w:w="24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622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610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384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2,239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1,013</w:t>
            </w:r>
          </w:p>
        </w:tc>
        <w:tc>
          <w:tcPr>
            <w:tcW w:w="0" w:type="dxa"/>
            <w:vAlign w:val="bottom"/>
          </w:tcPr>
          <w:p>
            <w:pPr>
              <w:spacing w:after="0"/>
              <w:rPr>
                <w:sz w:val="1"/>
                <w:szCs w:val="1"/>
                <w:color w:val="auto"/>
              </w:rPr>
            </w:pPr>
          </w:p>
        </w:tc>
      </w:tr>
      <w:tr>
        <w:trPr>
          <w:trHeight w:val="198"/>
        </w:trPr>
        <w:tc>
          <w:tcPr>
            <w:tcW w:w="2400" w:type="dxa"/>
            <w:vAlign w:val="bottom"/>
          </w:tcPr>
          <w:p>
            <w:pPr>
              <w:ind w:left="20"/>
              <w:spacing w:after="0"/>
              <w:rPr>
                <w:sz w:val="20"/>
                <w:szCs w:val="20"/>
                <w:color w:val="auto"/>
              </w:rPr>
            </w:pPr>
            <w:r>
              <w:rPr>
                <w:rFonts w:ascii="Arial" w:cs="Arial" w:eastAsia="Arial" w:hAnsi="Arial"/>
                <w:sz w:val="14"/>
                <w:szCs w:val="14"/>
                <w:i w:val="1"/>
                <w:iCs w:val="1"/>
                <w:color w:val="auto"/>
              </w:rPr>
              <w:t>Gross profit margin</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i w:val="1"/>
                <w:iCs w:val="1"/>
                <w:color w:val="auto"/>
              </w:rPr>
              <w:t>29.6 %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i w:val="1"/>
                <w:iCs w:val="1"/>
                <w:color w:val="auto"/>
              </w:rPr>
              <w:t>29.4 %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20.8 %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27.6 %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i w:val="1"/>
                <w:iCs w:val="1"/>
                <w:color w:val="auto"/>
              </w:rPr>
              <w:t>15.4 %</w:t>
            </w:r>
          </w:p>
        </w:tc>
        <w:tc>
          <w:tcPr>
            <w:tcW w:w="0" w:type="dxa"/>
            <w:vAlign w:val="bottom"/>
          </w:tcPr>
          <w:p>
            <w:pPr>
              <w:spacing w:after="0"/>
              <w:rPr>
                <w:sz w:val="1"/>
                <w:szCs w:val="1"/>
                <w:color w:val="auto"/>
              </w:rPr>
            </w:pPr>
          </w:p>
        </w:tc>
      </w:tr>
      <w:tr>
        <w:trPr>
          <w:trHeight w:val="207"/>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based compensation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5"/>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Adjusted gross profit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633</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621</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397</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2,303</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1,068</w:t>
            </w:r>
          </w:p>
        </w:tc>
        <w:tc>
          <w:tcPr>
            <w:tcW w:w="0" w:type="dxa"/>
            <w:vAlign w:val="bottom"/>
          </w:tcPr>
          <w:p>
            <w:pPr>
              <w:spacing w:after="0"/>
              <w:rPr>
                <w:sz w:val="1"/>
                <w:szCs w:val="1"/>
                <w:color w:val="auto"/>
              </w:rPr>
            </w:pPr>
          </w:p>
        </w:tc>
      </w:tr>
      <w:tr>
        <w:trPr>
          <w:trHeight w:val="20"/>
        </w:trPr>
        <w:tc>
          <w:tcPr>
            <w:tcW w:w="2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Adjusted gross margin</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30.1 %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29.9 %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21.5 %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28.4 %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16.2 %</w:t>
            </w:r>
          </w:p>
        </w:tc>
        <w:tc>
          <w:tcPr>
            <w:tcW w:w="0" w:type="dxa"/>
            <w:vAlign w:val="bottom"/>
          </w:tcPr>
          <w:p>
            <w:pPr>
              <w:spacing w:after="0"/>
              <w:rPr>
                <w:sz w:val="1"/>
                <w:szCs w:val="1"/>
                <w:color w:val="auto"/>
              </w:rPr>
            </w:pPr>
          </w:p>
        </w:tc>
      </w:tr>
      <w:tr>
        <w:trPr>
          <w:trHeight w:val="310"/>
        </w:trPr>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profit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288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357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87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1,167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(60)</w:t>
            </w:r>
          </w:p>
        </w:tc>
        <w:tc>
          <w:tcPr>
            <w:tcW w:w="0" w:type="dxa"/>
            <w:vAlign w:val="bottom"/>
          </w:tcPr>
          <w:p>
            <w:pPr>
              <w:spacing w:after="0"/>
              <w:rPr>
                <w:sz w:val="1"/>
                <w:szCs w:val="1"/>
                <w:color w:val="auto"/>
              </w:rPr>
            </w:pPr>
          </w:p>
        </w:tc>
      </w:tr>
      <w:tr>
        <w:trPr>
          <w:trHeight w:val="198"/>
        </w:trPr>
        <w:tc>
          <w:tcPr>
            <w:tcW w:w="2400" w:type="dxa"/>
            <w:vAlign w:val="bottom"/>
          </w:tcPr>
          <w:p>
            <w:pPr>
              <w:ind w:left="20"/>
              <w:spacing w:after="0"/>
              <w:rPr>
                <w:sz w:val="20"/>
                <w:szCs w:val="20"/>
                <w:color w:val="auto"/>
              </w:rPr>
            </w:pPr>
            <w:r>
              <w:rPr>
                <w:rFonts w:ascii="Arial" w:cs="Arial" w:eastAsia="Arial" w:hAnsi="Arial"/>
                <w:sz w:val="14"/>
                <w:szCs w:val="14"/>
                <w:i w:val="1"/>
                <w:iCs w:val="1"/>
                <w:color w:val="auto"/>
              </w:rPr>
              <w:t>Operating profit margin</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i w:val="1"/>
                <w:iCs w:val="1"/>
                <w:color w:val="auto"/>
              </w:rPr>
              <w:t>13.7 %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i w:val="1"/>
                <w:iCs w:val="1"/>
                <w:color w:val="auto"/>
              </w:rPr>
              <w:t>17.2 %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4.7 %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14.4 %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i w:val="1"/>
                <w:iCs w:val="1"/>
                <w:color w:val="auto"/>
              </w:rPr>
              <w:t>(0.9)%</w:t>
            </w:r>
          </w:p>
        </w:tc>
        <w:tc>
          <w:tcPr>
            <w:tcW w:w="0" w:type="dxa"/>
            <w:vAlign w:val="bottom"/>
          </w:tcPr>
          <w:p>
            <w:pPr>
              <w:spacing w:after="0"/>
              <w:rPr>
                <w:sz w:val="1"/>
                <w:szCs w:val="1"/>
                <w:color w:val="auto"/>
              </w:rPr>
            </w:pPr>
          </w:p>
        </w:tc>
      </w:tr>
      <w:tr>
        <w:trPr>
          <w:trHeight w:val="207"/>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based compensation</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03"/>
        </w:trPr>
        <w:tc>
          <w:tcPr>
            <w:tcW w:w="2400" w:type="dxa"/>
            <w:vAlign w:val="bottom"/>
          </w:tcPr>
          <w:p>
            <w:pPr>
              <w:ind w:left="20"/>
              <w:spacing w:after="0" w:line="202" w:lineRule="exact"/>
              <w:rPr>
                <w:sz w:val="20"/>
                <w:szCs w:val="20"/>
                <w:color w:val="auto"/>
              </w:rPr>
            </w:pPr>
            <w:r>
              <w:rPr>
                <w:rFonts w:ascii="Arial" w:cs="Arial" w:eastAsia="Arial" w:hAnsi="Arial"/>
                <w:sz w:val="14"/>
                <w:szCs w:val="14"/>
                <w:color w:val="auto"/>
              </w:rPr>
              <w:t>Restructuring charges</w:t>
            </w:r>
            <w:r>
              <w:rPr>
                <w:rFonts w:ascii="Arial" w:cs="Arial" w:eastAsia="Arial" w:hAnsi="Arial"/>
                <w:sz w:val="18"/>
                <w:szCs w:val="1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94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2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operating profit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425</w:t>
            </w: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389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1,443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168</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i w:val="1"/>
                <w:iCs w:val="1"/>
                <w:color w:val="auto"/>
              </w:rPr>
              <w:t>Adjusted operating profit margin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4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i w:val="1"/>
                <w:iCs w:val="1"/>
                <w:color w:val="auto"/>
              </w:rPr>
              <w:t>20.2 %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i w:val="1"/>
                <w:iCs w:val="1"/>
                <w:color w:val="auto"/>
              </w:rPr>
              <w:t>18.8 %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7.7 %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17.8 %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i w:val="1"/>
                <w:iCs w:val="1"/>
                <w:color w:val="auto"/>
              </w:rPr>
              <w:t>2.6 %</w:t>
            </w:r>
          </w:p>
        </w:tc>
        <w:tc>
          <w:tcPr>
            <w:tcW w:w="0" w:type="dxa"/>
            <w:vAlign w:val="bottom"/>
          </w:tcPr>
          <w:p>
            <w:pPr>
              <w:spacing w:after="0"/>
              <w:rPr>
                <w:sz w:val="1"/>
                <w:szCs w:val="1"/>
                <w:color w:val="auto"/>
              </w:rPr>
            </w:pPr>
          </w:p>
        </w:tc>
      </w:tr>
      <w:tr>
        <w:trPr>
          <w:trHeight w:val="288"/>
        </w:trPr>
        <w:tc>
          <w:tcPr>
            <w:tcW w:w="2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20"/>
              <w:spacing w:after="0" w:line="202" w:lineRule="exact"/>
              <w:rPr>
                <w:sz w:val="20"/>
                <w:szCs w:val="20"/>
                <w:color w:val="auto"/>
              </w:rPr>
            </w:pPr>
            <w:r>
              <w:rPr>
                <w:rFonts w:ascii="Arial" w:cs="Arial" w:eastAsia="Arial" w:hAnsi="Arial"/>
                <w:sz w:val="14"/>
                <w:szCs w:val="14"/>
                <w:b w:val="1"/>
                <w:bCs w:val="1"/>
                <w:color w:val="auto"/>
              </w:rPr>
              <w:t>Net income (loss)</w:t>
            </w:r>
            <w:r>
              <w:rPr>
                <w:rFonts w:ascii="Arial" w:cs="Arial" w:eastAsia="Arial" w:hAnsi="Arial"/>
                <w:sz w:val="18"/>
                <w:szCs w:val="18"/>
                <w:b w:val="1"/>
                <w:bCs w:val="1"/>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Pr>
          <w:p>
            <w:pPr>
              <w:jc w:val="right"/>
              <w:ind w:right="128"/>
              <w:spacing w:after="0"/>
              <w:rPr>
                <w:sz w:val="20"/>
                <w:szCs w:val="20"/>
                <w:color w:val="auto"/>
              </w:rPr>
            </w:pPr>
            <w:r>
              <w:rPr>
                <w:rFonts w:ascii="Arial" w:cs="Arial" w:eastAsia="Arial" w:hAnsi="Arial"/>
                <w:sz w:val="14"/>
                <w:szCs w:val="14"/>
                <w:b w:val="1"/>
                <w:bCs w:val="1"/>
                <w:color w:val="auto"/>
              </w:rPr>
              <w:t>668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ind w:right="128"/>
              <w:spacing w:after="0"/>
              <w:rPr>
                <w:sz w:val="20"/>
                <w:szCs w:val="20"/>
                <w:color w:val="auto"/>
              </w:rPr>
            </w:pPr>
            <w:r>
              <w:rPr>
                <w:rFonts w:ascii="Arial" w:cs="Arial" w:eastAsia="Arial" w:hAnsi="Arial"/>
                <w:sz w:val="14"/>
                <w:szCs w:val="14"/>
                <w:b w:val="1"/>
                <w:bCs w:val="1"/>
                <w:color w:val="auto"/>
              </w:rPr>
              <w:t>336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ind w:right="108"/>
              <w:spacing w:after="0"/>
              <w:rPr>
                <w:sz w:val="20"/>
                <w:szCs w:val="20"/>
                <w:color w:val="auto"/>
              </w:rPr>
            </w:pPr>
            <w:r>
              <w:rPr>
                <w:rFonts w:ascii="Arial" w:cs="Arial" w:eastAsia="Arial" w:hAnsi="Arial"/>
                <w:sz w:val="14"/>
                <w:szCs w:val="14"/>
                <w:b w:val="1"/>
                <w:bCs w:val="1"/>
                <w:color w:val="auto"/>
              </w:rPr>
              <w:t>43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1,446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Pr>
          <w:p>
            <w:pPr>
              <w:jc w:val="right"/>
              <w:ind w:right="68"/>
              <w:spacing w:after="0"/>
              <w:rPr>
                <w:sz w:val="20"/>
                <w:szCs w:val="20"/>
                <w:color w:val="auto"/>
              </w:rPr>
            </w:pPr>
            <w:r>
              <w:rPr>
                <w:rFonts w:ascii="Arial" w:cs="Arial" w:eastAsia="Arial" w:hAnsi="Arial"/>
                <w:sz w:val="14"/>
                <w:szCs w:val="14"/>
                <w:b w:val="1"/>
                <w:bCs w:val="1"/>
                <w:color w:val="auto"/>
              </w:rPr>
              <w:t>(254)</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Net income (loss) margin</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31.8 %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16.2 %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2.3 %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17.8 %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(3.9)%</w:t>
            </w:r>
          </w:p>
        </w:tc>
        <w:tc>
          <w:tcPr>
            <w:tcW w:w="0" w:type="dxa"/>
            <w:vAlign w:val="bottom"/>
          </w:tcPr>
          <w:p>
            <w:pPr>
              <w:spacing w:after="0"/>
              <w:rPr>
                <w:sz w:val="1"/>
                <w:szCs w:val="1"/>
                <w:color w:val="auto"/>
              </w:rPr>
            </w:pPr>
          </w:p>
        </w:tc>
      </w:tr>
      <w:tr>
        <w:trPr>
          <w:trHeight w:val="198"/>
        </w:trPr>
        <w:tc>
          <w:tcPr>
            <w:tcW w:w="2400" w:type="dxa"/>
            <w:vAlign w:val="bottom"/>
          </w:tcPr>
          <w:p>
            <w:pPr>
              <w:ind w:left="20"/>
              <w:spacing w:after="0"/>
              <w:rPr>
                <w:sz w:val="20"/>
                <w:szCs w:val="20"/>
                <w:color w:val="auto"/>
              </w:rPr>
            </w:pPr>
            <w:r>
              <w:rPr>
                <w:rFonts w:ascii="Arial" w:cs="Arial" w:eastAsia="Arial" w:hAnsi="Arial"/>
                <w:sz w:val="14"/>
                <w:szCs w:val="14"/>
                <w:color w:val="auto"/>
              </w:rPr>
              <w:t>Share based compensation</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182</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108"/>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07"/>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charges</w:t>
            </w:r>
            <w:r>
              <w:rPr>
                <w:rFonts w:ascii="Arial" w:cs="Arial" w:eastAsia="Arial" w:hAnsi="Arial"/>
                <w:sz w:val="18"/>
                <w:szCs w:val="18"/>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2400" w:type="dxa"/>
            <w:vAlign w:val="bottom"/>
          </w:tcPr>
          <w:p>
            <w:pPr>
              <w:ind w:left="20"/>
              <w:spacing w:after="0" w:line="202" w:lineRule="exact"/>
              <w:rPr>
                <w:sz w:val="20"/>
                <w:szCs w:val="20"/>
                <w:color w:val="auto"/>
              </w:rPr>
            </w:pPr>
            <w:r>
              <w:rPr>
                <w:rFonts w:ascii="Arial" w:cs="Arial" w:eastAsia="Arial" w:hAnsi="Arial"/>
                <w:sz w:val="14"/>
                <w:szCs w:val="14"/>
                <w:color w:val="auto"/>
              </w:rPr>
              <w:t>Income tax effect</w:t>
            </w:r>
            <w:r>
              <w:rPr>
                <w:rFonts w:ascii="Arial" w:cs="Arial" w:eastAsia="Arial" w:hAnsi="Arial"/>
                <w:sz w:val="18"/>
                <w:szCs w:val="18"/>
                <w:color w:val="auto"/>
                <w:vertAlign w:val="superscript"/>
              </w:rPr>
              <w:t>(3)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24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4"/>
                <w:szCs w:val="14"/>
                <w:b w:val="1"/>
                <w:bCs w:val="1"/>
                <w:color w:val="auto"/>
              </w:rPr>
              <w:t>Adjusted net income (loss)</w:t>
            </w:r>
            <w:r>
              <w:rPr>
                <w:rFonts w:ascii="Arial" w:cs="Arial" w:eastAsia="Arial" w:hAnsi="Arial"/>
                <w:sz w:val="18"/>
                <w:szCs w:val="18"/>
                <w:b w:val="1"/>
                <w:bCs w:val="1"/>
                <w:color w:val="auto"/>
                <w:vertAlign w:val="superscript"/>
              </w:rPr>
              <w:t>(4)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800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368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1,717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i w:val="1"/>
                <w:iCs w:val="1"/>
                <w:color w:val="auto"/>
              </w:rPr>
              <w:t>Adjusted net income (loss) margin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4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i w:val="1"/>
                <w:iCs w:val="1"/>
                <w:color w:val="auto"/>
              </w:rPr>
              <w:t>38.1 %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i w:val="1"/>
                <w:iCs w:val="1"/>
                <w:color w:val="auto"/>
              </w:rPr>
              <w:t>17.7 %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5.3 %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21.2 %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i w:val="1"/>
                <w:iCs w:val="1"/>
                <w:color w:val="auto"/>
              </w:rPr>
              <w:t>(0.4)%</w:t>
            </w:r>
          </w:p>
        </w:tc>
        <w:tc>
          <w:tcPr>
            <w:tcW w:w="0" w:type="dxa"/>
            <w:vAlign w:val="bottom"/>
          </w:tcPr>
          <w:p>
            <w:pPr>
              <w:spacing w:after="0"/>
              <w:rPr>
                <w:sz w:val="1"/>
                <w:szCs w:val="1"/>
                <w:color w:val="auto"/>
              </w:rPr>
            </w:pPr>
          </w:p>
        </w:tc>
      </w:tr>
      <w:tr>
        <w:trPr>
          <w:trHeight w:val="288"/>
        </w:trPr>
        <w:tc>
          <w:tcPr>
            <w:tcW w:w="2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tbl>
      <w:tblPr>
        <w:tblLayout w:type="fixed"/>
        <w:tblInd w:w="20" w:type="dxa"/>
        <w:tblCellMar>
          <w:top w:w="0" w:type="dxa"/>
          <w:left w:w="0" w:type="dxa"/>
          <w:bottom w:w="0" w:type="dxa"/>
          <w:right w:w="0" w:type="dxa"/>
        </w:tblCellMar>
      </w:tblPr>
      <w:tr>
        <w:trPr>
          <w:trHeight w:val="148"/>
        </w:trPr>
        <w:tc>
          <w:tcPr>
            <w:tcW w:w="2300" w:type="dxa"/>
            <w:vAlign w:val="bottom"/>
          </w:tcPr>
          <w:p>
            <w:pPr>
              <w:spacing w:after="0" w:line="149" w:lineRule="exact"/>
              <w:rPr>
                <w:sz w:val="20"/>
                <w:szCs w:val="20"/>
                <w:color w:val="auto"/>
              </w:rPr>
            </w:pPr>
            <w:r>
              <w:rPr>
                <w:rFonts w:ascii="Arial" w:cs="Arial" w:eastAsia="Arial" w:hAnsi="Arial"/>
                <w:sz w:val="14"/>
                <w:szCs w:val="14"/>
                <w:b w:val="1"/>
                <w:bCs w:val="1"/>
                <w:color w:val="auto"/>
              </w:rPr>
              <w:t>Diluted earnings (loss) per</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0"/>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share</w:t>
            </w:r>
          </w:p>
        </w:tc>
        <w:tc>
          <w:tcPr>
            <w:tcW w:w="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3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00" w:type="dxa"/>
            <w:vAlign w:val="bottom"/>
          </w:tcPr>
          <w:p>
            <w:pPr>
              <w:spacing w:after="0"/>
              <w:rPr>
                <w:sz w:val="20"/>
                <w:szCs w:val="20"/>
                <w:color w:val="auto"/>
              </w:rPr>
            </w:pPr>
            <w:r>
              <w:rPr>
                <w:rFonts w:ascii="Arial" w:cs="Arial" w:eastAsia="Arial" w:hAnsi="Arial"/>
                <w:sz w:val="14"/>
                <w:szCs w:val="14"/>
                <w:color w:val="auto"/>
              </w:rPr>
              <w:t>Share based compensation</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2300" w:type="dxa"/>
            <w:vAlign w:val="bottom"/>
          </w:tcPr>
          <w:p>
            <w:pPr>
              <w:spacing w:after="0"/>
              <w:rPr>
                <w:sz w:val="20"/>
                <w:szCs w:val="20"/>
                <w:color w:val="auto"/>
              </w:rPr>
            </w:pPr>
            <w:r>
              <w:rPr>
                <w:rFonts w:ascii="Arial" w:cs="Arial" w:eastAsia="Arial" w:hAnsi="Arial"/>
                <w:sz w:val="14"/>
                <w:szCs w:val="14"/>
                <w:color w:val="auto"/>
              </w:rPr>
              <w:t>Restructuring charges</w:t>
            </w:r>
            <w:r>
              <w:rPr>
                <w:rFonts w:ascii="Arial" w:cs="Arial" w:eastAsia="Arial" w:hAnsi="Arial"/>
                <w:sz w:val="18"/>
                <w:szCs w:val="18"/>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300" w:type="dxa"/>
            <w:vAlign w:val="bottom"/>
          </w:tcPr>
          <w:p>
            <w:pPr>
              <w:spacing w:after="0"/>
              <w:rPr>
                <w:sz w:val="20"/>
                <w:szCs w:val="20"/>
                <w:color w:val="auto"/>
              </w:rPr>
            </w:pPr>
            <w:r>
              <w:rPr>
                <w:rFonts w:ascii="Arial" w:cs="Arial" w:eastAsia="Arial" w:hAnsi="Arial"/>
                <w:sz w:val="14"/>
                <w:szCs w:val="14"/>
                <w:color w:val="auto"/>
              </w:rPr>
              <w:t>Income tax effect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300" w:type="dxa"/>
            <w:vAlign w:val="bottom"/>
          </w:tcPr>
          <w:p>
            <w:pPr>
              <w:spacing w:after="0" w:line="157" w:lineRule="exact"/>
              <w:rPr>
                <w:sz w:val="20"/>
                <w:szCs w:val="20"/>
                <w:color w:val="auto"/>
              </w:rPr>
            </w:pPr>
            <w:r>
              <w:rPr>
                <w:rFonts w:ascii="Arial" w:cs="Arial" w:eastAsia="Arial" w:hAnsi="Arial"/>
                <w:sz w:val="14"/>
                <w:szCs w:val="14"/>
                <w:b w:val="1"/>
                <w:bCs w:val="1"/>
                <w:color w:val="auto"/>
              </w:rPr>
              <w:t>Adjusted diluted earnings (loss)</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06"/>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per share</w:t>
            </w:r>
          </w:p>
        </w:tc>
        <w:tc>
          <w:tcPr>
            <w:tcW w:w="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3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660" w:type="dxa"/>
            <w:vAlign w:val="bottom"/>
          </w:tcPr>
          <w:p>
            <w:pPr>
              <w:jc w:val="center"/>
              <w:ind w:right="188"/>
              <w:spacing w:after="0"/>
              <w:rPr>
                <w:sz w:val="20"/>
                <w:szCs w:val="20"/>
                <w:color w:val="auto"/>
              </w:rPr>
            </w:pPr>
            <w:r>
              <w:rPr>
                <w:rFonts w:ascii="Arial" w:cs="Arial" w:eastAsia="Arial" w:hAnsi="Arial"/>
                <w:sz w:val="14"/>
                <w:szCs w:val="14"/>
                <w:b w:val="1"/>
                <w:bCs w:val="1"/>
                <w:color w:val="auto"/>
              </w:rPr>
              <w:t>1.21</w:t>
            </w:r>
          </w:p>
        </w:tc>
        <w:tc>
          <w:tcPr>
            <w:tcW w:w="680" w:type="dxa"/>
            <w:vAlign w:val="bottom"/>
          </w:tcPr>
          <w:p>
            <w:pPr>
              <w:jc w:val="right"/>
              <w:ind w:right="50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b w:val="1"/>
                <w:bCs w:val="1"/>
                <w:color w:val="auto"/>
              </w:rPr>
              <w:t>0.61</w:t>
            </w:r>
          </w:p>
        </w:tc>
        <w:tc>
          <w:tcPr>
            <w:tcW w:w="120" w:type="dxa"/>
            <w:vAlign w:val="bottom"/>
          </w:tcPr>
          <w:p>
            <w:pPr>
              <w:spacing w:after="0"/>
              <w:rPr>
                <w:sz w:val="17"/>
                <w:szCs w:val="17"/>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0.08</w:t>
            </w:r>
          </w:p>
        </w:tc>
        <w:tc>
          <w:tcPr>
            <w:tcW w:w="100" w:type="dxa"/>
            <w:vAlign w:val="bottom"/>
          </w:tcPr>
          <w:p>
            <w:pPr>
              <w:spacing w:after="0"/>
              <w:rPr>
                <w:sz w:val="17"/>
                <w:szCs w:val="17"/>
                <w:color w:val="auto"/>
              </w:rPr>
            </w:pPr>
          </w:p>
        </w:tc>
        <w:tc>
          <w:tcPr>
            <w:tcW w:w="620" w:type="dxa"/>
            <w:vAlign w:val="bottom"/>
          </w:tcPr>
          <w:p>
            <w:pPr>
              <w:jc w:val="right"/>
              <w:ind w:right="46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2.62</w:t>
            </w:r>
          </w:p>
        </w:tc>
        <w:tc>
          <w:tcPr>
            <w:tcW w:w="80" w:type="dxa"/>
            <w:vAlign w:val="bottom"/>
          </w:tcPr>
          <w:p>
            <w:pPr>
              <w:spacing w:after="0"/>
              <w:rPr>
                <w:sz w:val="17"/>
                <w:szCs w:val="17"/>
                <w:color w:val="auto"/>
              </w:rPr>
            </w:pPr>
          </w:p>
        </w:tc>
        <w:tc>
          <w:tcPr>
            <w:tcW w:w="620" w:type="dxa"/>
            <w:vAlign w:val="bottom"/>
          </w:tcPr>
          <w:p>
            <w:pPr>
              <w:jc w:val="right"/>
              <w:ind w:right="4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(0.49)</w:t>
            </w:r>
          </w:p>
        </w:tc>
      </w:tr>
      <w:tr>
        <w:trPr>
          <w:trHeight w:val="264"/>
        </w:trPr>
        <w:tc>
          <w:tcPr>
            <w:tcW w:w="660" w:type="dxa"/>
            <w:vAlign w:val="bottom"/>
          </w:tcPr>
          <w:p>
            <w:pPr>
              <w:jc w:val="center"/>
              <w:ind w:right="188"/>
              <w:spacing w:after="0"/>
              <w:rPr>
                <w:sz w:val="20"/>
                <w:szCs w:val="20"/>
                <w:color w:val="auto"/>
              </w:rPr>
            </w:pPr>
            <w:r>
              <w:rPr>
                <w:rFonts w:ascii="Arial" w:cs="Arial" w:eastAsia="Arial" w:hAnsi="Arial"/>
                <w:sz w:val="14"/>
                <w:szCs w:val="14"/>
                <w:color w:val="auto"/>
              </w:rPr>
              <w:t>0.07</w:t>
            </w: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22"/>
                <w:szCs w:val="22"/>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22"/>
                <w:szCs w:val="22"/>
                <w:color w:val="auto"/>
              </w:rPr>
            </w:pP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0.33</w:t>
            </w:r>
          </w:p>
        </w:tc>
        <w:tc>
          <w:tcPr>
            <w:tcW w:w="80" w:type="dxa"/>
            <w:vAlign w:val="bottom"/>
          </w:tcPr>
          <w:p>
            <w:pPr>
              <w:spacing w:after="0"/>
              <w:rPr>
                <w:sz w:val="22"/>
                <w:szCs w:val="22"/>
                <w:color w:val="auto"/>
              </w:rPr>
            </w:pP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0.44</w:t>
            </w:r>
          </w:p>
        </w:tc>
      </w:tr>
      <w:tr>
        <w:trPr>
          <w:trHeight w:val="203"/>
        </w:trPr>
        <w:tc>
          <w:tcPr>
            <w:tcW w:w="660" w:type="dxa"/>
            <w:vAlign w:val="bottom"/>
          </w:tcPr>
          <w:p>
            <w:pPr>
              <w:jc w:val="center"/>
              <w:ind w:right="188"/>
              <w:spacing w:after="0"/>
              <w:rPr>
                <w:sz w:val="20"/>
                <w:szCs w:val="20"/>
                <w:color w:val="auto"/>
              </w:rPr>
            </w:pPr>
            <w:r>
              <w:rPr>
                <w:rFonts w:ascii="Arial" w:cs="Arial" w:eastAsia="Arial" w:hAnsi="Arial"/>
                <w:sz w:val="14"/>
                <w:szCs w:val="14"/>
                <w:color w:val="auto"/>
              </w:rPr>
              <w:t>0.17</w:t>
            </w:r>
          </w:p>
        </w:tc>
        <w:tc>
          <w:tcPr>
            <w:tcW w:w="68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0.17</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6"/>
        </w:trPr>
        <w:tc>
          <w:tcPr>
            <w:tcW w:w="660" w:type="dxa"/>
            <w:vAlign w:val="bottom"/>
          </w:tcPr>
          <w:p>
            <w:pPr>
              <w:jc w:val="center"/>
              <w:ind w:right="208"/>
              <w:spacing w:after="0"/>
              <w:rPr>
                <w:sz w:val="20"/>
                <w:szCs w:val="20"/>
                <w:color w:val="auto"/>
              </w:rPr>
            </w:pPr>
            <w:r>
              <w:rPr>
                <w:rFonts w:ascii="Arial" w:cs="Arial" w:eastAsia="Arial" w:hAnsi="Arial"/>
                <w:sz w:val="14"/>
                <w:szCs w:val="14"/>
                <w:color w:val="auto"/>
              </w:rPr>
              <w:t>(0.01)</w:t>
            </w:r>
          </w:p>
        </w:tc>
        <w:tc>
          <w:tcPr>
            <w:tcW w:w="68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(0.01)</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39"/>
        </w:trPr>
        <w:tc>
          <w:tcPr>
            <w:tcW w:w="660" w:type="dxa"/>
            <w:vAlign w:val="bottom"/>
          </w:tcPr>
          <w:p>
            <w:pPr>
              <w:jc w:val="center"/>
              <w:ind w:right="188"/>
              <w:spacing w:after="0"/>
              <w:rPr>
                <w:sz w:val="20"/>
                <w:szCs w:val="20"/>
                <w:color w:val="auto"/>
              </w:rPr>
            </w:pPr>
            <w:r>
              <w:rPr>
                <w:rFonts w:ascii="Arial" w:cs="Arial" w:eastAsia="Arial" w:hAnsi="Arial"/>
                <w:sz w:val="14"/>
                <w:szCs w:val="14"/>
                <w:b w:val="1"/>
                <w:bCs w:val="1"/>
                <w:color w:val="auto"/>
              </w:rPr>
              <w:t>1.44</w:t>
            </w:r>
          </w:p>
        </w:tc>
        <w:tc>
          <w:tcPr>
            <w:tcW w:w="68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0.67</w:t>
            </w: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0.18</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3.11</w:t>
            </w:r>
          </w:p>
        </w:tc>
        <w:tc>
          <w:tcPr>
            <w:tcW w:w="80" w:type="dxa"/>
            <w:vAlign w:val="bottom"/>
          </w:tcPr>
          <w:p>
            <w:pPr>
              <w:spacing w:after="0"/>
              <w:rPr>
                <w:sz w:val="20"/>
                <w:szCs w:val="20"/>
                <w:color w:val="auto"/>
              </w:rPr>
            </w:pPr>
          </w:p>
        </w:tc>
        <w:tc>
          <w:tcPr>
            <w:tcW w:w="62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(0.05)</w:t>
            </w:r>
          </w:p>
        </w:tc>
      </w:tr>
      <w:tr>
        <w:trPr>
          <w:trHeight w:val="56"/>
        </w:trPr>
        <w:tc>
          <w:tcPr>
            <w:tcW w:w="66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0"/>
        </w:trPr>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-616585</wp:posOffset>
            </wp:positionV>
            <wp:extent cx="7132320" cy="128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-359410</wp:posOffset>
            </wp:positionV>
            <wp:extent cx="7132320" cy="36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720"/>
            <w:col w:w="7700"/>
          </w:cols>
          <w:pgMar w:left="320" w:top="1440" w:right="339" w:bottom="1440" w:gutter="0" w:footer="0" w:header="0"/>
          <w:type w:val="continuous"/>
        </w:sectPr>
      </w:pPr>
    </w:p>
    <w:p>
      <w:pPr>
        <w:spacing w:after="0" w:line="75"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Includes $3.1 million of share based compensation in Q4 2022.</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(2)</w:t>
      </w:r>
      <w:r>
        <w:rPr>
          <w:rFonts w:ascii="Arial" w:cs="Arial" w:eastAsia="Arial" w:hAnsi="Arial"/>
          <w:sz w:val="13"/>
          <w:szCs w:val="13"/>
          <w:color w:val="auto"/>
        </w:rPr>
        <w:t>Includes the gain on sale of our EFK business in December 2022.</w:t>
      </w:r>
    </w:p>
    <w:p>
      <w:pPr>
        <w:spacing w:after="0" w:line="163"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Relates to restructuring charges in Q4 2022.</w:t>
      </w:r>
    </w:p>
    <w:p>
      <w:pPr>
        <w:spacing w:after="0" w:line="192"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7"/>
        </w:numPr>
        <w:rPr>
          <w:rFonts w:ascii="Arial" w:cs="Arial" w:eastAsia="Arial" w:hAnsi="Arial"/>
          <w:sz w:val="15"/>
          <w:szCs w:val="15"/>
          <w:color w:val="auto"/>
          <w:vertAlign w:val="superscript"/>
        </w:rPr>
      </w:pPr>
      <w:r>
        <w:rPr>
          <w:rFonts w:ascii="Arial" w:cs="Arial" w:eastAsia="Arial" w:hAnsi="Arial"/>
          <w:sz w:val="12"/>
          <w:szCs w:val="12"/>
          <w:color w:val="auto"/>
        </w:rPr>
        <w:t>Reflects change to adjusted net income (loss) definition discussed in more detail elsewhere in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7 of 10</w:t>
      </w:r>
    </w:p>
    <w:p>
      <w:pPr>
        <w:sectPr>
          <w:pgSz w:w="11900" w:h="16838" w:orient="portrait"/>
          <w:cols w:equalWidth="0" w:num="1">
            <w:col w:w="11240"/>
          </w:cols>
          <w:pgMar w:left="320" w:top="1440" w:right="339" w:bottom="1440" w:gutter="0" w:footer="0" w:header="0"/>
          <w:type w:val="continuous"/>
        </w:sectPr>
      </w:pPr>
    </w:p>
    <w:bookmarkStart w:id="9" w:name="page10"/>
    <w:bookmarkEnd w:id="9"/>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Unaudited Reconciliation of Net Income to Adjusted EBITDA</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124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209"/>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(in millions USD)</w:t>
            </w:r>
          </w:p>
        </w:tc>
        <w:tc>
          <w:tcPr>
            <w:tcW w:w="14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8"/>
                <w:szCs w:val="18"/>
                <w:color w:val="auto"/>
              </w:rPr>
            </w:pPr>
          </w:p>
        </w:tc>
        <w:tc>
          <w:tcPr>
            <w:tcW w:w="1540" w:type="dxa"/>
            <w:vAlign w:val="bottom"/>
          </w:tcPr>
          <w:p>
            <w:pPr>
              <w:jc w:val="right"/>
              <w:ind w:right="108"/>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57"/>
        </w:trPr>
        <w:tc>
          <w:tcPr>
            <w:tcW w:w="24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for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668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336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1,446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(254)</w:t>
            </w:r>
          </w:p>
        </w:tc>
        <w:tc>
          <w:tcPr>
            <w:tcW w:w="0" w:type="dxa"/>
            <w:vAlign w:val="bottom"/>
          </w:tcPr>
          <w:p>
            <w:pPr>
              <w:spacing w:after="0"/>
              <w:rPr>
                <w:sz w:val="1"/>
                <w:szCs w:val="1"/>
                <w:color w:val="auto"/>
              </w:rPr>
            </w:pPr>
          </w:p>
        </w:tc>
      </w:tr>
      <w:tr>
        <w:trPr>
          <w:trHeight w:val="198"/>
        </w:trPr>
        <w:tc>
          <w:tcPr>
            <w:tcW w:w="24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7"/>
                <w:szCs w:val="17"/>
                <w:color w:val="auto"/>
              </w:rPr>
            </w:pP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419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1,623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108"/>
              <w:spacing w:after="0"/>
              <w:rPr>
                <w:sz w:val="20"/>
                <w:szCs w:val="20"/>
                <w:color w:val="auto"/>
              </w:rPr>
            </w:pPr>
            <w:r>
              <w:rPr>
                <w:rFonts w:ascii="Arial" w:cs="Arial" w:eastAsia="Arial" w:hAnsi="Arial"/>
                <w:sz w:val="14"/>
                <w:szCs w:val="14"/>
                <w:color w:val="auto"/>
              </w:rPr>
              <w:t>1,619</w:t>
            </w:r>
          </w:p>
        </w:tc>
        <w:tc>
          <w:tcPr>
            <w:tcW w:w="0" w:type="dxa"/>
            <w:vAlign w:val="bottom"/>
          </w:tcPr>
          <w:p>
            <w:pPr>
              <w:spacing w:after="0"/>
              <w:rPr>
                <w:sz w:val="1"/>
                <w:szCs w:val="1"/>
                <w:color w:val="auto"/>
              </w:rPr>
            </w:pPr>
          </w:p>
        </w:tc>
      </w:tr>
      <w:tr>
        <w:trPr>
          <w:trHeight w:val="207"/>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expense</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98"/>
        </w:trPr>
        <w:tc>
          <w:tcPr>
            <w:tcW w:w="2400" w:type="dxa"/>
            <w:vAlign w:val="bottom"/>
          </w:tcPr>
          <w:p>
            <w:pPr>
              <w:ind w:left="20"/>
              <w:spacing w:after="0"/>
              <w:rPr>
                <w:sz w:val="20"/>
                <w:szCs w:val="20"/>
                <w:color w:val="auto"/>
              </w:rPr>
            </w:pPr>
            <w:r>
              <w:rPr>
                <w:rFonts w:ascii="Arial" w:cs="Arial" w:eastAsia="Arial" w:hAnsi="Arial"/>
                <w:sz w:val="14"/>
                <w:szCs w:val="14"/>
                <w:color w:val="auto"/>
              </w:rPr>
              <w:t>Finance income</w:t>
            </w:r>
          </w:p>
        </w:tc>
        <w:tc>
          <w:tcPr>
            <w:tcW w:w="140" w:type="dxa"/>
            <w:vAlign w:val="bottom"/>
          </w:tcPr>
          <w:p>
            <w:pPr>
              <w:spacing w:after="0"/>
              <w:rPr>
                <w:sz w:val="17"/>
                <w:szCs w:val="17"/>
                <w:color w:val="auto"/>
              </w:rPr>
            </w:pPr>
          </w:p>
        </w:tc>
        <w:tc>
          <w:tcPr>
            <w:tcW w:w="1540" w:type="dxa"/>
            <w:vAlign w:val="bottom"/>
          </w:tcPr>
          <w:p>
            <w:pPr>
              <w:jc w:val="right"/>
              <w:ind w:right="8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ind w:left="1200"/>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17"/>
                <w:szCs w:val="17"/>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16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7"/>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98"/>
        </w:trPr>
        <w:tc>
          <w:tcPr>
            <w:tcW w:w="2400" w:type="dxa"/>
            <w:vAlign w:val="bottom"/>
          </w:tcPr>
          <w:p>
            <w:pPr>
              <w:ind w:left="20"/>
              <w:spacing w:after="0"/>
              <w:rPr>
                <w:sz w:val="20"/>
                <w:szCs w:val="20"/>
                <w:color w:val="auto"/>
              </w:rPr>
            </w:pPr>
            <w:r>
              <w:rPr>
                <w:rFonts w:ascii="Arial" w:cs="Arial" w:eastAsia="Arial" w:hAnsi="Arial"/>
                <w:sz w:val="14"/>
                <w:szCs w:val="14"/>
                <w:color w:val="auto"/>
              </w:rPr>
              <w:t>Share based compensation</w:t>
            </w:r>
          </w:p>
        </w:tc>
        <w:tc>
          <w:tcPr>
            <w:tcW w:w="140" w:type="dxa"/>
            <w:vAlign w:val="bottom"/>
          </w:tcPr>
          <w:p>
            <w:pPr>
              <w:spacing w:after="0"/>
              <w:rPr>
                <w:sz w:val="17"/>
                <w:szCs w:val="17"/>
                <w:color w:val="auto"/>
              </w:rPr>
            </w:pP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182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108"/>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07"/>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charges</w:t>
            </w:r>
            <w:r>
              <w:rPr>
                <w:rFonts w:ascii="Arial" w:cs="Arial" w:eastAsia="Arial" w:hAnsi="Arial"/>
                <w:sz w:val="18"/>
                <w:szCs w:val="18"/>
                <w:color w:val="auto"/>
                <w:vertAlign w:val="superscript"/>
              </w:rPr>
              <w:t>(1)</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400" w:type="dxa"/>
            <w:vAlign w:val="bottom"/>
          </w:tcPr>
          <w:p>
            <w:pPr>
              <w:ind w:left="20"/>
              <w:spacing w:after="0"/>
              <w:rPr>
                <w:sz w:val="20"/>
                <w:szCs w:val="20"/>
                <w:color w:val="auto"/>
              </w:rPr>
            </w:pPr>
            <w:r>
              <w:rPr>
                <w:rFonts w:ascii="Arial" w:cs="Arial" w:eastAsia="Arial" w:hAnsi="Arial"/>
                <w:sz w:val="14"/>
                <w:szCs w:val="14"/>
                <w:color w:val="auto"/>
              </w:rPr>
              <w:t>Labor optimization initiatives</w:t>
            </w:r>
          </w:p>
        </w:tc>
        <w:tc>
          <w:tcPr>
            <w:tcW w:w="14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540" w:type="dxa"/>
            <w:vAlign w:val="bottom"/>
          </w:tcPr>
          <w:p>
            <w:pPr>
              <w:jc w:val="right"/>
              <w:ind w:right="10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3"/>
        </w:trPr>
        <w:tc>
          <w:tcPr>
            <w:tcW w:w="24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(Gains) on transactions, legal</w:t>
            </w:r>
          </w:p>
        </w:tc>
        <w:tc>
          <w:tcPr>
            <w:tcW w:w="140" w:type="dxa"/>
            <w:vAlign w:val="bottom"/>
            <w:shd w:val="clear" w:color="auto" w:fill="CCEEFF"/>
          </w:tcPr>
          <w:p>
            <w:pPr>
              <w:spacing w:after="0"/>
              <w:rPr>
                <w:sz w:val="13"/>
                <w:szCs w:val="13"/>
                <w:color w:val="auto"/>
              </w:rPr>
            </w:pPr>
          </w:p>
        </w:tc>
        <w:tc>
          <w:tcPr>
            <w:tcW w:w="15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(403)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(403)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37"/>
        </w:trPr>
        <w:tc>
          <w:tcPr>
            <w:tcW w:w="240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settlements and transaction</w:t>
            </w:r>
          </w:p>
        </w:tc>
        <w:tc>
          <w:tcPr>
            <w:tcW w:w="140" w:type="dxa"/>
            <w:vAlign w:val="bottom"/>
            <w:shd w:val="clear" w:color="auto" w:fill="CCEEFF"/>
          </w:tcPr>
          <w:p>
            <w:pPr>
              <w:spacing w:after="0"/>
              <w:rPr>
                <w:sz w:val="11"/>
                <w:szCs w:val="11"/>
                <w:color w:val="auto"/>
              </w:rPr>
            </w:pPr>
          </w:p>
        </w:tc>
        <w:tc>
          <w:tcPr>
            <w:tcW w:w="15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4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400" w:type="dxa"/>
            <w:vAlign w:val="bottom"/>
            <w:shd w:val="clear" w:color="auto" w:fill="CCEEFF"/>
          </w:tcPr>
          <w:p>
            <w:pPr>
              <w:ind w:left="20"/>
              <w:spacing w:after="0" w:line="201" w:lineRule="exact"/>
              <w:rPr>
                <w:sz w:val="20"/>
                <w:szCs w:val="20"/>
                <w:color w:val="auto"/>
              </w:rPr>
            </w:pPr>
            <w:r>
              <w:rPr>
                <w:rFonts w:ascii="Arial" w:cs="Arial" w:eastAsia="Arial" w:hAnsi="Arial"/>
                <w:sz w:val="14"/>
                <w:szCs w:val="14"/>
                <w:color w:val="auto"/>
              </w:rPr>
              <w:t>expenses</w:t>
            </w:r>
            <w:r>
              <w:rPr>
                <w:rFonts w:ascii="Arial" w:cs="Arial" w:eastAsia="Arial" w:hAnsi="Arial"/>
                <w:sz w:val="18"/>
                <w:szCs w:val="18"/>
                <w:color w:val="auto"/>
                <w:vertAlign w:val="superscript"/>
              </w:rPr>
              <w:t>(2)</w:t>
            </w: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0" w:type="dxa"/>
            <w:vAlign w:val="bottom"/>
          </w:tcPr>
          <w:p>
            <w:pPr>
              <w:ind w:left="20"/>
              <w:spacing w:after="0" w:line="196" w:lineRule="exact"/>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18"/>
                <w:szCs w:val="18"/>
                <w:b w:val="1"/>
                <w:bCs w:val="1"/>
                <w:color w:val="auto"/>
                <w:vertAlign w:val="superscript"/>
              </w:rPr>
              <w:t>(3)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821</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793</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584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3,088</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1,848</w:t>
            </w:r>
          </w:p>
        </w:tc>
        <w:tc>
          <w:tcPr>
            <w:tcW w:w="0" w:type="dxa"/>
            <w:vAlign w:val="bottom"/>
          </w:tcPr>
          <w:p>
            <w:pPr>
              <w:spacing w:after="0"/>
              <w:rPr>
                <w:sz w:val="1"/>
                <w:szCs w:val="1"/>
                <w:color w:val="auto"/>
              </w:rPr>
            </w:pPr>
          </w:p>
        </w:tc>
      </w:tr>
      <w:tr>
        <w:trPr>
          <w:trHeight w:val="21"/>
        </w:trPr>
        <w:tc>
          <w:tcPr>
            <w:tcW w:w="24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Adjusted EBITDA margin</w:t>
            </w: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24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i w:val="1"/>
                <w:iCs w:val="1"/>
                <w:color w:val="auto"/>
              </w:rPr>
              <w:t>39.1 %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i w:val="1"/>
                <w:iCs w:val="1"/>
                <w:color w:val="auto"/>
              </w:rPr>
              <w:t>38.2 %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31.6 %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38.1 %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i w:val="1"/>
                <w:iCs w:val="1"/>
                <w:color w:val="auto"/>
              </w:rPr>
              <w:t>28.1 %</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Includes $3.1 million of share-based compensation in Q4 2022.</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(2)</w:t>
      </w:r>
      <w:r>
        <w:rPr>
          <w:rFonts w:ascii="Arial" w:cs="Arial" w:eastAsia="Arial" w:hAnsi="Arial"/>
          <w:sz w:val="13"/>
          <w:szCs w:val="13"/>
          <w:color w:val="auto"/>
        </w:rPr>
        <w:t>Activity for the year ended December 31, 2022, relates to the gain on sale of our EFK business.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(3)</w:t>
      </w:r>
      <w:r>
        <w:rPr>
          <w:rFonts w:ascii="Arial" w:cs="Arial" w:eastAsia="Arial" w:hAnsi="Arial"/>
          <w:sz w:val="13"/>
          <w:szCs w:val="13"/>
          <w:color w:val="auto"/>
        </w:rPr>
        <w:t>Reflects change to adjusted EBITDA definition discussed in more detail elsewhere in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8 of 10</w:t>
      </w:r>
    </w:p>
    <w:p>
      <w:pPr>
        <w:sectPr>
          <w:pgSz w:w="11900" w:h="16838" w:orient="portrait"/>
          <w:cols w:equalWidth="0" w:num="1">
            <w:col w:w="11240"/>
          </w:cols>
          <w:pgMar w:left="320" w:top="1440"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auto"/>
        </w:rPr>
        <w:t>Adjusted Financial Measures (Non-IFRS)</w:t>
      </w:r>
    </w:p>
    <w:p>
      <w:pPr>
        <w:spacing w:after="0" w:line="262"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 addition to the financial information presented in accordance with IFRS, this press release includes the following adjusted non-IFRS metrics: adjusted gross profit, adjusted operating profit, adjusted net income (loss), adjusted diluted earnings (loss) per share and adjusted EBITDA. We define adjusted gross profit as gross profit adjusted for share-based compensation expense. We define adjusted operating profit as profit from operations adjusted for share-based compensation expense and restructuring charges. We define adjusted net income (loss) as net income (loss) adjusted for share-based compensation expense, restructuring charges and the associated tax impact. We define adjusted diluted EPS as adjusted net income (loss) divided by the dilutive shares. We define adjusted EBITDA as net income (loss), adjusted for the impact of finance expense, finance income, income tax expense, depreciation, amortization, share-based compensation expense, transaction gains and associated expenses, restructuring charges, labor optimization initiatives and litigation settlements.</w:t>
      </w:r>
    </w:p>
    <w:p>
      <w:pPr>
        <w:spacing w:after="0" w:line="251"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We believe that in addition to our results determined in accordance with IFRS, these adjusted non-IFRS measures provide useful information to both management and investors in measuring our financial performance and highlight trends in our business that may not otherwise be apparent when relying solely on IFRS measures. These adjusted non-IFRS financial measures provide supplemental information regarding our operating performance that excludes certain gains, losses and non-cash charges that occur relatively infrequently and/or that we consider to be unrelated to our core operations. For further information regarding these non-IFRS measures, please refer to "Unaudited Reconciliation of IFRS to Adjusted Non-IFRS" table above.</w:t>
      </w:r>
    </w:p>
    <w:p>
      <w:pPr>
        <w:spacing w:after="0" w:line="191"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Adjusted non-IFRS financial information is presented for supplemental informational purposes only and should not be considered in isolation or as a substitute for financial information presented in accordance with IFRS. Our presentation of adjusted non-IFRS measures should not be construed as an inference that our future results will be unaffected by unusual or nonrecurring items. Other companies in our industry may calculate these measures differently, which may limit their usefulness as a comparative measure.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 and Webcast Information</w:t>
      </w:r>
    </w:p>
    <w:p>
      <w:pPr>
        <w:spacing w:after="0" w:line="221"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GF will host a conference call with the financial community on Tuesday, February 14, 2022 at 8:30 a.m. U.S. Eastern Time (ET) to review the Fourth Quarter and Full Year 2022 results in detail. Interested parties may join the scheduled conference call by registering at https://register.vevent.com/register/BIb7c5c31960b748cb82f3624738c04f6d</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call will be webcast and can be accessed from the GF Investor Relations website https://investors.gf.com. A replay of the call will be available on the GF Investor Relations website within 24 hours of the actual call.</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GlobalFoundries</w:t>
      </w:r>
    </w:p>
    <w:p>
      <w:pPr>
        <w:spacing w:after="0" w:line="221"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 xml:space="preserve">GlobalFoundries® (GF®) is one of the world’s leading semiconductor manufacturers. GF is redefining innovation and semiconductor manufacturing by developing and delivering feature-rich process technology solutions that provide leadership performance in pervasive high growth markets. GF offers a unique mix of design, development and fabrication services. With a talented and diverse workforce and an at-scale manufacturing footprint spanning the U.S., Europe and Asia, GF is a trusted technology source to its worldwide customers. For more information, visit </w:t>
      </w:r>
      <w:r>
        <w:rPr>
          <w:rFonts w:ascii="Arial" w:cs="Arial" w:eastAsia="Arial" w:hAnsi="Arial"/>
          <w:sz w:val="16"/>
          <w:szCs w:val="16"/>
          <w:u w:val="single" w:color="auto"/>
          <w:color w:val="0000FF"/>
        </w:rPr>
        <w:t>www.gf.com</w:t>
      </w:r>
      <w:r>
        <w:rPr>
          <w:rFonts w:ascii="Arial" w:cs="Arial" w:eastAsia="Arial" w:hAnsi="Arial"/>
          <w:sz w:val="16"/>
          <w:szCs w:val="16"/>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221" w:lineRule="exact"/>
        <w:rPr>
          <w:sz w:val="20"/>
          <w:szCs w:val="20"/>
          <w:color w:val="auto"/>
        </w:rPr>
      </w:pPr>
    </w:p>
    <w:p>
      <w:pPr>
        <w:jc w:val="both"/>
        <w:spacing w:after="0" w:line="215" w:lineRule="auto"/>
        <w:rPr>
          <w:sz w:val="20"/>
          <w:szCs w:val="20"/>
          <w:color w:val="auto"/>
        </w:rPr>
      </w:pPr>
      <w:r>
        <w:rPr>
          <w:rFonts w:ascii="Arial" w:cs="Arial" w:eastAsia="Arial" w:hAnsi="Arial"/>
          <w:sz w:val="16"/>
          <w:szCs w:val="16"/>
          <w:color w:val="auto"/>
        </w:rPr>
        <w:t>This press release includes “forward-looking statements” that reflect our current expectations and views of future events. These forward-looking statements are made under the "safe harbor" provisions of the U.S. Private Securities Litigation Reform Act of 1995 and include but are not limited to, statements regarding our financial outlook, future guidance, product development, business strategy and plans, and market trends, opportunities and positioning. These statements are based on current expectations, assumptions, estimates, forecasts, projections and limited information available at the time they are made. Words such as “expect,” “anticipate,” “should,” “believe,” “hope,” “target,” “project,” “goals,” “estimate,” “potential,” “predict,” “may,” “will,” “might,” “could,” “intend,” “shall,” "outlook," "on track," and variations of these terms or the negative of these terms and similar expressions are intended to identify these forward-looking statements, although not all forward-looking statements contain these identifying words. Forward-looking statements are subject to a broad variety of risks and uncertainties, both known and unknown. Any inaccuracy in our assumptions and estimates could affect the realization of the expectations or forecasts in these forward-looking statements. For example, our business could be impacted by the COVID-19 pandemic and supply chain disruptions due to the Russia/Ukraine conflict and actions taken in response to such events; the market for our products may develop more slowly than expected or than it has in the past; we may fail to achieve the full benefits of our current restructuring plan; our operating results may fluctuate more than expected; there may be significant fluctuations in our results of operations and cash flows related to our revenue recognition or otherwise; a network or data security incident that allows unauthorized access to our network or data or our customers’ data could damage our reputation; we could experience interruptions or performance problems associated with our technology, including a service outage; and global economic conditions could deteriorate, including due to increasing interest rates, rising inflation and any potential recession. It is not possible for us to predict all risks, nor can we assess the impact of all factors on our business or the extent to which any factor, or combination of factors, may cause actual results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9 of 10</w:t>
      </w:r>
    </w:p>
    <w:p>
      <w:pPr>
        <w:sectPr>
          <w:pgSz w:w="11900" w:h="16838" w:orient="portrait"/>
          <w:cols w:equalWidth="0" w:num="1">
            <w:col w:w="11240"/>
          </w:cols>
          <w:pgMar w:left="320" w:top="1435" w:right="339" w:bottom="1440" w:gutter="0" w:footer="0" w:header="0"/>
        </w:sectPr>
      </w:pPr>
    </w:p>
    <w:bookmarkStart w:id="11" w:name="page12"/>
    <w:bookmarkEnd w:id="11"/>
    <w:p>
      <w:pPr>
        <w:jc w:val="both"/>
        <w:spacing w:after="0" w:line="228" w:lineRule="auto"/>
        <w:rPr>
          <w:sz w:val="20"/>
          <w:szCs w:val="20"/>
          <w:color w:val="auto"/>
        </w:rPr>
      </w:pPr>
      <w:r>
        <w:rPr>
          <w:rFonts w:ascii="Arial" w:cs="Arial" w:eastAsia="Arial" w:hAnsi="Arial"/>
          <w:sz w:val="16"/>
          <w:szCs w:val="16"/>
          <w:color w:val="auto"/>
        </w:rPr>
        <w:t>outcomes to differ materially from those contained in any forward-looking statements we may make. Moreover, we operate in a competitive and rapidly changing market, and new risks may emerge from time to time. You should not rely upon forward-looking statements as predictions of future events. These statements are based on our historical performance and on our current plans, estimates and projections in light of information currently available to us, and therefore you should not place undue reliance on them.</w:t>
      </w:r>
    </w:p>
    <w:p>
      <w:pPr>
        <w:spacing w:after="0" w:line="192" w:lineRule="exact"/>
        <w:rPr>
          <w:sz w:val="20"/>
          <w:szCs w:val="20"/>
          <w:color w:val="auto"/>
        </w:rPr>
      </w:pPr>
    </w:p>
    <w:p>
      <w:pPr>
        <w:jc w:val="both"/>
        <w:spacing w:after="0" w:line="218" w:lineRule="auto"/>
        <w:rPr>
          <w:sz w:val="20"/>
          <w:szCs w:val="20"/>
          <w:color w:val="auto"/>
        </w:rPr>
      </w:pPr>
      <w:r>
        <w:rPr>
          <w:rFonts w:ascii="Arial" w:cs="Arial" w:eastAsia="Arial" w:hAnsi="Arial"/>
          <w:sz w:val="16"/>
          <w:szCs w:val="16"/>
          <w:color w:val="auto"/>
        </w:rPr>
        <w:t>Although we believe that the expectations reflected in our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these statements. Recipients are cautioned not to place undue reliance on these forward-looking statements, which speak only as of the date such statements are made and should not be construed as statements of fact. Except to the extent required by federal securities laws, we undertake no obligation to update any information or any forward-looking statements as a result of new information, subsequent events, or any other circumstances after the date hereof, or to reflect the occurrence of unanticipated events. For a discussion of potential risks and uncertainties, please refer to the risk factors and cautionary statements in our 2021 Annual Report on Form 20-F, current reports on Form 6-K and other reports filed with the Securities and Exchange Commission. Copies of our SEC filings are available on our Investor Relations website, investors.gf.com, or from the SEC website, www.sec.gov.</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 further information, please contact: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w:t>
      </w:r>
    </w:p>
    <w:p>
      <w:pPr>
        <w:spacing w:after="0"/>
        <w:rPr>
          <w:sz w:val="20"/>
          <w:szCs w:val="20"/>
          <w:color w:val="auto"/>
        </w:rPr>
      </w:pPr>
      <w:r>
        <w:rPr>
          <w:rFonts w:ascii="Arial" w:cs="Arial" w:eastAsia="Arial" w:hAnsi="Arial"/>
          <w:sz w:val="16"/>
          <w:szCs w:val="16"/>
          <w:u w:val="single" w:color="auto"/>
          <w:color w:val="0000FF"/>
        </w:rPr>
        <w:t>ir@gf.com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10 of 10</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3"/>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2023-02-14T06:08:39Z</dcterms:created>
  <dcterms:modified xsi:type="dcterms:W3CDTF">2023-02-14T06:08:39Z</dcterms:modified>
</cp:coreProperties>
</file>