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9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ind w:right="-519"/>
        <w:spacing w:after="0" w:line="199"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381"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179" w:lineRule="exact"/>
        <w:rPr>
          <w:sz w:val="24"/>
          <w:szCs w:val="24"/>
          <w:color w:val="auto"/>
        </w:rPr>
      </w:pPr>
    </w:p>
    <w:p>
      <w:pPr>
        <w:ind w:left="520"/>
        <w:spacing w:after="0"/>
        <w:rPr>
          <w:sz w:val="20"/>
          <w:szCs w:val="20"/>
          <w:color w:val="auto"/>
        </w:rPr>
      </w:pPr>
      <w:r>
        <w:rPr>
          <w:rFonts w:ascii="Georgia" w:cs="Georgia" w:eastAsia="Georgia" w:hAnsi="Georgia"/>
          <w:sz w:val="21"/>
          <w:szCs w:val="21"/>
          <w:b w:val="1"/>
          <w:bCs w:val="1"/>
          <w:color w:val="auto"/>
        </w:rPr>
        <w:t xml:space="preserve">REPORT OF FOREIGN PRIVATE ISSUER PURSUANT TO RULE 13a-16 OR </w:t>
      </w:r>
      <w:r>
        <w:rPr>
          <w:rFonts w:ascii="Times New Roman" w:cs="Times New Roman" w:eastAsia="Times New Roman" w:hAnsi="Times New Roman"/>
          <w:sz w:val="21"/>
          <w:szCs w:val="21"/>
          <w:b w:val="1"/>
          <w:bCs w:val="1"/>
          <w:color w:val="auto"/>
        </w:rPr>
        <w:t>15d-16 UNDER THE</w:t>
      </w:r>
    </w:p>
    <w:p>
      <w:pPr>
        <w:spacing w:after="0" w:line="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 the month of February 2024</w:t>
      </w:r>
    </w:p>
    <w:p>
      <w:pPr>
        <w:spacing w:after="0" w:line="14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Commission File Number 001-40974</w:t>
      </w:r>
    </w:p>
    <w:p>
      <w:pPr>
        <w:spacing w:after="0" w:line="232"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9"/>
          <w:szCs w:val="29"/>
          <w:b w:val="1"/>
          <w:bCs w:val="1"/>
          <w:color w:val="auto"/>
        </w:rPr>
        <w:t>GLOBALFOUNDRIES Inc.</w:t>
      </w:r>
    </w:p>
    <w:p>
      <w:pPr>
        <w:spacing w:after="0" w:line="26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400 Stonebreak Road Extension</w:t>
      </w: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Malta, NY 12020</w:t>
      </w:r>
    </w:p>
    <w:p>
      <w:pPr>
        <w:spacing w:after="0" w:line="138" w:lineRule="exact"/>
        <w:rPr>
          <w:sz w:val="24"/>
          <w:szCs w:val="24"/>
          <w:color w:val="auto"/>
        </w:rPr>
      </w:pPr>
    </w:p>
    <w:p>
      <w:pPr>
        <w:ind w:left="160" w:right="1520" w:firstLine="468"/>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4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Attached hereto is the following exhibit.</w:t>
      </w:r>
    </w:p>
    <w:p>
      <w:pPr>
        <w:spacing w:after="0" w:line="24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8"/>
          <w:szCs w:val="18"/>
          <w:u w:val="single" w:color="auto"/>
          <w:color w:val="0000FF"/>
        </w:rPr>
        <w:t>Press release issued by Registrant on February 13, 2024</w:t>
      </w:r>
    </w:p>
    <w:p>
      <w:pPr>
        <w:spacing w:after="0"/>
        <w:rPr>
          <w:sz w:val="20"/>
          <w:szCs w:val="20"/>
          <w:color w:val="auto"/>
        </w:rPr>
      </w:pPr>
      <w:r>
        <w:rPr>
          <w:rFonts w:ascii="Times New Roman" w:cs="Times New Roman" w:eastAsia="Times New Roman" w:hAnsi="Times New Roman"/>
          <w:sz w:val="18"/>
          <w:szCs w:val="18"/>
          <w:u w:val="single" w:color="auto"/>
          <w:color w:val="0000FF"/>
        </w:rPr>
        <w:t>Exhibit 99.1</w:t>
      </w:r>
    </w:p>
    <w:p>
      <w:pPr>
        <w:sectPr>
          <w:pgSz w:w="11900" w:h="16838" w:orient="portrait"/>
          <w:cols w:equalWidth="0" w:num="1">
            <w:col w:w="10700"/>
          </w:cols>
          <w:pgMar w:left="340" w:top="1440" w:right="859" w:bottom="1440" w:gutter="0" w:footer="0" w:header="0"/>
        </w:sectPr>
      </w:pPr>
    </w:p>
    <w:bookmarkStart w:id="1" w:name="page2"/>
    <w:bookmarkEnd w:id="1"/>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74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GLOBALFOUNDRIES Inc.</w:t>
            </w:r>
          </w:p>
        </w:tc>
      </w:tr>
      <w:tr>
        <w:trPr>
          <w:trHeight w:val="49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13, 2024</w:t>
            </w:r>
          </w:p>
        </w:tc>
        <w:tc>
          <w:tcPr>
            <w:tcW w:w="27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Hollister</w:t>
            </w:r>
          </w:p>
        </w:tc>
      </w:tr>
      <w:tr>
        <w:trPr>
          <w:trHeight w:val="41"/>
        </w:trPr>
        <w:tc>
          <w:tcPr>
            <w:tcW w:w="3380" w:type="dxa"/>
            <w:vAlign w:val="bottom"/>
          </w:tcPr>
          <w:p>
            <w:pPr>
              <w:spacing w:after="0"/>
              <w:rPr>
                <w:sz w:val="3"/>
                <w:szCs w:val="3"/>
                <w:color w:val="auto"/>
              </w:rPr>
            </w:pPr>
          </w:p>
        </w:tc>
        <w:tc>
          <w:tcPr>
            <w:tcW w:w="2740" w:type="dxa"/>
            <w:vAlign w:val="bottom"/>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37"/>
        </w:trPr>
        <w:tc>
          <w:tcPr>
            <w:tcW w:w="3380" w:type="dxa"/>
            <w:vAlign w:val="bottom"/>
          </w:tcPr>
          <w:p>
            <w:pPr>
              <w:spacing w:after="0"/>
              <w:rPr>
                <w:sz w:val="20"/>
                <w:szCs w:val="20"/>
                <w:color w:val="auto"/>
              </w:rPr>
            </w:pPr>
          </w:p>
        </w:tc>
        <w:tc>
          <w:tcPr>
            <w:tcW w:w="27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Hollister</w:t>
            </w:r>
          </w:p>
        </w:tc>
      </w:tr>
      <w:tr>
        <w:trPr>
          <w:trHeight w:val="283"/>
        </w:trPr>
        <w:tc>
          <w:tcPr>
            <w:tcW w:w="3380" w:type="dxa"/>
            <w:vAlign w:val="bottom"/>
          </w:tcPr>
          <w:p>
            <w:pPr>
              <w:spacing w:after="0"/>
              <w:rPr>
                <w:sz w:val="24"/>
                <w:szCs w:val="24"/>
                <w:color w:val="auto"/>
              </w:rPr>
            </w:pPr>
          </w:p>
        </w:tc>
        <w:tc>
          <w:tcPr>
            <w:tcW w:w="27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2" w:name="page3"/>
    <w:bookmarkEnd w:id="2"/>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GlobalFoundries Reports Fourth Quarter 2023 and Fiscal Year 2023 Financial Results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356" w:lineRule="auto"/>
        <w:rPr>
          <w:sz w:val="20"/>
          <w:szCs w:val="20"/>
          <w:color w:val="auto"/>
        </w:rPr>
      </w:pPr>
      <w:r>
        <w:rPr>
          <w:rFonts w:ascii="Arial" w:cs="Arial" w:eastAsia="Arial" w:hAnsi="Arial"/>
          <w:sz w:val="16"/>
          <w:szCs w:val="16"/>
          <w:b w:val="1"/>
          <w:bCs w:val="1"/>
          <w:color w:val="auto"/>
        </w:rPr>
        <w:t>Malta, New York</w:t>
      </w:r>
      <w:r>
        <w:rPr>
          <w:rFonts w:ascii="Arial" w:cs="Arial" w:eastAsia="Arial" w:hAnsi="Arial"/>
          <w:sz w:val="16"/>
          <w:szCs w:val="16"/>
          <w:color w:val="auto"/>
        </w:rPr>
        <w:t>, February 13, 2024 - GlobalFoundries Inc. (GF) (Nasdaq: GFS) today announced preliminary financial results for the fourth quarter and</w:t>
      </w:r>
      <w:r>
        <w:rPr>
          <w:rFonts w:ascii="Arial" w:cs="Arial" w:eastAsia="Arial" w:hAnsi="Arial"/>
          <w:sz w:val="16"/>
          <w:szCs w:val="16"/>
          <w:b w:val="1"/>
          <w:bCs w:val="1"/>
          <w:color w:val="auto"/>
        </w:rPr>
        <w:t xml:space="preserve"> </w:t>
      </w:r>
      <w:r>
        <w:rPr>
          <w:rFonts w:ascii="Arial" w:cs="Arial" w:eastAsia="Arial" w:hAnsi="Arial"/>
          <w:sz w:val="16"/>
          <w:szCs w:val="16"/>
          <w:color w:val="auto"/>
        </w:rPr>
        <w:t>fiscal year ended December 31, 2023.</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Fourth Quarter Financial Highlights</w:t>
      </w:r>
    </w:p>
    <w:p>
      <w:pPr>
        <w:spacing w:after="0" w:line="59" w:lineRule="exact"/>
        <w:rPr>
          <w:sz w:val="20"/>
          <w:szCs w:val="20"/>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Revenue of $1.854 billion.</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Gross margin of 28.3% and adjusted gross margin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29.0%.</w:t>
      </w:r>
    </w:p>
    <w:p>
      <w:pPr>
        <w:spacing w:after="0" w:line="17"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Operating margin of 16.3% and adjusted operating margin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20.7%.</w:t>
      </w:r>
    </w:p>
    <w:p>
      <w:pPr>
        <w:spacing w:after="0" w:line="12"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Net income of $278 million and adjusted net income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$356 million.</w:t>
      </w:r>
    </w:p>
    <w:p>
      <w:pPr>
        <w:spacing w:after="0" w:line="4"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$773 million.</w:t>
      </w:r>
    </w:p>
    <w:p>
      <w:pPr>
        <w:spacing w:after="0" w:line="15"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Cash, cash equivalents and marketable securities of $3.9 billion.</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Full Year 2023 Financial Highlights</w:t>
      </w:r>
    </w:p>
    <w:p>
      <w:pPr>
        <w:spacing w:after="0" w:line="73"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 of $7.4 billion.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Gross margin of 28.4% and adjusted gross margin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29.1%.</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income of $1.0 billion and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$2.8 billion</w:t>
      </w:r>
    </w:p>
    <w:p>
      <w:pPr>
        <w:spacing w:after="0" w:line="245" w:lineRule="exact"/>
        <w:rPr>
          <w:sz w:val="20"/>
          <w:szCs w:val="20"/>
          <w:color w:val="auto"/>
        </w:rPr>
      </w:pPr>
    </w:p>
    <w:p>
      <w:pPr>
        <w:jc w:val="both"/>
        <w:spacing w:after="0" w:line="335" w:lineRule="auto"/>
        <w:rPr>
          <w:sz w:val="20"/>
          <w:szCs w:val="20"/>
          <w:color w:val="auto"/>
        </w:rPr>
      </w:pPr>
      <w:r>
        <w:rPr>
          <w:rFonts w:ascii="Arial" w:cs="Arial" w:eastAsia="Arial" w:hAnsi="Arial"/>
          <w:sz w:val="16"/>
          <w:szCs w:val="16"/>
          <w:color w:val="auto"/>
        </w:rPr>
        <w:t>"In the fourth quarter, GF's dedicated teams across the world delivered financial results that exceeded the mid-point of the guidance ranges we provided in our November earnings release." said Dr. Thomas Caulfield, president and CEO of GF. "We continue to position GF to drive foundry innovation and differentiation across essential end-markets and we are especially proud of our Automotive end market revenue growth, with over $1 billion of revenue in 2023. It also gives me great pleasure to welcome John Hollister to GF, as our new CFO. I look forward to partnering with John as we focus on our business priorities through 2024 and beyond."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Business Highlights</w:t>
      </w:r>
    </w:p>
    <w:p>
      <w:pPr>
        <w:spacing w:after="0" w:line="302" w:lineRule="exact"/>
        <w:rPr>
          <w:sz w:val="20"/>
          <w:szCs w:val="20"/>
          <w:color w:val="auto"/>
        </w:rPr>
      </w:pPr>
    </w:p>
    <w:p>
      <w:pPr>
        <w:ind w:left="660" w:hanging="328"/>
        <w:spacing w:after="0" w:line="374"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GF and Infineon announced a new multi-year agreement on the supply of Infineon's leading 40nm automotive safety controller as well as power management and connectivity solutions through 2030.</w:t>
      </w:r>
    </w:p>
    <w:p>
      <w:pPr>
        <w:spacing w:after="0" w:line="169" w:lineRule="exact"/>
        <w:rPr>
          <w:rFonts w:ascii="Arial" w:cs="Arial" w:eastAsia="Arial" w:hAnsi="Arial"/>
          <w:sz w:val="16"/>
          <w:szCs w:val="16"/>
          <w:color w:val="auto"/>
        </w:rPr>
      </w:pPr>
    </w:p>
    <w:p>
      <w:pPr>
        <w:jc w:val="both"/>
        <w:ind w:left="660" w:hanging="328"/>
        <w:spacing w:after="0" w:line="34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GF was awarded $35 million in federal funding to accelerate the manufacturing of GF's differentiated gallium nitride (GaN) on silicon semiconductors at its facility in Essex Junction, Vermont. This funding brings GF closer to large-scale production of GaN chips, which are unique in their ability to handle high voltages and temperatures.</w:t>
      </w:r>
    </w:p>
    <w:p>
      <w:pPr>
        <w:spacing w:after="0" w:line="205" w:lineRule="exact"/>
        <w:rPr>
          <w:rFonts w:ascii="Arial" w:cs="Arial" w:eastAsia="Arial" w:hAnsi="Arial"/>
          <w:sz w:val="16"/>
          <w:szCs w:val="16"/>
          <w:color w:val="auto"/>
        </w:rPr>
      </w:pPr>
    </w:p>
    <w:p>
      <w:pPr>
        <w:ind w:left="660" w:right="100" w:hanging="328"/>
        <w:spacing w:after="0" w:line="35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the second year in a row, GF has earned a place on Newsweek's esteemed list of "America's Most Responsible Companies," underscoring the company’s longstanding commitment to ESG and environmentally sustainable manufacturing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vertAlign w:val="superscript"/>
        </w:rPr>
        <w:t>(1)</w:t>
      </w:r>
      <w:r>
        <w:rPr>
          <w:rFonts w:ascii="Arial" w:cs="Arial" w:eastAsia="Arial" w:hAnsi="Arial"/>
          <w:sz w:val="12"/>
          <w:szCs w:val="12"/>
          <w:color w:val="auto"/>
        </w:rPr>
        <w:t>Adjusted gross profit, adjusted operating profit, adjusted net income, adjusted EBITDA and any related margins are all Non-IFRS measures. See “Unaudited Reconciliation of IFRS to Non-IFRS" for a</w:t>
      </w:r>
    </w:p>
    <w:p>
      <w:pPr>
        <w:spacing w:after="0" w:line="221" w:lineRule="auto"/>
        <w:rPr>
          <w:sz w:val="20"/>
          <w:szCs w:val="20"/>
          <w:color w:val="auto"/>
        </w:rPr>
      </w:pPr>
      <w:r>
        <w:rPr>
          <w:rFonts w:ascii="Arial" w:cs="Arial" w:eastAsia="Arial" w:hAnsi="Arial"/>
          <w:sz w:val="13"/>
          <w:szCs w:val="13"/>
          <w:color w:val="auto"/>
        </w:rPr>
        <w:t>detailed reconciliation of Non-IFRS measures to the most directly comparable IFRS measure. See "Financial Measures (Non-IFRS)" for a discussion of why we believe these Non-IFRS measures are useful.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 of 11</w:t>
      </w:r>
    </w:p>
    <w:p>
      <w:pPr>
        <w:sectPr>
          <w:pgSz w:w="11900" w:h="16838" w:orient="portrait"/>
          <w:cols w:equalWidth="0" w:num="1">
            <w:col w:w="11240"/>
          </w:cols>
          <w:pgMar w:left="320" w:top="1440" w:right="339" w:bottom="1440" w:gutter="0" w:footer="0" w:header="0"/>
        </w:sectPr>
      </w:pPr>
    </w:p>
    <w:bookmarkStart w:id="3" w:name="page4"/>
    <w:bookmarkEnd w:id="3"/>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u w:val="single" w:color="auto"/>
          <w:color w:val="auto"/>
        </w:rPr>
        <w:t>Unaudited Summary Quarterly Results (in millions USD, except per share amounts and wafer shipments)</w:t>
      </w:r>
    </w:p>
    <w:p>
      <w:pPr>
        <w:spacing w:after="0" w:line="39" w:lineRule="exact"/>
        <w:rPr>
          <w:sz w:val="20"/>
          <w:szCs w:val="20"/>
          <w:color w:val="auto"/>
        </w:rPr>
      </w:pPr>
    </w:p>
    <w:tbl>
      <w:tblPr>
        <w:tblLayout w:type="fixed"/>
        <w:tblInd w:w="32" w:type="dxa"/>
        <w:tblCellMar>
          <w:top w:w="0" w:type="dxa"/>
          <w:left w:w="0" w:type="dxa"/>
          <w:bottom w:w="0" w:type="dxa"/>
          <w:right w:w="0" w:type="dxa"/>
        </w:tblCellMar>
      </w:tblPr>
      <w:tr>
        <w:trPr>
          <w:trHeight w:val="196"/>
        </w:trPr>
        <w:tc>
          <w:tcPr>
            <w:tcW w:w="3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40" w:type="dxa"/>
            <w:vAlign w:val="bottom"/>
            <w:gridSpan w:val="3"/>
          </w:tcPr>
          <w:p>
            <w:pPr>
              <w:jc w:val="right"/>
              <w:ind w:right="568"/>
              <w:spacing w:after="0"/>
              <w:rPr>
                <w:sz w:val="20"/>
                <w:szCs w:val="20"/>
                <w:color w:val="auto"/>
              </w:rPr>
            </w:pPr>
            <w:r>
              <w:rPr>
                <w:rFonts w:ascii="Arial" w:cs="Arial" w:eastAsia="Arial" w:hAnsi="Arial"/>
                <w:sz w:val="14"/>
                <w:szCs w:val="14"/>
                <w:b w:val="1"/>
                <w:bCs w:val="1"/>
                <w:color w:val="auto"/>
                <w:w w:val="99"/>
              </w:rPr>
              <w:t>Year-over-year</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Sequential</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Q4'23</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Q3'23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Q4'22</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40" w:type="dxa"/>
            <w:vAlign w:val="bottom"/>
            <w:gridSpan w:val="3"/>
          </w:tcPr>
          <w:p>
            <w:pPr>
              <w:jc w:val="right"/>
              <w:ind w:right="568"/>
              <w:spacing w:after="0"/>
              <w:rPr>
                <w:sz w:val="20"/>
                <w:szCs w:val="20"/>
                <w:color w:val="auto"/>
              </w:rPr>
            </w:pPr>
            <w:r>
              <w:rPr>
                <w:rFonts w:ascii="Arial" w:cs="Arial" w:eastAsia="Arial" w:hAnsi="Arial"/>
                <w:sz w:val="14"/>
                <w:szCs w:val="14"/>
                <w:b w:val="1"/>
                <w:bCs w:val="1"/>
                <w:color w:val="auto"/>
                <w:w w:val="99"/>
              </w:rPr>
              <w:t>Q4'23 vs Q4'22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rPr>
              <w:t>Q4'23 vs Q3'23</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0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revenue</w:t>
            </w:r>
          </w:p>
        </w:tc>
        <w:tc>
          <w:tcPr>
            <w:tcW w:w="6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1,854</w:t>
            </w:r>
          </w:p>
        </w:tc>
        <w:tc>
          <w:tcPr>
            <w:tcW w:w="140" w:type="dxa"/>
            <w:vAlign w:val="bottom"/>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1,852</w:t>
            </w:r>
          </w:p>
        </w:tc>
        <w:tc>
          <w:tcPr>
            <w:tcW w:w="120" w:type="dxa"/>
            <w:vAlign w:val="bottom"/>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2,101</w:t>
            </w:r>
          </w:p>
        </w:tc>
        <w:tc>
          <w:tcPr>
            <w:tcW w:w="14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(247)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b w:val="1"/>
                <w:bCs w:val="1"/>
                <w:color w:val="auto"/>
              </w:rPr>
              <w:t>2</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 %</w:t>
            </w:r>
          </w:p>
        </w:tc>
        <w:tc>
          <w:tcPr>
            <w:tcW w:w="0" w:type="dxa"/>
            <w:vAlign w:val="bottom"/>
          </w:tcPr>
          <w:p>
            <w:pPr>
              <w:spacing w:after="0"/>
              <w:rPr>
                <w:sz w:val="1"/>
                <w:szCs w:val="1"/>
                <w:color w:val="auto"/>
              </w:rPr>
            </w:pPr>
          </w:p>
        </w:tc>
      </w:tr>
      <w:tr>
        <w:trPr>
          <w:trHeight w:val="61"/>
        </w:trPr>
        <w:tc>
          <w:tcPr>
            <w:tcW w:w="30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gridSpan w:val="2"/>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Gross profit</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525</w:t>
            </w:r>
          </w:p>
        </w:tc>
        <w:tc>
          <w:tcPr>
            <w:tcW w:w="14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529</w:t>
            </w:r>
          </w:p>
        </w:tc>
        <w:tc>
          <w:tcPr>
            <w:tcW w:w="1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622</w:t>
            </w:r>
          </w:p>
        </w:tc>
        <w:tc>
          <w:tcPr>
            <w:tcW w:w="14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(97)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120" w:type="dxa"/>
            <w:vAlign w:val="bottom"/>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(4)</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63"/>
        </w:trPr>
        <w:tc>
          <w:tcPr>
            <w:tcW w:w="306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Gross margin</w:t>
            </w:r>
          </w:p>
        </w:tc>
        <w:tc>
          <w:tcPr>
            <w:tcW w:w="6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28.3 %</w:t>
            </w:r>
          </w:p>
        </w:tc>
        <w:tc>
          <w:tcPr>
            <w:tcW w:w="14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4"/>
                <w:szCs w:val="14"/>
                <w:i w:val="1"/>
                <w:iCs w:val="1"/>
                <w:color w:val="auto"/>
              </w:rPr>
              <w:t>28.6 %</w:t>
            </w:r>
          </w:p>
        </w:tc>
        <w:tc>
          <w:tcPr>
            <w:tcW w:w="120" w:type="dxa"/>
            <w:vAlign w:val="bottom"/>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4"/>
                <w:szCs w:val="14"/>
                <w:i w:val="1"/>
                <w:iCs w:val="1"/>
                <w:color w:val="auto"/>
              </w:rPr>
              <w:t>29.6 %</w:t>
            </w:r>
          </w:p>
        </w:tc>
        <w:tc>
          <w:tcPr>
            <w:tcW w:w="160" w:type="dxa"/>
            <w:vAlign w:val="bottom"/>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rPr>
              <w:t>(130)bps</w:t>
            </w:r>
          </w:p>
        </w:tc>
        <w:tc>
          <w:tcPr>
            <w:tcW w:w="12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rPr>
              <w:t>(30)bps</w:t>
            </w:r>
          </w:p>
        </w:tc>
        <w:tc>
          <w:tcPr>
            <w:tcW w:w="0" w:type="dxa"/>
            <w:vAlign w:val="bottom"/>
          </w:tcPr>
          <w:p>
            <w:pPr>
              <w:spacing w:after="0"/>
              <w:rPr>
                <w:sz w:val="1"/>
                <w:szCs w:val="1"/>
                <w:color w:val="auto"/>
              </w:rPr>
            </w:pPr>
          </w:p>
        </w:tc>
      </w:tr>
      <w:tr>
        <w:trPr>
          <w:trHeight w:val="203"/>
        </w:trPr>
        <w:tc>
          <w:tcPr>
            <w:tcW w:w="3060" w:type="dxa"/>
            <w:vAlign w:val="bottom"/>
            <w:tcBorders>
              <w:top w:val="single" w:sz="8" w:color="auto"/>
            </w:tcBorders>
          </w:tcPr>
          <w:p>
            <w:pPr>
              <w:spacing w:after="0" w:line="202" w:lineRule="exact"/>
              <w:rPr>
                <w:sz w:val="20"/>
                <w:szCs w:val="20"/>
                <w:color w:val="auto"/>
              </w:rPr>
            </w:pPr>
            <w:r>
              <w:rPr>
                <w:rFonts w:ascii="Arial" w:cs="Arial" w:eastAsia="Arial" w:hAnsi="Arial"/>
                <w:sz w:val="14"/>
                <w:szCs w:val="14"/>
                <w:b w:val="1"/>
                <w:bCs w:val="1"/>
                <w:color w:val="auto"/>
              </w:rPr>
              <w:t>Adjusted gross profit</w:t>
            </w:r>
            <w:r>
              <w:rPr>
                <w:rFonts w:ascii="Arial" w:cs="Arial" w:eastAsia="Arial" w:hAnsi="Arial"/>
                <w:sz w:val="18"/>
                <w:szCs w:val="18"/>
                <w:b w:val="1"/>
                <w:bCs w:val="1"/>
                <w:color w:val="auto"/>
                <w:vertAlign w:val="superscript"/>
              </w:rPr>
              <w:t>(1)</w:t>
            </w: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537</w:t>
            </w:r>
          </w:p>
        </w:tc>
        <w:tc>
          <w:tcPr>
            <w:tcW w:w="480" w:type="dxa"/>
            <w:vAlign w:val="bottom"/>
            <w:tcBorders>
              <w:top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541</w:t>
            </w: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633</w:t>
            </w: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(96)</w:t>
            </w: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(15)%</w:t>
            </w:r>
          </w:p>
        </w:tc>
        <w:tc>
          <w:tcPr>
            <w:tcW w:w="460" w:type="dxa"/>
            <w:vAlign w:val="bottom"/>
            <w:tcBorders>
              <w:top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tcBorders>
            <w:gridSpan w:val="2"/>
          </w:tcPr>
          <w:p>
            <w:pPr>
              <w:jc w:val="right"/>
              <w:ind w:right="548"/>
              <w:spacing w:after="0"/>
              <w:rPr>
                <w:sz w:val="20"/>
                <w:szCs w:val="20"/>
                <w:color w:val="auto"/>
              </w:rPr>
            </w:pPr>
            <w:r>
              <w:rPr>
                <w:rFonts w:ascii="Arial" w:cs="Arial" w:eastAsia="Arial" w:hAnsi="Arial"/>
                <w:sz w:val="14"/>
                <w:szCs w:val="14"/>
                <w:b w:val="1"/>
                <w:bCs w:val="1"/>
                <w:color w:val="auto"/>
              </w:rPr>
              <w:t>(4)</w:t>
            </w:r>
          </w:p>
        </w:tc>
        <w:tc>
          <w:tcPr>
            <w:tcW w:w="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line="202" w:lineRule="exact"/>
              <w:rPr>
                <w:sz w:val="20"/>
                <w:szCs w:val="20"/>
                <w:color w:val="auto"/>
              </w:rPr>
            </w:pPr>
            <w:r>
              <w:rPr>
                <w:rFonts w:ascii="Arial" w:cs="Arial" w:eastAsia="Arial" w:hAnsi="Arial"/>
                <w:sz w:val="14"/>
                <w:szCs w:val="14"/>
                <w:i w:val="1"/>
                <w:iCs w:val="1"/>
                <w:color w:val="auto"/>
              </w:rPr>
              <w:t>Adjusted gross margin</w:t>
            </w:r>
            <w:r>
              <w:rPr>
                <w:rFonts w:ascii="Arial" w:cs="Arial" w:eastAsia="Arial" w:hAnsi="Arial"/>
                <w:sz w:val="18"/>
                <w:szCs w:val="18"/>
                <w:i w:val="1"/>
                <w:iCs w:val="1"/>
                <w:color w:val="auto"/>
                <w:vertAlign w:val="superscript"/>
              </w:rPr>
              <w:t>(1)</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29.0 %</w:t>
            </w:r>
          </w:p>
        </w:tc>
        <w:tc>
          <w:tcPr>
            <w:tcW w:w="14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29.2 %</w:t>
            </w:r>
          </w:p>
        </w:tc>
        <w:tc>
          <w:tcPr>
            <w:tcW w:w="1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30.1 %</w:t>
            </w:r>
          </w:p>
        </w:tc>
        <w:tc>
          <w:tcPr>
            <w:tcW w:w="16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(110)bps</w:t>
            </w:r>
          </w:p>
        </w:tc>
        <w:tc>
          <w:tcPr>
            <w:tcW w:w="1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(20)bps</w:t>
            </w:r>
          </w:p>
        </w:tc>
        <w:tc>
          <w:tcPr>
            <w:tcW w:w="0" w:type="dxa"/>
            <w:vAlign w:val="bottom"/>
          </w:tcPr>
          <w:p>
            <w:pPr>
              <w:spacing w:after="0"/>
              <w:rPr>
                <w:sz w:val="1"/>
                <w:szCs w:val="1"/>
                <w:color w:val="auto"/>
              </w:rPr>
            </w:pPr>
          </w:p>
        </w:tc>
      </w:tr>
      <w:tr>
        <w:trPr>
          <w:trHeight w:val="61"/>
        </w:trPr>
        <w:tc>
          <w:tcPr>
            <w:tcW w:w="30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gridSpan w:val="2"/>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gridSpan w:val="2"/>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gridSpan w:val="2"/>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profit</w:t>
            </w:r>
          </w:p>
        </w:tc>
        <w:tc>
          <w:tcPr>
            <w:tcW w:w="6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303</w:t>
            </w:r>
          </w:p>
        </w:tc>
        <w:tc>
          <w:tcPr>
            <w:tcW w:w="140" w:type="dxa"/>
            <w:vAlign w:val="bottom"/>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261</w:t>
            </w:r>
          </w:p>
        </w:tc>
        <w:tc>
          <w:tcPr>
            <w:tcW w:w="120" w:type="dxa"/>
            <w:vAlign w:val="bottom"/>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288</w:t>
            </w:r>
          </w:p>
        </w:tc>
        <w:tc>
          <w:tcPr>
            <w:tcW w:w="14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5 %</w:t>
            </w:r>
          </w:p>
        </w:tc>
        <w:tc>
          <w:tcPr>
            <w:tcW w:w="120" w:type="dxa"/>
            <w:vAlign w:val="bottom"/>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b w:val="1"/>
                <w:bCs w:val="1"/>
                <w:color w:val="auto"/>
              </w:rPr>
              <w:t>42</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16 %</w:t>
            </w:r>
          </w:p>
        </w:tc>
        <w:tc>
          <w:tcPr>
            <w:tcW w:w="0" w:type="dxa"/>
            <w:vAlign w:val="bottom"/>
          </w:tcPr>
          <w:p>
            <w:pPr>
              <w:spacing w:after="0"/>
              <w:rPr>
                <w:sz w:val="1"/>
                <w:szCs w:val="1"/>
                <w:color w:val="auto"/>
              </w:rPr>
            </w:pPr>
          </w:p>
        </w:tc>
      </w:tr>
      <w:tr>
        <w:trPr>
          <w:trHeight w:val="263"/>
        </w:trPr>
        <w:tc>
          <w:tcPr>
            <w:tcW w:w="306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Operating margin</w:t>
            </w:r>
          </w:p>
        </w:tc>
        <w:tc>
          <w:tcPr>
            <w:tcW w:w="6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16.3 %</w:t>
            </w:r>
          </w:p>
        </w:tc>
        <w:tc>
          <w:tcPr>
            <w:tcW w:w="14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4"/>
                <w:szCs w:val="14"/>
                <w:i w:val="1"/>
                <w:iCs w:val="1"/>
                <w:color w:val="auto"/>
              </w:rPr>
              <w:t>14.1 %</w:t>
            </w:r>
          </w:p>
        </w:tc>
        <w:tc>
          <w:tcPr>
            <w:tcW w:w="120" w:type="dxa"/>
            <w:vAlign w:val="bottom"/>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4"/>
                <w:szCs w:val="14"/>
                <w:i w:val="1"/>
                <w:iCs w:val="1"/>
                <w:color w:val="auto"/>
              </w:rPr>
              <w:t>13.7 %</w:t>
            </w:r>
          </w:p>
        </w:tc>
        <w:tc>
          <w:tcPr>
            <w:tcW w:w="160" w:type="dxa"/>
            <w:vAlign w:val="bottom"/>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rPr>
              <w:t>+260bps</w:t>
            </w:r>
          </w:p>
        </w:tc>
        <w:tc>
          <w:tcPr>
            <w:tcW w:w="12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w w:val="99"/>
              </w:rPr>
              <w:t>+220bps</w:t>
            </w:r>
          </w:p>
        </w:tc>
        <w:tc>
          <w:tcPr>
            <w:tcW w:w="0" w:type="dxa"/>
            <w:vAlign w:val="bottom"/>
          </w:tcPr>
          <w:p>
            <w:pPr>
              <w:spacing w:after="0"/>
              <w:rPr>
                <w:sz w:val="1"/>
                <w:szCs w:val="1"/>
                <w:color w:val="auto"/>
              </w:rPr>
            </w:pPr>
          </w:p>
        </w:tc>
      </w:tr>
      <w:tr>
        <w:trPr>
          <w:trHeight w:val="203"/>
        </w:trPr>
        <w:tc>
          <w:tcPr>
            <w:tcW w:w="3060" w:type="dxa"/>
            <w:vAlign w:val="bottom"/>
            <w:tcBorders>
              <w:top w:val="single" w:sz="8" w:color="auto"/>
            </w:tcBorders>
          </w:tcPr>
          <w:p>
            <w:pPr>
              <w:spacing w:after="0" w:line="202" w:lineRule="exact"/>
              <w:rPr>
                <w:sz w:val="20"/>
                <w:szCs w:val="20"/>
                <w:color w:val="auto"/>
              </w:rPr>
            </w:pPr>
            <w:r>
              <w:rPr>
                <w:rFonts w:ascii="Arial" w:cs="Arial" w:eastAsia="Arial" w:hAnsi="Arial"/>
                <w:sz w:val="14"/>
                <w:szCs w:val="14"/>
                <w:b w:val="1"/>
                <w:bCs w:val="1"/>
                <w:color w:val="auto"/>
              </w:rPr>
              <w:t>Adjusted operating profit</w:t>
            </w:r>
            <w:r>
              <w:rPr>
                <w:rFonts w:ascii="Arial" w:cs="Arial" w:eastAsia="Arial" w:hAnsi="Arial"/>
                <w:sz w:val="18"/>
                <w:szCs w:val="18"/>
                <w:b w:val="1"/>
                <w:bCs w:val="1"/>
                <w:color w:val="auto"/>
                <w:vertAlign w:val="superscript"/>
              </w:rPr>
              <w:t>(1)</w:t>
            </w: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383</w:t>
            </w:r>
          </w:p>
        </w:tc>
        <w:tc>
          <w:tcPr>
            <w:tcW w:w="480" w:type="dxa"/>
            <w:vAlign w:val="bottom"/>
            <w:tcBorders>
              <w:top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322</w:t>
            </w: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425</w:t>
            </w: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(42)</w:t>
            </w: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(10)%</w:t>
            </w:r>
          </w:p>
        </w:tc>
        <w:tc>
          <w:tcPr>
            <w:tcW w:w="460" w:type="dxa"/>
            <w:vAlign w:val="bottom"/>
            <w:tcBorders>
              <w:top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tcBorders>
            <w:gridSpan w:val="2"/>
          </w:tcPr>
          <w:p>
            <w:pPr>
              <w:jc w:val="right"/>
              <w:ind w:right="588"/>
              <w:spacing w:after="0"/>
              <w:rPr>
                <w:sz w:val="20"/>
                <w:szCs w:val="20"/>
                <w:color w:val="auto"/>
              </w:rPr>
            </w:pPr>
            <w:r>
              <w:rPr>
                <w:rFonts w:ascii="Arial" w:cs="Arial" w:eastAsia="Arial" w:hAnsi="Arial"/>
                <w:sz w:val="14"/>
                <w:szCs w:val="14"/>
                <w:b w:val="1"/>
                <w:bCs w:val="1"/>
                <w:color w:val="auto"/>
              </w:rPr>
              <w:t>61</w:t>
            </w:r>
          </w:p>
        </w:tc>
        <w:tc>
          <w:tcPr>
            <w:tcW w:w="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19 %</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line="202" w:lineRule="exact"/>
              <w:rPr>
                <w:sz w:val="20"/>
                <w:szCs w:val="20"/>
                <w:color w:val="auto"/>
              </w:rPr>
            </w:pPr>
            <w:r>
              <w:rPr>
                <w:rFonts w:ascii="Arial" w:cs="Arial" w:eastAsia="Arial" w:hAnsi="Arial"/>
                <w:sz w:val="14"/>
                <w:szCs w:val="14"/>
                <w:i w:val="1"/>
                <w:iCs w:val="1"/>
                <w:color w:val="auto"/>
              </w:rPr>
              <w:t>Adjusted operating margin</w:t>
            </w:r>
            <w:r>
              <w:rPr>
                <w:rFonts w:ascii="Arial" w:cs="Arial" w:eastAsia="Arial" w:hAnsi="Arial"/>
                <w:sz w:val="18"/>
                <w:szCs w:val="18"/>
                <w:i w:val="1"/>
                <w:iCs w:val="1"/>
                <w:color w:val="auto"/>
                <w:vertAlign w:val="superscript"/>
              </w:rPr>
              <w:t>(1)</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20.7 %</w:t>
            </w:r>
          </w:p>
        </w:tc>
        <w:tc>
          <w:tcPr>
            <w:tcW w:w="14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17.4 %</w:t>
            </w:r>
          </w:p>
        </w:tc>
        <w:tc>
          <w:tcPr>
            <w:tcW w:w="1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20.2 %</w:t>
            </w:r>
          </w:p>
        </w:tc>
        <w:tc>
          <w:tcPr>
            <w:tcW w:w="16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+50bps</w:t>
            </w:r>
          </w:p>
        </w:tc>
        <w:tc>
          <w:tcPr>
            <w:tcW w:w="1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99"/>
              </w:rPr>
              <w:t>+330bps</w:t>
            </w:r>
          </w:p>
        </w:tc>
        <w:tc>
          <w:tcPr>
            <w:tcW w:w="0" w:type="dxa"/>
            <w:vAlign w:val="bottom"/>
          </w:tcPr>
          <w:p>
            <w:pPr>
              <w:spacing w:after="0"/>
              <w:rPr>
                <w:sz w:val="1"/>
                <w:szCs w:val="1"/>
                <w:color w:val="auto"/>
              </w:rPr>
            </w:pPr>
          </w:p>
        </w:tc>
      </w:tr>
      <w:tr>
        <w:trPr>
          <w:trHeight w:val="61"/>
        </w:trPr>
        <w:tc>
          <w:tcPr>
            <w:tcW w:w="30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gridSpan w:val="2"/>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gridSpan w:val="2"/>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gridSpan w:val="2"/>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6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278</w:t>
            </w:r>
          </w:p>
        </w:tc>
        <w:tc>
          <w:tcPr>
            <w:tcW w:w="140" w:type="dxa"/>
            <w:vAlign w:val="bottom"/>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249</w:t>
            </w:r>
          </w:p>
        </w:tc>
        <w:tc>
          <w:tcPr>
            <w:tcW w:w="120" w:type="dxa"/>
            <w:vAlign w:val="bottom"/>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668</w:t>
            </w:r>
          </w:p>
        </w:tc>
        <w:tc>
          <w:tcPr>
            <w:tcW w:w="14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(390)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(58)%</w:t>
            </w:r>
          </w:p>
        </w:tc>
        <w:tc>
          <w:tcPr>
            <w:tcW w:w="120" w:type="dxa"/>
            <w:vAlign w:val="bottom"/>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b w:val="1"/>
                <w:bCs w:val="1"/>
                <w:color w:val="auto"/>
              </w:rPr>
              <w:t>29</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12 %</w:t>
            </w:r>
          </w:p>
        </w:tc>
        <w:tc>
          <w:tcPr>
            <w:tcW w:w="0" w:type="dxa"/>
            <w:vAlign w:val="bottom"/>
          </w:tcPr>
          <w:p>
            <w:pPr>
              <w:spacing w:after="0"/>
              <w:rPr>
                <w:sz w:val="1"/>
                <w:szCs w:val="1"/>
                <w:color w:val="auto"/>
              </w:rPr>
            </w:pPr>
          </w:p>
        </w:tc>
      </w:tr>
      <w:tr>
        <w:trPr>
          <w:trHeight w:val="263"/>
        </w:trPr>
        <w:tc>
          <w:tcPr>
            <w:tcW w:w="306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Net income margin</w:t>
            </w:r>
          </w:p>
        </w:tc>
        <w:tc>
          <w:tcPr>
            <w:tcW w:w="6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15.0 %</w:t>
            </w:r>
          </w:p>
        </w:tc>
        <w:tc>
          <w:tcPr>
            <w:tcW w:w="14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4"/>
                <w:szCs w:val="14"/>
                <w:i w:val="1"/>
                <w:iCs w:val="1"/>
                <w:color w:val="auto"/>
              </w:rPr>
              <w:t>13.4 %</w:t>
            </w:r>
          </w:p>
        </w:tc>
        <w:tc>
          <w:tcPr>
            <w:tcW w:w="120" w:type="dxa"/>
            <w:vAlign w:val="bottom"/>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4"/>
                <w:szCs w:val="14"/>
                <w:i w:val="1"/>
                <w:iCs w:val="1"/>
                <w:color w:val="auto"/>
              </w:rPr>
              <w:t>31.8 %</w:t>
            </w:r>
          </w:p>
        </w:tc>
        <w:tc>
          <w:tcPr>
            <w:tcW w:w="160" w:type="dxa"/>
            <w:vAlign w:val="bottom"/>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i w:val="1"/>
                <w:iCs w:val="1"/>
                <w:color w:val="auto"/>
              </w:rPr>
              <w:t>(1,680)bps</w:t>
            </w:r>
          </w:p>
        </w:tc>
        <w:tc>
          <w:tcPr>
            <w:tcW w:w="12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w w:val="99"/>
              </w:rPr>
              <w:t>+160bps</w:t>
            </w:r>
          </w:p>
        </w:tc>
        <w:tc>
          <w:tcPr>
            <w:tcW w:w="0" w:type="dxa"/>
            <w:vAlign w:val="bottom"/>
          </w:tcPr>
          <w:p>
            <w:pPr>
              <w:spacing w:after="0"/>
              <w:rPr>
                <w:sz w:val="1"/>
                <w:szCs w:val="1"/>
                <w:color w:val="auto"/>
              </w:rPr>
            </w:pPr>
          </w:p>
        </w:tc>
      </w:tr>
      <w:tr>
        <w:trPr>
          <w:trHeight w:val="203"/>
        </w:trPr>
        <w:tc>
          <w:tcPr>
            <w:tcW w:w="3060" w:type="dxa"/>
            <w:vAlign w:val="bottom"/>
            <w:tcBorders>
              <w:top w:val="single" w:sz="8" w:color="auto"/>
            </w:tcBorders>
          </w:tcPr>
          <w:p>
            <w:pPr>
              <w:spacing w:after="0" w:line="202" w:lineRule="exact"/>
              <w:rPr>
                <w:sz w:val="20"/>
                <w:szCs w:val="20"/>
                <w:color w:val="auto"/>
              </w:rPr>
            </w:pPr>
            <w:r>
              <w:rPr>
                <w:rFonts w:ascii="Arial" w:cs="Arial" w:eastAsia="Arial" w:hAnsi="Arial"/>
                <w:sz w:val="14"/>
                <w:szCs w:val="14"/>
                <w:b w:val="1"/>
                <w:bCs w:val="1"/>
                <w:color w:val="auto"/>
              </w:rPr>
              <w:t>Adjusted net income</w:t>
            </w:r>
            <w:r>
              <w:rPr>
                <w:rFonts w:ascii="Arial" w:cs="Arial" w:eastAsia="Arial" w:hAnsi="Arial"/>
                <w:sz w:val="18"/>
                <w:szCs w:val="18"/>
                <w:b w:val="1"/>
                <w:bCs w:val="1"/>
                <w:color w:val="auto"/>
                <w:vertAlign w:val="superscript"/>
              </w:rPr>
              <w:t>(1)(2)</w:t>
            </w: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356</w:t>
            </w:r>
          </w:p>
        </w:tc>
        <w:tc>
          <w:tcPr>
            <w:tcW w:w="480" w:type="dxa"/>
            <w:vAlign w:val="bottom"/>
            <w:tcBorders>
              <w:top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308</w:t>
            </w: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800</w:t>
            </w: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(444)</w:t>
            </w: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(56)%</w:t>
            </w:r>
          </w:p>
        </w:tc>
        <w:tc>
          <w:tcPr>
            <w:tcW w:w="460" w:type="dxa"/>
            <w:vAlign w:val="bottom"/>
            <w:tcBorders>
              <w:top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tcBorders>
            <w:gridSpan w:val="2"/>
          </w:tcPr>
          <w:p>
            <w:pPr>
              <w:jc w:val="right"/>
              <w:ind w:right="588"/>
              <w:spacing w:after="0"/>
              <w:rPr>
                <w:sz w:val="20"/>
                <w:szCs w:val="20"/>
                <w:color w:val="auto"/>
              </w:rPr>
            </w:pPr>
            <w:r>
              <w:rPr>
                <w:rFonts w:ascii="Arial" w:cs="Arial" w:eastAsia="Arial" w:hAnsi="Arial"/>
                <w:sz w:val="14"/>
                <w:szCs w:val="14"/>
                <w:b w:val="1"/>
                <w:bCs w:val="1"/>
                <w:color w:val="auto"/>
              </w:rPr>
              <w:t>48</w:t>
            </w:r>
          </w:p>
        </w:tc>
        <w:tc>
          <w:tcPr>
            <w:tcW w:w="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16 %</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line="202" w:lineRule="exact"/>
              <w:rPr>
                <w:sz w:val="20"/>
                <w:szCs w:val="20"/>
                <w:color w:val="auto"/>
              </w:rPr>
            </w:pPr>
            <w:r>
              <w:rPr>
                <w:rFonts w:ascii="Arial" w:cs="Arial" w:eastAsia="Arial" w:hAnsi="Arial"/>
                <w:sz w:val="14"/>
                <w:szCs w:val="14"/>
                <w:i w:val="1"/>
                <w:iCs w:val="1"/>
                <w:color w:val="auto"/>
              </w:rPr>
              <w:t>Adjusted net income margin</w:t>
            </w:r>
            <w:r>
              <w:rPr>
                <w:rFonts w:ascii="Arial" w:cs="Arial" w:eastAsia="Arial" w:hAnsi="Arial"/>
                <w:sz w:val="18"/>
                <w:szCs w:val="18"/>
                <w:i w:val="1"/>
                <w:iCs w:val="1"/>
                <w:color w:val="auto"/>
                <w:vertAlign w:val="superscript"/>
              </w:rPr>
              <w:t>(1)</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19.2 %</w:t>
            </w:r>
          </w:p>
        </w:tc>
        <w:tc>
          <w:tcPr>
            <w:tcW w:w="14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16.6 %</w:t>
            </w:r>
          </w:p>
        </w:tc>
        <w:tc>
          <w:tcPr>
            <w:tcW w:w="1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38.1 %</w:t>
            </w:r>
          </w:p>
        </w:tc>
        <w:tc>
          <w:tcPr>
            <w:tcW w:w="16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(1,890)bps</w:t>
            </w:r>
          </w:p>
        </w:tc>
        <w:tc>
          <w:tcPr>
            <w:tcW w:w="1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99"/>
              </w:rPr>
              <w:t>+260bps</w:t>
            </w:r>
          </w:p>
        </w:tc>
        <w:tc>
          <w:tcPr>
            <w:tcW w:w="0" w:type="dxa"/>
            <w:vAlign w:val="bottom"/>
          </w:tcPr>
          <w:p>
            <w:pPr>
              <w:spacing w:after="0"/>
              <w:rPr>
                <w:sz w:val="1"/>
                <w:szCs w:val="1"/>
                <w:color w:val="auto"/>
              </w:rPr>
            </w:pPr>
          </w:p>
        </w:tc>
      </w:tr>
      <w:tr>
        <w:trPr>
          <w:trHeight w:val="61"/>
        </w:trPr>
        <w:tc>
          <w:tcPr>
            <w:tcW w:w="30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gridSpan w:val="2"/>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gridSpan w:val="2"/>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gridSpan w:val="2"/>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Diluted earnings per share ("EPS")</w:t>
            </w:r>
          </w:p>
        </w:tc>
        <w:tc>
          <w:tcPr>
            <w:tcW w:w="6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0.50</w:t>
            </w:r>
          </w:p>
        </w:tc>
        <w:tc>
          <w:tcPr>
            <w:tcW w:w="140" w:type="dxa"/>
            <w:vAlign w:val="bottom"/>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0.45</w:t>
            </w:r>
          </w:p>
        </w:tc>
        <w:tc>
          <w:tcPr>
            <w:tcW w:w="120" w:type="dxa"/>
            <w:vAlign w:val="bottom"/>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1.21</w:t>
            </w:r>
          </w:p>
        </w:tc>
        <w:tc>
          <w:tcPr>
            <w:tcW w:w="14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(0.71)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(59)%</w:t>
            </w:r>
          </w:p>
        </w:tc>
        <w:tc>
          <w:tcPr>
            <w:tcW w:w="120" w:type="dxa"/>
            <w:vAlign w:val="bottom"/>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b w:val="1"/>
                <w:bCs w:val="1"/>
                <w:color w:val="auto"/>
              </w:rPr>
              <w:t>0.05</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11 %</w:t>
            </w:r>
          </w:p>
        </w:tc>
        <w:tc>
          <w:tcPr>
            <w:tcW w:w="0" w:type="dxa"/>
            <w:vAlign w:val="bottom"/>
          </w:tcPr>
          <w:p>
            <w:pPr>
              <w:spacing w:after="0"/>
              <w:rPr>
                <w:sz w:val="1"/>
                <w:szCs w:val="1"/>
                <w:color w:val="auto"/>
              </w:rPr>
            </w:pPr>
          </w:p>
        </w:tc>
      </w:tr>
      <w:tr>
        <w:trPr>
          <w:trHeight w:val="61"/>
        </w:trPr>
        <w:tc>
          <w:tcPr>
            <w:tcW w:w="30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gridSpan w:val="2"/>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gridSpan w:val="2"/>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gridSpan w:val="2"/>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Adjusted diluted EPS</w:t>
            </w:r>
            <w:r>
              <w:rPr>
                <w:rFonts w:ascii="Arial" w:cs="Arial" w:eastAsia="Arial" w:hAnsi="Arial"/>
                <w:sz w:val="18"/>
                <w:szCs w:val="18"/>
                <w:b w:val="1"/>
                <w:bCs w:val="1"/>
                <w:color w:val="auto"/>
                <w:vertAlign w:val="superscript"/>
              </w:rPr>
              <w:t>(1)</w:t>
            </w:r>
          </w:p>
        </w:tc>
        <w:tc>
          <w:tcPr>
            <w:tcW w:w="6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0.64</w:t>
            </w:r>
          </w:p>
        </w:tc>
        <w:tc>
          <w:tcPr>
            <w:tcW w:w="140" w:type="dxa"/>
            <w:vAlign w:val="bottom"/>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0.55</w:t>
            </w:r>
          </w:p>
        </w:tc>
        <w:tc>
          <w:tcPr>
            <w:tcW w:w="120" w:type="dxa"/>
            <w:vAlign w:val="bottom"/>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1.44</w:t>
            </w:r>
          </w:p>
        </w:tc>
        <w:tc>
          <w:tcPr>
            <w:tcW w:w="14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(0.80)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(56)%</w:t>
            </w:r>
          </w:p>
        </w:tc>
        <w:tc>
          <w:tcPr>
            <w:tcW w:w="120" w:type="dxa"/>
            <w:vAlign w:val="bottom"/>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b w:val="1"/>
                <w:bCs w:val="1"/>
                <w:color w:val="auto"/>
              </w:rPr>
              <w:t>0.09</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16 %</w:t>
            </w:r>
          </w:p>
        </w:tc>
        <w:tc>
          <w:tcPr>
            <w:tcW w:w="0" w:type="dxa"/>
            <w:vAlign w:val="bottom"/>
          </w:tcPr>
          <w:p>
            <w:pPr>
              <w:spacing w:after="0"/>
              <w:rPr>
                <w:sz w:val="1"/>
                <w:szCs w:val="1"/>
                <w:color w:val="auto"/>
              </w:rPr>
            </w:pPr>
          </w:p>
        </w:tc>
      </w:tr>
      <w:tr>
        <w:trPr>
          <w:trHeight w:val="61"/>
        </w:trPr>
        <w:tc>
          <w:tcPr>
            <w:tcW w:w="30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gridSpan w:val="2"/>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gridSpan w:val="2"/>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gridSpan w:val="2"/>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8"/>
                <w:szCs w:val="18"/>
                <w:b w:val="1"/>
                <w:bCs w:val="1"/>
                <w:color w:val="auto"/>
                <w:vertAlign w:val="superscript"/>
              </w:rPr>
              <w:t>(1)</w:t>
            </w:r>
          </w:p>
        </w:tc>
        <w:tc>
          <w:tcPr>
            <w:tcW w:w="6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773</w:t>
            </w:r>
          </w:p>
        </w:tc>
        <w:tc>
          <w:tcPr>
            <w:tcW w:w="140" w:type="dxa"/>
            <w:vAlign w:val="bottom"/>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667</w:t>
            </w:r>
          </w:p>
        </w:tc>
        <w:tc>
          <w:tcPr>
            <w:tcW w:w="120" w:type="dxa"/>
            <w:vAlign w:val="bottom"/>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821</w:t>
            </w:r>
          </w:p>
        </w:tc>
        <w:tc>
          <w:tcPr>
            <w:tcW w:w="14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(48)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b w:val="1"/>
                <w:bCs w:val="1"/>
                <w:color w:val="auto"/>
              </w:rPr>
              <w:t>106</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16 %</w:t>
            </w:r>
          </w:p>
        </w:tc>
        <w:tc>
          <w:tcPr>
            <w:tcW w:w="0" w:type="dxa"/>
            <w:vAlign w:val="bottom"/>
          </w:tcPr>
          <w:p>
            <w:pPr>
              <w:spacing w:after="0"/>
              <w:rPr>
                <w:sz w:val="1"/>
                <w:szCs w:val="1"/>
                <w:color w:val="auto"/>
              </w:rPr>
            </w:pPr>
          </w:p>
        </w:tc>
      </w:tr>
      <w:tr>
        <w:trPr>
          <w:trHeight w:val="264"/>
        </w:trPr>
        <w:tc>
          <w:tcPr>
            <w:tcW w:w="3060" w:type="dxa"/>
            <w:vAlign w:val="bottom"/>
            <w:tcBorders>
              <w:bottom w:val="single" w:sz="8" w:color="CCEEFF"/>
            </w:tcBorders>
          </w:tcPr>
          <w:p>
            <w:pPr>
              <w:spacing w:after="0" w:line="202" w:lineRule="exact"/>
              <w:rPr>
                <w:sz w:val="20"/>
                <w:szCs w:val="20"/>
                <w:color w:val="auto"/>
              </w:rPr>
            </w:pPr>
            <w:r>
              <w:rPr>
                <w:rFonts w:ascii="Arial" w:cs="Arial" w:eastAsia="Arial" w:hAnsi="Arial"/>
                <w:sz w:val="14"/>
                <w:szCs w:val="14"/>
                <w:i w:val="1"/>
                <w:iCs w:val="1"/>
                <w:color w:val="auto"/>
              </w:rPr>
              <w:t>Adjusted EBITDA margin</w:t>
            </w:r>
            <w:r>
              <w:rPr>
                <w:rFonts w:ascii="Arial" w:cs="Arial" w:eastAsia="Arial" w:hAnsi="Arial"/>
                <w:sz w:val="18"/>
                <w:szCs w:val="18"/>
                <w:i w:val="1"/>
                <w:iCs w:val="1"/>
                <w:color w:val="auto"/>
                <w:vertAlign w:val="superscript"/>
              </w:rPr>
              <w:t>(1)</w:t>
            </w:r>
          </w:p>
        </w:tc>
        <w:tc>
          <w:tcPr>
            <w:tcW w:w="6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41.7 %</w:t>
            </w:r>
          </w:p>
        </w:tc>
        <w:tc>
          <w:tcPr>
            <w:tcW w:w="14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4"/>
                <w:szCs w:val="14"/>
                <w:i w:val="1"/>
                <w:iCs w:val="1"/>
                <w:color w:val="auto"/>
              </w:rPr>
              <w:t>36.0 %</w:t>
            </w:r>
          </w:p>
        </w:tc>
        <w:tc>
          <w:tcPr>
            <w:tcW w:w="120" w:type="dxa"/>
            <w:vAlign w:val="bottom"/>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4"/>
                <w:szCs w:val="14"/>
                <w:i w:val="1"/>
                <w:iCs w:val="1"/>
                <w:color w:val="auto"/>
              </w:rPr>
              <w:t>39.1 %</w:t>
            </w:r>
          </w:p>
        </w:tc>
        <w:tc>
          <w:tcPr>
            <w:tcW w:w="160" w:type="dxa"/>
            <w:vAlign w:val="bottom"/>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rPr>
              <w:t>+260bps</w:t>
            </w:r>
          </w:p>
        </w:tc>
        <w:tc>
          <w:tcPr>
            <w:tcW w:w="12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w w:val="99"/>
              </w:rPr>
              <w:t>+570bps</w:t>
            </w:r>
          </w:p>
        </w:tc>
        <w:tc>
          <w:tcPr>
            <w:tcW w:w="0" w:type="dxa"/>
            <w:vAlign w:val="bottom"/>
          </w:tcPr>
          <w:p>
            <w:pPr>
              <w:spacing w:after="0"/>
              <w:rPr>
                <w:sz w:val="1"/>
                <w:szCs w:val="1"/>
                <w:color w:val="auto"/>
              </w:rPr>
            </w:pPr>
          </w:p>
        </w:tc>
      </w:tr>
      <w:tr>
        <w:trPr>
          <w:trHeight w:val="201"/>
        </w:trPr>
        <w:tc>
          <w:tcPr>
            <w:tcW w:w="30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Cash from operations</w:t>
            </w: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684</w:t>
            </w:r>
          </w:p>
        </w:tc>
        <w:tc>
          <w:tcPr>
            <w:tcW w:w="480" w:type="dxa"/>
            <w:vAlign w:val="bottom"/>
            <w:tcBorders>
              <w:top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416</w:t>
            </w: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491</w:t>
            </w: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193</w:t>
            </w: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39 %</w:t>
            </w:r>
          </w:p>
        </w:tc>
        <w:tc>
          <w:tcPr>
            <w:tcW w:w="460" w:type="dxa"/>
            <w:vAlign w:val="bottom"/>
            <w:tcBorders>
              <w:top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tcBorders>
            <w:gridSpan w:val="2"/>
          </w:tcPr>
          <w:p>
            <w:pPr>
              <w:jc w:val="right"/>
              <w:ind w:right="588"/>
              <w:spacing w:after="0"/>
              <w:rPr>
                <w:sz w:val="20"/>
                <w:szCs w:val="20"/>
                <w:color w:val="auto"/>
              </w:rPr>
            </w:pPr>
            <w:r>
              <w:rPr>
                <w:rFonts w:ascii="Arial" w:cs="Arial" w:eastAsia="Arial" w:hAnsi="Arial"/>
                <w:sz w:val="14"/>
                <w:szCs w:val="14"/>
                <w:b w:val="1"/>
                <w:bCs w:val="1"/>
                <w:color w:val="auto"/>
              </w:rPr>
              <w:t>268</w:t>
            </w:r>
          </w:p>
        </w:tc>
        <w:tc>
          <w:tcPr>
            <w:tcW w:w="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64 %</w:t>
            </w:r>
          </w:p>
        </w:tc>
        <w:tc>
          <w:tcPr>
            <w:tcW w:w="0" w:type="dxa"/>
            <w:vAlign w:val="bottom"/>
          </w:tcPr>
          <w:p>
            <w:pPr>
              <w:spacing w:after="0"/>
              <w:rPr>
                <w:sz w:val="1"/>
                <w:szCs w:val="1"/>
                <w:color w:val="auto"/>
              </w:rPr>
            </w:pPr>
          </w:p>
        </w:tc>
      </w:tr>
      <w:tr>
        <w:trPr>
          <w:trHeight w:val="89"/>
        </w:trPr>
        <w:tc>
          <w:tcPr>
            <w:tcW w:w="3060" w:type="dxa"/>
            <w:vAlign w:val="bottom"/>
            <w:tcBorders>
              <w:bottom w:val="single" w:sz="8" w:color="auto"/>
            </w:tcBorders>
            <w:shd w:val="clear" w:color="auto" w:fill="CCEEFF"/>
          </w:tcPr>
          <w:p>
            <w:pPr>
              <w:spacing w:after="0"/>
              <w:rPr>
                <w:sz w:val="7"/>
                <w:szCs w:val="7"/>
                <w:color w:val="auto"/>
              </w:rPr>
            </w:pPr>
          </w:p>
        </w:tc>
        <w:tc>
          <w:tcPr>
            <w:tcW w:w="64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64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5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3060" w:type="dxa"/>
            <w:vAlign w:val="bottom"/>
          </w:tcPr>
          <w:p>
            <w:pPr>
              <w:spacing w:after="0" w:line="153" w:lineRule="exact"/>
              <w:rPr>
                <w:sz w:val="20"/>
                <w:szCs w:val="20"/>
                <w:color w:val="auto"/>
              </w:rPr>
            </w:pPr>
            <w:r>
              <w:rPr>
                <w:rFonts w:ascii="Arial" w:cs="Arial" w:eastAsia="Arial" w:hAnsi="Arial"/>
                <w:sz w:val="14"/>
                <w:szCs w:val="14"/>
                <w:b w:val="1"/>
                <w:bCs w:val="1"/>
                <w:color w:val="auto"/>
              </w:rPr>
              <w:t>Wafer shipments (300mm equivalent) (in</w:t>
            </w:r>
          </w:p>
        </w:tc>
        <w:tc>
          <w:tcPr>
            <w:tcW w:w="640" w:type="dxa"/>
            <w:vAlign w:val="bottom"/>
          </w:tcPr>
          <w:p>
            <w:pPr>
              <w:spacing w:after="0"/>
              <w:rPr>
                <w:sz w:val="13"/>
                <w:szCs w:val="13"/>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552</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575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580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(28)</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2"/>
            <w:vMerge w:val="restart"/>
          </w:tcPr>
          <w:p>
            <w:pPr>
              <w:jc w:val="right"/>
              <w:ind w:right="548"/>
              <w:spacing w:after="0"/>
              <w:rPr>
                <w:sz w:val="20"/>
                <w:szCs w:val="20"/>
                <w:color w:val="auto"/>
              </w:rPr>
            </w:pPr>
            <w:r>
              <w:rPr>
                <w:rFonts w:ascii="Arial" w:cs="Arial" w:eastAsia="Arial" w:hAnsi="Arial"/>
                <w:sz w:val="14"/>
                <w:szCs w:val="14"/>
                <w:b w:val="1"/>
                <w:bCs w:val="1"/>
                <w:color w:val="auto"/>
              </w:rPr>
              <w:t>(23)</w:t>
            </w:r>
          </w:p>
        </w:tc>
        <w:tc>
          <w:tcPr>
            <w:tcW w:w="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20"/>
                <w:szCs w:val="20"/>
                <w:color w:val="auto"/>
              </w:rPr>
            </w:pPr>
            <w:r>
              <w:rPr>
                <w:rFonts w:ascii="Arial" w:cs="Arial" w:eastAsia="Arial" w:hAnsi="Arial"/>
                <w:sz w:val="14"/>
                <w:szCs w:val="14"/>
                <w:b w:val="1"/>
                <w:bCs w:val="1"/>
                <w:color w:val="auto"/>
              </w:rPr>
              <w:t>thousands)</w:t>
            </w:r>
          </w:p>
        </w:tc>
        <w:tc>
          <w:tcPr>
            <w:tcW w:w="6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both"/>
        <w:ind w:left="-8" w:firstLine="8"/>
        <w:spacing w:after="0"/>
        <w:tabs>
          <w:tab w:leader="none" w:pos="114" w:val="left"/>
        </w:tabs>
        <w:numPr>
          <w:ilvl w:val="0"/>
          <w:numId w:val="4"/>
        </w:numPr>
        <w:rPr>
          <w:rFonts w:ascii="Arial" w:cs="Arial" w:eastAsia="Arial" w:hAnsi="Arial"/>
          <w:sz w:val="14"/>
          <w:szCs w:val="14"/>
          <w:color w:val="auto"/>
          <w:vertAlign w:val="superscript"/>
        </w:rPr>
      </w:pPr>
      <w:r>
        <w:rPr>
          <w:rFonts w:ascii="Arial" w:cs="Arial" w:eastAsia="Arial" w:hAnsi="Arial"/>
          <w:sz w:val="11"/>
          <w:szCs w:val="11"/>
          <w:color w:val="auto"/>
        </w:rPr>
        <w:t>Adjusted gross profit, adjusted operating profit, adjusted net income, adjusted diluted EPS, adjusted EBITDA, and any related margins are all Non-IFRS measures. See "Unaudited Reconciliation of IFRS to Non-IFRS" section for a detailed reconciliation of Non-IFRS measures to the most directly comparable IFRS measure. See "Financial Measures (Non-IFRS)" for a discussion of why we believe these Non-IFRS metrics are useful.</w:t>
      </w:r>
    </w:p>
    <w:p>
      <w:pPr>
        <w:spacing w:after="0" w:line="306" w:lineRule="exact"/>
        <w:rPr>
          <w:rFonts w:ascii="Arial" w:cs="Arial" w:eastAsia="Arial" w:hAnsi="Arial"/>
          <w:sz w:val="14"/>
          <w:szCs w:val="14"/>
          <w:color w:val="auto"/>
          <w:vertAlign w:val="superscript"/>
        </w:rPr>
      </w:pPr>
    </w:p>
    <w:p>
      <w:pPr>
        <w:jc w:val="both"/>
        <w:ind w:left="-8" w:firstLine="8"/>
        <w:spacing w:after="0" w:line="203" w:lineRule="auto"/>
        <w:tabs>
          <w:tab w:leader="none" w:pos="135"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Beginning in Q4 2022, the Company revised its definition of adjusted net income to include an adjustment for restructuring charges and the associated tax impact. The change was made due to a restructuring undertaken in Q4 2022. The Company believes the revised definition provides management and investors with more useful information to evaluate the operations of our business. Adjusted net income is now defined as net income adjusted for share-based compensation, restructuring charges and the associated tax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Page 2 of 11</w:t>
      </w:r>
    </w:p>
    <w:p>
      <w:pPr>
        <w:sectPr>
          <w:pgSz w:w="11900" w:h="16838" w:orient="portrait"/>
          <w:cols w:equalWidth="0" w:num="1">
            <w:col w:w="11232"/>
          </w:cols>
          <w:pgMar w:left="328" w:top="144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u w:val="single" w:color="auto"/>
          <w:color w:val="auto"/>
        </w:rPr>
        <w:t>Unaudited Summary Annual Results (in millions USD, except per share amounts and wafer shipments)</w:t>
      </w:r>
    </w:p>
    <w:p>
      <w:pPr>
        <w:spacing w:after="0" w:line="280" w:lineRule="exact"/>
        <w:rPr>
          <w:sz w:val="20"/>
          <w:szCs w:val="20"/>
          <w:color w:val="auto"/>
        </w:rPr>
      </w:pPr>
    </w:p>
    <w:tbl>
      <w:tblPr>
        <w:tblLayout w:type="fixed"/>
        <w:tblInd w:w="76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rPr>
              <w:t>Year-over-year</w:t>
            </w:r>
          </w:p>
        </w:tc>
        <w:tc>
          <w:tcPr>
            <w:tcW w:w="640" w:type="dxa"/>
            <w:vAlign w:val="bottom"/>
          </w:tcPr>
          <w:p>
            <w:pPr>
              <w:spacing w:after="0"/>
              <w:rPr>
                <w:sz w:val="17"/>
                <w:szCs w:val="17"/>
                <w:color w:val="auto"/>
              </w:rPr>
            </w:pPr>
          </w:p>
        </w:tc>
      </w:tr>
      <w:tr>
        <w:trPr>
          <w:trHeight w:val="164"/>
        </w:trPr>
        <w:tc>
          <w:tcPr>
            <w:tcW w:w="4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FY2023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FY2022</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rPr>
              <w:t>FY23 vs FY22</w:t>
            </w:r>
          </w:p>
        </w:tc>
        <w:tc>
          <w:tcPr>
            <w:tcW w:w="640" w:type="dxa"/>
            <w:vAlign w:val="bottom"/>
          </w:tcPr>
          <w:p>
            <w:pPr>
              <w:spacing w:after="0"/>
              <w:rPr>
                <w:sz w:val="14"/>
                <w:szCs w:val="14"/>
                <w:color w:val="auto"/>
              </w:rPr>
            </w:pPr>
          </w:p>
        </w:tc>
      </w:tr>
      <w:tr>
        <w:trPr>
          <w:trHeight w:val="136"/>
        </w:trPr>
        <w:tc>
          <w:tcPr>
            <w:tcW w:w="4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revenue</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7,392</w:t>
            </w:r>
          </w:p>
        </w:tc>
        <w:tc>
          <w:tcPr>
            <w:tcW w:w="120" w:type="dxa"/>
            <w:vAlign w:val="bottom"/>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8,108</w:t>
            </w:r>
          </w:p>
        </w:tc>
        <w:tc>
          <w:tcPr>
            <w:tcW w:w="160" w:type="dxa"/>
            <w:vAlign w:val="bottom"/>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(716)</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r>
      <w:tr>
        <w:trPr>
          <w:trHeight w:val="61"/>
        </w:trPr>
        <w:tc>
          <w:tcPr>
            <w:tcW w:w="4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gridSpan w:val="2"/>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gridSpan w:val="2"/>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Gross profit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2,101</w:t>
            </w:r>
          </w:p>
        </w:tc>
        <w:tc>
          <w:tcPr>
            <w:tcW w:w="120" w:type="dxa"/>
            <w:vAlign w:val="bottom"/>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2,239</w:t>
            </w:r>
          </w:p>
        </w:tc>
        <w:tc>
          <w:tcPr>
            <w:tcW w:w="160" w:type="dxa"/>
            <w:vAlign w:val="bottom"/>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(138)</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r>
      <w:tr>
        <w:trPr>
          <w:trHeight w:val="194"/>
        </w:trPr>
        <w:tc>
          <w:tcPr>
            <w:tcW w:w="4240" w:type="dxa"/>
            <w:vAlign w:val="bottom"/>
          </w:tcPr>
          <w:p>
            <w:pPr>
              <w:spacing w:after="0"/>
              <w:rPr>
                <w:sz w:val="20"/>
                <w:szCs w:val="20"/>
                <w:color w:val="auto"/>
              </w:rPr>
            </w:pPr>
            <w:r>
              <w:rPr>
                <w:rFonts w:ascii="Arial" w:cs="Arial" w:eastAsia="Arial" w:hAnsi="Arial"/>
                <w:sz w:val="14"/>
                <w:szCs w:val="14"/>
                <w:i w:val="1"/>
                <w:iCs w:val="1"/>
                <w:color w:val="auto"/>
              </w:rPr>
              <w:t>Gross margin</w:t>
            </w:r>
          </w:p>
        </w:tc>
        <w:tc>
          <w:tcPr>
            <w:tcW w:w="96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28.4 %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27.6 %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+80bps</w:t>
            </w:r>
          </w:p>
        </w:tc>
      </w:tr>
      <w:tr>
        <w:trPr>
          <w:trHeight w:val="69"/>
        </w:trPr>
        <w:tc>
          <w:tcPr>
            <w:tcW w:w="42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2"/>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gridSpan w:val="2"/>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Adjusted gross profit</w:t>
            </w:r>
            <w:r>
              <w:rPr>
                <w:rFonts w:ascii="Arial" w:cs="Arial" w:eastAsia="Arial" w:hAnsi="Arial"/>
                <w:sz w:val="18"/>
                <w:szCs w:val="18"/>
                <w:b w:val="1"/>
                <w:bCs w:val="1"/>
                <w:color w:val="auto"/>
                <w:vertAlign w:val="superscript"/>
              </w:rPr>
              <w:t>(1)</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2,149</w:t>
            </w:r>
          </w:p>
        </w:tc>
        <w:tc>
          <w:tcPr>
            <w:tcW w:w="120" w:type="dxa"/>
            <w:vAlign w:val="bottom"/>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2,303</w:t>
            </w:r>
          </w:p>
        </w:tc>
        <w:tc>
          <w:tcPr>
            <w:tcW w:w="160" w:type="dxa"/>
            <w:vAlign w:val="bottom"/>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(154)</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r>
      <w:tr>
        <w:trPr>
          <w:trHeight w:val="263"/>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Adjusted gross margin</w:t>
            </w:r>
            <w:r>
              <w:rPr>
                <w:rFonts w:ascii="Arial" w:cs="Arial" w:eastAsia="Arial" w:hAnsi="Arial"/>
                <w:sz w:val="18"/>
                <w:szCs w:val="18"/>
                <w:i w:val="1"/>
                <w:iCs w:val="1"/>
                <w:color w:val="auto"/>
                <w:vertAlign w:val="superscript"/>
              </w:rPr>
              <w:t>(1)</w:t>
            </w:r>
          </w:p>
        </w:tc>
        <w:tc>
          <w:tcPr>
            <w:tcW w:w="9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i w:val="1"/>
                <w:iCs w:val="1"/>
                <w:color w:val="auto"/>
              </w:rPr>
              <w:t>29.1 %</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i w:val="1"/>
                <w:iCs w:val="1"/>
                <w:color w:val="auto"/>
              </w:rPr>
              <w:t>28.4 %</w:t>
            </w:r>
          </w:p>
        </w:tc>
        <w:tc>
          <w:tcPr>
            <w:tcW w:w="1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+70bps</w:t>
            </w: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profit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1,129</w:t>
            </w:r>
          </w:p>
        </w:tc>
        <w:tc>
          <w:tcPr>
            <w:tcW w:w="120" w:type="dxa"/>
            <w:vAlign w:val="bottom"/>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1,167</w:t>
            </w:r>
          </w:p>
        </w:tc>
        <w:tc>
          <w:tcPr>
            <w:tcW w:w="160" w:type="dxa"/>
            <w:vAlign w:val="bottom"/>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(38)</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r>
      <w:tr>
        <w:trPr>
          <w:trHeight w:val="194"/>
        </w:trPr>
        <w:tc>
          <w:tcPr>
            <w:tcW w:w="4240" w:type="dxa"/>
            <w:vAlign w:val="bottom"/>
          </w:tcPr>
          <w:p>
            <w:pPr>
              <w:spacing w:after="0"/>
              <w:rPr>
                <w:sz w:val="20"/>
                <w:szCs w:val="20"/>
                <w:color w:val="auto"/>
              </w:rPr>
            </w:pPr>
            <w:r>
              <w:rPr>
                <w:rFonts w:ascii="Arial" w:cs="Arial" w:eastAsia="Arial" w:hAnsi="Arial"/>
                <w:sz w:val="14"/>
                <w:szCs w:val="14"/>
                <w:i w:val="1"/>
                <w:iCs w:val="1"/>
                <w:color w:val="auto"/>
              </w:rPr>
              <w:t>Operating margin</w:t>
            </w:r>
          </w:p>
        </w:tc>
        <w:tc>
          <w:tcPr>
            <w:tcW w:w="96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15.3 %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14.4 %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+90bps</w:t>
            </w:r>
          </w:p>
        </w:tc>
      </w:tr>
      <w:tr>
        <w:trPr>
          <w:trHeight w:val="69"/>
        </w:trPr>
        <w:tc>
          <w:tcPr>
            <w:tcW w:w="42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2"/>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gridSpan w:val="2"/>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Adjusted operating profit</w:t>
            </w:r>
            <w:r>
              <w:rPr>
                <w:rFonts w:ascii="Arial" w:cs="Arial" w:eastAsia="Arial" w:hAnsi="Arial"/>
                <w:sz w:val="18"/>
                <w:szCs w:val="18"/>
                <w:b w:val="1"/>
                <w:bCs w:val="1"/>
                <w:color w:val="auto"/>
                <w:vertAlign w:val="superscript"/>
              </w:rPr>
              <w:t>(1)</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1,369</w:t>
            </w:r>
          </w:p>
        </w:tc>
        <w:tc>
          <w:tcPr>
            <w:tcW w:w="120" w:type="dxa"/>
            <w:vAlign w:val="bottom"/>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1,443</w:t>
            </w:r>
          </w:p>
        </w:tc>
        <w:tc>
          <w:tcPr>
            <w:tcW w:w="160" w:type="dxa"/>
            <w:vAlign w:val="bottom"/>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(74)</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r>
      <w:tr>
        <w:trPr>
          <w:trHeight w:val="264"/>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Adjusted operating margin</w:t>
            </w:r>
            <w:r>
              <w:rPr>
                <w:rFonts w:ascii="Arial" w:cs="Arial" w:eastAsia="Arial" w:hAnsi="Arial"/>
                <w:sz w:val="18"/>
                <w:szCs w:val="18"/>
                <w:i w:val="1"/>
                <w:iCs w:val="1"/>
                <w:color w:val="auto"/>
                <w:vertAlign w:val="superscript"/>
              </w:rPr>
              <w:t>(1)</w:t>
            </w:r>
          </w:p>
        </w:tc>
        <w:tc>
          <w:tcPr>
            <w:tcW w:w="9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i w:val="1"/>
                <w:iCs w:val="1"/>
                <w:color w:val="auto"/>
              </w:rPr>
              <w:t>18.5 %</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i w:val="1"/>
                <w:iCs w:val="1"/>
                <w:color w:val="auto"/>
              </w:rPr>
              <w:t>17.8 %</w:t>
            </w:r>
          </w:p>
        </w:tc>
        <w:tc>
          <w:tcPr>
            <w:tcW w:w="1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+70bps</w:t>
            </w: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Net income</w:t>
            </w:r>
            <w:r>
              <w:rPr>
                <w:rFonts w:ascii="Arial" w:cs="Arial" w:eastAsia="Arial" w:hAnsi="Arial"/>
                <w:sz w:val="18"/>
                <w:szCs w:val="18"/>
                <w:b w:val="1"/>
                <w:bCs w:val="1"/>
                <w:color w:val="auto"/>
                <w:vertAlign w:val="superscript"/>
              </w:rPr>
              <w:t>(2)</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1,018</w:t>
            </w:r>
          </w:p>
        </w:tc>
        <w:tc>
          <w:tcPr>
            <w:tcW w:w="120" w:type="dxa"/>
            <w:vAlign w:val="bottom"/>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1,446</w:t>
            </w:r>
          </w:p>
        </w:tc>
        <w:tc>
          <w:tcPr>
            <w:tcW w:w="160" w:type="dxa"/>
            <w:vAlign w:val="bottom"/>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(428)</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r>
      <w:tr>
        <w:trPr>
          <w:trHeight w:val="194"/>
        </w:trPr>
        <w:tc>
          <w:tcPr>
            <w:tcW w:w="4240" w:type="dxa"/>
            <w:vAlign w:val="bottom"/>
          </w:tcPr>
          <w:p>
            <w:pPr>
              <w:spacing w:after="0"/>
              <w:rPr>
                <w:sz w:val="20"/>
                <w:szCs w:val="20"/>
                <w:color w:val="auto"/>
              </w:rPr>
            </w:pPr>
            <w:r>
              <w:rPr>
                <w:rFonts w:ascii="Arial" w:cs="Arial" w:eastAsia="Arial" w:hAnsi="Arial"/>
                <w:sz w:val="14"/>
                <w:szCs w:val="14"/>
                <w:i w:val="1"/>
                <w:iCs w:val="1"/>
                <w:color w:val="auto"/>
              </w:rPr>
              <w:t>Net income margin</w:t>
            </w:r>
          </w:p>
        </w:tc>
        <w:tc>
          <w:tcPr>
            <w:tcW w:w="96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13.8 %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17.8 %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(400)bps</w:t>
            </w:r>
          </w:p>
        </w:tc>
      </w:tr>
      <w:tr>
        <w:trPr>
          <w:trHeight w:val="69"/>
        </w:trPr>
        <w:tc>
          <w:tcPr>
            <w:tcW w:w="42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2"/>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gridSpan w:val="2"/>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Adjusted net income</w:t>
            </w:r>
            <w:r>
              <w:rPr>
                <w:rFonts w:ascii="Arial" w:cs="Arial" w:eastAsia="Arial" w:hAnsi="Arial"/>
                <w:sz w:val="18"/>
                <w:szCs w:val="18"/>
                <w:b w:val="1"/>
                <w:bCs w:val="1"/>
                <w:color w:val="auto"/>
                <w:vertAlign w:val="superscript"/>
              </w:rPr>
              <w:t>(1)(2)(3)</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1,251</w:t>
            </w:r>
          </w:p>
        </w:tc>
        <w:tc>
          <w:tcPr>
            <w:tcW w:w="120" w:type="dxa"/>
            <w:vAlign w:val="bottom"/>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1,717</w:t>
            </w:r>
          </w:p>
        </w:tc>
        <w:tc>
          <w:tcPr>
            <w:tcW w:w="160" w:type="dxa"/>
            <w:vAlign w:val="bottom"/>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(466)</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w:t>
            </w:r>
          </w:p>
        </w:tc>
      </w:tr>
      <w:tr>
        <w:trPr>
          <w:trHeight w:val="263"/>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Adjusted net income margin</w:t>
            </w:r>
            <w:r>
              <w:rPr>
                <w:rFonts w:ascii="Arial" w:cs="Arial" w:eastAsia="Arial" w:hAnsi="Arial"/>
                <w:sz w:val="18"/>
                <w:szCs w:val="18"/>
                <w:i w:val="1"/>
                <w:iCs w:val="1"/>
                <w:color w:val="auto"/>
                <w:vertAlign w:val="superscript"/>
              </w:rPr>
              <w:t>(1)</w:t>
            </w:r>
          </w:p>
        </w:tc>
        <w:tc>
          <w:tcPr>
            <w:tcW w:w="9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i w:val="1"/>
                <w:iCs w:val="1"/>
                <w:color w:val="auto"/>
              </w:rPr>
              <w:t>16.9 %</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i w:val="1"/>
                <w:iCs w:val="1"/>
                <w:color w:val="auto"/>
              </w:rPr>
              <w:t>21.2 %</w:t>
            </w:r>
          </w:p>
        </w:tc>
        <w:tc>
          <w:tcPr>
            <w:tcW w:w="1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(430)bps</w:t>
            </w: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Diluted EPS</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1.83</w:t>
            </w:r>
          </w:p>
        </w:tc>
        <w:tc>
          <w:tcPr>
            <w:tcW w:w="120" w:type="dxa"/>
            <w:vAlign w:val="bottom"/>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2.62</w:t>
            </w:r>
          </w:p>
        </w:tc>
        <w:tc>
          <w:tcPr>
            <w:tcW w:w="160" w:type="dxa"/>
            <w:vAlign w:val="bottom"/>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(0.79)</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r>
      <w:tr>
        <w:trPr>
          <w:trHeight w:val="61"/>
        </w:trPr>
        <w:tc>
          <w:tcPr>
            <w:tcW w:w="4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gridSpan w:val="2"/>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gridSpan w:val="2"/>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Adjusted diluted EPS</w:t>
            </w:r>
            <w:r>
              <w:rPr>
                <w:rFonts w:ascii="Arial" w:cs="Arial" w:eastAsia="Arial" w:hAnsi="Arial"/>
                <w:sz w:val="18"/>
                <w:szCs w:val="18"/>
                <w:b w:val="1"/>
                <w:bCs w:val="1"/>
                <w:color w:val="auto"/>
                <w:vertAlign w:val="superscript"/>
              </w:rPr>
              <w:t>(1)</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2.24</w:t>
            </w:r>
          </w:p>
        </w:tc>
        <w:tc>
          <w:tcPr>
            <w:tcW w:w="120" w:type="dxa"/>
            <w:vAlign w:val="bottom"/>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3.11</w:t>
            </w:r>
          </w:p>
        </w:tc>
        <w:tc>
          <w:tcPr>
            <w:tcW w:w="160" w:type="dxa"/>
            <w:vAlign w:val="bottom"/>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(0.87)</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w:t>
            </w:r>
          </w:p>
        </w:tc>
      </w:tr>
      <w:tr>
        <w:trPr>
          <w:trHeight w:val="61"/>
        </w:trPr>
        <w:tc>
          <w:tcPr>
            <w:tcW w:w="4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gridSpan w:val="2"/>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gridSpan w:val="2"/>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8"/>
                <w:szCs w:val="18"/>
                <w:b w:val="1"/>
                <w:bCs w:val="1"/>
                <w:color w:val="auto"/>
                <w:vertAlign w:val="superscript"/>
              </w:rPr>
              <w:t>(1)(4)</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2,763</w:t>
            </w:r>
          </w:p>
        </w:tc>
        <w:tc>
          <w:tcPr>
            <w:tcW w:w="120" w:type="dxa"/>
            <w:vAlign w:val="bottom"/>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3,088</w:t>
            </w:r>
          </w:p>
        </w:tc>
        <w:tc>
          <w:tcPr>
            <w:tcW w:w="160" w:type="dxa"/>
            <w:vAlign w:val="bottom"/>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(325)</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w:t>
            </w:r>
          </w:p>
        </w:tc>
      </w:tr>
      <w:tr>
        <w:trPr>
          <w:trHeight w:val="264"/>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Adjusted EBITDA margin</w:t>
            </w:r>
            <w:r>
              <w:rPr>
                <w:rFonts w:ascii="Arial" w:cs="Arial" w:eastAsia="Arial" w:hAnsi="Arial"/>
                <w:sz w:val="18"/>
                <w:szCs w:val="18"/>
                <w:i w:val="1"/>
                <w:iCs w:val="1"/>
                <w:color w:val="auto"/>
                <w:vertAlign w:val="superscript"/>
              </w:rPr>
              <w:t>(1)</w:t>
            </w:r>
          </w:p>
        </w:tc>
        <w:tc>
          <w:tcPr>
            <w:tcW w:w="9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i w:val="1"/>
                <w:iCs w:val="1"/>
                <w:color w:val="auto"/>
              </w:rPr>
              <w:t>37.4 %</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i w:val="1"/>
                <w:iCs w:val="1"/>
                <w:color w:val="auto"/>
              </w:rPr>
              <w:t>38.1 %</w:t>
            </w:r>
          </w:p>
        </w:tc>
        <w:tc>
          <w:tcPr>
            <w:tcW w:w="1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(70)bps</w:t>
            </w: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from operations</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2,125</w:t>
            </w:r>
          </w:p>
        </w:tc>
        <w:tc>
          <w:tcPr>
            <w:tcW w:w="120" w:type="dxa"/>
            <w:vAlign w:val="bottom"/>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2,624</w:t>
            </w:r>
          </w:p>
        </w:tc>
        <w:tc>
          <w:tcPr>
            <w:tcW w:w="160" w:type="dxa"/>
            <w:vAlign w:val="bottom"/>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(499)</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w:t>
            </w:r>
          </w:p>
        </w:tc>
      </w:tr>
      <w:tr>
        <w:trPr>
          <w:trHeight w:val="61"/>
        </w:trPr>
        <w:tc>
          <w:tcPr>
            <w:tcW w:w="4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Wafer shipments (300mm equivalent) (in thousands)</w:t>
            </w:r>
          </w:p>
        </w:tc>
        <w:tc>
          <w:tcPr>
            <w:tcW w:w="9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2,211</w:t>
            </w:r>
          </w:p>
        </w:tc>
        <w:tc>
          <w:tcPr>
            <w:tcW w:w="1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2,472</w:t>
            </w:r>
          </w:p>
        </w:tc>
        <w:tc>
          <w:tcPr>
            <w:tcW w:w="16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(261)</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w:t>
            </w:r>
          </w:p>
        </w:tc>
      </w:tr>
    </w:tbl>
    <w:p>
      <w:pPr>
        <w:spacing w:after="0" w:line="333" w:lineRule="exact"/>
        <w:rPr>
          <w:sz w:val="20"/>
          <w:szCs w:val="20"/>
          <w:color w:val="auto"/>
        </w:rPr>
      </w:pPr>
    </w:p>
    <w:p>
      <w:pPr>
        <w:jc w:val="both"/>
        <w:ind w:firstLine="8"/>
        <w:spacing w:after="0"/>
        <w:tabs>
          <w:tab w:leader="none" w:pos="122" w:val="left"/>
        </w:tabs>
        <w:numPr>
          <w:ilvl w:val="0"/>
          <w:numId w:val="5"/>
        </w:numPr>
        <w:rPr>
          <w:rFonts w:ascii="Arial" w:cs="Arial" w:eastAsia="Arial" w:hAnsi="Arial"/>
          <w:sz w:val="14"/>
          <w:szCs w:val="14"/>
          <w:color w:val="auto"/>
          <w:vertAlign w:val="superscript"/>
        </w:rPr>
      </w:pPr>
      <w:r>
        <w:rPr>
          <w:rFonts w:ascii="Arial" w:cs="Arial" w:eastAsia="Arial" w:hAnsi="Arial"/>
          <w:sz w:val="11"/>
          <w:szCs w:val="11"/>
          <w:color w:val="auto"/>
        </w:rPr>
        <w:t>Adjusted gross profit, adjusted operating profit, adjusted net income, adjusted diluted EPS, and adjusted EBITDA, and any related margins are all Non-IFRS measures. See "Unaudited Reconciliation of IFRS to Non-IFRS" for a detailed reconciliation of Non-IFRS measures to the most directly comparable IFRS measures. See "Financial Measures (Non-IFRS)" for a discussion of why we believe these Non-IFRS measures are useful.</w:t>
      </w:r>
    </w:p>
    <w:p>
      <w:pPr>
        <w:spacing w:after="0" w:line="315" w:lineRule="exact"/>
        <w:rPr>
          <w:rFonts w:ascii="Arial" w:cs="Arial" w:eastAsia="Arial" w:hAnsi="Arial"/>
          <w:sz w:val="14"/>
          <w:szCs w:val="14"/>
          <w:color w:val="auto"/>
          <w:vertAlign w:val="superscript"/>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Includes the gain on sale of our East Fishkill business in December 2022.</w:t>
      </w:r>
    </w:p>
    <w:p>
      <w:pPr>
        <w:spacing w:after="0" w:line="198" w:lineRule="exact"/>
        <w:rPr>
          <w:rFonts w:ascii="Arial" w:cs="Arial" w:eastAsia="Arial" w:hAnsi="Arial"/>
          <w:sz w:val="16"/>
          <w:szCs w:val="16"/>
          <w:color w:val="auto"/>
          <w:vertAlign w:val="superscript"/>
        </w:rPr>
      </w:pPr>
    </w:p>
    <w:p>
      <w:pPr>
        <w:jc w:val="both"/>
        <w:ind w:firstLine="8"/>
        <w:spacing w:after="0" w:line="209" w:lineRule="auto"/>
        <w:tabs>
          <w:tab w:leader="none" w:pos="144"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Beginning in Q4 2022, the Company revised its definition of adjusted net income to include an adjustment for restructuring charges and the associated tax impact. The change was made due to a restructuring undertaken in Q4 2022. The Company believes the revised definition provides management and investors with more useful information to evaluate the operations of our business. Adjusted net income is now defined as net income adjusted for share-based compensation, restructuring charges and the associated tax impact.</w:t>
      </w:r>
    </w:p>
    <w:p>
      <w:pPr>
        <w:spacing w:after="0" w:line="213" w:lineRule="exact"/>
        <w:rPr>
          <w:rFonts w:ascii="Arial" w:cs="Arial" w:eastAsia="Arial" w:hAnsi="Arial"/>
          <w:sz w:val="16"/>
          <w:szCs w:val="16"/>
          <w:color w:val="auto"/>
          <w:vertAlign w:val="superscript"/>
        </w:rPr>
      </w:pPr>
    </w:p>
    <w:p>
      <w:pPr>
        <w:jc w:val="both"/>
        <w:ind w:firstLine="8"/>
        <w:spacing w:after="0" w:line="273" w:lineRule="auto"/>
        <w:tabs>
          <w:tab w:leader="none" w:pos="122" w:val="left"/>
        </w:tabs>
        <w:numPr>
          <w:ilvl w:val="0"/>
          <w:numId w:val="5"/>
        </w:numPr>
        <w:rPr>
          <w:rFonts w:ascii="Arial" w:cs="Arial" w:eastAsia="Arial" w:hAnsi="Arial"/>
          <w:sz w:val="14"/>
          <w:szCs w:val="14"/>
          <w:color w:val="auto"/>
          <w:vertAlign w:val="superscript"/>
        </w:rPr>
      </w:pPr>
      <w:r>
        <w:rPr>
          <w:rFonts w:ascii="Arial" w:cs="Arial" w:eastAsia="Arial" w:hAnsi="Arial"/>
          <w:sz w:val="11"/>
          <w:szCs w:val="11"/>
          <w:color w:val="auto"/>
        </w:rPr>
        <w:t>Beginning in Q3 2022, the Company revised its definition of adjusted EBITDA to include an adjustment for finance income. The change was made due to the Company making an investment during Q2 2022 of approximately $1.0 billion in marketable securities. The Company believes the revised definition provides management and investors more useful information to evaluate the operations of our business. Adjusted EBITDA is now defined as net income, adjusted for the impact of finance expense, finance income, income tax expense, depreciation and amortization, share-based compensation, divestiture gains and associated expenses, restructuring charges, labor optimization initiatives and litigation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3 of 11</w:t>
      </w:r>
    </w:p>
    <w:p>
      <w:pPr>
        <w:sectPr>
          <w:pgSz w:w="11900" w:h="16838" w:orient="portrait"/>
          <w:cols w:equalWidth="0" w:num="1">
            <w:col w:w="11240"/>
          </w:cols>
          <w:pgMar w:left="320" w:top="1408" w:right="339" w:bottom="1440" w:gutter="0" w:footer="0" w:header="0"/>
        </w:sectPr>
      </w:pPr>
    </w:p>
    <w:bookmarkStart w:id="5" w:name="page6"/>
    <w:bookmarkEnd w:id="5"/>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u w:val="single" w:color="auto"/>
          <w:color w:val="auto"/>
        </w:rPr>
        <w:t>Summary of First Quarter 2024 Guidance (unaudited in millions USD, except per share amounts)</w:t>
      </w:r>
      <w:r>
        <w:rPr>
          <w:rFonts w:ascii="Arial" w:cs="Arial" w:eastAsia="Arial" w:hAnsi="Arial"/>
          <w:sz w:val="21"/>
          <w:szCs w:val="21"/>
          <w:b w:val="1"/>
          <w:bCs w:val="1"/>
          <w:color w:val="auto"/>
          <w:vertAlign w:val="superscript"/>
        </w:rPr>
        <w:t>(1)</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29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2"/>
          </w:tcPr>
          <w:p>
            <w:pPr>
              <w:ind w:left="1140"/>
              <w:spacing w:after="0"/>
              <w:rPr>
                <w:sz w:val="20"/>
                <w:szCs w:val="20"/>
                <w:color w:val="auto"/>
              </w:rPr>
            </w:pPr>
            <w:r>
              <w:rPr>
                <w:rFonts w:ascii="Arial" w:cs="Arial" w:eastAsia="Arial" w:hAnsi="Arial"/>
                <w:sz w:val="16"/>
                <w:szCs w:val="16"/>
                <w:b w:val="1"/>
                <w:bCs w:val="1"/>
                <w:color w:val="auto"/>
              </w:rPr>
              <w:t>IFRS</w:t>
            </w:r>
          </w:p>
        </w:tc>
        <w:tc>
          <w:tcPr>
            <w:tcW w:w="328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Share-based compensation</w:t>
            </w:r>
          </w:p>
        </w:tc>
        <w:tc>
          <w:tcPr>
            <w:tcW w:w="232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b w:val="1"/>
                <w:bCs w:val="1"/>
                <w:color w:val="auto"/>
              </w:rPr>
              <w:t>Non-IFRS Adjusted</w:t>
            </w:r>
            <w:r>
              <w:rPr>
                <w:rFonts w:ascii="Arial" w:cs="Arial" w:eastAsia="Arial" w:hAnsi="Arial"/>
                <w:sz w:val="21"/>
                <w:szCs w:val="21"/>
                <w:b w:val="1"/>
                <w:bCs w:val="1"/>
                <w:color w:val="auto"/>
                <w:vertAlign w:val="superscript"/>
              </w:rPr>
              <w:t>(2)</w:t>
            </w:r>
          </w:p>
        </w:tc>
      </w:tr>
      <w:tr>
        <w:trPr>
          <w:trHeight w:val="203"/>
        </w:trPr>
        <w:tc>
          <w:tcPr>
            <w:tcW w:w="2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revenue</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$1,500</w:t>
            </w:r>
          </w:p>
        </w:tc>
        <w:tc>
          <w:tcPr>
            <w:tcW w:w="1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 $1,540</w:t>
            </w:r>
          </w:p>
        </w:tc>
        <w:tc>
          <w:tcPr>
            <w:tcW w:w="32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w:t>
            </w:r>
          </w:p>
        </w:tc>
        <w:tc>
          <w:tcPr>
            <w:tcW w:w="2320" w:type="dxa"/>
            <w:vAlign w:val="bottom"/>
            <w:gridSpan w:val="2"/>
            <w:shd w:val="clear" w:color="auto" w:fill="CCEEFF"/>
          </w:tcPr>
          <w:p>
            <w:pPr>
              <w:jc w:val="center"/>
              <w:ind w:left="327"/>
              <w:spacing w:after="0"/>
              <w:rPr>
                <w:sz w:val="20"/>
                <w:szCs w:val="20"/>
                <w:color w:val="auto"/>
              </w:rPr>
            </w:pPr>
            <w:r>
              <w:rPr>
                <w:rFonts w:ascii="Arial" w:cs="Arial" w:eastAsia="Arial" w:hAnsi="Arial"/>
                <w:sz w:val="14"/>
                <w:szCs w:val="14"/>
                <w:b w:val="1"/>
                <w:bCs w:val="1"/>
                <w:color w:val="auto"/>
              </w:rPr>
              <w:t>—</w:t>
            </w:r>
          </w:p>
        </w:tc>
      </w:tr>
      <w:tr>
        <w:trPr>
          <w:trHeight w:val="201"/>
        </w:trPr>
        <w:tc>
          <w:tcPr>
            <w:tcW w:w="2980" w:type="dxa"/>
            <w:vAlign w:val="bottom"/>
          </w:tcPr>
          <w:p>
            <w:pPr>
              <w:spacing w:after="0"/>
              <w:rPr>
                <w:sz w:val="20"/>
                <w:szCs w:val="20"/>
                <w:color w:val="auto"/>
              </w:rPr>
            </w:pPr>
            <w:r>
              <w:rPr>
                <w:rFonts w:ascii="Arial" w:cs="Arial" w:eastAsia="Arial" w:hAnsi="Arial"/>
                <w:sz w:val="14"/>
                <w:szCs w:val="14"/>
                <w:b w:val="1"/>
                <w:bCs w:val="1"/>
                <w:color w:val="auto"/>
              </w:rPr>
              <w:t>Gross profit</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$329</w:t>
            </w:r>
          </w:p>
        </w:tc>
        <w:tc>
          <w:tcPr>
            <w:tcW w:w="1160" w:type="dxa"/>
            <w:vAlign w:val="bottom"/>
          </w:tcPr>
          <w:p>
            <w:pPr>
              <w:ind w:left="20"/>
              <w:spacing w:after="0"/>
              <w:rPr>
                <w:sz w:val="20"/>
                <w:szCs w:val="20"/>
                <w:color w:val="auto"/>
              </w:rPr>
            </w:pPr>
            <w:r>
              <w:rPr>
                <w:rFonts w:ascii="Arial" w:cs="Arial" w:eastAsia="Arial" w:hAnsi="Arial"/>
                <w:sz w:val="14"/>
                <w:szCs w:val="14"/>
                <w:b w:val="1"/>
                <w:bCs w:val="1"/>
                <w:color w:val="auto"/>
              </w:rPr>
              <w:t>- $371</w:t>
            </w:r>
          </w:p>
        </w:tc>
        <w:tc>
          <w:tcPr>
            <w:tcW w:w="3280" w:type="dxa"/>
            <w:vAlign w:val="bottom"/>
          </w:tcPr>
          <w:p>
            <w:pPr>
              <w:jc w:val="center"/>
              <w:ind w:left="6"/>
              <w:spacing w:after="0"/>
              <w:rPr>
                <w:sz w:val="20"/>
                <w:szCs w:val="20"/>
                <w:color w:val="auto"/>
              </w:rPr>
            </w:pPr>
            <w:r>
              <w:rPr>
                <w:rFonts w:ascii="Arial" w:cs="Arial" w:eastAsia="Arial" w:hAnsi="Arial"/>
                <w:sz w:val="14"/>
                <w:szCs w:val="14"/>
                <w:b w:val="1"/>
                <w:bCs w:val="1"/>
                <w:color w:val="auto"/>
              </w:rPr>
              <w:t>$14 - $16</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$345</w:t>
            </w:r>
          </w:p>
        </w:tc>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 $385</w:t>
            </w:r>
          </w:p>
        </w:tc>
      </w:tr>
      <w:tr>
        <w:trPr>
          <w:trHeight w:val="204"/>
        </w:trPr>
        <w:tc>
          <w:tcPr>
            <w:tcW w:w="2980" w:type="dxa"/>
            <w:vAlign w:val="bottom"/>
            <w:shd w:val="clear" w:color="auto" w:fill="CCEEFF"/>
          </w:tcPr>
          <w:p>
            <w:pPr>
              <w:ind w:left="120"/>
              <w:spacing w:after="0" w:line="203" w:lineRule="exact"/>
              <w:rPr>
                <w:sz w:val="20"/>
                <w:szCs w:val="20"/>
                <w:color w:val="auto"/>
              </w:rPr>
            </w:pPr>
            <w:r>
              <w:rPr>
                <w:rFonts w:ascii="Arial" w:cs="Arial" w:eastAsia="Arial" w:hAnsi="Arial"/>
                <w:sz w:val="14"/>
                <w:szCs w:val="14"/>
                <w:i w:val="1"/>
                <w:iCs w:val="1"/>
                <w:color w:val="auto"/>
              </w:rPr>
              <w:t>Gross margin</w:t>
            </w:r>
            <w:r>
              <w:rPr>
                <w:rFonts w:ascii="Arial" w:cs="Arial" w:eastAsia="Arial" w:hAnsi="Arial"/>
                <w:sz w:val="18"/>
                <w:szCs w:val="18"/>
                <w:i w:val="1"/>
                <w:iCs w:val="1"/>
                <w:color w:val="auto"/>
                <w:vertAlign w:val="superscript"/>
              </w:rPr>
              <w:t>(3)</w:t>
            </w:r>
            <w:r>
              <w:rPr>
                <w:rFonts w:ascii="Arial" w:cs="Arial" w:eastAsia="Arial" w:hAnsi="Arial"/>
                <w:sz w:val="14"/>
                <w:szCs w:val="14"/>
                <w:i w:val="1"/>
                <w:iCs w:val="1"/>
                <w:color w:val="auto"/>
              </w:rPr>
              <w:t xml:space="preserve"> (mid-point)</w:t>
            </w:r>
          </w:p>
        </w:tc>
        <w:tc>
          <w:tcPr>
            <w:tcW w:w="2440" w:type="dxa"/>
            <w:vAlign w:val="bottom"/>
            <w:gridSpan w:val="2"/>
            <w:shd w:val="clear" w:color="auto" w:fill="CCEEFF"/>
          </w:tcPr>
          <w:p>
            <w:pPr>
              <w:jc w:val="center"/>
              <w:ind w:left="127"/>
              <w:spacing w:after="0"/>
              <w:rPr>
                <w:sz w:val="20"/>
                <w:szCs w:val="20"/>
                <w:color w:val="auto"/>
              </w:rPr>
            </w:pPr>
            <w:r>
              <w:rPr>
                <w:rFonts w:ascii="Arial" w:cs="Arial" w:eastAsia="Arial" w:hAnsi="Arial"/>
                <w:sz w:val="14"/>
                <w:szCs w:val="14"/>
                <w:i w:val="1"/>
                <w:iCs w:val="1"/>
                <w:color w:val="auto"/>
              </w:rPr>
              <w:t>23.0%</w:t>
            </w:r>
          </w:p>
        </w:tc>
        <w:tc>
          <w:tcPr>
            <w:tcW w:w="328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center"/>
              <w:ind w:left="327"/>
              <w:spacing w:after="0"/>
              <w:rPr>
                <w:sz w:val="20"/>
                <w:szCs w:val="20"/>
                <w:color w:val="auto"/>
              </w:rPr>
            </w:pPr>
            <w:r>
              <w:rPr>
                <w:rFonts w:ascii="Arial" w:cs="Arial" w:eastAsia="Arial" w:hAnsi="Arial"/>
                <w:sz w:val="14"/>
                <w:szCs w:val="14"/>
                <w:i w:val="1"/>
                <w:iCs w:val="1"/>
                <w:color w:val="auto"/>
              </w:rPr>
              <w:t>24.0%</w:t>
            </w:r>
          </w:p>
        </w:tc>
      </w:tr>
      <w:tr>
        <w:trPr>
          <w:trHeight w:val="201"/>
        </w:trPr>
        <w:tc>
          <w:tcPr>
            <w:tcW w:w="2980" w:type="dxa"/>
            <w:vAlign w:val="bottom"/>
          </w:tcPr>
          <w:p>
            <w:pPr>
              <w:spacing w:after="0"/>
              <w:rPr>
                <w:sz w:val="20"/>
                <w:szCs w:val="20"/>
                <w:color w:val="auto"/>
              </w:rPr>
            </w:pPr>
            <w:r>
              <w:rPr>
                <w:rFonts w:ascii="Arial" w:cs="Arial" w:eastAsia="Arial" w:hAnsi="Arial"/>
                <w:sz w:val="14"/>
                <w:szCs w:val="14"/>
                <w:b w:val="1"/>
                <w:bCs w:val="1"/>
                <w:color w:val="auto"/>
              </w:rPr>
              <w:t>Operating profit</w:t>
            </w:r>
          </w:p>
        </w:tc>
        <w:tc>
          <w:tcPr>
            <w:tcW w:w="2440" w:type="dxa"/>
            <w:vAlign w:val="bottom"/>
            <w:gridSpan w:val="2"/>
          </w:tcPr>
          <w:p>
            <w:pPr>
              <w:jc w:val="center"/>
              <w:ind w:left="127"/>
              <w:spacing w:after="0"/>
              <w:rPr>
                <w:sz w:val="20"/>
                <w:szCs w:val="20"/>
                <w:color w:val="auto"/>
              </w:rPr>
            </w:pPr>
            <w:r>
              <w:rPr>
                <w:rFonts w:ascii="Arial" w:cs="Arial" w:eastAsia="Arial" w:hAnsi="Arial"/>
                <w:sz w:val="14"/>
                <w:szCs w:val="14"/>
                <w:b w:val="1"/>
                <w:bCs w:val="1"/>
                <w:color w:val="auto"/>
              </w:rPr>
              <w:t>$60 - $130</w:t>
            </w:r>
          </w:p>
        </w:tc>
        <w:tc>
          <w:tcPr>
            <w:tcW w:w="3280" w:type="dxa"/>
            <w:vAlign w:val="bottom"/>
          </w:tcPr>
          <w:p>
            <w:pPr>
              <w:jc w:val="center"/>
              <w:ind w:left="6"/>
              <w:spacing w:after="0"/>
              <w:rPr>
                <w:sz w:val="20"/>
                <w:szCs w:val="20"/>
                <w:color w:val="auto"/>
              </w:rPr>
            </w:pPr>
            <w:r>
              <w:rPr>
                <w:rFonts w:ascii="Arial" w:cs="Arial" w:eastAsia="Arial" w:hAnsi="Arial"/>
                <w:sz w:val="14"/>
                <w:szCs w:val="14"/>
                <w:b w:val="1"/>
                <w:bCs w:val="1"/>
                <w:color w:val="auto"/>
              </w:rPr>
              <w:t>$50 - $60</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 $180</w:t>
            </w:r>
          </w:p>
        </w:tc>
      </w:tr>
      <w:tr>
        <w:trPr>
          <w:trHeight w:val="204"/>
        </w:trPr>
        <w:tc>
          <w:tcPr>
            <w:tcW w:w="2980" w:type="dxa"/>
            <w:vAlign w:val="bottom"/>
            <w:shd w:val="clear" w:color="auto" w:fill="CCEEFF"/>
          </w:tcPr>
          <w:p>
            <w:pPr>
              <w:ind w:left="120"/>
              <w:spacing w:after="0" w:line="203" w:lineRule="exact"/>
              <w:rPr>
                <w:sz w:val="20"/>
                <w:szCs w:val="20"/>
                <w:color w:val="auto"/>
              </w:rPr>
            </w:pPr>
            <w:r>
              <w:rPr>
                <w:rFonts w:ascii="Arial" w:cs="Arial" w:eastAsia="Arial" w:hAnsi="Arial"/>
                <w:sz w:val="14"/>
                <w:szCs w:val="14"/>
                <w:i w:val="1"/>
                <w:iCs w:val="1"/>
                <w:color w:val="auto"/>
              </w:rPr>
              <w:t>Operating margin</w:t>
            </w:r>
            <w:r>
              <w:rPr>
                <w:rFonts w:ascii="Arial" w:cs="Arial" w:eastAsia="Arial" w:hAnsi="Arial"/>
                <w:sz w:val="18"/>
                <w:szCs w:val="18"/>
                <w:i w:val="1"/>
                <w:iCs w:val="1"/>
                <w:color w:val="auto"/>
                <w:vertAlign w:val="superscript"/>
              </w:rPr>
              <w:t>(3)</w:t>
            </w:r>
            <w:r>
              <w:rPr>
                <w:rFonts w:ascii="Arial" w:cs="Arial" w:eastAsia="Arial" w:hAnsi="Arial"/>
                <w:sz w:val="14"/>
                <w:szCs w:val="14"/>
                <w:i w:val="1"/>
                <w:iCs w:val="1"/>
                <w:color w:val="auto"/>
              </w:rPr>
              <w:t xml:space="preserve"> (mid-point)</w:t>
            </w:r>
          </w:p>
        </w:tc>
        <w:tc>
          <w:tcPr>
            <w:tcW w:w="2440" w:type="dxa"/>
            <w:vAlign w:val="bottom"/>
            <w:gridSpan w:val="2"/>
            <w:shd w:val="clear" w:color="auto" w:fill="CCEEFF"/>
          </w:tcPr>
          <w:p>
            <w:pPr>
              <w:jc w:val="center"/>
              <w:ind w:left="127"/>
              <w:spacing w:after="0"/>
              <w:rPr>
                <w:sz w:val="20"/>
                <w:szCs w:val="20"/>
                <w:color w:val="auto"/>
              </w:rPr>
            </w:pPr>
            <w:r>
              <w:rPr>
                <w:rFonts w:ascii="Arial" w:cs="Arial" w:eastAsia="Arial" w:hAnsi="Arial"/>
                <w:sz w:val="14"/>
                <w:szCs w:val="14"/>
                <w:i w:val="1"/>
                <w:iCs w:val="1"/>
                <w:color w:val="auto"/>
              </w:rPr>
              <w:t>6.3%</w:t>
            </w:r>
          </w:p>
        </w:tc>
        <w:tc>
          <w:tcPr>
            <w:tcW w:w="328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center"/>
              <w:ind w:left="327"/>
              <w:spacing w:after="0"/>
              <w:rPr>
                <w:sz w:val="20"/>
                <w:szCs w:val="20"/>
                <w:color w:val="auto"/>
              </w:rPr>
            </w:pPr>
            <w:r>
              <w:rPr>
                <w:rFonts w:ascii="Arial" w:cs="Arial" w:eastAsia="Arial" w:hAnsi="Arial"/>
                <w:sz w:val="14"/>
                <w:szCs w:val="14"/>
                <w:i w:val="1"/>
                <w:iCs w:val="1"/>
                <w:color w:val="auto"/>
              </w:rPr>
              <w:t>9.9%</w:t>
            </w:r>
          </w:p>
        </w:tc>
      </w:tr>
      <w:tr>
        <w:trPr>
          <w:trHeight w:val="201"/>
        </w:trPr>
        <w:tc>
          <w:tcPr>
            <w:tcW w:w="298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2440" w:type="dxa"/>
            <w:vAlign w:val="bottom"/>
            <w:gridSpan w:val="2"/>
          </w:tcPr>
          <w:p>
            <w:pPr>
              <w:jc w:val="center"/>
              <w:ind w:left="127"/>
              <w:spacing w:after="0"/>
              <w:rPr>
                <w:sz w:val="20"/>
                <w:szCs w:val="20"/>
                <w:color w:val="auto"/>
              </w:rPr>
            </w:pPr>
            <w:r>
              <w:rPr>
                <w:rFonts w:ascii="Arial" w:cs="Arial" w:eastAsia="Arial" w:hAnsi="Arial"/>
                <w:sz w:val="14"/>
                <w:szCs w:val="14"/>
                <w:b w:val="1"/>
                <w:bCs w:val="1"/>
                <w:color w:val="auto"/>
              </w:rPr>
              <w:t>$40 - $106</w:t>
            </w:r>
          </w:p>
        </w:tc>
        <w:tc>
          <w:tcPr>
            <w:tcW w:w="3280" w:type="dxa"/>
            <w:vAlign w:val="bottom"/>
          </w:tcPr>
          <w:p>
            <w:pPr>
              <w:jc w:val="center"/>
              <w:ind w:left="6"/>
              <w:spacing w:after="0"/>
              <w:rPr>
                <w:sz w:val="20"/>
                <w:szCs w:val="20"/>
                <w:color w:val="auto"/>
              </w:rPr>
            </w:pPr>
            <w:r>
              <w:rPr>
                <w:rFonts w:ascii="Arial" w:cs="Arial" w:eastAsia="Arial" w:hAnsi="Arial"/>
                <w:sz w:val="14"/>
                <w:szCs w:val="14"/>
                <w:b w:val="1"/>
                <w:bCs w:val="1"/>
                <w:color w:val="auto"/>
              </w:rPr>
              <w:t>$50 - $60</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 $156</w:t>
            </w:r>
          </w:p>
        </w:tc>
      </w:tr>
      <w:tr>
        <w:trPr>
          <w:trHeight w:val="204"/>
        </w:trPr>
        <w:tc>
          <w:tcPr>
            <w:tcW w:w="2980" w:type="dxa"/>
            <w:vAlign w:val="bottom"/>
            <w:shd w:val="clear" w:color="auto" w:fill="CCEEFF"/>
          </w:tcPr>
          <w:p>
            <w:pPr>
              <w:ind w:left="120"/>
              <w:spacing w:after="0" w:line="203" w:lineRule="exact"/>
              <w:rPr>
                <w:sz w:val="20"/>
                <w:szCs w:val="20"/>
                <w:color w:val="auto"/>
              </w:rPr>
            </w:pPr>
            <w:r>
              <w:rPr>
                <w:rFonts w:ascii="Arial" w:cs="Arial" w:eastAsia="Arial" w:hAnsi="Arial"/>
                <w:sz w:val="14"/>
                <w:szCs w:val="14"/>
                <w:i w:val="1"/>
                <w:iCs w:val="1"/>
                <w:color w:val="auto"/>
              </w:rPr>
              <w:t>Net income margin</w:t>
            </w:r>
            <w:r>
              <w:rPr>
                <w:rFonts w:ascii="Arial" w:cs="Arial" w:eastAsia="Arial" w:hAnsi="Arial"/>
                <w:sz w:val="18"/>
                <w:szCs w:val="18"/>
                <w:i w:val="1"/>
                <w:iCs w:val="1"/>
                <w:color w:val="auto"/>
                <w:vertAlign w:val="superscript"/>
              </w:rPr>
              <w:t>(3)</w:t>
            </w:r>
            <w:r>
              <w:rPr>
                <w:rFonts w:ascii="Arial" w:cs="Arial" w:eastAsia="Arial" w:hAnsi="Arial"/>
                <w:sz w:val="14"/>
                <w:szCs w:val="14"/>
                <w:i w:val="1"/>
                <w:iCs w:val="1"/>
                <w:color w:val="auto"/>
              </w:rPr>
              <w:t xml:space="preserve"> (mid-point)</w:t>
            </w:r>
          </w:p>
        </w:tc>
        <w:tc>
          <w:tcPr>
            <w:tcW w:w="2440" w:type="dxa"/>
            <w:vAlign w:val="bottom"/>
            <w:gridSpan w:val="2"/>
            <w:shd w:val="clear" w:color="auto" w:fill="CCEEFF"/>
          </w:tcPr>
          <w:p>
            <w:pPr>
              <w:jc w:val="center"/>
              <w:ind w:left="127"/>
              <w:spacing w:after="0"/>
              <w:rPr>
                <w:sz w:val="20"/>
                <w:szCs w:val="20"/>
                <w:color w:val="auto"/>
              </w:rPr>
            </w:pPr>
            <w:r>
              <w:rPr>
                <w:rFonts w:ascii="Arial" w:cs="Arial" w:eastAsia="Arial" w:hAnsi="Arial"/>
                <w:sz w:val="14"/>
                <w:szCs w:val="14"/>
                <w:i w:val="1"/>
                <w:iCs w:val="1"/>
                <w:color w:val="auto"/>
              </w:rPr>
              <w:t>4.8%</w:t>
            </w:r>
          </w:p>
        </w:tc>
        <w:tc>
          <w:tcPr>
            <w:tcW w:w="328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center"/>
              <w:ind w:left="327"/>
              <w:spacing w:after="0"/>
              <w:rPr>
                <w:sz w:val="20"/>
                <w:szCs w:val="20"/>
                <w:color w:val="auto"/>
              </w:rPr>
            </w:pPr>
            <w:r>
              <w:rPr>
                <w:rFonts w:ascii="Arial" w:cs="Arial" w:eastAsia="Arial" w:hAnsi="Arial"/>
                <w:sz w:val="14"/>
                <w:szCs w:val="14"/>
                <w:i w:val="1"/>
                <w:iCs w:val="1"/>
                <w:color w:val="auto"/>
              </w:rPr>
              <w:t>8.4%</w:t>
            </w:r>
          </w:p>
        </w:tc>
      </w:tr>
      <w:tr>
        <w:trPr>
          <w:trHeight w:val="200"/>
        </w:trPr>
        <w:tc>
          <w:tcPr>
            <w:tcW w:w="2980" w:type="dxa"/>
            <w:vAlign w:val="bottom"/>
          </w:tcPr>
          <w:p>
            <w:pPr>
              <w:spacing w:after="0"/>
              <w:rPr>
                <w:sz w:val="20"/>
                <w:szCs w:val="20"/>
                <w:color w:val="auto"/>
              </w:rPr>
            </w:pPr>
            <w:r>
              <w:rPr>
                <w:rFonts w:ascii="Arial" w:cs="Arial" w:eastAsia="Arial" w:hAnsi="Arial"/>
                <w:sz w:val="14"/>
                <w:szCs w:val="14"/>
                <w:b w:val="1"/>
                <w:bCs w:val="1"/>
                <w:color w:val="auto"/>
              </w:rPr>
              <w:t>Diluted EPS</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$0.07</w:t>
            </w:r>
          </w:p>
        </w:tc>
        <w:tc>
          <w:tcPr>
            <w:tcW w:w="1160" w:type="dxa"/>
            <w:vAlign w:val="bottom"/>
          </w:tcPr>
          <w:p>
            <w:pPr>
              <w:ind w:left="20"/>
              <w:spacing w:after="0"/>
              <w:rPr>
                <w:sz w:val="20"/>
                <w:szCs w:val="20"/>
                <w:color w:val="auto"/>
              </w:rPr>
            </w:pPr>
            <w:r>
              <w:rPr>
                <w:rFonts w:ascii="Arial" w:cs="Arial" w:eastAsia="Arial" w:hAnsi="Arial"/>
                <w:sz w:val="14"/>
                <w:szCs w:val="14"/>
                <w:b w:val="1"/>
                <w:bCs w:val="1"/>
                <w:color w:val="auto"/>
              </w:rPr>
              <w:t>- $0.19</w:t>
            </w:r>
          </w:p>
        </w:tc>
        <w:tc>
          <w:tcPr>
            <w:tcW w:w="3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$0.18</w:t>
            </w:r>
          </w:p>
        </w:tc>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 $0.28</w:t>
            </w:r>
          </w:p>
        </w:tc>
      </w:tr>
    </w:tbl>
    <w:p>
      <w:pPr>
        <w:spacing w:after="0" w:line="176"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The Guidance provided above contains forward-looking statements as defined in the U.S. Private Securities Litigation Act of 1995, and is subject to the safe harbors created therein. The Guidance includes management’s beliefs and assumptions and is based on information currently available.</w:t>
      </w:r>
    </w:p>
    <w:p>
      <w:pPr>
        <w:spacing w:after="0" w:line="78" w:lineRule="exact"/>
        <w:rPr>
          <w:sz w:val="20"/>
          <w:szCs w:val="20"/>
          <w:color w:val="auto"/>
        </w:rPr>
      </w:pPr>
    </w:p>
    <w:p>
      <w:pPr>
        <w:spacing w:after="0" w:line="222" w:lineRule="auto"/>
        <w:rPr>
          <w:sz w:val="20"/>
          <w:szCs w:val="20"/>
          <w:color w:val="auto"/>
        </w:rPr>
      </w:pPr>
      <w:r>
        <w:rPr>
          <w:rFonts w:ascii="Arial" w:cs="Arial" w:eastAsia="Arial" w:hAnsi="Arial"/>
          <w:sz w:val="15"/>
          <w:szCs w:val="15"/>
          <w:color w:val="auto"/>
          <w:vertAlign w:val="superscript"/>
        </w:rPr>
        <w:t>(2)</w:t>
      </w:r>
      <w:r>
        <w:rPr>
          <w:rFonts w:ascii="Arial" w:cs="Arial" w:eastAsia="Arial" w:hAnsi="Arial"/>
          <w:sz w:val="12"/>
          <w:szCs w:val="12"/>
          <w:color w:val="auto"/>
        </w:rPr>
        <w:t>Adjusted gross profit, adjusted operating profit, adjusted net income, and adjusted diluted EPS are Non-IFRS metrics and, for purposes of the Guidance only, are defined as gross profit, operating profit, net income, and EPS before share-based compensation, respectively. Adjusted operating expense is calculated by subtracting adjusted operating profit from adjusted gross profit.</w:t>
      </w:r>
    </w:p>
    <w:p>
      <w:pPr>
        <w:spacing w:after="0" w:line="67" w:lineRule="exact"/>
        <w:rPr>
          <w:sz w:val="20"/>
          <w:szCs w:val="20"/>
          <w:color w:val="auto"/>
        </w:rPr>
      </w:pPr>
    </w:p>
    <w:p>
      <w:pPr>
        <w:spacing w:after="0" w:line="214" w:lineRule="auto"/>
        <w:rPr>
          <w:sz w:val="20"/>
          <w:szCs w:val="20"/>
          <w:color w:val="auto"/>
        </w:rPr>
      </w:pPr>
      <w:r>
        <w:rPr>
          <w:rFonts w:ascii="Arial" w:cs="Arial" w:eastAsia="Arial" w:hAnsi="Arial"/>
          <w:sz w:val="16"/>
          <w:szCs w:val="16"/>
          <w:color w:val="auto"/>
          <w:vertAlign w:val="superscript"/>
        </w:rPr>
        <w:t>(3)</w:t>
      </w:r>
      <w:r>
        <w:rPr>
          <w:rFonts w:ascii="Arial" w:cs="Arial" w:eastAsia="Arial" w:hAnsi="Arial"/>
          <w:sz w:val="13"/>
          <w:szCs w:val="13"/>
          <w:color w:val="auto"/>
        </w:rPr>
        <w:t>Adjusted margins are Non-IFRS metrics and for purposes of the Guidance only, are defined as adjusted gross profit, adjusted operating profit and adjusted net income, each divided by net revenue (using the definitions of adjusted gross profit, adjusted operating profit, and adjusted net income, in footnote (2) above,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Page 4 of 11</w:t>
      </w:r>
    </w:p>
    <w:p>
      <w:pPr>
        <w:sectPr>
          <w:pgSz w:w="11900" w:h="16838" w:orient="portrait"/>
          <w:cols w:equalWidth="0" w:num="1">
            <w:col w:w="11160"/>
          </w:cols>
          <w:pgMar w:left="400" w:top="144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u w:val="single" w:color="auto"/>
          <w:color w:val="auto"/>
        </w:rPr>
        <w:t>Unaudited Consolidated Statements of Operations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4"/>
          </w:tcPr>
          <w:p>
            <w:pPr>
              <w:jc w:val="right"/>
              <w:ind w:right="1088"/>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4"/>
          </w:tcPr>
          <w:p>
            <w:pPr>
              <w:jc w:val="right"/>
              <w:ind w:right="1328"/>
              <w:spacing w:after="0"/>
              <w:rPr>
                <w:sz w:val="20"/>
                <w:szCs w:val="20"/>
                <w:color w:val="auto"/>
              </w:rPr>
            </w:pPr>
            <w:r>
              <w:rPr>
                <w:rFonts w:ascii="Arial" w:cs="Arial" w:eastAsia="Arial" w:hAnsi="Arial"/>
                <w:sz w:val="14"/>
                <w:szCs w:val="14"/>
                <w:b w:val="1"/>
                <w:bCs w:val="1"/>
                <w:color w:val="auto"/>
              </w:rPr>
              <w:t>Year Ended</w:t>
            </w:r>
          </w:p>
        </w:tc>
      </w:tr>
      <w:tr>
        <w:trPr>
          <w:trHeight w:val="209"/>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(in millions USD, except for per share amounts)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December 31, 2023</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December 31, 2022</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December 31, 2023</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December 31, 2022</w:t>
            </w:r>
          </w:p>
        </w:tc>
      </w:tr>
      <w:tr>
        <w:trPr>
          <w:trHeight w:val="162"/>
        </w:trPr>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1,854</w:t>
            </w:r>
          </w:p>
        </w:tc>
        <w:tc>
          <w:tcPr>
            <w:tcW w:w="80" w:type="dxa"/>
            <w:vAlign w:val="bottom"/>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2,101</w:t>
            </w:r>
          </w:p>
        </w:tc>
        <w:tc>
          <w:tcPr>
            <w:tcW w:w="80" w:type="dxa"/>
            <w:vAlign w:val="bottom"/>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7,392</w:t>
            </w:r>
          </w:p>
        </w:tc>
        <w:tc>
          <w:tcPr>
            <w:tcW w:w="80" w:type="dxa"/>
            <w:vAlign w:val="bottom"/>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8,108</w:t>
            </w:r>
          </w:p>
        </w:tc>
      </w:tr>
      <w:tr>
        <w:trPr>
          <w:trHeight w:val="198"/>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1,329</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1,479</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5,291</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5,869</w:t>
            </w:r>
          </w:p>
        </w:tc>
      </w:tr>
      <w:tr>
        <w:trPr>
          <w:trHeight w:val="20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525</w:t>
            </w:r>
          </w:p>
        </w:tc>
        <w:tc>
          <w:tcPr>
            <w:tcW w:w="8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622</w:t>
            </w:r>
          </w:p>
        </w:tc>
        <w:tc>
          <w:tcPr>
            <w:tcW w:w="80" w:type="dxa"/>
            <w:vAlign w:val="bottom"/>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2,101</w:t>
            </w:r>
          </w:p>
        </w:tc>
        <w:tc>
          <w:tcPr>
            <w:tcW w:w="80" w:type="dxa"/>
            <w:vAlign w:val="bottom"/>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2,239</w:t>
            </w:r>
          </w:p>
        </w:tc>
      </w:tr>
      <w:tr>
        <w:trPr>
          <w:trHeight w:val="178"/>
        </w:trPr>
        <w:tc>
          <w:tcPr>
            <w:tcW w:w="38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7"/>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8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r>
      <w:tr>
        <w:trPr>
          <w:trHeight w:val="198"/>
        </w:trPr>
        <w:tc>
          <w:tcPr>
            <w:tcW w:w="382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r>
              <w:rPr>
                <w:rFonts w:ascii="Arial" w:cs="Arial" w:eastAsia="Arial" w:hAnsi="Arial"/>
                <w:sz w:val="9"/>
                <w:szCs w:val="9"/>
                <w:color w:val="auto"/>
              </w:rPr>
              <w:t>(1)</w:t>
            </w:r>
          </w:p>
        </w:tc>
        <w:tc>
          <w:tcPr>
            <w:tcW w:w="18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496</w:t>
            </w:r>
          </w:p>
        </w:tc>
      </w:tr>
      <w:tr>
        <w:trPr>
          <w:trHeight w:val="207"/>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w:t>
            </w:r>
          </w:p>
        </w:tc>
        <w:tc>
          <w:tcPr>
            <w:tcW w:w="1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80" w:type="dxa"/>
            <w:vAlign w:val="bottom"/>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r>
      <w:tr>
        <w:trPr>
          <w:trHeight w:val="195"/>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222</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334</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972</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1,072</w:t>
            </w:r>
          </w:p>
        </w:tc>
      </w:tr>
      <w:tr>
        <w:trPr>
          <w:trHeight w:val="197"/>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profit</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303</w:t>
            </w:r>
          </w:p>
        </w:tc>
        <w:tc>
          <w:tcPr>
            <w:tcW w:w="80" w:type="dxa"/>
            <w:vAlign w:val="bottom"/>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288</w:t>
            </w:r>
          </w:p>
        </w:tc>
        <w:tc>
          <w:tcPr>
            <w:tcW w:w="80" w:type="dxa"/>
            <w:vAlign w:val="bottom"/>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1,129</w:t>
            </w:r>
          </w:p>
        </w:tc>
        <w:tc>
          <w:tcPr>
            <w:tcW w:w="80" w:type="dxa"/>
            <w:vAlign w:val="bottom"/>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1,167</w:t>
            </w:r>
          </w:p>
        </w:tc>
      </w:tr>
      <w:tr>
        <w:trPr>
          <w:trHeight w:val="198"/>
        </w:trPr>
        <w:tc>
          <w:tcPr>
            <w:tcW w:w="3820" w:type="dxa"/>
            <w:vAlign w:val="bottom"/>
          </w:tcPr>
          <w:p>
            <w:pPr>
              <w:ind w:left="20"/>
              <w:spacing w:after="0"/>
              <w:rPr>
                <w:sz w:val="20"/>
                <w:szCs w:val="20"/>
                <w:color w:val="auto"/>
              </w:rPr>
            </w:pPr>
            <w:r>
              <w:rPr>
                <w:rFonts w:ascii="Arial" w:cs="Arial" w:eastAsia="Arial" w:hAnsi="Arial"/>
                <w:sz w:val="14"/>
                <w:szCs w:val="14"/>
                <w:color w:val="auto"/>
              </w:rPr>
              <w:t>Finance income (expense), net</w:t>
            </w:r>
          </w:p>
        </w:tc>
        <w:tc>
          <w:tcPr>
            <w:tcW w:w="18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07"/>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98"/>
        </w:trPr>
        <w:tc>
          <w:tcPr>
            <w:tcW w:w="3820" w:type="dxa"/>
            <w:vAlign w:val="bottom"/>
          </w:tcPr>
          <w:p>
            <w:pPr>
              <w:ind w:left="20"/>
              <w:spacing w:after="0"/>
              <w:rPr>
                <w:sz w:val="20"/>
                <w:szCs w:val="20"/>
                <w:color w:val="auto"/>
              </w:rPr>
            </w:pPr>
            <w:r>
              <w:rPr>
                <w:rFonts w:ascii="Arial" w:cs="Arial" w:eastAsia="Arial" w:hAnsi="Arial"/>
                <w:sz w:val="14"/>
                <w:szCs w:val="14"/>
                <w:color w:val="auto"/>
              </w:rPr>
              <w:t>Gain on sale of a business</w:t>
            </w:r>
            <w:r>
              <w:rPr>
                <w:rFonts w:ascii="Arial" w:cs="Arial" w:eastAsia="Arial" w:hAnsi="Arial"/>
                <w:sz w:val="9"/>
                <w:szCs w:val="9"/>
                <w:color w:val="auto"/>
              </w:rPr>
              <w:t>(2)</w:t>
            </w:r>
          </w:p>
        </w:tc>
        <w:tc>
          <w:tcPr>
            <w:tcW w:w="18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403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403</w:t>
            </w:r>
          </w:p>
        </w:tc>
      </w:tr>
      <w:tr>
        <w:trPr>
          <w:trHeight w:val="207"/>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195"/>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278</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668</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1,018</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1,446</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171"/>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Attributable to:</w:t>
            </w:r>
          </w:p>
        </w:tc>
        <w:tc>
          <w:tcPr>
            <w:tcW w:w="1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r>
      <w:tr>
        <w:trPr>
          <w:trHeight w:val="199"/>
        </w:trPr>
        <w:tc>
          <w:tcPr>
            <w:tcW w:w="3820" w:type="dxa"/>
            <w:vAlign w:val="bottom"/>
          </w:tcPr>
          <w:p>
            <w:pPr>
              <w:ind w:left="20"/>
              <w:spacing w:after="0"/>
              <w:rPr>
                <w:sz w:val="20"/>
                <w:szCs w:val="20"/>
                <w:color w:val="auto"/>
              </w:rPr>
            </w:pPr>
            <w:r>
              <w:rPr>
                <w:rFonts w:ascii="Arial" w:cs="Arial" w:eastAsia="Arial" w:hAnsi="Arial"/>
                <w:sz w:val="14"/>
                <w:szCs w:val="14"/>
                <w:color w:val="auto"/>
              </w:rPr>
              <w:t>Shareholders of GlobalFoundries</w:t>
            </w:r>
          </w:p>
        </w:tc>
        <w:tc>
          <w:tcPr>
            <w:tcW w:w="18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277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668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1,448</w:t>
            </w:r>
          </w:p>
        </w:tc>
      </w:tr>
      <w:tr>
        <w:trPr>
          <w:trHeight w:val="206"/>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02"/>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EPS:</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0.50</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w:t>
            </w:r>
          </w:p>
        </w:tc>
      </w:tr>
      <w:tr>
        <w:trPr>
          <w:trHeight w:val="192"/>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Diluted</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0.50</w:t>
            </w:r>
          </w:p>
        </w:tc>
        <w:tc>
          <w:tcPr>
            <w:tcW w:w="2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r>
      <w:tr>
        <w:trPr>
          <w:trHeight w:val="186"/>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used in EPS calculation:</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198"/>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553</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w:t>
            </w:r>
          </w:p>
        </w:tc>
      </w:tr>
      <w:tr>
        <w:trPr>
          <w:trHeight w:val="196"/>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1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557</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w:t>
            </w:r>
          </w:p>
        </w:tc>
      </w:tr>
    </w:tbl>
    <w:p>
      <w:pPr>
        <w:spacing w:after="0" w:line="300"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5"/>
          <w:szCs w:val="15"/>
          <w:color w:val="auto"/>
          <w:vertAlign w:val="superscript"/>
        </w:rPr>
      </w:pPr>
      <w:r>
        <w:rPr>
          <w:rFonts w:ascii="Arial" w:cs="Arial" w:eastAsia="Arial" w:hAnsi="Arial"/>
          <w:sz w:val="12"/>
          <w:szCs w:val="12"/>
          <w:color w:val="auto"/>
        </w:rPr>
        <w:t>Beginning in Q3 2023, selling, general and administrative includes (gain)/loss on tool sales and certain contract cancellation fees. Prior period amounts have not been adjusted, as they are immaterial.</w:t>
      </w:r>
    </w:p>
    <w:p>
      <w:pPr>
        <w:spacing w:after="0" w:line="180" w:lineRule="exact"/>
        <w:rPr>
          <w:rFonts w:ascii="Arial" w:cs="Arial" w:eastAsia="Arial" w:hAnsi="Arial"/>
          <w:sz w:val="15"/>
          <w:szCs w:val="15"/>
          <w:color w:val="auto"/>
          <w:vertAlign w:val="superscript"/>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Includes the gain on sale of our East Fishkill business in December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5 of 11</w:t>
      </w:r>
    </w:p>
    <w:p>
      <w:pPr>
        <w:sectPr>
          <w:pgSz w:w="11900" w:h="16838" w:orient="portrait"/>
          <w:cols w:equalWidth="0" w:num="1">
            <w:col w:w="11240"/>
          </w:cols>
          <w:pgMar w:left="320" w:top="1435"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u w:val="single" w:color="auto"/>
          <w:color w:val="auto"/>
        </w:rPr>
        <w:t>Unaudited Consolidated Statements of Financial Position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(in millions USD)</w:t>
            </w:r>
          </w:p>
        </w:tc>
        <w:tc>
          <w:tcPr>
            <w:tcW w:w="2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December 31, 2023</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361"/>
        </w:trPr>
        <w:tc>
          <w:tcPr>
            <w:tcW w:w="5140" w:type="dxa"/>
            <w:vAlign w:val="bottom"/>
          </w:tcPr>
          <w:p>
            <w:pPr>
              <w:ind w:left="20"/>
              <w:spacing w:after="0"/>
              <w:rPr>
                <w:sz w:val="20"/>
                <w:szCs w:val="20"/>
                <w:color w:val="auto"/>
              </w:rPr>
            </w:pPr>
            <w:r>
              <w:rPr>
                <w:rFonts w:ascii="Arial" w:cs="Arial" w:eastAsia="Arial" w:hAnsi="Arial"/>
                <w:sz w:val="14"/>
                <w:szCs w:val="14"/>
                <w:color w:val="auto"/>
              </w:rPr>
              <w:t>Assets:</w:t>
            </w: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2,387</w:t>
            </w:r>
          </w:p>
        </w:tc>
        <w:tc>
          <w:tcPr>
            <w:tcW w:w="140" w:type="dxa"/>
            <w:vAlign w:val="bottom"/>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2,352</w:t>
            </w:r>
          </w:p>
        </w:tc>
        <w:tc>
          <w:tcPr>
            <w:tcW w:w="0" w:type="dxa"/>
            <w:vAlign w:val="bottom"/>
          </w:tcPr>
          <w:p>
            <w:pPr>
              <w:spacing w:after="0"/>
              <w:rPr>
                <w:sz w:val="1"/>
                <w:szCs w:val="1"/>
                <w:color w:val="auto"/>
              </w:rPr>
            </w:pPr>
          </w:p>
        </w:tc>
      </w:tr>
      <w:tr>
        <w:trPr>
          <w:trHeight w:val="198"/>
        </w:trPr>
        <w:tc>
          <w:tcPr>
            <w:tcW w:w="5140" w:type="dxa"/>
            <w:vAlign w:val="bottom"/>
          </w:tcPr>
          <w:p>
            <w:pPr>
              <w:ind w:left="20"/>
              <w:spacing w:after="0"/>
              <w:rPr>
                <w:sz w:val="20"/>
                <w:szCs w:val="20"/>
                <w:color w:val="auto"/>
              </w:rPr>
            </w:pPr>
            <w:r>
              <w:rPr>
                <w:rFonts w:ascii="Arial" w:cs="Arial" w:eastAsia="Arial" w:hAnsi="Arial"/>
                <w:sz w:val="14"/>
                <w:szCs w:val="14"/>
                <w:color w:val="auto"/>
              </w:rPr>
              <w:t>Receivables, prepayments and other</w:t>
            </w:r>
          </w:p>
        </w:tc>
        <w:tc>
          <w:tcPr>
            <w:tcW w:w="260" w:type="dxa"/>
            <w:vAlign w:val="bottom"/>
          </w:tcPr>
          <w:p>
            <w:pPr>
              <w:spacing w:after="0"/>
              <w:rPr>
                <w:sz w:val="17"/>
                <w:szCs w:val="17"/>
                <w:color w:val="auto"/>
              </w:rPr>
            </w:pPr>
          </w:p>
        </w:tc>
        <w:tc>
          <w:tcPr>
            <w:tcW w:w="1900" w:type="dxa"/>
            <w:vAlign w:val="bottom"/>
          </w:tcPr>
          <w:p>
            <w:pPr>
              <w:jc w:val="right"/>
              <w:ind w:right="8"/>
              <w:spacing w:after="0"/>
              <w:rPr>
                <w:sz w:val="20"/>
                <w:szCs w:val="20"/>
                <w:color w:val="auto"/>
              </w:rPr>
            </w:pPr>
            <w:r>
              <w:rPr>
                <w:rFonts w:ascii="Arial" w:cs="Arial" w:eastAsia="Arial" w:hAnsi="Arial"/>
                <w:sz w:val="14"/>
                <w:szCs w:val="14"/>
                <w:color w:val="auto"/>
              </w:rPr>
              <w:t>1,420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1,487</w:t>
            </w:r>
          </w:p>
        </w:tc>
        <w:tc>
          <w:tcPr>
            <w:tcW w:w="0" w:type="dxa"/>
            <w:vAlign w:val="bottom"/>
          </w:tcPr>
          <w:p>
            <w:pPr>
              <w:spacing w:after="0"/>
              <w:rPr>
                <w:sz w:val="1"/>
                <w:szCs w:val="1"/>
                <w:color w:val="auto"/>
              </w:rPr>
            </w:pPr>
          </w:p>
        </w:tc>
      </w:tr>
      <w:tr>
        <w:trPr>
          <w:trHeight w:val="20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1,033</w:t>
            </w:r>
          </w:p>
        </w:tc>
        <w:tc>
          <w:tcPr>
            <w:tcW w:w="14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198"/>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Inventories</w:t>
            </w:r>
          </w:p>
        </w:tc>
        <w:tc>
          <w:tcPr>
            <w:tcW w:w="2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1,487</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1,339</w:t>
            </w:r>
          </w:p>
        </w:tc>
        <w:tc>
          <w:tcPr>
            <w:tcW w:w="0" w:type="dxa"/>
            <w:vAlign w:val="bottom"/>
          </w:tcPr>
          <w:p>
            <w:pPr>
              <w:spacing w:after="0"/>
              <w:rPr>
                <w:sz w:val="1"/>
                <w:szCs w:val="1"/>
                <w:color w:val="auto"/>
              </w:rPr>
            </w:pPr>
          </w:p>
        </w:tc>
      </w:tr>
      <w:tr>
        <w:trPr>
          <w:trHeight w:val="20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6,327</w:t>
            </w:r>
          </w:p>
        </w:tc>
        <w:tc>
          <w:tcPr>
            <w:tcW w:w="140" w:type="dxa"/>
            <w:vAlign w:val="bottom"/>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5,800</w:t>
            </w:r>
          </w:p>
        </w:tc>
        <w:tc>
          <w:tcPr>
            <w:tcW w:w="0" w:type="dxa"/>
            <w:vAlign w:val="bottom"/>
          </w:tcPr>
          <w:p>
            <w:pPr>
              <w:spacing w:after="0"/>
              <w:rPr>
                <w:sz w:val="1"/>
                <w:szCs w:val="1"/>
                <w:color w:val="auto"/>
              </w:rPr>
            </w:pPr>
          </w:p>
        </w:tc>
      </w:tr>
      <w:tr>
        <w:trPr>
          <w:trHeight w:val="192"/>
        </w:trPr>
        <w:tc>
          <w:tcPr>
            <w:tcW w:w="5140" w:type="dxa"/>
            <w:vAlign w:val="bottom"/>
          </w:tcPr>
          <w:p>
            <w:pPr>
              <w:ind w:left="20"/>
              <w:spacing w:after="0"/>
              <w:rPr>
                <w:sz w:val="20"/>
                <w:szCs w:val="20"/>
                <w:color w:val="auto"/>
              </w:rPr>
            </w:pPr>
            <w:r>
              <w:rPr>
                <w:rFonts w:ascii="Arial" w:cs="Arial" w:eastAsia="Arial" w:hAnsi="Arial"/>
                <w:sz w:val="14"/>
                <w:szCs w:val="14"/>
                <w:color w:val="auto"/>
              </w:rPr>
              <w:t>Deferred tax assets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8"/>
              <w:spacing w:after="0"/>
              <w:rPr>
                <w:sz w:val="20"/>
                <w:szCs w:val="20"/>
                <w:color w:val="auto"/>
              </w:rPr>
            </w:pPr>
            <w:r>
              <w:rPr>
                <w:rFonts w:ascii="Arial" w:cs="Arial" w:eastAsia="Arial" w:hAnsi="Arial"/>
                <w:sz w:val="14"/>
                <w:szCs w:val="14"/>
                <w:color w:val="auto"/>
              </w:rPr>
              <w:t>241</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0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10,164</w:t>
            </w:r>
          </w:p>
        </w:tc>
        <w:tc>
          <w:tcPr>
            <w:tcW w:w="14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10,596</w:t>
            </w:r>
          </w:p>
        </w:tc>
        <w:tc>
          <w:tcPr>
            <w:tcW w:w="0" w:type="dxa"/>
            <w:vAlign w:val="bottom"/>
          </w:tcPr>
          <w:p>
            <w:pPr>
              <w:spacing w:after="0"/>
              <w:rPr>
                <w:sz w:val="1"/>
                <w:szCs w:val="1"/>
                <w:color w:val="auto"/>
              </w:rPr>
            </w:pPr>
          </w:p>
        </w:tc>
      </w:tr>
      <w:tr>
        <w:trPr>
          <w:trHeight w:val="198"/>
        </w:trPr>
        <w:tc>
          <w:tcPr>
            <w:tcW w:w="514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260" w:type="dxa"/>
            <w:vAlign w:val="bottom"/>
          </w:tcPr>
          <w:p>
            <w:pPr>
              <w:spacing w:after="0"/>
              <w:rPr>
                <w:sz w:val="17"/>
                <w:szCs w:val="17"/>
                <w:color w:val="auto"/>
              </w:rPr>
            </w:pPr>
          </w:p>
        </w:tc>
        <w:tc>
          <w:tcPr>
            <w:tcW w:w="1900" w:type="dxa"/>
            <w:vAlign w:val="bottom"/>
          </w:tcPr>
          <w:p>
            <w:pPr>
              <w:jc w:val="right"/>
              <w:ind w:right="8"/>
              <w:spacing w:after="0"/>
              <w:rPr>
                <w:sz w:val="20"/>
                <w:szCs w:val="20"/>
                <w:color w:val="auto"/>
              </w:rPr>
            </w:pPr>
            <w:r>
              <w:rPr>
                <w:rFonts w:ascii="Arial" w:cs="Arial" w:eastAsia="Arial" w:hAnsi="Arial"/>
                <w:sz w:val="14"/>
                <w:szCs w:val="14"/>
                <w:color w:val="auto"/>
              </w:rPr>
              <w:t>468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0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844</w:t>
            </w:r>
          </w:p>
        </w:tc>
        <w:tc>
          <w:tcPr>
            <w:tcW w:w="140" w:type="dxa"/>
            <w:vAlign w:val="bottom"/>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195"/>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Non-current assets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Pr>
          <w:p>
            <w:pPr>
              <w:jc w:val="right"/>
              <w:ind w:right="8"/>
              <w:spacing w:after="0"/>
              <w:rPr>
                <w:sz w:val="20"/>
                <w:szCs w:val="20"/>
                <w:color w:val="auto"/>
              </w:rPr>
            </w:pPr>
            <w:r>
              <w:rPr>
                <w:rFonts w:ascii="Arial" w:cs="Arial" w:eastAsia="Arial" w:hAnsi="Arial"/>
                <w:sz w:val="14"/>
                <w:szCs w:val="14"/>
                <w:b w:val="1"/>
                <w:bCs w:val="1"/>
                <w:color w:val="auto"/>
              </w:rPr>
              <w:t>11,717</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1840" w:type="dxa"/>
            <w:vAlign w:val="bottom"/>
          </w:tcPr>
          <w:p>
            <w:pPr>
              <w:jc w:val="right"/>
              <w:ind w:right="8"/>
              <w:spacing w:after="0"/>
              <w:rPr>
                <w:sz w:val="20"/>
                <w:szCs w:val="20"/>
                <w:color w:val="auto"/>
              </w:rPr>
            </w:pPr>
            <w:r>
              <w:rPr>
                <w:rFonts w:ascii="Arial" w:cs="Arial" w:eastAsia="Arial" w:hAnsi="Arial"/>
                <w:sz w:val="14"/>
                <w:szCs w:val="14"/>
                <w:b w:val="1"/>
                <w:bCs w:val="1"/>
                <w:color w:val="auto"/>
              </w:rPr>
              <w:t>12,041</w:t>
            </w:r>
          </w:p>
        </w:tc>
        <w:tc>
          <w:tcPr>
            <w:tcW w:w="0" w:type="dxa"/>
            <w:vAlign w:val="bottom"/>
          </w:tcPr>
          <w:p>
            <w:pPr>
              <w:spacing w:after="0"/>
              <w:rPr>
                <w:sz w:val="1"/>
                <w:szCs w:val="1"/>
                <w:color w:val="auto"/>
              </w:rPr>
            </w:pPr>
          </w:p>
        </w:tc>
      </w:tr>
      <w:tr>
        <w:trPr>
          <w:trHeight w:val="221"/>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18,044</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17,841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1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portion of long-term debt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571</w:t>
            </w:r>
          </w:p>
        </w:tc>
        <w:tc>
          <w:tcPr>
            <w:tcW w:w="140" w:type="dxa"/>
            <w:vAlign w:val="bottom"/>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98"/>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current liabilities</w:t>
            </w:r>
          </w:p>
        </w:tc>
        <w:tc>
          <w:tcPr>
            <w:tcW w:w="2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2,528</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3,136</w:t>
            </w:r>
          </w:p>
        </w:tc>
        <w:tc>
          <w:tcPr>
            <w:tcW w:w="0" w:type="dxa"/>
            <w:vAlign w:val="bottom"/>
          </w:tcPr>
          <w:p>
            <w:pPr>
              <w:spacing w:after="0"/>
              <w:rPr>
                <w:sz w:val="1"/>
                <w:szCs w:val="1"/>
                <w:color w:val="auto"/>
              </w:rPr>
            </w:pPr>
          </w:p>
        </w:tc>
      </w:tr>
      <w:tr>
        <w:trPr>
          <w:trHeight w:val="20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3,099</w:t>
            </w:r>
          </w:p>
        </w:tc>
        <w:tc>
          <w:tcPr>
            <w:tcW w:w="140" w:type="dxa"/>
            <w:vAlign w:val="bottom"/>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3,359</w:t>
            </w:r>
          </w:p>
        </w:tc>
        <w:tc>
          <w:tcPr>
            <w:tcW w:w="0" w:type="dxa"/>
            <w:vAlign w:val="bottom"/>
          </w:tcPr>
          <w:p>
            <w:pPr>
              <w:spacing w:after="0"/>
              <w:rPr>
                <w:sz w:val="1"/>
                <w:szCs w:val="1"/>
                <w:color w:val="auto"/>
              </w:rPr>
            </w:pPr>
          </w:p>
        </w:tc>
      </w:tr>
      <w:tr>
        <w:trPr>
          <w:trHeight w:val="192"/>
        </w:trPr>
        <w:tc>
          <w:tcPr>
            <w:tcW w:w="5140" w:type="dxa"/>
            <w:vAlign w:val="bottom"/>
          </w:tcPr>
          <w:p>
            <w:pPr>
              <w:ind w:left="20"/>
              <w:spacing w:after="0"/>
              <w:rPr>
                <w:sz w:val="20"/>
                <w:szCs w:val="20"/>
                <w:color w:val="auto"/>
              </w:rPr>
            </w:pPr>
            <w:r>
              <w:rPr>
                <w:rFonts w:ascii="Arial" w:cs="Arial" w:eastAsia="Arial" w:hAnsi="Arial"/>
                <w:sz w:val="14"/>
                <w:szCs w:val="14"/>
                <w:color w:val="auto"/>
              </w:rPr>
              <w:t>Non-current portion of long-term debt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8"/>
              <w:spacing w:after="0"/>
              <w:rPr>
                <w:sz w:val="20"/>
                <w:szCs w:val="20"/>
                <w:color w:val="auto"/>
              </w:rPr>
            </w:pPr>
            <w:r>
              <w:rPr>
                <w:rFonts w:ascii="Arial" w:cs="Arial" w:eastAsia="Arial" w:hAnsi="Arial"/>
                <w:sz w:val="14"/>
                <w:szCs w:val="14"/>
                <w:color w:val="auto"/>
              </w:rPr>
              <w:t>1,801</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2,288</w:t>
            </w:r>
          </w:p>
        </w:tc>
        <w:tc>
          <w:tcPr>
            <w:tcW w:w="0" w:type="dxa"/>
            <w:vAlign w:val="bottom"/>
          </w:tcPr>
          <w:p>
            <w:pPr>
              <w:spacing w:after="0"/>
              <w:rPr>
                <w:sz w:val="1"/>
                <w:szCs w:val="1"/>
                <w:color w:val="auto"/>
              </w:rPr>
            </w:pPr>
          </w:p>
        </w:tc>
      </w:tr>
      <w:tr>
        <w:trPr>
          <w:trHeight w:val="20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1,993</w:t>
            </w:r>
          </w:p>
        </w:tc>
        <w:tc>
          <w:tcPr>
            <w:tcW w:w="140" w:type="dxa"/>
            <w:vAlign w:val="bottom"/>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2,234</w:t>
            </w:r>
          </w:p>
        </w:tc>
        <w:tc>
          <w:tcPr>
            <w:tcW w:w="0" w:type="dxa"/>
            <w:vAlign w:val="bottom"/>
          </w:tcPr>
          <w:p>
            <w:pPr>
              <w:spacing w:after="0"/>
              <w:rPr>
                <w:sz w:val="1"/>
                <w:szCs w:val="1"/>
                <w:color w:val="auto"/>
              </w:rPr>
            </w:pPr>
          </w:p>
        </w:tc>
      </w:tr>
      <w:tr>
        <w:trPr>
          <w:trHeight w:val="195"/>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Pr>
          <w:p>
            <w:pPr>
              <w:jc w:val="right"/>
              <w:ind w:right="8"/>
              <w:spacing w:after="0"/>
              <w:rPr>
                <w:sz w:val="20"/>
                <w:szCs w:val="20"/>
                <w:color w:val="auto"/>
              </w:rPr>
            </w:pPr>
            <w:r>
              <w:rPr>
                <w:rFonts w:ascii="Arial" w:cs="Arial" w:eastAsia="Arial" w:hAnsi="Arial"/>
                <w:sz w:val="14"/>
                <w:szCs w:val="14"/>
                <w:b w:val="1"/>
                <w:bCs w:val="1"/>
                <w:color w:val="auto"/>
              </w:rPr>
              <w:t>3,794</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1840" w:type="dxa"/>
            <w:vAlign w:val="bottom"/>
          </w:tcPr>
          <w:p>
            <w:pPr>
              <w:jc w:val="right"/>
              <w:ind w:right="8"/>
              <w:spacing w:after="0"/>
              <w:rPr>
                <w:sz w:val="20"/>
                <w:szCs w:val="20"/>
                <w:color w:val="auto"/>
              </w:rPr>
            </w:pPr>
            <w:r>
              <w:rPr>
                <w:rFonts w:ascii="Arial" w:cs="Arial" w:eastAsia="Arial" w:hAnsi="Arial"/>
                <w:sz w:val="14"/>
                <w:szCs w:val="14"/>
                <w:b w:val="1"/>
                <w:bCs w:val="1"/>
                <w:color w:val="auto"/>
              </w:rPr>
              <w:t>4,522</w:t>
            </w:r>
          </w:p>
        </w:tc>
        <w:tc>
          <w:tcPr>
            <w:tcW w:w="0" w:type="dxa"/>
            <w:vAlign w:val="bottom"/>
          </w:tcPr>
          <w:p>
            <w:pPr>
              <w:spacing w:after="0"/>
              <w:rPr>
                <w:sz w:val="1"/>
                <w:szCs w:val="1"/>
                <w:color w:val="auto"/>
              </w:rPr>
            </w:pPr>
          </w:p>
        </w:tc>
      </w:tr>
      <w:tr>
        <w:trPr>
          <w:trHeight w:val="184"/>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260" w:type="dxa"/>
            <w:vAlign w:val="bottom"/>
            <w:tcBorders>
              <w:top w:val="single" w:sz="8" w:color="auto"/>
            </w:tcBorders>
            <w:shd w:val="clear" w:color="auto" w:fill="CCEEFF"/>
          </w:tcPr>
          <w:p>
            <w:pPr>
              <w:spacing w:after="0"/>
              <w:rPr>
                <w:sz w:val="15"/>
                <w:szCs w:val="15"/>
                <w:color w:val="auto"/>
              </w:rPr>
            </w:pPr>
          </w:p>
        </w:tc>
        <w:tc>
          <w:tcPr>
            <w:tcW w:w="1900" w:type="dxa"/>
            <w:vAlign w:val="bottom"/>
            <w:tcBorders>
              <w:top w:val="single" w:sz="8" w:color="auto"/>
            </w:tcBorders>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140" w:type="dxa"/>
            <w:vAlign w:val="bottom"/>
          </w:tcPr>
          <w:p>
            <w:pPr>
              <w:ind w:left="20"/>
              <w:spacing w:after="0"/>
              <w:rPr>
                <w:sz w:val="20"/>
                <w:szCs w:val="20"/>
                <w:color w:val="auto"/>
              </w:rPr>
            </w:pPr>
            <w:r>
              <w:rPr>
                <w:rFonts w:ascii="Arial" w:cs="Arial" w:eastAsia="Arial" w:hAnsi="Arial"/>
                <w:sz w:val="14"/>
                <w:szCs w:val="14"/>
                <w:color w:val="auto"/>
              </w:rPr>
              <w:t>Common stock/additional paid-in capital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8"/>
              <w:spacing w:after="0"/>
              <w:rPr>
                <w:sz w:val="20"/>
                <w:szCs w:val="20"/>
                <w:color w:val="auto"/>
              </w:rPr>
            </w:pPr>
            <w:r>
              <w:rPr>
                <w:rFonts w:ascii="Arial" w:cs="Arial" w:eastAsia="Arial" w:hAnsi="Arial"/>
                <w:sz w:val="14"/>
                <w:szCs w:val="14"/>
                <w:color w:val="auto"/>
              </w:rPr>
              <w:t>24,038</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23,842</w:t>
            </w:r>
          </w:p>
        </w:tc>
        <w:tc>
          <w:tcPr>
            <w:tcW w:w="0" w:type="dxa"/>
            <w:vAlign w:val="bottom"/>
          </w:tcPr>
          <w:p>
            <w:pPr>
              <w:spacing w:after="0"/>
              <w:rPr>
                <w:sz w:val="1"/>
                <w:szCs w:val="1"/>
                <w:color w:val="auto"/>
              </w:rPr>
            </w:pPr>
          </w:p>
        </w:tc>
      </w:tr>
      <w:tr>
        <w:trPr>
          <w:trHeight w:val="20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(13,001)</w:t>
            </w:r>
          </w:p>
        </w:tc>
        <w:tc>
          <w:tcPr>
            <w:tcW w:w="14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(14,021)</w:t>
            </w:r>
          </w:p>
        </w:tc>
        <w:tc>
          <w:tcPr>
            <w:tcW w:w="0" w:type="dxa"/>
            <w:vAlign w:val="bottom"/>
          </w:tcPr>
          <w:p>
            <w:pPr>
              <w:spacing w:after="0"/>
              <w:rPr>
                <w:sz w:val="1"/>
                <w:szCs w:val="1"/>
                <w:color w:val="auto"/>
              </w:rPr>
            </w:pPr>
          </w:p>
        </w:tc>
      </w:tr>
      <w:tr>
        <w:trPr>
          <w:trHeight w:val="198"/>
        </w:trPr>
        <w:tc>
          <w:tcPr>
            <w:tcW w:w="5140" w:type="dxa"/>
            <w:vAlign w:val="bottom"/>
          </w:tcPr>
          <w:p>
            <w:pPr>
              <w:ind w:left="20"/>
              <w:spacing w:after="0"/>
              <w:rPr>
                <w:sz w:val="20"/>
                <w:szCs w:val="20"/>
                <w:color w:val="auto"/>
              </w:rPr>
            </w:pPr>
            <w:r>
              <w:rPr>
                <w:rFonts w:ascii="Arial" w:cs="Arial" w:eastAsia="Arial" w:hAnsi="Arial"/>
                <w:sz w:val="14"/>
                <w:szCs w:val="14"/>
                <w:color w:val="auto"/>
              </w:rPr>
              <w:t>Accumulated other comprehensive income</w:t>
            </w:r>
          </w:p>
        </w:tc>
        <w:tc>
          <w:tcPr>
            <w:tcW w:w="260" w:type="dxa"/>
            <w:vAlign w:val="bottom"/>
          </w:tcPr>
          <w:p>
            <w:pPr>
              <w:spacing w:after="0"/>
              <w:rPr>
                <w:sz w:val="17"/>
                <w:szCs w:val="17"/>
                <w:color w:val="auto"/>
              </w:rPr>
            </w:pPr>
          </w:p>
        </w:tc>
        <w:tc>
          <w:tcPr>
            <w:tcW w:w="1900" w:type="dxa"/>
            <w:vAlign w:val="bottom"/>
          </w:tcPr>
          <w:p>
            <w:pPr>
              <w:jc w:val="right"/>
              <w:ind w:right="8"/>
              <w:spacing w:after="0"/>
              <w:rPr>
                <w:sz w:val="20"/>
                <w:szCs w:val="20"/>
                <w:color w:val="auto"/>
              </w:rPr>
            </w:pPr>
            <w:r>
              <w:rPr>
                <w:rFonts w:ascii="Arial" w:cs="Arial" w:eastAsia="Arial" w:hAnsi="Arial"/>
                <w:sz w:val="14"/>
                <w:szCs w:val="14"/>
                <w:color w:val="auto"/>
              </w:rPr>
              <w:t>67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0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26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w:t>
            </w:r>
          </w:p>
        </w:tc>
        <w:tc>
          <w:tcPr>
            <w:tcW w:w="140" w:type="dxa"/>
            <w:vAlign w:val="bottom"/>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95"/>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Pr>
          <w:p>
            <w:pPr>
              <w:jc w:val="right"/>
              <w:ind w:right="8"/>
              <w:spacing w:after="0"/>
              <w:rPr>
                <w:sz w:val="20"/>
                <w:szCs w:val="20"/>
                <w:color w:val="auto"/>
              </w:rPr>
            </w:pPr>
            <w:r>
              <w:rPr>
                <w:rFonts w:ascii="Arial" w:cs="Arial" w:eastAsia="Arial" w:hAnsi="Arial"/>
                <w:sz w:val="14"/>
                <w:szCs w:val="14"/>
                <w:b w:val="1"/>
                <w:bCs w:val="1"/>
                <w:color w:val="auto"/>
              </w:rPr>
              <w:t>18,044</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1840" w:type="dxa"/>
            <w:vAlign w:val="bottom"/>
          </w:tcPr>
          <w:p>
            <w:pPr>
              <w:jc w:val="right"/>
              <w:ind w:right="8"/>
              <w:spacing w:after="0"/>
              <w:rPr>
                <w:sz w:val="20"/>
                <w:szCs w:val="20"/>
                <w:color w:val="auto"/>
              </w:rPr>
            </w:pPr>
            <w:r>
              <w:rPr>
                <w:rFonts w:ascii="Arial" w:cs="Arial" w:eastAsia="Arial" w:hAnsi="Arial"/>
                <w:sz w:val="14"/>
                <w:szCs w:val="14"/>
                <w:b w:val="1"/>
                <w:bCs w:val="1"/>
                <w:color w:val="auto"/>
              </w:rPr>
              <w:t>17,841</w:t>
            </w:r>
          </w:p>
        </w:tc>
        <w:tc>
          <w:tcPr>
            <w:tcW w:w="0" w:type="dxa"/>
            <w:vAlign w:val="bottom"/>
          </w:tcPr>
          <w:p>
            <w:pPr>
              <w:spacing w:after="0"/>
              <w:rPr>
                <w:sz w:val="1"/>
                <w:szCs w:val="1"/>
                <w:color w:val="auto"/>
              </w:rPr>
            </w:pPr>
          </w:p>
        </w:tc>
      </w:tr>
      <w:tr>
        <w:trPr>
          <w:trHeight w:val="22"/>
        </w:trPr>
        <w:tc>
          <w:tcPr>
            <w:tcW w:w="5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500"/>
          </w:cols>
          <w:pgMar w:left="1200" w:top="1408"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6 of 11</w:t>
      </w:r>
    </w:p>
    <w:p>
      <w:pPr>
        <w:sectPr>
          <w:pgSz w:w="11900" w:h="16838" w:orient="portrait"/>
          <w:cols w:equalWidth="0" w:num="1">
            <w:col w:w="9500"/>
          </w:cols>
          <w:pgMar w:left="1200" w:top="1408" w:right="1199" w:bottom="1440" w:gutter="0" w:footer="0" w:header="0"/>
          <w:type w:val="continuous"/>
        </w:sectPr>
      </w:pPr>
    </w:p>
    <w:bookmarkStart w:id="8" w:name="page9"/>
    <w:bookmarkEnd w:id="8"/>
    <w:p>
      <w:pPr>
        <w:jc w:val="center"/>
        <w:ind w:right="360"/>
        <w:spacing w:after="0"/>
        <w:rPr>
          <w:sz w:val="20"/>
          <w:szCs w:val="20"/>
          <w:color w:val="auto"/>
        </w:rPr>
      </w:pPr>
      <w:r>
        <w:rPr>
          <w:rFonts w:ascii="Arial" w:cs="Arial" w:eastAsia="Arial" w:hAnsi="Arial"/>
          <w:sz w:val="16"/>
          <w:szCs w:val="16"/>
          <w:b w:val="1"/>
          <w:bCs w:val="1"/>
          <w:u w:val="single" w:color="auto"/>
          <w:color w:val="auto"/>
        </w:rPr>
        <w:t>Unaudited Consolidated Statements of Cash Flows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Year Ended</w:t>
            </w:r>
          </w:p>
        </w:tc>
        <w:tc>
          <w:tcPr>
            <w:tcW w:w="780" w:type="dxa"/>
            <w:vAlign w:val="bottom"/>
            <w:tcBorders>
              <w:bottom w:val="single" w:sz="8" w:color="auto"/>
            </w:tcBorders>
          </w:tcPr>
          <w:p>
            <w:pPr>
              <w:spacing w:after="0"/>
              <w:rPr>
                <w:sz w:val="17"/>
                <w:szCs w:val="17"/>
                <w:color w:val="auto"/>
              </w:rPr>
            </w:pPr>
          </w:p>
        </w:tc>
      </w:tr>
      <w:tr>
        <w:trPr>
          <w:trHeight w:val="209"/>
        </w:trPr>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(in millions USD)</w:t>
            </w:r>
          </w:p>
        </w:tc>
        <w:tc>
          <w:tcPr>
            <w:tcW w:w="14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8"/>
                <w:szCs w:val="18"/>
                <w:color w:val="auto"/>
              </w:rPr>
            </w:pPr>
          </w:p>
        </w:tc>
        <w:tc>
          <w:tcPr>
            <w:tcW w:w="14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18"/>
                <w:szCs w:val="18"/>
                <w:color w:val="auto"/>
              </w:rPr>
            </w:pPr>
          </w:p>
        </w:tc>
        <w:tc>
          <w:tcPr>
            <w:tcW w:w="14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2022</w:t>
            </w:r>
          </w:p>
        </w:tc>
      </w:tr>
      <w:tr>
        <w:trPr>
          <w:trHeight w:val="257"/>
        </w:trPr>
        <w:tc>
          <w:tcPr>
            <w:tcW w:w="3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03"/>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2"/>
        </w:trPr>
        <w:tc>
          <w:tcPr>
            <w:tcW w:w="38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44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278</w:t>
            </w:r>
          </w:p>
        </w:tc>
        <w:tc>
          <w:tcPr>
            <w:tcW w:w="980" w:type="dxa"/>
            <w:vAlign w:val="bottom"/>
            <w:gridSpan w:val="2"/>
          </w:tcPr>
          <w:p>
            <w:pPr>
              <w:jc w:val="right"/>
              <w:ind w:right="70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668</w:t>
            </w:r>
          </w:p>
        </w:tc>
        <w:tc>
          <w:tcPr>
            <w:tcW w:w="68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1,018</w:t>
            </w:r>
          </w:p>
        </w:tc>
        <w:tc>
          <w:tcPr>
            <w:tcW w:w="78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1,446</w:t>
            </w:r>
          </w:p>
        </w:tc>
      </w:tr>
      <w:tr>
        <w:trPr>
          <w:trHeight w:val="203"/>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w:t>
            </w:r>
          </w:p>
        </w:tc>
        <w:tc>
          <w:tcPr>
            <w:tcW w:w="10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1,623</w:t>
            </w:r>
          </w:p>
        </w:tc>
      </w:tr>
      <w:tr>
        <w:trPr>
          <w:trHeight w:val="203"/>
        </w:trPr>
        <w:tc>
          <w:tcPr>
            <w:tcW w:w="3840" w:type="dxa"/>
            <w:vAlign w:val="bottom"/>
          </w:tcPr>
          <w:p>
            <w:pPr>
              <w:ind w:left="20"/>
              <w:spacing w:after="0" w:line="202" w:lineRule="exact"/>
              <w:rPr>
                <w:sz w:val="20"/>
                <w:szCs w:val="20"/>
                <w:color w:val="auto"/>
              </w:rPr>
            </w:pPr>
            <w:r>
              <w:rPr>
                <w:rFonts w:ascii="Arial" w:cs="Arial" w:eastAsia="Arial" w:hAnsi="Arial"/>
                <w:sz w:val="14"/>
                <w:szCs w:val="14"/>
                <w:color w:val="auto"/>
              </w:rPr>
              <w:t>Gain on the sale of a business</w:t>
            </w:r>
            <w:r>
              <w:rPr>
                <w:rFonts w:ascii="Arial" w:cs="Arial" w:eastAsia="Arial" w:hAnsi="Arial"/>
                <w:sz w:val="18"/>
                <w:szCs w:val="18"/>
                <w:color w:val="auto"/>
                <w:vertAlign w:val="superscript"/>
              </w:rPr>
              <w:t>(1)</w:t>
            </w:r>
          </w:p>
        </w:tc>
        <w:tc>
          <w:tcPr>
            <w:tcW w:w="44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(403)</w:t>
            </w:r>
          </w:p>
        </w:tc>
      </w:tr>
      <w:tr>
        <w:trPr>
          <w:trHeight w:val="203"/>
        </w:trPr>
        <w:tc>
          <w:tcPr>
            <w:tcW w:w="384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Finance (income) expense, net and other</w:t>
            </w:r>
            <w:r>
              <w:rPr>
                <w:rFonts w:ascii="Arial" w:cs="Arial" w:eastAsia="Arial" w:hAnsi="Arial"/>
                <w:sz w:val="18"/>
                <w:szCs w:val="18"/>
                <w:color w:val="auto"/>
                <w:vertAlign w:val="superscript"/>
              </w:rPr>
              <w:t>(2)</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r>
      <w:tr>
        <w:trPr>
          <w:trHeight w:val="198"/>
        </w:trPr>
        <w:tc>
          <w:tcPr>
            <w:tcW w:w="384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44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82</w:t>
            </w:r>
          </w:p>
        </w:tc>
      </w:tr>
      <w:tr>
        <w:trPr>
          <w:trHeight w:val="207"/>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non-cash operating activities</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r>
      <w:tr>
        <w:trPr>
          <w:trHeight w:val="198"/>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change in working capital</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r>
      <w:tr>
        <w:trPr>
          <w:trHeight w:val="199"/>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684</w:t>
            </w:r>
          </w:p>
        </w:tc>
        <w:tc>
          <w:tcPr>
            <w:tcW w:w="100" w:type="dxa"/>
            <w:vAlign w:val="bottom"/>
          </w:tcPr>
          <w:p>
            <w:pPr>
              <w:spacing w:after="0"/>
              <w:rPr>
                <w:sz w:val="17"/>
                <w:szCs w:val="17"/>
                <w:color w:val="auto"/>
              </w:rPr>
            </w:pP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491</w:t>
            </w:r>
          </w:p>
        </w:tc>
        <w:tc>
          <w:tcPr>
            <w:tcW w:w="120" w:type="dxa"/>
            <w:vAlign w:val="bottom"/>
          </w:tcPr>
          <w:p>
            <w:pPr>
              <w:spacing w:after="0"/>
              <w:rPr>
                <w:sz w:val="17"/>
                <w:szCs w:val="17"/>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2,125</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163195</wp:posOffset>
            </wp:positionV>
            <wp:extent cx="6309360"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9360" cy="128905"/>
                    </a:xfrm>
                    <a:prstGeom prst="rect">
                      <a:avLst/>
                    </a:prstGeom>
                    <a:noFill/>
                  </pic:spPr>
                </pic:pic>
              </a:graphicData>
            </a:graphic>
          </wp:anchor>
        </w:drawing>
      </w:r>
    </w:p>
    <w:p>
      <w:pPr>
        <w:spacing w:after="0" w:line="2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flows from investing activities:</w:t>
      </w:r>
    </w:p>
    <w:p>
      <w:pPr>
        <w:sectPr>
          <w:pgSz w:w="11900" w:h="16838" w:orient="portrait"/>
          <w:cols w:equalWidth="0" w:num="1">
            <w:col w:w="10440"/>
          </w:cols>
          <w:pgMar w:left="900" w:top="1435" w:right="559" w:bottom="1440" w:gutter="0" w:footer="0" w:header="0"/>
        </w:sectPr>
      </w:pPr>
    </w:p>
    <w:p>
      <w:pPr>
        <w:spacing w:after="0" w:line="42" w:lineRule="exact"/>
        <w:rPr>
          <w:sz w:val="20"/>
          <w:szCs w:val="20"/>
          <w:color w:val="auto"/>
        </w:rPr>
      </w:pPr>
    </w:p>
    <w:p>
      <w:pPr>
        <w:ind w:left="20"/>
        <w:spacing w:after="0" w:line="244" w:lineRule="auto"/>
        <w:rPr>
          <w:sz w:val="20"/>
          <w:szCs w:val="20"/>
          <w:color w:val="auto"/>
        </w:rPr>
      </w:pPr>
      <w:r>
        <w:rPr>
          <w:rFonts w:ascii="Arial" w:cs="Arial" w:eastAsia="Arial" w:hAnsi="Arial"/>
          <w:sz w:val="14"/>
          <w:szCs w:val="14"/>
          <w:color w:val="auto"/>
        </w:rPr>
        <w:t>Purchases of property, plant, equipment,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3351530" cy="128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5153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Other investing activities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6"/>
                <w:szCs w:val="16"/>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(991)</w:t>
            </w:r>
          </w:p>
        </w:tc>
        <w:tc>
          <w:tcPr>
            <w:tcW w:w="6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(1,804)</w:t>
            </w:r>
          </w:p>
        </w:tc>
        <w:tc>
          <w:tcPr>
            <w:tcW w:w="6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(3,059)</w:t>
            </w:r>
          </w:p>
        </w:tc>
        <w:tc>
          <w:tcPr>
            <w:tcW w:w="0" w:type="dxa"/>
            <w:vAlign w:val="bottom"/>
          </w:tcPr>
          <w:p>
            <w:pPr>
              <w:spacing w:after="0"/>
              <w:rPr>
                <w:sz w:val="1"/>
                <w:szCs w:val="1"/>
                <w:color w:val="auto"/>
              </w:rPr>
            </w:pPr>
          </w:p>
        </w:tc>
      </w:tr>
      <w:tr>
        <w:trPr>
          <w:trHeight w:val="76"/>
        </w:trPr>
        <w:tc>
          <w:tcPr>
            <w:tcW w:w="580" w:type="dxa"/>
            <w:vAlign w:val="bottom"/>
          </w:tcPr>
          <w:p>
            <w:pPr>
              <w:spacing w:after="0"/>
              <w:rPr>
                <w:sz w:val="6"/>
                <w:szCs w:val="6"/>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0" w:type="dxa"/>
            <w:vAlign w:val="bottom"/>
          </w:tcPr>
          <w:p>
            <w:pPr>
              <w:spacing w:after="0"/>
              <w:rPr>
                <w:sz w:val="1"/>
                <w:szCs w:val="1"/>
                <w:color w:val="auto"/>
              </w:rPr>
            </w:pPr>
          </w:p>
        </w:tc>
      </w:tr>
      <w:tr>
        <w:trPr>
          <w:trHeight w:val="199"/>
        </w:trPr>
        <w:tc>
          <w:tcPr>
            <w:tcW w:w="580" w:type="dxa"/>
            <w:vAlign w:val="bottom"/>
          </w:tcPr>
          <w:p>
            <w:pPr>
              <w:jc w:val="right"/>
              <w:ind w:right="40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100" w:type="dxa"/>
            <w:vAlign w:val="bottom"/>
          </w:tcPr>
          <w:p>
            <w:pPr>
              <w:spacing w:after="0"/>
              <w:rPr>
                <w:sz w:val="17"/>
                <w:szCs w:val="17"/>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(1,051)</w:t>
            </w:r>
          </w:p>
        </w:tc>
        <w:tc>
          <w:tcPr>
            <w:tcW w:w="6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(1,882)</w:t>
            </w:r>
          </w:p>
        </w:tc>
        <w:tc>
          <w:tcPr>
            <w:tcW w:w="6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(4,058)</w:t>
            </w:r>
          </w:p>
        </w:tc>
        <w:tc>
          <w:tcPr>
            <w:tcW w:w="0" w:type="dxa"/>
            <w:vAlign w:val="bottom"/>
          </w:tcPr>
          <w:p>
            <w:pPr>
              <w:spacing w:after="0"/>
              <w:rPr>
                <w:sz w:val="1"/>
                <w:szCs w:val="1"/>
                <w:color w:val="auto"/>
              </w:rPr>
            </w:pPr>
          </w:p>
        </w:tc>
      </w:tr>
      <w:tr>
        <w:trPr>
          <w:trHeight w:val="251"/>
        </w:trPr>
        <w:tc>
          <w:tcPr>
            <w:tcW w:w="5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520" w:space="320"/>
            <w:col w:w="6600"/>
          </w:cols>
          <w:pgMar w:left="900" w:top="1435" w:right="55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384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56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3"/>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equity instruments and other</w:t>
            </w: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w:t>
            </w:r>
          </w:p>
        </w:tc>
      </w:tr>
      <w:tr>
        <w:trPr>
          <w:trHeight w:val="198"/>
        </w:trPr>
        <w:tc>
          <w:tcPr>
            <w:tcW w:w="3840" w:type="dxa"/>
            <w:vAlign w:val="bottom"/>
          </w:tcPr>
          <w:p>
            <w:pPr>
              <w:ind w:left="20"/>
              <w:spacing w:after="0"/>
              <w:rPr>
                <w:sz w:val="20"/>
                <w:szCs w:val="20"/>
                <w:color w:val="auto"/>
              </w:rPr>
            </w:pPr>
            <w:r>
              <w:rPr>
                <w:rFonts w:ascii="Arial" w:cs="Arial" w:eastAsia="Arial" w:hAnsi="Arial"/>
                <w:sz w:val="14"/>
                <w:szCs w:val="14"/>
                <w:color w:val="auto"/>
              </w:rPr>
              <w:t>Proceeds (repayment) of debt, net</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581</w:t>
            </w:r>
          </w:p>
        </w:tc>
      </w:tr>
      <w:tr>
        <w:trPr>
          <w:trHeight w:val="206"/>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financing activities</w:t>
            </w:r>
          </w:p>
        </w:tc>
        <w:tc>
          <w:tcPr>
            <w:tcW w:w="5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w:t>
            </w:r>
          </w:p>
        </w:tc>
      </w:tr>
      <w:tr>
        <w:trPr>
          <w:trHeight w:val="195"/>
        </w:trPr>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560" w:type="dxa"/>
            <w:vAlign w:val="bottom"/>
          </w:tcPr>
          <w:p>
            <w:pPr>
              <w:jc w:val="right"/>
              <w:ind w:right="38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66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360</w:t>
            </w:r>
          </w:p>
        </w:tc>
        <w:tc>
          <w:tcPr>
            <w:tcW w:w="68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(212)</w:t>
            </w:r>
          </w:p>
        </w:tc>
        <w:tc>
          <w:tcPr>
            <w:tcW w:w="66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842</w:t>
            </w:r>
          </w:p>
        </w:tc>
      </w:tr>
      <w:tr>
        <w:trPr>
          <w:trHeight w:val="197"/>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w:t>
            </w:r>
          </w:p>
        </w:tc>
        <w:tc>
          <w:tcPr>
            <w:tcW w:w="5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r>
      <w:tr>
        <w:trPr>
          <w:trHeight w:val="195"/>
        </w:trPr>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560" w:type="dxa"/>
            <w:vAlign w:val="bottom"/>
          </w:tcPr>
          <w:p>
            <w:pPr>
              <w:jc w:val="right"/>
              <w:ind w:right="38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507</w:t>
            </w:r>
          </w:p>
        </w:tc>
        <w:tc>
          <w:tcPr>
            <w:tcW w:w="66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(189)</w:t>
            </w:r>
          </w:p>
        </w:tc>
        <w:tc>
          <w:tcPr>
            <w:tcW w:w="68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66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(587)</w:t>
            </w:r>
          </w:p>
        </w:tc>
      </w:tr>
      <w:tr>
        <w:trPr>
          <w:trHeight w:val="204"/>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the beginning of the period</w:t>
            </w:r>
          </w:p>
        </w:tc>
        <w:tc>
          <w:tcPr>
            <w:tcW w:w="5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1,880</w:t>
            </w:r>
          </w:p>
        </w:tc>
        <w:tc>
          <w:tcPr>
            <w:tcW w:w="100" w:type="dxa"/>
            <w:vAlign w:val="bottom"/>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2,541</w:t>
            </w:r>
          </w:p>
        </w:tc>
        <w:tc>
          <w:tcPr>
            <w:tcW w:w="120" w:type="dxa"/>
            <w:vAlign w:val="bottom"/>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2,352</w:t>
            </w:r>
          </w:p>
        </w:tc>
        <w:tc>
          <w:tcPr>
            <w:tcW w:w="100" w:type="dxa"/>
            <w:vAlign w:val="bottom"/>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2,939</w:t>
            </w:r>
          </w:p>
        </w:tc>
      </w:tr>
      <w:tr>
        <w:trPr>
          <w:trHeight w:val="195"/>
        </w:trPr>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the end of the period</w:t>
            </w: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2,387</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2,352</w:t>
            </w:r>
          </w:p>
        </w:tc>
        <w:tc>
          <w:tcPr>
            <w:tcW w:w="120" w:type="dxa"/>
            <w:vAlign w:val="bottom"/>
          </w:tcPr>
          <w:p>
            <w:pPr>
              <w:spacing w:after="0"/>
              <w:rPr>
                <w:sz w:val="16"/>
                <w:szCs w:val="16"/>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2,387</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Includes the gain on sale of our East Fishkill business in December 2022.</w:t>
      </w:r>
    </w:p>
    <w:p>
      <w:pPr>
        <w:spacing w:after="0" w:line="208" w:lineRule="auto"/>
        <w:rPr>
          <w:sz w:val="20"/>
          <w:szCs w:val="20"/>
          <w:color w:val="auto"/>
        </w:rPr>
      </w:pPr>
      <w:r>
        <w:rPr>
          <w:rFonts w:ascii="Arial" w:cs="Arial" w:eastAsia="Arial" w:hAnsi="Arial"/>
          <w:sz w:val="16"/>
          <w:szCs w:val="16"/>
          <w:color w:val="auto"/>
          <w:vertAlign w:val="superscript"/>
        </w:rPr>
        <w:t>(2)</w:t>
      </w:r>
      <w:r>
        <w:rPr>
          <w:rFonts w:ascii="Arial" w:cs="Arial" w:eastAsia="Arial" w:hAnsi="Arial"/>
          <w:sz w:val="13"/>
          <w:szCs w:val="13"/>
          <w:color w:val="auto"/>
        </w:rPr>
        <w:t>Finance (income) expense, net and other has been adjusted to include interest and taxes paid that were previously included in "Other non-cash operating activities." Prior period amounts have been adjusted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Page 7 of 11</w:t>
      </w:r>
    </w:p>
    <w:p>
      <w:pPr>
        <w:sectPr>
          <w:pgSz w:w="11900" w:h="16838" w:orient="portrait"/>
          <w:cols w:equalWidth="0" w:num="1">
            <w:col w:w="10440"/>
          </w:cols>
          <w:pgMar w:left="900" w:top="1435" w:right="559" w:bottom="1440" w:gutter="0" w:footer="0" w:header="0"/>
          <w:type w:val="continuous"/>
        </w:sectPr>
      </w:pPr>
    </w:p>
    <w:bookmarkStart w:id="9" w:name="page10"/>
    <w:bookmarkEnd w:id="9"/>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Unaudited Reconciliation of IFRS to Non-IFRS</w:t>
      </w:r>
    </w:p>
    <w:p>
      <w:pPr>
        <w:sectPr>
          <w:pgSz w:w="11900" w:h="16838" w:orient="portrait"/>
          <w:cols w:equalWidth="0" w:num="1">
            <w:col w:w="11240"/>
          </w:cols>
          <w:pgMar w:left="320" w:top="1440" w:right="339" w:bottom="1440" w:gutter="0" w:footer="0" w:header="0"/>
        </w:sectPr>
      </w:pPr>
    </w:p>
    <w:p>
      <w:pPr>
        <w:spacing w:after="0" w:line="307" w:lineRule="exact"/>
        <w:rPr>
          <w:sz w:val="20"/>
          <w:szCs w:val="20"/>
          <w:color w:val="auto"/>
        </w:rPr>
      </w:pPr>
    </w:p>
    <w:p>
      <w:pPr>
        <w:ind w:left="220"/>
        <w:spacing w:after="0" w:line="253" w:lineRule="auto"/>
        <w:rPr>
          <w:sz w:val="20"/>
          <w:szCs w:val="20"/>
          <w:color w:val="auto"/>
        </w:rPr>
      </w:pPr>
      <w:r>
        <w:rPr>
          <w:rFonts w:ascii="Arial" w:cs="Arial" w:eastAsia="Arial" w:hAnsi="Arial"/>
          <w:sz w:val="14"/>
          <w:szCs w:val="14"/>
          <w:b w:val="1"/>
          <w:bCs w:val="1"/>
          <w:color w:val="auto"/>
        </w:rPr>
        <w:t>(in millions USD, except for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167640</wp:posOffset>
            </wp:positionV>
            <wp:extent cx="294894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48940" cy="128905"/>
                    </a:xfrm>
                    <a:prstGeom prst="rect">
                      <a:avLst/>
                    </a:prstGeom>
                    <a:noFill/>
                  </pic:spPr>
                </pic:pic>
              </a:graphicData>
            </a:graphic>
          </wp:anchor>
        </w:drawing>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Net Revenue</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Gross profit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Year Ended</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2023</w:t>
            </w: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22"/>
                <w:szCs w:val="22"/>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22"/>
                <w:szCs w:val="22"/>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22"/>
                <w:szCs w:val="22"/>
                <w:color w:val="auto"/>
              </w:rPr>
            </w:pPr>
          </w:p>
        </w:tc>
        <w:tc>
          <w:tcPr>
            <w:tcW w:w="14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63"/>
        </w:trPr>
        <w:tc>
          <w:tcPr>
            <w:tcW w:w="4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1,854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1,852</w:t>
            </w:r>
          </w:p>
        </w:tc>
        <w:tc>
          <w:tcPr>
            <w:tcW w:w="120" w:type="dxa"/>
            <w:vAlign w:val="bottom"/>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2,101</w:t>
            </w:r>
          </w:p>
        </w:tc>
        <w:tc>
          <w:tcPr>
            <w:tcW w:w="100" w:type="dxa"/>
            <w:vAlign w:val="bottom"/>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7,392</w:t>
            </w:r>
          </w:p>
        </w:tc>
        <w:tc>
          <w:tcPr>
            <w:tcW w:w="100" w:type="dxa"/>
            <w:vAlign w:val="bottom"/>
          </w:tcPr>
          <w:p>
            <w:pPr>
              <w:spacing w:after="0"/>
              <w:rPr>
                <w:sz w:val="17"/>
                <w:szCs w:val="17"/>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8,108</w:t>
            </w:r>
          </w:p>
        </w:tc>
        <w:tc>
          <w:tcPr>
            <w:tcW w:w="0" w:type="dxa"/>
            <w:vAlign w:val="bottom"/>
          </w:tcPr>
          <w:p>
            <w:pPr>
              <w:spacing w:after="0"/>
              <w:rPr>
                <w:sz w:val="1"/>
                <w:szCs w:val="1"/>
                <w:color w:val="auto"/>
              </w:rPr>
            </w:pPr>
          </w:p>
        </w:tc>
      </w:tr>
      <w:tr>
        <w:trPr>
          <w:trHeight w:val="201"/>
        </w:trPr>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525</w:t>
            </w:r>
          </w:p>
        </w:tc>
        <w:tc>
          <w:tcPr>
            <w:tcW w:w="100" w:type="dxa"/>
            <w:vAlign w:val="bottom"/>
          </w:tcPr>
          <w:p>
            <w:pPr>
              <w:spacing w:after="0"/>
              <w:rPr>
                <w:sz w:val="17"/>
                <w:szCs w:val="17"/>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b w:val="1"/>
                <w:bCs w:val="1"/>
                <w:color w:val="auto"/>
              </w:rPr>
              <w:t>529</w:t>
            </w:r>
          </w:p>
        </w:tc>
        <w:tc>
          <w:tcPr>
            <w:tcW w:w="60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622</w:t>
            </w:r>
          </w:p>
        </w:tc>
        <w:tc>
          <w:tcPr>
            <w:tcW w:w="5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2,101</w:t>
            </w:r>
          </w:p>
        </w:tc>
        <w:tc>
          <w:tcPr>
            <w:tcW w:w="72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2,239</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2780" w:space="660"/>
            <w:col w:w="7800"/>
          </w:cols>
          <w:pgMar w:left="320" w:top="1440" w:right="339" w:bottom="1440" w:gutter="0" w:footer="0" w:header="0"/>
          <w:type w:val="continuous"/>
        </w:sectPr>
      </w:pPr>
    </w:p>
    <w:tbl>
      <w:tblPr>
        <w:tblLayout w:type="fixed"/>
        <w:tblInd w:w="220" w:type="dxa"/>
        <w:tblCellMar>
          <w:top w:w="0" w:type="dxa"/>
          <w:left w:w="0" w:type="dxa"/>
          <w:bottom w:w="0" w:type="dxa"/>
          <w:right w:w="0" w:type="dxa"/>
        </w:tblCellMar>
      </w:tblPr>
      <w:tr>
        <w:trPr>
          <w:trHeight w:val="184"/>
        </w:trPr>
        <w:tc>
          <w:tcPr>
            <w:tcW w:w="322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Gross profit margin</w:t>
            </w:r>
          </w:p>
        </w:tc>
        <w:tc>
          <w:tcPr>
            <w:tcW w:w="5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28.3 %</w:t>
            </w:r>
          </w:p>
        </w:tc>
        <w:tc>
          <w:tcPr>
            <w:tcW w:w="1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28.6 %</w:t>
            </w:r>
          </w:p>
        </w:tc>
        <w:tc>
          <w:tcPr>
            <w:tcW w:w="120" w:type="dxa"/>
            <w:vAlign w:val="bottom"/>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29.6 %</w:t>
            </w:r>
          </w:p>
        </w:tc>
        <w:tc>
          <w:tcPr>
            <w:tcW w:w="100" w:type="dxa"/>
            <w:vAlign w:val="bottom"/>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28.4 %</w:t>
            </w:r>
          </w:p>
        </w:tc>
        <w:tc>
          <w:tcPr>
            <w:tcW w:w="100" w:type="dxa"/>
            <w:vAlign w:val="bottom"/>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27.6 %</w:t>
            </w:r>
          </w:p>
        </w:tc>
        <w:tc>
          <w:tcPr>
            <w:tcW w:w="0" w:type="dxa"/>
            <w:vAlign w:val="bottom"/>
          </w:tcPr>
          <w:p>
            <w:pPr>
              <w:spacing w:after="0"/>
              <w:rPr>
                <w:sz w:val="1"/>
                <w:szCs w:val="1"/>
                <w:color w:val="auto"/>
              </w:rPr>
            </w:pPr>
          </w:p>
        </w:tc>
      </w:tr>
      <w:tr>
        <w:trPr>
          <w:trHeight w:val="198"/>
        </w:trPr>
        <w:tc>
          <w:tcPr>
            <w:tcW w:w="32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12</w:t>
            </w:r>
          </w:p>
        </w:tc>
        <w:tc>
          <w:tcPr>
            <w:tcW w:w="640" w:type="dxa"/>
            <w:vAlign w:val="bottom"/>
            <w:gridSpan w:val="2"/>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12</w:t>
            </w:r>
          </w:p>
        </w:tc>
        <w:tc>
          <w:tcPr>
            <w:tcW w:w="62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11</w:t>
            </w:r>
          </w:p>
        </w:tc>
        <w:tc>
          <w:tcPr>
            <w:tcW w:w="58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48</w:t>
            </w:r>
          </w:p>
        </w:tc>
        <w:tc>
          <w:tcPr>
            <w:tcW w:w="6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25"/>
        </w:trPr>
        <w:tc>
          <w:tcPr>
            <w:tcW w:w="3220" w:type="dxa"/>
            <w:vAlign w:val="bottom"/>
            <w:tcBorders>
              <w:top w:val="single" w:sz="8" w:color="CCEEFF"/>
              <w:bottom w:val="single" w:sz="8" w:color="CCEEFF"/>
            </w:tcBorders>
            <w:shd w:val="clear" w:color="auto" w:fill="CCEEFF"/>
          </w:tcPr>
          <w:p>
            <w:pPr>
              <w:spacing w:after="0" w:line="200" w:lineRule="exact"/>
              <w:rPr>
                <w:sz w:val="20"/>
                <w:szCs w:val="20"/>
                <w:color w:val="auto"/>
              </w:rPr>
            </w:pPr>
            <w:r>
              <w:rPr>
                <w:rFonts w:ascii="Arial" w:cs="Arial" w:eastAsia="Arial" w:hAnsi="Arial"/>
                <w:sz w:val="14"/>
                <w:szCs w:val="14"/>
                <w:b w:val="1"/>
                <w:bCs w:val="1"/>
                <w:color w:val="auto"/>
              </w:rPr>
              <w:t>Adjusted gross profit</w:t>
            </w:r>
            <w:r>
              <w:rPr>
                <w:rFonts w:ascii="Arial" w:cs="Arial" w:eastAsia="Arial" w:hAnsi="Arial"/>
                <w:sz w:val="18"/>
                <w:szCs w:val="18"/>
                <w:b w:val="1"/>
                <w:bCs w:val="1"/>
                <w:color w:val="auto"/>
                <w:vertAlign w:val="superscript"/>
              </w:rPr>
              <w:t>(1)</w:t>
            </w:r>
          </w:p>
        </w:tc>
        <w:tc>
          <w:tcPr>
            <w:tcW w:w="52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537</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541</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633</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2,149</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2,303</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i w:val="1"/>
                <w:iCs w:val="1"/>
                <w:color w:val="auto"/>
              </w:rPr>
              <w:t>Adjusted gross margin</w:t>
            </w:r>
            <w:r>
              <w:rPr>
                <w:rFonts w:ascii="Arial" w:cs="Arial" w:eastAsia="Arial" w:hAnsi="Arial"/>
                <w:sz w:val="18"/>
                <w:szCs w:val="18"/>
                <w:i w:val="1"/>
                <w:iCs w:val="1"/>
                <w:color w:val="auto"/>
                <w:vertAlign w:val="superscript"/>
              </w:rPr>
              <w:t>(1)</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29.0 %</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29.2 %</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30.1 %</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29.1 %</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28.4 %</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4"/>
                <w:szCs w:val="14"/>
                <w:b w:val="1"/>
                <w:bCs w:val="1"/>
                <w:color w:val="auto"/>
              </w:rPr>
              <w:t>Selling, general and administrative</w:t>
            </w:r>
            <w:r>
              <w:rPr>
                <w:rFonts w:ascii="Arial" w:cs="Arial" w:eastAsia="Arial" w:hAnsi="Arial"/>
                <w:sz w:val="18"/>
                <w:szCs w:val="18"/>
                <w:b w:val="1"/>
                <w:bCs w:val="1"/>
                <w:color w:val="auto"/>
                <w:vertAlign w:val="superscript"/>
              </w:rPr>
              <w:t>(2)</w:t>
            </w:r>
          </w:p>
        </w:tc>
        <w:tc>
          <w:tcPr>
            <w:tcW w:w="5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b w:val="1"/>
                <w:bCs w:val="1"/>
                <w:color w:val="auto"/>
              </w:rPr>
              <w:t>87</w:t>
            </w:r>
          </w:p>
        </w:tc>
        <w:tc>
          <w:tcPr>
            <w:tcW w:w="64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143</w:t>
            </w:r>
          </w:p>
        </w:tc>
        <w:tc>
          <w:tcPr>
            <w:tcW w:w="6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130</w:t>
            </w:r>
          </w:p>
        </w:tc>
        <w:tc>
          <w:tcPr>
            <w:tcW w:w="5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473</w:t>
            </w:r>
          </w:p>
        </w:tc>
        <w:tc>
          <w:tcPr>
            <w:tcW w:w="60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496</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7"/>
                <w:szCs w:val="17"/>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28"/>
        </w:trPr>
        <w:tc>
          <w:tcPr>
            <w:tcW w:w="3220" w:type="dxa"/>
            <w:vAlign w:val="bottom"/>
          </w:tcPr>
          <w:p>
            <w:pPr>
              <w:spacing w:after="0" w:line="129" w:lineRule="exact"/>
              <w:rPr>
                <w:sz w:val="20"/>
                <w:szCs w:val="20"/>
                <w:color w:val="auto"/>
              </w:rPr>
            </w:pPr>
            <w:r>
              <w:rPr>
                <w:rFonts w:ascii="Arial" w:cs="Arial" w:eastAsia="Arial" w:hAnsi="Arial"/>
                <w:sz w:val="14"/>
                <w:szCs w:val="14"/>
                <w:b w:val="1"/>
                <w:bCs w:val="1"/>
                <w:color w:val="auto"/>
              </w:rPr>
              <w:t>Adjusted selling, general and</w:t>
            </w:r>
          </w:p>
        </w:tc>
        <w:tc>
          <w:tcPr>
            <w:tcW w:w="5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57</w:t>
            </w:r>
          </w:p>
        </w:tc>
        <w:tc>
          <w:tcPr>
            <w:tcW w:w="640" w:type="dxa"/>
            <w:vAlign w:val="bottom"/>
            <w:gridSpan w:val="2"/>
            <w:vMerge w:val="restart"/>
          </w:tcPr>
          <w:p>
            <w:pPr>
              <w:jc w:val="right"/>
              <w:ind w:right="368"/>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118</w:t>
            </w:r>
          </w:p>
        </w:tc>
        <w:tc>
          <w:tcPr>
            <w:tcW w:w="620" w:type="dxa"/>
            <w:vAlign w:val="bottom"/>
            <w:gridSpan w:val="2"/>
            <w:vMerge w:val="restart"/>
          </w:tcPr>
          <w:p>
            <w:pPr>
              <w:jc w:val="right"/>
              <w:ind w:right="328"/>
              <w:spacing w:after="0"/>
              <w:rPr>
                <w:sz w:val="20"/>
                <w:szCs w:val="20"/>
                <w:color w:val="auto"/>
              </w:rPr>
            </w:pPr>
            <w:r>
              <w:rPr>
                <w:rFonts w:ascii="Arial" w:cs="Arial" w:eastAsia="Arial" w:hAnsi="Arial"/>
                <w:sz w:val="14"/>
                <w:szCs w:val="14"/>
                <w:b w:val="1"/>
                <w:bCs w:val="1"/>
                <w:color w:val="auto"/>
              </w:rPr>
              <w:t>$</w:t>
            </w:r>
          </w:p>
        </w:tc>
        <w:tc>
          <w:tcPr>
            <w:tcW w:w="9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105</w:t>
            </w:r>
          </w:p>
        </w:tc>
        <w:tc>
          <w:tcPr>
            <w:tcW w:w="580" w:type="dxa"/>
            <w:vAlign w:val="bottom"/>
            <w:gridSpan w:val="2"/>
            <w:vMerge w:val="restart"/>
          </w:tcPr>
          <w:p>
            <w:pPr>
              <w:jc w:val="right"/>
              <w:ind w:right="308"/>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377</w:t>
            </w:r>
          </w:p>
        </w:tc>
        <w:tc>
          <w:tcPr>
            <w:tcW w:w="600" w:type="dxa"/>
            <w:vAlign w:val="bottom"/>
            <w:gridSpan w:val="2"/>
            <w:vMerge w:val="restart"/>
          </w:tcPr>
          <w:p>
            <w:pPr>
              <w:jc w:val="right"/>
              <w:ind w:right="328"/>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405</w:t>
            </w:r>
          </w:p>
        </w:tc>
        <w:tc>
          <w:tcPr>
            <w:tcW w:w="0" w:type="dxa"/>
            <w:vAlign w:val="bottom"/>
          </w:tcPr>
          <w:p>
            <w:pPr>
              <w:spacing w:after="0"/>
              <w:rPr>
                <w:sz w:val="1"/>
                <w:szCs w:val="1"/>
                <w:color w:val="auto"/>
              </w:rPr>
            </w:pPr>
          </w:p>
        </w:tc>
      </w:tr>
      <w:tr>
        <w:trPr>
          <w:trHeight w:val="176"/>
        </w:trPr>
        <w:tc>
          <w:tcPr>
            <w:tcW w:w="3220" w:type="dxa"/>
            <w:vAlign w:val="bottom"/>
          </w:tcPr>
          <w:p>
            <w:pPr>
              <w:spacing w:after="0" w:line="176" w:lineRule="exact"/>
              <w:rPr>
                <w:sz w:val="20"/>
                <w:szCs w:val="20"/>
                <w:color w:val="auto"/>
              </w:rPr>
            </w:pPr>
            <w:r>
              <w:rPr>
                <w:rFonts w:ascii="Arial" w:cs="Arial" w:eastAsia="Arial" w:hAnsi="Arial"/>
                <w:sz w:val="14"/>
                <w:szCs w:val="14"/>
                <w:b w:val="1"/>
                <w:bCs w:val="1"/>
                <w:color w:val="auto"/>
              </w:rPr>
              <w:t>administrative</w:t>
            </w:r>
            <w:r>
              <w:rPr>
                <w:rFonts w:ascii="Arial" w:cs="Arial" w:eastAsia="Arial" w:hAnsi="Arial"/>
                <w:sz w:val="18"/>
                <w:szCs w:val="18"/>
                <w:b w:val="1"/>
                <w:bCs w:val="1"/>
                <w:color w:val="auto"/>
                <w:vertAlign w:val="superscript"/>
              </w:rPr>
              <w:t>(1)</w:t>
            </w: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220" w:type="dxa"/>
            <w:vAlign w:val="bottom"/>
          </w:tcPr>
          <w:p>
            <w:pPr>
              <w:spacing w:after="0"/>
              <w:rPr>
                <w:sz w:val="20"/>
                <w:szCs w:val="20"/>
                <w:color w:val="auto"/>
              </w:rPr>
            </w:pPr>
            <w:r>
              <w:rPr>
                <w:rFonts w:ascii="Arial" w:cs="Arial" w:eastAsia="Arial" w:hAnsi="Arial"/>
                <w:sz w:val="14"/>
                <w:szCs w:val="14"/>
                <w:b w:val="1"/>
                <w:bCs w:val="1"/>
                <w:color w:val="auto"/>
              </w:rPr>
              <w:t>Research and development</w:t>
            </w:r>
          </w:p>
        </w:tc>
        <w:tc>
          <w:tcPr>
            <w:tcW w:w="5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b w:val="1"/>
                <w:bCs w:val="1"/>
                <w:color w:val="auto"/>
              </w:rPr>
              <w:t>105</w:t>
            </w:r>
          </w:p>
        </w:tc>
        <w:tc>
          <w:tcPr>
            <w:tcW w:w="64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108</w:t>
            </w:r>
          </w:p>
        </w:tc>
        <w:tc>
          <w:tcPr>
            <w:tcW w:w="6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110</w:t>
            </w:r>
          </w:p>
        </w:tc>
        <w:tc>
          <w:tcPr>
            <w:tcW w:w="5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428</w:t>
            </w:r>
          </w:p>
        </w:tc>
        <w:tc>
          <w:tcPr>
            <w:tcW w:w="60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482</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6"/>
        </w:trPr>
        <w:tc>
          <w:tcPr>
            <w:tcW w:w="3220" w:type="dxa"/>
            <w:vAlign w:val="bottom"/>
          </w:tcPr>
          <w:p>
            <w:pPr>
              <w:spacing w:after="0" w:line="196" w:lineRule="exact"/>
              <w:rPr>
                <w:sz w:val="20"/>
                <w:szCs w:val="20"/>
                <w:color w:val="auto"/>
              </w:rPr>
            </w:pPr>
            <w:r>
              <w:rPr>
                <w:rFonts w:ascii="Arial" w:cs="Arial" w:eastAsia="Arial" w:hAnsi="Arial"/>
                <w:sz w:val="14"/>
                <w:szCs w:val="14"/>
                <w:b w:val="1"/>
                <w:bCs w:val="1"/>
                <w:color w:val="auto"/>
              </w:rPr>
              <w:t>Adjusted research and development</w:t>
            </w:r>
            <w:r>
              <w:rPr>
                <w:rFonts w:ascii="Arial" w:cs="Arial" w:eastAsia="Arial" w:hAnsi="Arial"/>
                <w:sz w:val="18"/>
                <w:szCs w:val="18"/>
                <w:b w:val="1"/>
                <w:bCs w:val="1"/>
                <w:color w:val="auto"/>
                <w:vertAlign w:val="superscript"/>
              </w:rPr>
              <w:t>(1)</w:t>
            </w:r>
          </w:p>
        </w:tc>
        <w:tc>
          <w:tcPr>
            <w:tcW w:w="5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b w:val="1"/>
                <w:bCs w:val="1"/>
                <w:color w:val="auto"/>
              </w:rPr>
              <w:t>97</w:t>
            </w:r>
          </w:p>
        </w:tc>
        <w:tc>
          <w:tcPr>
            <w:tcW w:w="64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101</w:t>
            </w:r>
          </w:p>
        </w:tc>
        <w:tc>
          <w:tcPr>
            <w:tcW w:w="6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103</w:t>
            </w:r>
          </w:p>
        </w:tc>
        <w:tc>
          <w:tcPr>
            <w:tcW w:w="5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403</w:t>
            </w:r>
          </w:p>
        </w:tc>
        <w:tc>
          <w:tcPr>
            <w:tcW w:w="60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455</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220" w:type="dxa"/>
            <w:vAlign w:val="bottom"/>
          </w:tcPr>
          <w:p>
            <w:pPr>
              <w:spacing w:after="0"/>
              <w:rPr>
                <w:sz w:val="20"/>
                <w:szCs w:val="20"/>
                <w:color w:val="auto"/>
              </w:rPr>
            </w:pPr>
            <w:r>
              <w:rPr>
                <w:rFonts w:ascii="Arial" w:cs="Arial" w:eastAsia="Arial" w:hAnsi="Arial"/>
                <w:sz w:val="14"/>
                <w:szCs w:val="14"/>
                <w:b w:val="1"/>
                <w:bCs w:val="1"/>
                <w:color w:val="auto"/>
              </w:rPr>
              <w:t>Operating profit</w:t>
            </w:r>
          </w:p>
        </w:tc>
        <w:tc>
          <w:tcPr>
            <w:tcW w:w="5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b w:val="1"/>
                <w:bCs w:val="1"/>
                <w:color w:val="auto"/>
              </w:rPr>
              <w:t>303</w:t>
            </w:r>
          </w:p>
        </w:tc>
        <w:tc>
          <w:tcPr>
            <w:tcW w:w="64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261</w:t>
            </w:r>
          </w:p>
        </w:tc>
        <w:tc>
          <w:tcPr>
            <w:tcW w:w="6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288</w:t>
            </w:r>
          </w:p>
        </w:tc>
        <w:tc>
          <w:tcPr>
            <w:tcW w:w="5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1,129</w:t>
            </w:r>
          </w:p>
        </w:tc>
        <w:tc>
          <w:tcPr>
            <w:tcW w:w="60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1,167</w:t>
            </w: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Operating profit margin</w:t>
            </w: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16.3 %</w:t>
            </w:r>
          </w:p>
        </w:tc>
        <w:tc>
          <w:tcPr>
            <w:tcW w:w="100" w:type="dxa"/>
            <w:vAlign w:val="bottom"/>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14.1 %</w:t>
            </w:r>
          </w:p>
        </w:tc>
        <w:tc>
          <w:tcPr>
            <w:tcW w:w="1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13.7 %</w:t>
            </w:r>
          </w:p>
        </w:tc>
        <w:tc>
          <w:tcPr>
            <w:tcW w:w="10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15.3 %</w:t>
            </w:r>
          </w:p>
        </w:tc>
        <w:tc>
          <w:tcPr>
            <w:tcW w:w="10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14.4 %</w:t>
            </w:r>
          </w:p>
        </w:tc>
        <w:tc>
          <w:tcPr>
            <w:tcW w:w="0" w:type="dxa"/>
            <w:vAlign w:val="bottom"/>
          </w:tcPr>
          <w:p>
            <w:pPr>
              <w:spacing w:after="0"/>
              <w:rPr>
                <w:sz w:val="1"/>
                <w:szCs w:val="1"/>
                <w:color w:val="auto"/>
              </w:rPr>
            </w:pPr>
          </w:p>
        </w:tc>
      </w:tr>
      <w:tr>
        <w:trPr>
          <w:trHeight w:val="198"/>
        </w:trPr>
        <w:tc>
          <w:tcPr>
            <w:tcW w:w="32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50</w:t>
            </w:r>
          </w:p>
        </w:tc>
        <w:tc>
          <w:tcPr>
            <w:tcW w:w="640" w:type="dxa"/>
            <w:vAlign w:val="bottom"/>
            <w:gridSpan w:val="2"/>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44</w:t>
            </w:r>
          </w:p>
        </w:tc>
        <w:tc>
          <w:tcPr>
            <w:tcW w:w="62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43</w:t>
            </w:r>
          </w:p>
        </w:tc>
        <w:tc>
          <w:tcPr>
            <w:tcW w:w="58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169</w:t>
            </w:r>
          </w:p>
        </w:tc>
        <w:tc>
          <w:tcPr>
            <w:tcW w:w="6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07"/>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Restructuring charges</w:t>
            </w:r>
            <w:r>
              <w:rPr>
                <w:rFonts w:ascii="Arial" w:cs="Arial" w:eastAsia="Arial" w:hAnsi="Arial"/>
                <w:sz w:val="18"/>
                <w:szCs w:val="18"/>
                <w:color w:val="auto"/>
                <w:vertAlign w:val="superscript"/>
              </w:rPr>
              <w:t>(3)</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96"/>
        </w:trPr>
        <w:tc>
          <w:tcPr>
            <w:tcW w:w="3220" w:type="dxa"/>
            <w:vAlign w:val="bottom"/>
          </w:tcPr>
          <w:p>
            <w:pPr>
              <w:spacing w:after="0" w:line="196" w:lineRule="exact"/>
              <w:rPr>
                <w:sz w:val="20"/>
                <w:szCs w:val="20"/>
                <w:color w:val="auto"/>
              </w:rPr>
            </w:pPr>
            <w:r>
              <w:rPr>
                <w:rFonts w:ascii="Arial" w:cs="Arial" w:eastAsia="Arial" w:hAnsi="Arial"/>
                <w:sz w:val="14"/>
                <w:szCs w:val="14"/>
                <w:b w:val="1"/>
                <w:bCs w:val="1"/>
                <w:color w:val="auto"/>
              </w:rPr>
              <w:t>Adjusted operating profit</w:t>
            </w:r>
            <w:r>
              <w:rPr>
                <w:rFonts w:ascii="Arial" w:cs="Arial" w:eastAsia="Arial" w:hAnsi="Arial"/>
                <w:sz w:val="18"/>
                <w:szCs w:val="18"/>
                <w:b w:val="1"/>
                <w:bCs w:val="1"/>
                <w:color w:val="auto"/>
                <w:vertAlign w:val="superscript"/>
              </w:rPr>
              <w:t>(1)</w:t>
            </w:r>
          </w:p>
        </w:tc>
        <w:tc>
          <w:tcPr>
            <w:tcW w:w="5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b w:val="1"/>
                <w:bCs w:val="1"/>
                <w:color w:val="auto"/>
              </w:rPr>
              <w:t>383</w:t>
            </w:r>
          </w:p>
        </w:tc>
        <w:tc>
          <w:tcPr>
            <w:tcW w:w="64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322</w:t>
            </w:r>
          </w:p>
        </w:tc>
        <w:tc>
          <w:tcPr>
            <w:tcW w:w="6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425</w:t>
            </w:r>
          </w:p>
        </w:tc>
        <w:tc>
          <w:tcPr>
            <w:tcW w:w="5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1,369</w:t>
            </w:r>
          </w:p>
        </w:tc>
        <w:tc>
          <w:tcPr>
            <w:tcW w:w="60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1,443</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20" w:type="dxa"/>
            <w:vAlign w:val="bottom"/>
            <w:shd w:val="clear" w:color="auto" w:fill="CCEEFF"/>
          </w:tcPr>
          <w:p>
            <w:pPr>
              <w:spacing w:after="0" w:line="196" w:lineRule="exact"/>
              <w:rPr>
                <w:sz w:val="20"/>
                <w:szCs w:val="20"/>
                <w:color w:val="auto"/>
              </w:rPr>
            </w:pPr>
            <w:r>
              <w:rPr>
                <w:rFonts w:ascii="Arial" w:cs="Arial" w:eastAsia="Arial" w:hAnsi="Arial"/>
                <w:sz w:val="14"/>
                <w:szCs w:val="14"/>
                <w:i w:val="1"/>
                <w:iCs w:val="1"/>
                <w:color w:val="auto"/>
              </w:rPr>
              <w:t>Adjusted operating profit margin</w:t>
            </w:r>
            <w:r>
              <w:rPr>
                <w:rFonts w:ascii="Arial" w:cs="Arial" w:eastAsia="Arial" w:hAnsi="Arial"/>
                <w:sz w:val="18"/>
                <w:szCs w:val="18"/>
                <w:i w:val="1"/>
                <w:iCs w:val="1"/>
                <w:color w:val="auto"/>
                <w:vertAlign w:val="superscript"/>
              </w:rPr>
              <w:t>(1)</w:t>
            </w: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20.7 %</w:t>
            </w:r>
          </w:p>
        </w:tc>
        <w:tc>
          <w:tcPr>
            <w:tcW w:w="100" w:type="dxa"/>
            <w:vAlign w:val="bottom"/>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17.4 %</w:t>
            </w:r>
          </w:p>
        </w:tc>
        <w:tc>
          <w:tcPr>
            <w:tcW w:w="1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20.2 %</w:t>
            </w:r>
          </w:p>
        </w:tc>
        <w:tc>
          <w:tcPr>
            <w:tcW w:w="10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18.5 %</w:t>
            </w:r>
          </w:p>
        </w:tc>
        <w:tc>
          <w:tcPr>
            <w:tcW w:w="10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17.8 %</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278</w:t>
            </w:r>
          </w:p>
        </w:tc>
        <w:tc>
          <w:tcPr>
            <w:tcW w:w="100" w:type="dxa"/>
            <w:vAlign w:val="bottom"/>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249</w:t>
            </w:r>
          </w:p>
        </w:tc>
        <w:tc>
          <w:tcPr>
            <w:tcW w:w="120" w:type="dxa"/>
            <w:vAlign w:val="bottom"/>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668</w:t>
            </w:r>
          </w:p>
        </w:tc>
        <w:tc>
          <w:tcPr>
            <w:tcW w:w="100" w:type="dxa"/>
            <w:vAlign w:val="bottom"/>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1,018</w:t>
            </w:r>
          </w:p>
        </w:tc>
        <w:tc>
          <w:tcPr>
            <w:tcW w:w="100" w:type="dxa"/>
            <w:vAlign w:val="bottom"/>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1,446</w:t>
            </w:r>
          </w:p>
        </w:tc>
        <w:tc>
          <w:tcPr>
            <w:tcW w:w="0" w:type="dxa"/>
            <w:vAlign w:val="bottom"/>
          </w:tcPr>
          <w:p>
            <w:pPr>
              <w:spacing w:after="0"/>
              <w:rPr>
                <w:sz w:val="1"/>
                <w:szCs w:val="1"/>
                <w:color w:val="auto"/>
              </w:rPr>
            </w:pPr>
          </w:p>
        </w:tc>
      </w:tr>
      <w:tr>
        <w:trPr>
          <w:trHeight w:val="199"/>
        </w:trPr>
        <w:tc>
          <w:tcPr>
            <w:tcW w:w="3220" w:type="dxa"/>
            <w:vAlign w:val="bottom"/>
          </w:tcPr>
          <w:p>
            <w:pPr>
              <w:spacing w:after="0"/>
              <w:rPr>
                <w:sz w:val="20"/>
                <w:szCs w:val="20"/>
                <w:color w:val="auto"/>
              </w:rPr>
            </w:pPr>
            <w:r>
              <w:rPr>
                <w:rFonts w:ascii="Arial" w:cs="Arial" w:eastAsia="Arial" w:hAnsi="Arial"/>
                <w:sz w:val="14"/>
                <w:szCs w:val="14"/>
                <w:i w:val="1"/>
                <w:iCs w:val="1"/>
                <w:color w:val="auto"/>
              </w:rPr>
              <w:t>Net income margin</w:t>
            </w:r>
          </w:p>
        </w:tc>
        <w:tc>
          <w:tcPr>
            <w:tcW w:w="5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15.0 %</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13.4 %</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31.8 %</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13.8 %</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17.8 %</w:t>
            </w:r>
          </w:p>
        </w:tc>
        <w:tc>
          <w:tcPr>
            <w:tcW w:w="0" w:type="dxa"/>
            <w:vAlign w:val="bottom"/>
          </w:tcPr>
          <w:p>
            <w:pPr>
              <w:spacing w:after="0"/>
              <w:rPr>
                <w:sz w:val="1"/>
                <w:szCs w:val="1"/>
                <w:color w:val="auto"/>
              </w:rPr>
            </w:pPr>
          </w:p>
        </w:tc>
      </w:tr>
      <w:tr>
        <w:trPr>
          <w:trHeight w:val="206"/>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4"/>
                <w:szCs w:val="14"/>
                <w:color w:val="auto"/>
              </w:rPr>
              <w:t>Restructuring charges</w:t>
            </w:r>
            <w:r>
              <w:rPr>
                <w:rFonts w:ascii="Arial" w:cs="Arial" w:eastAsia="Arial" w:hAnsi="Arial"/>
                <w:sz w:val="18"/>
                <w:szCs w:val="18"/>
                <w:color w:val="auto"/>
                <w:vertAlign w:val="superscript"/>
              </w:rPr>
              <w:t>(3)</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30</w:t>
            </w:r>
          </w:p>
        </w:tc>
        <w:tc>
          <w:tcPr>
            <w:tcW w:w="640" w:type="dxa"/>
            <w:vAlign w:val="bottom"/>
            <w:gridSpan w:val="2"/>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17</w:t>
            </w:r>
          </w:p>
        </w:tc>
        <w:tc>
          <w:tcPr>
            <w:tcW w:w="62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94</w:t>
            </w:r>
          </w:p>
        </w:tc>
        <w:tc>
          <w:tcPr>
            <w:tcW w:w="58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71</w:t>
            </w:r>
          </w:p>
        </w:tc>
        <w:tc>
          <w:tcPr>
            <w:tcW w:w="60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94</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Income tax effect</w:t>
            </w:r>
            <w:r>
              <w:rPr>
                <w:rFonts w:ascii="Arial" w:cs="Arial" w:eastAsia="Arial" w:hAnsi="Arial"/>
                <w:sz w:val="18"/>
                <w:szCs w:val="18"/>
                <w:color w:val="auto"/>
                <w:vertAlign w:val="superscript"/>
              </w:rPr>
              <w:t>(4)</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6"/>
        </w:trPr>
        <w:tc>
          <w:tcPr>
            <w:tcW w:w="3220" w:type="dxa"/>
            <w:vAlign w:val="bottom"/>
          </w:tcPr>
          <w:p>
            <w:pPr>
              <w:spacing w:after="0" w:line="196" w:lineRule="exact"/>
              <w:rPr>
                <w:sz w:val="20"/>
                <w:szCs w:val="20"/>
                <w:color w:val="auto"/>
              </w:rPr>
            </w:pPr>
            <w:r>
              <w:rPr>
                <w:rFonts w:ascii="Arial" w:cs="Arial" w:eastAsia="Arial" w:hAnsi="Arial"/>
                <w:sz w:val="14"/>
                <w:szCs w:val="14"/>
                <w:b w:val="1"/>
                <w:bCs w:val="1"/>
                <w:color w:val="auto"/>
              </w:rPr>
              <w:t>Adjusted net income</w:t>
            </w:r>
            <w:r>
              <w:rPr>
                <w:rFonts w:ascii="Arial" w:cs="Arial" w:eastAsia="Arial" w:hAnsi="Arial"/>
                <w:sz w:val="18"/>
                <w:szCs w:val="18"/>
                <w:b w:val="1"/>
                <w:bCs w:val="1"/>
                <w:color w:val="auto"/>
                <w:vertAlign w:val="superscript"/>
              </w:rPr>
              <w:t>(1)(5)</w:t>
            </w:r>
          </w:p>
        </w:tc>
        <w:tc>
          <w:tcPr>
            <w:tcW w:w="5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b w:val="1"/>
                <w:bCs w:val="1"/>
                <w:color w:val="auto"/>
              </w:rPr>
              <w:t>356</w:t>
            </w:r>
          </w:p>
        </w:tc>
        <w:tc>
          <w:tcPr>
            <w:tcW w:w="64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308</w:t>
            </w:r>
          </w:p>
        </w:tc>
        <w:tc>
          <w:tcPr>
            <w:tcW w:w="6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800</w:t>
            </w:r>
          </w:p>
        </w:tc>
        <w:tc>
          <w:tcPr>
            <w:tcW w:w="5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1,251</w:t>
            </w:r>
          </w:p>
        </w:tc>
        <w:tc>
          <w:tcPr>
            <w:tcW w:w="60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1,717</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20" w:type="dxa"/>
            <w:vAlign w:val="bottom"/>
            <w:shd w:val="clear" w:color="auto" w:fill="CCEEFF"/>
          </w:tcPr>
          <w:p>
            <w:pPr>
              <w:spacing w:after="0" w:line="196" w:lineRule="exact"/>
              <w:rPr>
                <w:sz w:val="20"/>
                <w:szCs w:val="20"/>
                <w:color w:val="auto"/>
              </w:rPr>
            </w:pPr>
            <w:r>
              <w:rPr>
                <w:rFonts w:ascii="Arial" w:cs="Arial" w:eastAsia="Arial" w:hAnsi="Arial"/>
                <w:sz w:val="14"/>
                <w:szCs w:val="14"/>
                <w:i w:val="1"/>
                <w:iCs w:val="1"/>
                <w:color w:val="auto"/>
              </w:rPr>
              <w:t>Adjusted net income margin</w:t>
            </w:r>
            <w:r>
              <w:rPr>
                <w:rFonts w:ascii="Arial" w:cs="Arial" w:eastAsia="Arial" w:hAnsi="Arial"/>
                <w:sz w:val="18"/>
                <w:szCs w:val="18"/>
                <w:i w:val="1"/>
                <w:iCs w:val="1"/>
                <w:color w:val="auto"/>
                <w:vertAlign w:val="superscript"/>
              </w:rPr>
              <w:t>(1)</w:t>
            </w: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19.2 %</w:t>
            </w:r>
          </w:p>
        </w:tc>
        <w:tc>
          <w:tcPr>
            <w:tcW w:w="100" w:type="dxa"/>
            <w:vAlign w:val="bottom"/>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16.6 %</w:t>
            </w:r>
          </w:p>
        </w:tc>
        <w:tc>
          <w:tcPr>
            <w:tcW w:w="1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38.1 %</w:t>
            </w:r>
          </w:p>
        </w:tc>
        <w:tc>
          <w:tcPr>
            <w:tcW w:w="10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16.9 %</w:t>
            </w:r>
          </w:p>
        </w:tc>
        <w:tc>
          <w:tcPr>
            <w:tcW w:w="10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21.2 %</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Diluted EPS</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0.50</w:t>
            </w:r>
          </w:p>
        </w:tc>
        <w:tc>
          <w:tcPr>
            <w:tcW w:w="100" w:type="dxa"/>
            <w:vAlign w:val="bottom"/>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0.45</w:t>
            </w:r>
          </w:p>
        </w:tc>
        <w:tc>
          <w:tcPr>
            <w:tcW w:w="120" w:type="dxa"/>
            <w:vAlign w:val="bottom"/>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1.21</w:t>
            </w:r>
          </w:p>
        </w:tc>
        <w:tc>
          <w:tcPr>
            <w:tcW w:w="100" w:type="dxa"/>
            <w:vAlign w:val="bottom"/>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1.83</w:t>
            </w:r>
          </w:p>
        </w:tc>
        <w:tc>
          <w:tcPr>
            <w:tcW w:w="100" w:type="dxa"/>
            <w:vAlign w:val="bottom"/>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2.62</w:t>
            </w:r>
          </w:p>
        </w:tc>
        <w:tc>
          <w:tcPr>
            <w:tcW w:w="0" w:type="dxa"/>
            <w:vAlign w:val="bottom"/>
          </w:tcPr>
          <w:p>
            <w:pPr>
              <w:spacing w:after="0"/>
              <w:rPr>
                <w:sz w:val="1"/>
                <w:szCs w:val="1"/>
                <w:color w:val="auto"/>
              </w:rPr>
            </w:pPr>
          </w:p>
        </w:tc>
      </w:tr>
      <w:tr>
        <w:trPr>
          <w:trHeight w:val="198"/>
        </w:trPr>
        <w:tc>
          <w:tcPr>
            <w:tcW w:w="32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0.09</w:t>
            </w:r>
          </w:p>
        </w:tc>
        <w:tc>
          <w:tcPr>
            <w:tcW w:w="640" w:type="dxa"/>
            <w:vAlign w:val="bottom"/>
            <w:gridSpan w:val="2"/>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0.08</w:t>
            </w:r>
          </w:p>
        </w:tc>
        <w:tc>
          <w:tcPr>
            <w:tcW w:w="62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0.07</w:t>
            </w:r>
          </w:p>
        </w:tc>
        <w:tc>
          <w:tcPr>
            <w:tcW w:w="58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0.30</w:t>
            </w:r>
          </w:p>
        </w:tc>
        <w:tc>
          <w:tcPr>
            <w:tcW w:w="6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207"/>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Restructuring charges</w:t>
            </w:r>
            <w:r>
              <w:rPr>
                <w:rFonts w:ascii="Arial" w:cs="Arial" w:eastAsia="Arial" w:hAnsi="Arial"/>
                <w:sz w:val="18"/>
                <w:szCs w:val="18"/>
                <w:color w:val="auto"/>
                <w:vertAlign w:val="superscript"/>
              </w:rPr>
              <w:t>(3)</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4"/>
                <w:szCs w:val="14"/>
                <w:color w:val="auto"/>
              </w:rPr>
              <w:t>Income tax effect</w:t>
            </w:r>
            <w:r>
              <w:rPr>
                <w:rFonts w:ascii="Arial" w:cs="Arial" w:eastAsia="Arial" w:hAnsi="Arial"/>
                <w:sz w:val="18"/>
                <w:szCs w:val="18"/>
                <w:color w:val="auto"/>
                <w:vertAlign w:val="superscript"/>
              </w:rPr>
              <w:t>(4)</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(0.01)</w:t>
            </w:r>
          </w:p>
        </w:tc>
        <w:tc>
          <w:tcPr>
            <w:tcW w:w="62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(0.01)</w:t>
            </w:r>
          </w:p>
        </w:tc>
        <w:tc>
          <w:tcPr>
            <w:tcW w:w="58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(0.02)</w:t>
            </w:r>
          </w:p>
        </w:tc>
        <w:tc>
          <w:tcPr>
            <w:tcW w:w="6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Diluted shares outstanding</w:t>
            </w:r>
          </w:p>
        </w:tc>
        <w:tc>
          <w:tcPr>
            <w:tcW w:w="5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557</w:t>
            </w:r>
          </w:p>
        </w:tc>
        <w:tc>
          <w:tcPr>
            <w:tcW w:w="100" w:type="dxa"/>
            <w:vAlign w:val="bottom"/>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556</w:t>
            </w:r>
          </w:p>
        </w:tc>
        <w:tc>
          <w:tcPr>
            <w:tcW w:w="120" w:type="dxa"/>
            <w:vAlign w:val="bottom"/>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554</w:t>
            </w:r>
          </w:p>
        </w:tc>
        <w:tc>
          <w:tcPr>
            <w:tcW w:w="100" w:type="dxa"/>
            <w:vAlign w:val="bottom"/>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556</w:t>
            </w:r>
          </w:p>
        </w:tc>
        <w:tc>
          <w:tcPr>
            <w:tcW w:w="100" w:type="dxa"/>
            <w:vAlign w:val="bottom"/>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552</w:t>
            </w:r>
          </w:p>
        </w:tc>
        <w:tc>
          <w:tcPr>
            <w:tcW w:w="0" w:type="dxa"/>
            <w:vAlign w:val="bottom"/>
          </w:tcPr>
          <w:p>
            <w:pPr>
              <w:spacing w:after="0"/>
              <w:rPr>
                <w:sz w:val="1"/>
                <w:szCs w:val="1"/>
                <w:color w:val="auto"/>
              </w:rPr>
            </w:pPr>
          </w:p>
        </w:tc>
      </w:tr>
      <w:tr>
        <w:trPr>
          <w:trHeight w:val="196"/>
        </w:trPr>
        <w:tc>
          <w:tcPr>
            <w:tcW w:w="3220" w:type="dxa"/>
            <w:vAlign w:val="bottom"/>
          </w:tcPr>
          <w:p>
            <w:pPr>
              <w:spacing w:after="0" w:line="196" w:lineRule="exact"/>
              <w:rPr>
                <w:sz w:val="20"/>
                <w:szCs w:val="20"/>
                <w:color w:val="auto"/>
              </w:rPr>
            </w:pPr>
            <w:r>
              <w:rPr>
                <w:rFonts w:ascii="Arial" w:cs="Arial" w:eastAsia="Arial" w:hAnsi="Arial"/>
                <w:sz w:val="14"/>
                <w:szCs w:val="14"/>
                <w:b w:val="1"/>
                <w:bCs w:val="1"/>
                <w:color w:val="auto"/>
              </w:rPr>
              <w:t>Adjusted diluted EPS</w:t>
            </w:r>
            <w:r>
              <w:rPr>
                <w:rFonts w:ascii="Arial" w:cs="Arial" w:eastAsia="Arial" w:hAnsi="Arial"/>
                <w:sz w:val="18"/>
                <w:szCs w:val="18"/>
                <w:b w:val="1"/>
                <w:bCs w:val="1"/>
                <w:color w:val="auto"/>
                <w:vertAlign w:val="superscript"/>
              </w:rPr>
              <w:t>(1)</w:t>
            </w:r>
          </w:p>
        </w:tc>
        <w:tc>
          <w:tcPr>
            <w:tcW w:w="5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b w:val="1"/>
                <w:bCs w:val="1"/>
                <w:color w:val="auto"/>
              </w:rPr>
              <w:t>0.64</w:t>
            </w:r>
          </w:p>
        </w:tc>
        <w:tc>
          <w:tcPr>
            <w:tcW w:w="64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0.55</w:t>
            </w:r>
          </w:p>
        </w:tc>
        <w:tc>
          <w:tcPr>
            <w:tcW w:w="6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1.44</w:t>
            </w:r>
          </w:p>
        </w:tc>
        <w:tc>
          <w:tcPr>
            <w:tcW w:w="5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2.24</w:t>
            </w:r>
          </w:p>
        </w:tc>
        <w:tc>
          <w:tcPr>
            <w:tcW w:w="60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3.11</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22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5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b w:val="1"/>
                <w:bCs w:val="1"/>
                <w:color w:val="auto"/>
              </w:rPr>
              <w:t>684</w:t>
            </w:r>
          </w:p>
        </w:tc>
        <w:tc>
          <w:tcPr>
            <w:tcW w:w="64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416</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2,125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Purchase of property, plant and</w:t>
            </w:r>
          </w:p>
        </w:tc>
        <w:tc>
          <w:tcPr>
            <w:tcW w:w="520" w:type="dxa"/>
            <w:vAlign w:val="bottom"/>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3"/>
                <w:szCs w:val="13"/>
                <w:color w:val="auto"/>
              </w:rPr>
            </w:pPr>
          </w:p>
        </w:tc>
        <w:tc>
          <w:tcPr>
            <w:tcW w:w="540" w:type="dxa"/>
            <w:vAlign w:val="bottom"/>
            <w:vMerge w:val="restart"/>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323</w:t>
            </w:r>
          </w:p>
        </w:tc>
        <w:tc>
          <w:tcPr>
            <w:tcW w:w="120" w:type="dxa"/>
            <w:vAlign w:val="bottom"/>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1,804</w:t>
            </w:r>
          </w:p>
        </w:tc>
        <w:tc>
          <w:tcPr>
            <w:tcW w:w="100" w:type="dxa"/>
            <w:vAlign w:val="bottom"/>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32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equipment and intangible assets</w:t>
            </w:r>
          </w:p>
        </w:tc>
        <w:tc>
          <w:tcPr>
            <w:tcW w:w="520" w:type="dxa"/>
            <w:vAlign w:val="bottom"/>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3220" w:type="dxa"/>
            <w:vAlign w:val="bottom"/>
            <w:vMerge w:val="continue"/>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shd w:val="clear" w:color="auto" w:fill="CCEEFF"/>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220" w:type="dxa"/>
            <w:vAlign w:val="bottom"/>
          </w:tcPr>
          <w:p>
            <w:pPr>
              <w:spacing w:after="0" w:line="196" w:lineRule="exact"/>
              <w:rPr>
                <w:sz w:val="20"/>
                <w:szCs w:val="20"/>
                <w:color w:val="auto"/>
              </w:rPr>
            </w:pPr>
            <w:r>
              <w:rPr>
                <w:rFonts w:ascii="Arial" w:cs="Arial" w:eastAsia="Arial" w:hAnsi="Arial"/>
                <w:sz w:val="14"/>
                <w:szCs w:val="14"/>
                <w:b w:val="1"/>
                <w:bCs w:val="1"/>
                <w:color w:val="auto"/>
              </w:rPr>
              <w:t>Free cash flow</w:t>
            </w:r>
            <w:r>
              <w:rPr>
                <w:rFonts w:ascii="Arial" w:cs="Arial" w:eastAsia="Arial" w:hAnsi="Arial"/>
                <w:sz w:val="18"/>
                <w:szCs w:val="18"/>
                <w:b w:val="1"/>
                <w:bCs w:val="1"/>
                <w:color w:val="auto"/>
                <w:vertAlign w:val="superscript"/>
              </w:rPr>
              <w:t>(1)</w:t>
            </w:r>
          </w:p>
        </w:tc>
        <w:tc>
          <w:tcPr>
            <w:tcW w:w="5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b w:val="1"/>
                <w:bCs w:val="1"/>
                <w:color w:val="auto"/>
              </w:rPr>
              <w:t>456</w:t>
            </w:r>
          </w:p>
        </w:tc>
        <w:tc>
          <w:tcPr>
            <w:tcW w:w="64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93</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321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Adjusted gross profit, adjusted selling, general and administrative, adjusted research and development, adjusted operating profit, adjusted operating expense (calculated by subtracting adjusted operating profit from adjusted gross profit), adjusted net income, adjusted diluted EPS, free cash flow and any related margins are all Non-IFRS measures. See “Financial Measures (Non-IFRS)” for a discussion of why we believe these Non-IFRS measures are useful.</w:t>
      </w:r>
    </w:p>
    <w:p>
      <w:pPr>
        <w:ind w:left="140" w:hanging="132"/>
        <w:spacing w:after="0" w:line="182" w:lineRule="auto"/>
        <w:tabs>
          <w:tab w:leader="none" w:pos="140" w:val="left"/>
        </w:tabs>
        <w:numPr>
          <w:ilvl w:val="0"/>
          <w:numId w:val="7"/>
        </w:numPr>
        <w:rPr>
          <w:rFonts w:ascii="Arial" w:cs="Arial" w:eastAsia="Arial" w:hAnsi="Arial"/>
          <w:sz w:val="14"/>
          <w:szCs w:val="14"/>
          <w:color w:val="auto"/>
          <w:vertAlign w:val="superscript"/>
        </w:rPr>
      </w:pPr>
      <w:r>
        <w:rPr>
          <w:rFonts w:ascii="Arial" w:cs="Arial" w:eastAsia="Arial" w:hAnsi="Arial"/>
          <w:sz w:val="11"/>
          <w:szCs w:val="11"/>
          <w:color w:val="auto"/>
        </w:rPr>
        <w:t>Beginning in Q3 2023, selling, general and administrative includes (gain)/loss on tool sales and certain contract cancellation fees. Prior period amounts have not been adjusted, as they are immaterial.</w:t>
      </w:r>
    </w:p>
    <w:p>
      <w:pPr>
        <w:ind w:left="140" w:hanging="132"/>
        <w:spacing w:after="0" w:line="187" w:lineRule="auto"/>
        <w:tabs>
          <w:tab w:leader="none" w:pos="140" w:val="left"/>
        </w:tabs>
        <w:numPr>
          <w:ilvl w:val="0"/>
          <w:numId w:val="7"/>
        </w:numPr>
        <w:rPr>
          <w:rFonts w:ascii="Arial" w:cs="Arial" w:eastAsia="Arial" w:hAnsi="Arial"/>
          <w:sz w:val="15"/>
          <w:szCs w:val="15"/>
          <w:color w:val="auto"/>
          <w:vertAlign w:val="superscript"/>
        </w:rPr>
      </w:pPr>
      <w:r>
        <w:rPr>
          <w:rFonts w:ascii="Arial" w:cs="Arial" w:eastAsia="Arial" w:hAnsi="Arial"/>
          <w:sz w:val="12"/>
          <w:szCs w:val="12"/>
          <w:color w:val="auto"/>
        </w:rPr>
        <w:t>Includes $3.1 million of share-based compensation in Q4 2022.</w:t>
      </w:r>
    </w:p>
    <w:p>
      <w:pPr>
        <w:ind w:left="140" w:hanging="132"/>
        <w:spacing w:after="0" w:line="181" w:lineRule="auto"/>
        <w:tabs>
          <w:tab w:leader="none" w:pos="140" w:val="left"/>
        </w:tabs>
        <w:numPr>
          <w:ilvl w:val="0"/>
          <w:numId w:val="7"/>
        </w:numPr>
        <w:rPr>
          <w:rFonts w:ascii="Arial" w:cs="Arial" w:eastAsia="Arial" w:hAnsi="Arial"/>
          <w:sz w:val="14"/>
          <w:szCs w:val="14"/>
          <w:color w:val="auto"/>
          <w:vertAlign w:val="superscript"/>
        </w:rPr>
      </w:pPr>
      <w:r>
        <w:rPr>
          <w:rFonts w:ascii="Arial" w:cs="Arial" w:eastAsia="Arial" w:hAnsi="Arial"/>
          <w:sz w:val="11"/>
          <w:szCs w:val="11"/>
          <w:color w:val="auto"/>
        </w:rPr>
        <w:t>Relates to restructuring charges.</w:t>
      </w:r>
    </w:p>
    <w:p>
      <w:pPr>
        <w:ind w:left="140" w:hanging="132"/>
        <w:spacing w:after="0" w:line="200" w:lineRule="auto"/>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Reflects change to adjusted net income definition discussed in more detail elsewhere in this release.</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8 of 11</w:t>
      </w:r>
    </w:p>
    <w:p>
      <w:pPr>
        <w:sectPr>
          <w:pgSz w:w="11900" w:h="16838" w:orient="portrait"/>
          <w:cols w:equalWidth="0" w:num="1">
            <w:col w:w="11240"/>
          </w:cols>
          <w:pgMar w:left="320" w:top="1440"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6"/>
          <w:szCs w:val="16"/>
          <w:b w:val="1"/>
          <w:bCs w:val="1"/>
          <w:u w:val="single" w:color="auto"/>
          <w:color w:val="auto"/>
        </w:rPr>
        <w:t>Unaudited Reconciliation of Net Income to Adjusted EBITDA</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126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209"/>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(in millions USD)</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December 31, 2023</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September 30, 2023</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December 31, 2023</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57"/>
        </w:trPr>
        <w:tc>
          <w:tcPr>
            <w:tcW w:w="2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for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278</w:t>
            </w:r>
          </w:p>
        </w:tc>
        <w:tc>
          <w:tcPr>
            <w:tcW w:w="80" w:type="dxa"/>
            <w:vAlign w:val="bottom"/>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249</w:t>
            </w:r>
          </w:p>
        </w:tc>
        <w:tc>
          <w:tcPr>
            <w:tcW w:w="80" w:type="dxa"/>
            <w:vAlign w:val="bottom"/>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668</w:t>
            </w:r>
          </w:p>
        </w:tc>
        <w:tc>
          <w:tcPr>
            <w:tcW w:w="100" w:type="dxa"/>
            <w:vAlign w:val="bottom"/>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1,018</w:t>
            </w:r>
          </w:p>
        </w:tc>
        <w:tc>
          <w:tcPr>
            <w:tcW w:w="80" w:type="dxa"/>
            <w:vAlign w:val="bottom"/>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1,446</w:t>
            </w:r>
          </w:p>
        </w:tc>
        <w:tc>
          <w:tcPr>
            <w:tcW w:w="0" w:type="dxa"/>
            <w:vAlign w:val="bottom"/>
          </w:tcPr>
          <w:p>
            <w:pPr>
              <w:spacing w:after="0"/>
              <w:rPr>
                <w:sz w:val="1"/>
                <w:szCs w:val="1"/>
                <w:color w:val="auto"/>
              </w:rPr>
            </w:pPr>
          </w:p>
        </w:tc>
      </w:tr>
      <w:tr>
        <w:trPr>
          <w:trHeight w:val="198"/>
        </w:trPr>
        <w:tc>
          <w:tcPr>
            <w:tcW w:w="24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7"/>
                <w:szCs w:val="17"/>
                <w:color w:val="auto"/>
              </w:rPr>
            </w:pPr>
          </w:p>
        </w:tc>
        <w:tc>
          <w:tcPr>
            <w:tcW w:w="1540" w:type="dxa"/>
            <w:vAlign w:val="bottom"/>
          </w:tcPr>
          <w:p>
            <w:pPr>
              <w:jc w:val="right"/>
              <w:ind w:right="108"/>
              <w:spacing w:after="0"/>
              <w:rPr>
                <w:sz w:val="20"/>
                <w:szCs w:val="20"/>
                <w:color w:val="auto"/>
              </w:rPr>
            </w:pPr>
            <w:r>
              <w:rPr>
                <w:rFonts w:ascii="Arial" w:cs="Arial" w:eastAsia="Arial" w:hAnsi="Arial"/>
                <w:sz w:val="14"/>
                <w:szCs w:val="14"/>
                <w:color w:val="auto"/>
              </w:rPr>
              <w:t>402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366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1,451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1,623</w:t>
            </w:r>
          </w:p>
        </w:tc>
        <w:tc>
          <w:tcPr>
            <w:tcW w:w="0" w:type="dxa"/>
            <w:vAlign w:val="bottom"/>
          </w:tcPr>
          <w:p>
            <w:pPr>
              <w:spacing w:after="0"/>
              <w:rPr>
                <w:sz w:val="1"/>
                <w:szCs w:val="1"/>
                <w:color w:val="auto"/>
              </w:rPr>
            </w:pPr>
          </w:p>
        </w:tc>
      </w:tr>
      <w:tr>
        <w:trPr>
          <w:trHeight w:val="207"/>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expense</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98"/>
        </w:trPr>
        <w:tc>
          <w:tcPr>
            <w:tcW w:w="2420" w:type="dxa"/>
            <w:vAlign w:val="bottom"/>
          </w:tcPr>
          <w:p>
            <w:pPr>
              <w:ind w:left="20"/>
              <w:spacing w:after="0"/>
              <w:rPr>
                <w:sz w:val="20"/>
                <w:szCs w:val="20"/>
                <w:color w:val="auto"/>
              </w:rPr>
            </w:pPr>
            <w:r>
              <w:rPr>
                <w:rFonts w:ascii="Arial" w:cs="Arial" w:eastAsia="Arial" w:hAnsi="Arial"/>
                <w:sz w:val="14"/>
                <w:szCs w:val="14"/>
                <w:color w:val="auto"/>
              </w:rPr>
              <w:t>Finance income</w:t>
            </w:r>
          </w:p>
        </w:tc>
        <w:tc>
          <w:tcPr>
            <w:tcW w:w="140" w:type="dxa"/>
            <w:vAlign w:val="bottom"/>
          </w:tcPr>
          <w:p>
            <w:pPr>
              <w:spacing w:after="0"/>
              <w:rPr>
                <w:sz w:val="17"/>
                <w:szCs w:val="17"/>
                <w:color w:val="auto"/>
              </w:rPr>
            </w:pP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88"/>
              <w:spacing w:after="0"/>
              <w:rPr>
                <w:sz w:val="20"/>
                <w:szCs w:val="20"/>
                <w:color w:val="auto"/>
              </w:rPr>
            </w:pPr>
            <w:r>
              <w:rPr>
                <w:rFonts w:ascii="Arial" w:cs="Arial" w:eastAsia="Arial" w:hAnsi="Arial"/>
                <w:sz w:val="14"/>
                <w:szCs w:val="14"/>
                <w:color w:val="auto"/>
              </w:rPr>
              <w:t>(149)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ind w:left="108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7"/>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98"/>
        </w:trPr>
        <w:tc>
          <w:tcPr>
            <w:tcW w:w="24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40" w:type="dxa"/>
            <w:vAlign w:val="bottom"/>
          </w:tcPr>
          <w:p>
            <w:pPr>
              <w:spacing w:after="0"/>
              <w:rPr>
                <w:sz w:val="17"/>
                <w:szCs w:val="17"/>
                <w:color w:val="auto"/>
              </w:rPr>
            </w:pPr>
          </w:p>
        </w:tc>
        <w:tc>
          <w:tcPr>
            <w:tcW w:w="1540" w:type="dxa"/>
            <w:vAlign w:val="bottom"/>
          </w:tcPr>
          <w:p>
            <w:pPr>
              <w:jc w:val="right"/>
              <w:ind w:right="108"/>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169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07"/>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w:t>
            </w:r>
            <w:r>
              <w:rPr>
                <w:rFonts w:ascii="Arial" w:cs="Arial" w:eastAsia="Arial" w:hAnsi="Arial"/>
                <w:sz w:val="18"/>
                <w:szCs w:val="18"/>
                <w:color w:val="auto"/>
                <w:vertAlign w:val="superscript"/>
              </w:rPr>
              <w:t>(1)</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8"/>
        </w:trPr>
        <w:tc>
          <w:tcPr>
            <w:tcW w:w="2420" w:type="dxa"/>
            <w:vAlign w:val="bottom"/>
          </w:tcPr>
          <w:p>
            <w:pPr>
              <w:ind w:left="20"/>
              <w:spacing w:after="0" w:line="149" w:lineRule="exact"/>
              <w:rPr>
                <w:sz w:val="20"/>
                <w:szCs w:val="20"/>
                <w:color w:val="auto"/>
              </w:rPr>
            </w:pPr>
            <w:r>
              <w:rPr>
                <w:rFonts w:ascii="Arial" w:cs="Arial" w:eastAsia="Arial" w:hAnsi="Arial"/>
                <w:sz w:val="14"/>
                <w:szCs w:val="14"/>
                <w:color w:val="auto"/>
              </w:rPr>
              <w:t>Divestiture gains and associated</w:t>
            </w:r>
          </w:p>
        </w:tc>
        <w:tc>
          <w:tcPr>
            <w:tcW w:w="140" w:type="dxa"/>
            <w:vAlign w:val="bottom"/>
          </w:tcPr>
          <w:p>
            <w:pPr>
              <w:spacing w:after="0"/>
              <w:rPr>
                <w:sz w:val="12"/>
                <w:szCs w:val="12"/>
                <w:color w:val="auto"/>
              </w:rPr>
            </w:pPr>
          </w:p>
        </w:tc>
        <w:tc>
          <w:tcPr>
            <w:tcW w:w="15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vMerge w:val="restart"/>
          </w:tcPr>
          <w:p>
            <w:pPr>
              <w:jc w:val="right"/>
              <w:ind w:right="68"/>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vMerge w:val="restart"/>
          </w:tcPr>
          <w:p>
            <w:pPr>
              <w:ind w:left="1080"/>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137"/>
        </w:trPr>
        <w:tc>
          <w:tcPr>
            <w:tcW w:w="2420" w:type="dxa"/>
            <w:vAlign w:val="bottom"/>
          </w:tcPr>
          <w:p>
            <w:pPr>
              <w:ind w:left="20"/>
              <w:spacing w:after="0" w:line="137" w:lineRule="exact"/>
              <w:rPr>
                <w:sz w:val="20"/>
                <w:szCs w:val="20"/>
                <w:color w:val="auto"/>
              </w:rPr>
            </w:pPr>
            <w:r>
              <w:rPr>
                <w:rFonts w:ascii="Arial" w:cs="Arial" w:eastAsia="Arial" w:hAnsi="Arial"/>
                <w:sz w:val="14"/>
                <w:szCs w:val="14"/>
                <w:color w:val="auto"/>
              </w:rPr>
              <w:t>expenses, legal settlements and</w:t>
            </w:r>
          </w:p>
        </w:tc>
        <w:tc>
          <w:tcPr>
            <w:tcW w:w="14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420" w:type="dxa"/>
            <w:vAlign w:val="bottom"/>
            <w:tcBorders>
              <w:bottom w:val="single" w:sz="8" w:color="CCEEFF"/>
            </w:tcBorders>
          </w:tcPr>
          <w:p>
            <w:pPr>
              <w:ind w:left="20"/>
              <w:spacing w:after="0" w:line="201" w:lineRule="exact"/>
              <w:rPr>
                <w:sz w:val="20"/>
                <w:szCs w:val="20"/>
                <w:color w:val="auto"/>
              </w:rPr>
            </w:pPr>
            <w:r>
              <w:rPr>
                <w:rFonts w:ascii="Arial" w:cs="Arial" w:eastAsia="Arial" w:hAnsi="Arial"/>
                <w:sz w:val="14"/>
                <w:szCs w:val="14"/>
                <w:color w:val="auto"/>
              </w:rPr>
              <w:t xml:space="preserve">transaction expenses </w:t>
            </w:r>
            <w:r>
              <w:rPr>
                <w:rFonts w:ascii="Arial" w:cs="Arial" w:eastAsia="Arial" w:hAnsi="Arial"/>
                <w:sz w:val="18"/>
                <w:szCs w:val="18"/>
                <w:color w:val="auto"/>
                <w:vertAlign w:val="superscript"/>
              </w:rPr>
              <w:t>(2)</w:t>
            </w: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42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22"/>
                <w:szCs w:val="22"/>
                <w:b w:val="1"/>
                <w:bCs w:val="1"/>
                <w:color w:val="auto"/>
                <w:vertAlign w:val="subscript"/>
              </w:rPr>
              <w:t>Adjusted EBITDA</w:t>
            </w:r>
            <w:r>
              <w:rPr>
                <w:rFonts w:ascii="Arial" w:cs="Arial" w:eastAsia="Arial" w:hAnsi="Arial"/>
                <w:sz w:val="8"/>
                <w:szCs w:val="8"/>
                <w:b w:val="1"/>
                <w:bCs w:val="1"/>
                <w:i w:val="1"/>
                <w:iCs w:val="1"/>
                <w:color w:val="auto"/>
              </w:rPr>
              <w:t>(1)(3)(4)(5)(6)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773</w:t>
            </w:r>
          </w:p>
        </w:tc>
        <w:tc>
          <w:tcPr>
            <w:tcW w:w="8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667</w:t>
            </w:r>
          </w:p>
        </w:tc>
        <w:tc>
          <w:tcPr>
            <w:tcW w:w="8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821</w:t>
            </w:r>
          </w:p>
        </w:tc>
        <w:tc>
          <w:tcPr>
            <w:tcW w:w="10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2,763</w:t>
            </w:r>
          </w:p>
        </w:tc>
        <w:tc>
          <w:tcPr>
            <w:tcW w:w="8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3,088</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i w:val="1"/>
                <w:iCs w:val="1"/>
                <w:color w:val="auto"/>
              </w:rPr>
              <w:t>Adjusted EBITDA margin</w:t>
            </w:r>
            <w:r>
              <w:rPr>
                <w:rFonts w:ascii="Arial" w:cs="Arial" w:eastAsia="Arial" w:hAnsi="Arial"/>
                <w:sz w:val="18"/>
                <w:szCs w:val="18"/>
                <w:i w:val="1"/>
                <w:iCs w:val="1"/>
                <w:color w:val="auto"/>
                <w:vertAlign w:val="superscript"/>
              </w:rPr>
              <w:t>(1)(3)(4)(5))(6)</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4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41.7 %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4"/>
                <w:szCs w:val="14"/>
                <w:i w:val="1"/>
                <w:iCs w:val="1"/>
                <w:color w:val="auto"/>
              </w:rPr>
              <w:t>36.0 %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39.1 %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37.4 %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4"/>
                <w:szCs w:val="14"/>
                <w:i w:val="1"/>
                <w:iCs w:val="1"/>
                <w:color w:val="auto"/>
              </w:rPr>
              <w:t>38.1 %</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Includes $3.1 million of share-based compensation in Q4 2022.</w:t>
      </w:r>
    </w:p>
    <w:p>
      <w:pPr>
        <w:spacing w:after="0" w:line="59"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Activity for the year ended December 31, 2022, relates to the gain on the sale of our East Fishkill business.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(3)</w:t>
      </w:r>
      <w:r>
        <w:rPr>
          <w:rFonts w:ascii="Arial" w:cs="Arial" w:eastAsia="Arial" w:hAnsi="Arial"/>
          <w:sz w:val="13"/>
          <w:szCs w:val="13"/>
          <w:color w:val="auto"/>
        </w:rPr>
        <w:t>Reflects change to adjusted EBITDA definition discussed in more detail elsewhere in this release</w:t>
      </w:r>
    </w:p>
    <w:p>
      <w:pPr>
        <w:spacing w:after="0" w:line="46" w:lineRule="exact"/>
        <w:rPr>
          <w:sz w:val="20"/>
          <w:szCs w:val="20"/>
          <w:color w:val="auto"/>
        </w:rPr>
      </w:pPr>
    </w:p>
    <w:p>
      <w:pPr>
        <w:spacing w:after="0" w:line="216" w:lineRule="auto"/>
        <w:rPr>
          <w:sz w:val="20"/>
          <w:szCs w:val="20"/>
          <w:color w:val="auto"/>
        </w:rPr>
      </w:pPr>
      <w:r>
        <w:rPr>
          <w:rFonts w:ascii="Arial" w:cs="Arial" w:eastAsia="Arial" w:hAnsi="Arial"/>
          <w:sz w:val="16"/>
          <w:szCs w:val="16"/>
          <w:color w:val="auto"/>
          <w:vertAlign w:val="superscript"/>
        </w:rPr>
        <w:t>(4)</w:t>
      </w:r>
      <w:r>
        <w:rPr>
          <w:rFonts w:ascii="Arial" w:cs="Arial" w:eastAsia="Arial" w:hAnsi="Arial"/>
          <w:sz w:val="13"/>
          <w:szCs w:val="13"/>
          <w:color w:val="auto"/>
        </w:rPr>
        <w:t>Includes interest income of $1.0 million in Q1 2022 and $7.0 million in Q2 2022. Had these numbers been included, our adjusted EBITDA and adjusted EBITDA margin would have been $697 million and 35.9% for Q1 2022 and $777 million and 39.0% for Q2 2022,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(5)</w:t>
      </w:r>
      <w:r>
        <w:rPr>
          <w:rFonts w:ascii="Arial" w:cs="Arial" w:eastAsia="Arial" w:hAnsi="Arial"/>
          <w:sz w:val="13"/>
          <w:szCs w:val="13"/>
          <w:color w:val="auto"/>
        </w:rPr>
        <w:t>Adjusted EBITDA and any related margin are Non-IFRS measures. See “Financial Measures (Non-IFRS)" for a discussion of why we believe these Non-IFRS measures are useful.</w:t>
      </w:r>
    </w:p>
    <w:p>
      <w:pPr>
        <w:spacing w:after="0" w:line="28"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For the periods presented above, there were no labor optimization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9 of 11</w:t>
      </w:r>
    </w:p>
    <w:p>
      <w:pPr>
        <w:sectPr>
          <w:pgSz w:w="11900" w:h="16838" w:orient="portrait"/>
          <w:cols w:equalWidth="0" w:num="1">
            <w:col w:w="11240"/>
          </w:cols>
          <w:pgMar w:left="320" w:top="143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auto"/>
        </w:rPr>
        <w:t>Financial Measures (Non-IFRS)</w:t>
      </w:r>
    </w:p>
    <w:p>
      <w:pPr>
        <w:spacing w:after="0" w:line="262" w:lineRule="exact"/>
        <w:rPr>
          <w:sz w:val="20"/>
          <w:szCs w:val="20"/>
          <w:color w:val="auto"/>
        </w:rPr>
      </w:pPr>
    </w:p>
    <w:p>
      <w:pPr>
        <w:jc w:val="both"/>
        <w:spacing w:after="0" w:line="217" w:lineRule="auto"/>
        <w:rPr>
          <w:sz w:val="20"/>
          <w:szCs w:val="20"/>
          <w:color w:val="auto"/>
        </w:rPr>
      </w:pPr>
      <w:r>
        <w:rPr>
          <w:rFonts w:ascii="Arial" w:cs="Arial" w:eastAsia="Arial" w:hAnsi="Arial"/>
          <w:sz w:val="16"/>
          <w:szCs w:val="16"/>
          <w:color w:val="auto"/>
        </w:rPr>
        <w:t>In addition to the financial information presented in accordance with IFRS, this press release includes the following Non-IFRS metrics: adjusted gross profit, adjusted operating profit, adjusted operating expense, adjusted net income, adjusted selling, general and administrative, adjusted research and development, adjusted diluted earnings per share (“EPS”), adjusted EBITDA, free cash flow and any related margins. We define each of adjusted gross profit, adjusted selling, general and administrative and adjusted research and development as each respective IFRS measure adjusted for share-based compensation. We define adjusted operating profit as operating profit adjusted for share-based compensation and restructuring charges. We define adjusted operating expense as adjusted gross profit minus adjusted operating profit. We define adjusted net income as net income adjusted for share-based compensation, restructuring charges and the associated tax impact. We define adjusted diluted EPS as adjusted net income divided by the diluted shares outstanding. We define free cash flow as cash flow provided by (used in) operating activities less purchases of property, plant and equipment and intangible assets. We define adjusted EBITDA as net income, adjusted for the impact of finance expense, finance income, income tax expense (benefit), depreciation and amortization, share-based compensation, restructuring charges, labor optimization initiatives and divestiture gains and associated expenses, legal settlements and transaction expenses. We define adjusted gross margin as adjusted gross profit divided by revenue. We define adjusted operating margin as adjusted operating profit divided by net revenue. We define adjusted EBITDA margin as adjusted EBITDA divided by net revenue.</w:t>
      </w:r>
    </w:p>
    <w:p>
      <w:pPr>
        <w:spacing w:after="0" w:line="191"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We believe that in addition to our results determined in accordance with IFRS, these Non-IFRS measures provide useful information to both management and investors in measuring our financial performance and highlight trends in our business that may not otherwise be apparent when relying solely on IFRS measures. These Non-IFRS financial measures provide supplemental information regarding our operating performance that excludes certain gains, losses and non-cash charges that occur relatively infrequently and/or that we consider to be unrelated to our core operations. Management believes that free cash flow as a Non-IFRS measure is helpful to investors as it provides insights into the nature and amount of cash the Company generates in the period. For further information regarding these Non-IFRS measures, please refer to "Unaudited Reconciliation of IFRS to Non-IFRS" table above.</w:t>
      </w:r>
    </w:p>
    <w:p>
      <w:pPr>
        <w:spacing w:after="0" w:line="194"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Non-IFRS financial information is presented for supplemental informational purposes only and should not be considered in isolation or as a substitute for financial information presented in accordance with IFRS. Our presentation of Non-IFRS measures should not be construed as an inference that our future results will be unaffected by unusual or nonrecurring items. Other companies in our industry may calculate these measures differently, which may limit their usefulness as a comparative measure.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 and Webcast Information</w:t>
      </w:r>
    </w:p>
    <w:p>
      <w:pPr>
        <w:spacing w:after="0" w:line="221"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GF will host a conference call with the financial community on Tuesday, February 13, 2024 at 8:30 a.m. U.S. Eastern Time (ET) to review the fourth quarter 2023 results in detail. Interested parties may join the scheduled conference call by registering at https://register.vevent.com/register/BI596916ecbc7f44b8949ef404dff8de42.</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call will be webcast and can be accessed from the GF Investor Relations website https://investors.gf.com. A replay of the call will be available on the GF Investor Relations website within 24 hours of the actual call.</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GlobalFoundries</w:t>
      </w:r>
    </w:p>
    <w:p>
      <w:pPr>
        <w:spacing w:after="0" w:line="22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 xml:space="preserve">GlobalFoundries® (GF®) is one of the world’s leading semiconductor manufacturers. GF is redefining innovation and semiconductor manufacturing by developing and delivering feature-rich process technology solutions that provide leadership performance in pervasive high growth markets. GF offers a unique mix of design, development and fabrication services. With a talented and diverse workforce and an at-scale manufacturing footprint spanning the U.S., Europe and Asia, GF is a trusted technology source to its worldwide customers. For more information, visit </w:t>
      </w:r>
      <w:r>
        <w:rPr>
          <w:rFonts w:ascii="Arial" w:cs="Arial" w:eastAsia="Arial" w:hAnsi="Arial"/>
          <w:sz w:val="16"/>
          <w:szCs w:val="16"/>
          <w:u w:val="single" w:color="auto"/>
          <w:color w:val="0000FF"/>
        </w:rPr>
        <w:t>www.gf.com</w:t>
      </w:r>
      <w:r>
        <w:rPr>
          <w:rFonts w:ascii="Arial" w:cs="Arial" w:eastAsia="Arial" w:hAnsi="Arial"/>
          <w:sz w:val="16"/>
          <w:szCs w:val="16"/>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21" w:lineRule="exact"/>
        <w:rPr>
          <w:sz w:val="20"/>
          <w:szCs w:val="20"/>
          <w:color w:val="auto"/>
        </w:rPr>
      </w:pPr>
    </w:p>
    <w:p>
      <w:pPr>
        <w:jc w:val="both"/>
        <w:spacing w:after="0" w:line="217" w:lineRule="auto"/>
        <w:rPr>
          <w:sz w:val="20"/>
          <w:szCs w:val="20"/>
          <w:color w:val="auto"/>
        </w:rPr>
      </w:pPr>
      <w:r>
        <w:rPr>
          <w:rFonts w:ascii="Arial" w:cs="Arial" w:eastAsia="Arial" w:hAnsi="Arial"/>
          <w:sz w:val="16"/>
          <w:szCs w:val="16"/>
          <w:color w:val="auto"/>
        </w:rPr>
        <w:t>This press release includes “forward-looking statements” that reflect our current expectations and views of future events. These forward-looking statements are made under the "safe harbor" provisions of the U.S. Private Securities Litigation Reform Act of 1995 and include but are not limited to, statements regarding our financial outlook, future guidance, product development, business strategy and plans, and market trends, opportunities and positioning. These statements are based on current expectations, assumptions, estimates, forecasts, projections and limited information available at the time they are made. Words such as “expect,” “anticipate,” “should,” “believe,” “hope,” “target,” “project,” “goals,” “estimate,” “potential,” “predict,” “may,” “will,” “might,” “could,” “intend,” “shall,” "outlook," "on track," and variations of these terms or the negative of these terms and similar expressions are intended to identify these forward-looking statements, although not all forward-looking statements contain these identifying words. Forward-looking statements are subject to a broad variety of risks and uncertainties, both known and unknown. Any inaccuracy in our assumptions and estimates could affect the realization of the expectations or forecasts in these forward-looking statements. For example, our business could be impacted by geopolitical conditions such as the ongoing political and trade tensions with China and the wars in Ukraine and Israel; the market for our products may develop or recover more slowly than expected or than it has in the past; we may fail to achieve the full benefits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10 of 11</w:t>
      </w:r>
    </w:p>
    <w:p>
      <w:pPr>
        <w:sectPr>
          <w:pgSz w:w="11900" w:h="16838" w:orient="portrait"/>
          <w:cols w:equalWidth="0" w:num="1">
            <w:col w:w="11240"/>
          </w:cols>
          <w:pgMar w:left="320" w:top="1435" w:right="339" w:bottom="1440" w:gutter="0" w:footer="0" w:header="0"/>
        </w:sectPr>
      </w:pPr>
    </w:p>
    <w:bookmarkStart w:id="12" w:name="page13"/>
    <w:bookmarkEnd w:id="12"/>
    <w:p>
      <w:pPr>
        <w:jc w:val="both"/>
        <w:spacing w:after="0" w:line="218" w:lineRule="auto"/>
        <w:rPr>
          <w:sz w:val="20"/>
          <w:szCs w:val="20"/>
          <w:color w:val="auto"/>
        </w:rPr>
      </w:pPr>
      <w:r>
        <w:rPr>
          <w:rFonts w:ascii="Arial" w:cs="Arial" w:eastAsia="Arial" w:hAnsi="Arial"/>
          <w:sz w:val="16"/>
          <w:szCs w:val="16"/>
          <w:color w:val="auto"/>
        </w:rPr>
        <w:t>restructuring plan; our operating results may fluctuate more than expected; there may be significant fluctuations in our results of operations and cash flows related to our revenue recognition or otherwise; a network or data security incident that allows unauthorized access to our network or data or our customers’ data could result in a system disruption, loss of data or damage our reputation; we could experience interruptions or performance problems associated with our technology, including a service outage; and global economic conditions could deteriorate, including due to increasing interest rates, rising inflation and any potential recession. 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Moreover, we operate in a competitive and rapidly changing market, 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spacing w:after="0" w:line="197" w:lineRule="exact"/>
        <w:rPr>
          <w:sz w:val="20"/>
          <w:szCs w:val="20"/>
          <w:color w:val="auto"/>
        </w:rPr>
      </w:pPr>
    </w:p>
    <w:p>
      <w:pPr>
        <w:jc w:val="both"/>
        <w:spacing w:after="0" w:line="218" w:lineRule="auto"/>
        <w:rPr>
          <w:sz w:val="20"/>
          <w:szCs w:val="20"/>
          <w:color w:val="auto"/>
        </w:rPr>
      </w:pPr>
      <w:r>
        <w:rPr>
          <w:rFonts w:ascii="Arial" w:cs="Arial" w:eastAsia="Arial" w:hAnsi="Arial"/>
          <w:sz w:val="16"/>
          <w:szCs w:val="16"/>
          <w:color w:val="auto"/>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and cautionary statements in our 2022 Annual Report on Form 20-F, current reports on Form 6-K and other reports filed with the Securities and Exchange Commission. Copies of our SEC filings are available on our Investor Relations website, investors.gf.com, or from the SEC website, www.sec.gov.</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 further information, please contact: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w:t>
      </w:r>
    </w:p>
    <w:p>
      <w:pPr>
        <w:spacing w:after="0"/>
        <w:rPr>
          <w:sz w:val="20"/>
          <w:szCs w:val="20"/>
          <w:color w:val="auto"/>
        </w:rPr>
      </w:pPr>
      <w:r>
        <w:rPr>
          <w:rFonts w:ascii="Arial" w:cs="Arial" w:eastAsia="Arial" w:hAnsi="Arial"/>
          <w:sz w:val="16"/>
          <w:szCs w:val="16"/>
          <w:u w:val="single" w:color="auto"/>
          <w:color w:val="0000FF"/>
        </w:rPr>
        <w:t>ir@gf.com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11 of 11</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2024-02-13T05:45:42Z</dcterms:created>
  <dcterms:modified xsi:type="dcterms:W3CDTF">2024-02-13T05:45:42Z</dcterms:modified>
</cp:coreProperties>
</file>