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94"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UNITED STATES</w:t>
      </w:r>
    </w:p>
    <w:p>
      <w:pPr>
        <w:jc w:val="center"/>
        <w:ind w:right="-219"/>
        <w:spacing w:after="0" w:line="199"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Washington, D.C. 20549</w:t>
      </w:r>
    </w:p>
    <w:p>
      <w:pPr>
        <w:spacing w:after="0" w:line="385" w:lineRule="exact"/>
        <w:rPr>
          <w:sz w:val="24"/>
          <w:szCs w:val="24"/>
          <w:color w:val="auto"/>
        </w:rPr>
      </w:pPr>
    </w:p>
    <w:p>
      <w:pPr>
        <w:ind w:left="5080"/>
        <w:spacing w:after="0"/>
        <w:rPr>
          <w:sz w:val="20"/>
          <w:szCs w:val="20"/>
          <w:color w:val="auto"/>
        </w:rPr>
      </w:pPr>
      <w:r>
        <w:rPr>
          <w:rFonts w:ascii="Arial" w:cs="Arial" w:eastAsia="Arial" w:hAnsi="Arial"/>
          <w:sz w:val="22"/>
          <w:szCs w:val="22"/>
          <w:b w:val="1"/>
          <w:bCs w:val="1"/>
          <w:color w:val="auto"/>
        </w:rPr>
        <w:t>FORM 6-K</w:t>
      </w:r>
    </w:p>
    <w:p>
      <w:pPr>
        <w:spacing w:after="0" w:line="178" w:lineRule="exact"/>
        <w:rPr>
          <w:sz w:val="24"/>
          <w:szCs w:val="24"/>
          <w:color w:val="auto"/>
        </w:rPr>
      </w:pPr>
    </w:p>
    <w:p>
      <w:pPr>
        <w:ind w:left="220"/>
        <w:spacing w:after="0"/>
        <w:rPr>
          <w:sz w:val="20"/>
          <w:szCs w:val="20"/>
          <w:color w:val="auto"/>
        </w:rPr>
      </w:pPr>
      <w:r>
        <w:rPr>
          <w:rFonts w:ascii="Arial" w:cs="Arial" w:eastAsia="Arial" w:hAnsi="Arial"/>
          <w:sz w:val="21"/>
          <w:szCs w:val="21"/>
          <w:b w:val="1"/>
          <w:bCs w:val="1"/>
          <w:color w:val="auto"/>
        </w:rPr>
        <w:t>REPORT OF FOREIGN PRIVATE ISSUER PURSUANT TO RULE 13a-16 OR 15d-16 UNDER THE SECURITIES</w:t>
      </w:r>
    </w:p>
    <w:p>
      <w:pPr>
        <w:jc w:val="center"/>
        <w:ind w:right="-219"/>
        <w:spacing w:after="0"/>
        <w:rPr>
          <w:sz w:val="20"/>
          <w:szCs w:val="20"/>
          <w:color w:val="auto"/>
        </w:rPr>
      </w:pPr>
      <w:r>
        <w:rPr>
          <w:rFonts w:ascii="Arial" w:cs="Arial" w:eastAsia="Arial" w:hAnsi="Arial"/>
          <w:sz w:val="22"/>
          <w:szCs w:val="22"/>
          <w:b w:val="1"/>
          <w:bCs w:val="1"/>
          <w:color w:val="auto"/>
        </w:rPr>
        <w:t>EXCHANGE ACT OF 1934</w:t>
      </w:r>
    </w:p>
    <w:p>
      <w:pPr>
        <w:spacing w:after="0" w:line="168"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 the month of May 2023</w:t>
      </w:r>
    </w:p>
    <w:p>
      <w:pPr>
        <w:spacing w:after="0" w:line="18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Commission File Number 001-40974</w:t>
      </w:r>
    </w:p>
    <w:p>
      <w:pPr>
        <w:spacing w:after="0" w:line="153"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GLOBALFOUNDRIES Inc.</w:t>
      </w:r>
    </w:p>
    <w:p>
      <w:pPr>
        <w:spacing w:after="0" w:line="18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400 Stonebreak Road Extension</w:t>
      </w:r>
    </w:p>
    <w:p>
      <w:pPr>
        <w:ind w:left="4960"/>
        <w:spacing w:after="0" w:line="205" w:lineRule="auto"/>
        <w:rPr>
          <w:sz w:val="20"/>
          <w:szCs w:val="20"/>
          <w:color w:val="auto"/>
        </w:rPr>
      </w:pPr>
      <w:r>
        <w:rPr>
          <w:rFonts w:ascii="Arial" w:cs="Arial" w:eastAsia="Arial" w:hAnsi="Arial"/>
          <w:sz w:val="18"/>
          <w:szCs w:val="18"/>
          <w:b w:val="1"/>
          <w:bCs w:val="1"/>
          <w:color w:val="auto"/>
        </w:rPr>
        <w:t>Malta, NY 12020</w:t>
      </w:r>
    </w:p>
    <w:p>
      <w:pPr>
        <w:spacing w:after="0" w:line="1"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(Address of principal executive offices)</w:t>
      </w:r>
    </w:p>
    <w:p>
      <w:pPr>
        <w:spacing w:after="0" w:line="155"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26"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640"/>
        <w:spacing w:after="0"/>
        <w:rPr>
          <w:sz w:val="20"/>
          <w:szCs w:val="20"/>
          <w:color w:val="auto"/>
        </w:rPr>
      </w:pPr>
      <w:r>
        <w:rPr>
          <w:rFonts w:ascii="Arial" w:cs="Arial" w:eastAsia="Arial" w:hAnsi="Arial"/>
          <w:sz w:val="18"/>
          <w:szCs w:val="18"/>
          <w:color w:val="auto"/>
        </w:rPr>
        <w:t>Attached hereto are the following exhibits.</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3"/>
              </w:rPr>
              <w:t>Exhibit 99.1</w:t>
            </w:r>
          </w:p>
        </w:tc>
        <w:tc>
          <w:tcPr>
            <w:tcW w:w="1120" w:type="dxa"/>
            <w:vAlign w:val="bottom"/>
          </w:tcPr>
          <w:p>
            <w:pPr>
              <w:spacing w:after="0"/>
              <w:rPr>
                <w:sz w:val="18"/>
                <w:szCs w:val="18"/>
                <w:color w:val="auto"/>
              </w:rPr>
            </w:pPr>
          </w:p>
        </w:tc>
        <w:tc>
          <w:tcPr>
            <w:tcW w:w="88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Unaudited Interim Condensed Consolidated Financial Statements as of March 31, 2023 and December 31, 2022 and for the</w:t>
            </w:r>
          </w:p>
        </w:tc>
        <w:tc>
          <w:tcPr>
            <w:tcW w:w="4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0000FF"/>
              </w:rPr>
              <w:t>three months ended March 31, 2023 and 2022.</w:t>
            </w:r>
          </w:p>
        </w:tc>
      </w:tr>
      <w:tr>
        <w:trPr>
          <w:trHeight w:val="20"/>
        </w:trPr>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r>
      <w:tr>
        <w:trPr>
          <w:trHeight w:val="250"/>
        </w:trPr>
        <w:tc>
          <w:tcPr>
            <w:tcW w:w="9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3"/>
              </w:rPr>
              <w:t>Exhibit 99.2</w:t>
            </w:r>
          </w:p>
        </w:tc>
        <w:tc>
          <w:tcPr>
            <w:tcW w:w="1120" w:type="dxa"/>
            <w:vAlign w:val="bottom"/>
          </w:tcPr>
          <w:p>
            <w:pPr>
              <w:spacing w:after="0"/>
              <w:rPr>
                <w:sz w:val="21"/>
                <w:szCs w:val="21"/>
                <w:color w:val="auto"/>
              </w:rPr>
            </w:pPr>
          </w:p>
        </w:tc>
        <w:tc>
          <w:tcPr>
            <w:tcW w:w="89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 for the three months ended March</w:t>
            </w:r>
          </w:p>
        </w:tc>
      </w:tr>
      <w:tr>
        <w:trPr>
          <w:trHeight w:val="210"/>
        </w:trPr>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7"/>
              </w:rPr>
              <w:t>31, 2023 and 2022.</w:t>
            </w:r>
          </w:p>
        </w:tc>
        <w:tc>
          <w:tcPr>
            <w:tcW w:w="7540" w:type="dxa"/>
            <w:vAlign w:val="bottom"/>
            <w:gridSpan w:val="3"/>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4119245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440" w:right="5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7900" w:type="dxa"/>
            <w:vAlign w:val="bottom"/>
            <w:gridSpan w:val="2"/>
          </w:tcPr>
          <w:p>
            <w:pPr>
              <w:ind w:left="1760"/>
              <w:spacing w:after="0"/>
              <w:rPr>
                <w:sz w:val="20"/>
                <w:szCs w:val="20"/>
                <w:color w:val="auto"/>
              </w:rPr>
            </w:pPr>
            <w:r>
              <w:rPr>
                <w:rFonts w:ascii="Arial" w:cs="Arial" w:eastAsia="Arial" w:hAnsi="Arial"/>
                <w:sz w:val="18"/>
                <w:szCs w:val="18"/>
                <w:b w:val="1"/>
                <w:bCs w:val="1"/>
                <w:color w:val="auto"/>
              </w:rPr>
              <w:t>GLOBALFOUNDRIES Inc.</w:t>
            </w:r>
          </w:p>
        </w:tc>
      </w:tr>
      <w:tr>
        <w:trPr>
          <w:trHeight w:val="553"/>
        </w:trPr>
        <w:tc>
          <w:tcPr>
            <w:tcW w:w="3220" w:type="dxa"/>
            <w:vAlign w:val="bottom"/>
          </w:tcPr>
          <w:p>
            <w:pPr>
              <w:spacing w:after="0"/>
              <w:rPr>
                <w:sz w:val="20"/>
                <w:szCs w:val="20"/>
                <w:color w:val="auto"/>
              </w:rPr>
            </w:pPr>
            <w:r>
              <w:rPr>
                <w:rFonts w:ascii="Arial" w:cs="Arial" w:eastAsia="Arial" w:hAnsi="Arial"/>
                <w:sz w:val="18"/>
                <w:szCs w:val="18"/>
                <w:color w:val="auto"/>
              </w:rPr>
              <w:t>Date: May 18, 2023</w:t>
            </w:r>
          </w:p>
        </w:tc>
        <w:tc>
          <w:tcPr>
            <w:tcW w:w="2900" w:type="dxa"/>
            <w:vAlign w:val="bottom"/>
          </w:tcPr>
          <w:p>
            <w:pPr>
              <w:ind w:left="176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Thomas Caulfield</w:t>
            </w:r>
          </w:p>
        </w:tc>
      </w:tr>
      <w:tr>
        <w:trPr>
          <w:trHeight w:val="27"/>
        </w:trPr>
        <w:tc>
          <w:tcPr>
            <w:tcW w:w="32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spacing w:after="0"/>
              <w:rPr>
                <w:sz w:val="20"/>
                <w:szCs w:val="20"/>
                <w:color w:val="auto"/>
              </w:rPr>
            </w:pPr>
          </w:p>
        </w:tc>
        <w:tc>
          <w:tcPr>
            <w:tcW w:w="2900" w:type="dxa"/>
            <w:vAlign w:val="bottom"/>
          </w:tcPr>
          <w:p>
            <w:pPr>
              <w:ind w:left="1760"/>
              <w:spacing w:after="0"/>
              <w:rPr>
                <w:sz w:val="20"/>
                <w:szCs w:val="20"/>
                <w:color w:val="auto"/>
              </w:rPr>
            </w:pPr>
            <w:r>
              <w:rPr>
                <w:rFonts w:ascii="Arial" w:cs="Arial" w:eastAsia="Arial" w:hAnsi="Arial"/>
                <w:sz w:val="18"/>
                <w:szCs w:val="18"/>
                <w:color w:val="auto"/>
              </w:rPr>
              <w:t>Name:</w:t>
            </w:r>
          </w:p>
        </w:tc>
        <w:tc>
          <w:tcPr>
            <w:tcW w:w="5000" w:type="dxa"/>
            <w:vAlign w:val="bottom"/>
          </w:tcPr>
          <w:p>
            <w:pPr>
              <w:ind w:left="20"/>
              <w:spacing w:after="0"/>
              <w:rPr>
                <w:sz w:val="20"/>
                <w:szCs w:val="20"/>
                <w:color w:val="auto"/>
              </w:rPr>
            </w:pPr>
            <w:r>
              <w:rPr>
                <w:rFonts w:ascii="Arial" w:cs="Arial" w:eastAsia="Arial" w:hAnsi="Arial"/>
                <w:sz w:val="18"/>
                <w:szCs w:val="18"/>
                <w:color w:val="auto"/>
              </w:rPr>
              <w:t>Dr. Thomas Caulfield</w:t>
            </w:r>
          </w:p>
        </w:tc>
      </w:tr>
      <w:tr>
        <w:trPr>
          <w:trHeight w:val="284"/>
        </w:trPr>
        <w:tc>
          <w:tcPr>
            <w:tcW w:w="3220" w:type="dxa"/>
            <w:vAlign w:val="bottom"/>
          </w:tcPr>
          <w:p>
            <w:pPr>
              <w:spacing w:after="0"/>
              <w:rPr>
                <w:sz w:val="24"/>
                <w:szCs w:val="24"/>
                <w:color w:val="auto"/>
              </w:rPr>
            </w:pPr>
          </w:p>
        </w:tc>
        <w:tc>
          <w:tcPr>
            <w:tcW w:w="2900" w:type="dxa"/>
            <w:vAlign w:val="bottom"/>
          </w:tcPr>
          <w:p>
            <w:pPr>
              <w:ind w:left="176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&amp; Chief Executive Officer</w:t>
            </w:r>
          </w:p>
        </w:tc>
      </w:tr>
    </w:tbl>
    <w:p>
      <w:pPr>
        <w:sectPr>
          <w:pgSz w:w="11900" w:h="16838" w:orient="portrait"/>
          <w:cols w:equalWidth="0" w:num="1">
            <w:col w:w="11240"/>
          </w:cols>
          <w:pgMar w:left="320" w:top="1417"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920" w:type="dxa"/>
            <w:vAlign w:val="bottom"/>
            <w:gridSpan w:val="6"/>
          </w:tcPr>
          <w:p>
            <w:pPr>
              <w:ind w:left="4060"/>
              <w:spacing w:after="0"/>
              <w:rPr>
                <w:sz w:val="20"/>
                <w:szCs w:val="20"/>
                <w:color w:val="auto"/>
              </w:rPr>
            </w:pPr>
            <w:r>
              <w:rPr>
                <w:rFonts w:ascii="Arial" w:cs="Arial" w:eastAsia="Arial" w:hAnsi="Arial"/>
                <w:sz w:val="18"/>
                <w:szCs w:val="18"/>
                <w:color w:val="auto"/>
              </w:rPr>
              <w:t>Unaudited Statements</w:t>
            </w:r>
          </w:p>
        </w:tc>
        <w:tc>
          <w:tcPr>
            <w:tcW w:w="1300" w:type="dxa"/>
            <w:vAlign w:val="bottom"/>
            <w:gridSpan w:val="6"/>
          </w:tcPr>
          <w:p>
            <w:pPr>
              <w:ind w:left="420"/>
              <w:spacing w:after="0"/>
              <w:rPr>
                <w:sz w:val="20"/>
                <w:szCs w:val="20"/>
                <w:color w:val="auto"/>
              </w:rPr>
            </w:pPr>
            <w:r>
              <w:rPr>
                <w:rFonts w:ascii="Arial" w:cs="Arial" w:eastAsia="Arial" w:hAnsi="Arial"/>
                <w:sz w:val="18"/>
                <w:szCs w:val="18"/>
                <w:b w:val="1"/>
                <w:bCs w:val="1"/>
                <w:color w:val="auto"/>
              </w:rPr>
              <w:t>Page</w:t>
            </w:r>
          </w:p>
        </w:tc>
      </w:tr>
      <w:tr>
        <w:trPr>
          <w:trHeight w:val="29"/>
        </w:trPr>
        <w:tc>
          <w:tcPr>
            <w:tcW w:w="4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453"/>
        </w:trPr>
        <w:tc>
          <w:tcPr>
            <w:tcW w:w="9920" w:type="dxa"/>
            <w:vAlign w:val="bottom"/>
            <w:gridSpan w:val="6"/>
          </w:tcPr>
          <w:p>
            <w:pPr>
              <w:spacing w:after="0"/>
              <w:rPr>
                <w:sz w:val="20"/>
                <w:szCs w:val="20"/>
                <w:color w:val="auto"/>
              </w:rPr>
            </w:pPr>
            <w:r>
              <w:rPr>
                <w:rFonts w:ascii="Arial" w:cs="Arial" w:eastAsia="Arial" w:hAnsi="Arial"/>
                <w:sz w:val="18"/>
                <w:szCs w:val="18"/>
                <w:color w:val="0000FF"/>
              </w:rPr>
              <w:t>Interim Condensed Consolidated Statements of Financial Position</w:t>
            </w:r>
          </w:p>
        </w:tc>
        <w:tc>
          <w:tcPr>
            <w:tcW w:w="700" w:type="dxa"/>
            <w:vAlign w:val="bottom"/>
            <w:gridSpan w:val="4"/>
          </w:tcPr>
          <w:p>
            <w:pPr>
              <w:jc w:val="center"/>
              <w:ind w:left="510"/>
              <w:spacing w:after="0"/>
              <w:rPr>
                <w:sz w:val="20"/>
                <w:szCs w:val="20"/>
                <w:color w:val="auto"/>
              </w:rPr>
            </w:pPr>
            <w:r>
              <w:rPr>
                <w:rFonts w:ascii="Arial" w:cs="Arial" w:eastAsia="Arial" w:hAnsi="Arial"/>
                <w:sz w:val="18"/>
                <w:szCs w:val="18"/>
                <w:color w:val="0000FF"/>
                <w:w w:val="99"/>
              </w:rPr>
              <w:t>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7"/>
        </w:trPr>
        <w:tc>
          <w:tcPr>
            <w:tcW w:w="4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0000FF"/>
                <w:w w:val="99"/>
              </w:rPr>
              <w:t>Interim Condensed Consolidated Statements of Operations</w:t>
            </w:r>
          </w:p>
        </w:tc>
        <w:tc>
          <w:tcPr>
            <w:tcW w:w="520" w:type="dxa"/>
            <w:vAlign w:val="bottom"/>
            <w:gridSpan w:val="3"/>
          </w:tcPr>
          <w:p>
            <w:pPr>
              <w:spacing w:after="0"/>
              <w:rPr>
                <w:sz w:val="22"/>
                <w:szCs w:val="22"/>
                <w:color w:val="auto"/>
              </w:rPr>
            </w:pPr>
          </w:p>
        </w:tc>
        <w:tc>
          <w:tcPr>
            <w:tcW w:w="4680" w:type="dxa"/>
            <w:vAlign w:val="bottom"/>
            <w:gridSpan w:val="2"/>
          </w:tcPr>
          <w:p>
            <w:pPr>
              <w:spacing w:after="0"/>
              <w:rPr>
                <w:sz w:val="22"/>
                <w:szCs w:val="22"/>
                <w:color w:val="auto"/>
              </w:rPr>
            </w:pPr>
          </w:p>
        </w:tc>
        <w:tc>
          <w:tcPr>
            <w:tcW w:w="700" w:type="dxa"/>
            <w:vAlign w:val="bottom"/>
            <w:gridSpan w:val="4"/>
          </w:tcPr>
          <w:p>
            <w:pPr>
              <w:jc w:val="center"/>
              <w:ind w:left="510"/>
              <w:spacing w:after="0"/>
              <w:rPr>
                <w:sz w:val="20"/>
                <w:szCs w:val="20"/>
                <w:color w:val="auto"/>
              </w:rPr>
            </w:pPr>
            <w:r>
              <w:rPr>
                <w:rFonts w:ascii="Arial" w:cs="Arial" w:eastAsia="Arial" w:hAnsi="Arial"/>
                <w:sz w:val="18"/>
                <w:szCs w:val="18"/>
                <w:color w:val="0000FF"/>
                <w:w w:val="99"/>
              </w:rPr>
              <w:t>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63"/>
        </w:trPr>
        <w:tc>
          <w:tcPr>
            <w:tcW w:w="5740" w:type="dxa"/>
            <w:vAlign w:val="bottom"/>
            <w:gridSpan w:val="5"/>
          </w:tcPr>
          <w:p>
            <w:pPr>
              <w:spacing w:after="0"/>
              <w:rPr>
                <w:sz w:val="20"/>
                <w:szCs w:val="20"/>
                <w:color w:val="auto"/>
              </w:rPr>
            </w:pPr>
            <w:r>
              <w:rPr>
                <w:rFonts w:ascii="Arial" w:cs="Arial" w:eastAsia="Arial" w:hAnsi="Arial"/>
                <w:sz w:val="18"/>
                <w:szCs w:val="18"/>
                <w:color w:val="0000FF"/>
                <w:w w:val="99"/>
              </w:rPr>
              <w:t>Interim Condensed Consolidated Statements of Comprehensive Income</w:t>
            </w:r>
          </w:p>
        </w:tc>
        <w:tc>
          <w:tcPr>
            <w:tcW w:w="4180" w:type="dxa"/>
            <w:vAlign w:val="bottom"/>
          </w:tcPr>
          <w:p>
            <w:pPr>
              <w:spacing w:after="0"/>
              <w:rPr>
                <w:sz w:val="22"/>
                <w:szCs w:val="22"/>
                <w:color w:val="auto"/>
              </w:rPr>
            </w:pPr>
          </w:p>
        </w:tc>
        <w:tc>
          <w:tcPr>
            <w:tcW w:w="700" w:type="dxa"/>
            <w:vAlign w:val="bottom"/>
            <w:gridSpan w:val="4"/>
          </w:tcPr>
          <w:p>
            <w:pPr>
              <w:jc w:val="center"/>
              <w:ind w:left="510"/>
              <w:spacing w:after="0"/>
              <w:rPr>
                <w:sz w:val="20"/>
                <w:szCs w:val="20"/>
                <w:color w:val="auto"/>
              </w:rPr>
            </w:pPr>
            <w:r>
              <w:rPr>
                <w:rFonts w:ascii="Arial" w:cs="Arial" w:eastAsia="Arial" w:hAnsi="Arial"/>
                <w:sz w:val="18"/>
                <w:szCs w:val="18"/>
                <w:color w:val="0000FF"/>
                <w:w w:val="99"/>
              </w:rPr>
              <w:t>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64"/>
        </w:trPr>
        <w:tc>
          <w:tcPr>
            <w:tcW w:w="5240" w:type="dxa"/>
            <w:vAlign w:val="bottom"/>
            <w:gridSpan w:val="4"/>
          </w:tcPr>
          <w:p>
            <w:pPr>
              <w:spacing w:after="0"/>
              <w:rPr>
                <w:sz w:val="20"/>
                <w:szCs w:val="20"/>
                <w:color w:val="auto"/>
              </w:rPr>
            </w:pPr>
            <w:r>
              <w:rPr>
                <w:rFonts w:ascii="Arial" w:cs="Arial" w:eastAsia="Arial" w:hAnsi="Arial"/>
                <w:sz w:val="18"/>
                <w:szCs w:val="18"/>
                <w:color w:val="0000FF"/>
                <w:w w:val="98"/>
              </w:rPr>
              <w:t>Interim Condensed Consolidated Statements of Changes in Equity</w:t>
            </w:r>
          </w:p>
        </w:tc>
        <w:tc>
          <w:tcPr>
            <w:tcW w:w="5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00" w:type="dxa"/>
            <w:vAlign w:val="bottom"/>
            <w:gridSpan w:val="4"/>
          </w:tcPr>
          <w:p>
            <w:pPr>
              <w:jc w:val="center"/>
              <w:ind w:left="510"/>
              <w:spacing w:after="0"/>
              <w:rPr>
                <w:sz w:val="20"/>
                <w:szCs w:val="20"/>
                <w:color w:val="auto"/>
              </w:rPr>
            </w:pPr>
            <w:r>
              <w:rPr>
                <w:rFonts w:ascii="Arial" w:cs="Arial" w:eastAsia="Arial" w:hAnsi="Arial"/>
                <w:sz w:val="18"/>
                <w:szCs w:val="18"/>
                <w:color w:val="0000FF"/>
                <w:w w:val="99"/>
              </w:rPr>
              <w:t>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4780" w:type="dxa"/>
            <w:vAlign w:val="bottom"/>
            <w:gridSpan w:val="2"/>
          </w:tcPr>
          <w:p>
            <w:pPr>
              <w:spacing w:after="0"/>
              <w:rPr>
                <w:sz w:val="20"/>
                <w:szCs w:val="20"/>
                <w:color w:val="auto"/>
              </w:rPr>
            </w:pPr>
            <w:r>
              <w:rPr>
                <w:rFonts w:ascii="Arial" w:cs="Arial" w:eastAsia="Arial" w:hAnsi="Arial"/>
                <w:sz w:val="18"/>
                <w:szCs w:val="18"/>
                <w:color w:val="0000FF"/>
                <w:w w:val="99"/>
              </w:rPr>
              <w:t>Interim Condensed Consolidated Statements of Cash Flows</w:t>
            </w:r>
          </w:p>
        </w:tc>
        <w:tc>
          <w:tcPr>
            <w:tcW w:w="460" w:type="dxa"/>
            <w:vAlign w:val="bottom"/>
            <w:gridSpan w:val="2"/>
          </w:tcPr>
          <w:p>
            <w:pPr>
              <w:spacing w:after="0"/>
              <w:rPr>
                <w:sz w:val="21"/>
                <w:szCs w:val="21"/>
                <w:color w:val="auto"/>
              </w:rPr>
            </w:pPr>
          </w:p>
        </w:tc>
        <w:tc>
          <w:tcPr>
            <w:tcW w:w="4680" w:type="dxa"/>
            <w:vAlign w:val="bottom"/>
            <w:gridSpan w:val="2"/>
          </w:tcPr>
          <w:p>
            <w:pPr>
              <w:spacing w:after="0"/>
              <w:rPr>
                <w:sz w:val="21"/>
                <w:szCs w:val="21"/>
                <w:color w:val="auto"/>
              </w:rPr>
            </w:pPr>
          </w:p>
        </w:tc>
        <w:tc>
          <w:tcPr>
            <w:tcW w:w="700" w:type="dxa"/>
            <w:vAlign w:val="bottom"/>
            <w:gridSpan w:val="4"/>
          </w:tcPr>
          <w:p>
            <w:pPr>
              <w:jc w:val="center"/>
              <w:ind w:left="510"/>
              <w:spacing w:after="0"/>
              <w:rPr>
                <w:sz w:val="20"/>
                <w:szCs w:val="20"/>
                <w:color w:val="auto"/>
              </w:rPr>
            </w:pPr>
            <w:r>
              <w:rPr>
                <w:rFonts w:ascii="Arial" w:cs="Arial" w:eastAsia="Arial" w:hAnsi="Arial"/>
                <w:sz w:val="18"/>
                <w:szCs w:val="18"/>
                <w:color w:val="0000FF"/>
                <w:w w:val="99"/>
              </w:rPr>
              <w:t>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47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63"/>
        </w:trPr>
        <w:tc>
          <w:tcPr>
            <w:tcW w:w="5080" w:type="dxa"/>
            <w:vAlign w:val="bottom"/>
            <w:gridSpan w:val="3"/>
          </w:tcPr>
          <w:p>
            <w:pPr>
              <w:spacing w:after="0"/>
              <w:rPr>
                <w:sz w:val="20"/>
                <w:szCs w:val="20"/>
                <w:color w:val="auto"/>
              </w:rPr>
            </w:pPr>
            <w:r>
              <w:rPr>
                <w:rFonts w:ascii="Arial" w:cs="Arial" w:eastAsia="Arial" w:hAnsi="Arial"/>
                <w:sz w:val="18"/>
                <w:szCs w:val="18"/>
                <w:color w:val="0000FF"/>
                <w:w w:val="99"/>
              </w:rPr>
              <w:t>Notes to Interim Condensed Consolidated Financial Statements</w:t>
            </w:r>
          </w:p>
        </w:tc>
        <w:tc>
          <w:tcPr>
            <w:tcW w:w="4840" w:type="dxa"/>
            <w:vAlign w:val="bottom"/>
            <w:gridSpan w:val="3"/>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gridSpan w:val="4"/>
          </w:tcPr>
          <w:p>
            <w:pPr>
              <w:jc w:val="center"/>
              <w:spacing w:after="0"/>
              <w:rPr>
                <w:sz w:val="20"/>
                <w:szCs w:val="20"/>
                <w:color w:val="auto"/>
              </w:rPr>
            </w:pPr>
            <w:r>
              <w:rPr>
                <w:rFonts w:ascii="Arial" w:cs="Arial" w:eastAsia="Arial" w:hAnsi="Arial"/>
                <w:sz w:val="18"/>
                <w:szCs w:val="18"/>
                <w:color w:val="0000FF"/>
                <w:w w:val="99"/>
              </w:rPr>
              <w:t>7</w:t>
            </w:r>
            <w:r>
              <w:rPr>
                <w:rFonts w:ascii="Arial" w:cs="Arial" w:eastAsia="Arial" w:hAnsi="Arial"/>
                <w:sz w:val="18"/>
                <w:szCs w:val="18"/>
                <w:color w:val="000000"/>
                <w:w w:val="99"/>
              </w:rPr>
              <w:t>-</w:t>
            </w:r>
            <w:r>
              <w:rPr>
                <w:rFonts w:ascii="Arial" w:cs="Arial" w:eastAsia="Arial" w:hAnsi="Arial"/>
                <w:sz w:val="18"/>
                <w:szCs w:val="18"/>
                <w:color w:val="0000FF"/>
                <w:w w:val="99"/>
              </w:rPr>
              <w:t>15</w:t>
            </w:r>
          </w:p>
        </w:tc>
        <w:tc>
          <w:tcPr>
            <w:tcW w:w="480" w:type="dxa"/>
            <w:vAlign w:val="bottom"/>
          </w:tcPr>
          <w:p>
            <w:pPr>
              <w:spacing w:after="0"/>
              <w:rPr>
                <w:sz w:val="22"/>
                <w:szCs w:val="22"/>
                <w:color w:val="auto"/>
              </w:rPr>
            </w:pP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78105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FINANCIAL POSITION</w:t>
      </w:r>
    </w:p>
    <w:p>
      <w:pPr>
        <w:jc w:val="center"/>
        <w:spacing w:after="0"/>
        <w:rPr>
          <w:sz w:val="20"/>
          <w:szCs w:val="20"/>
          <w:color w:val="auto"/>
        </w:rPr>
      </w:pPr>
      <w:r>
        <w:rPr>
          <w:rFonts w:ascii="Arial" w:cs="Arial" w:eastAsia="Arial" w:hAnsi="Arial"/>
          <w:sz w:val="16"/>
          <w:szCs w:val="16"/>
          <w:b w:val="1"/>
          <w:bCs w:val="1"/>
          <w:color w:val="auto"/>
        </w:rPr>
        <w:t>AS OF March 31, 2023* AND December 31, 2022**</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8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 except for share amounts)</w:t>
            </w:r>
          </w:p>
        </w:tc>
        <w:tc>
          <w:tcPr>
            <w:tcW w:w="240" w:type="dxa"/>
            <w:vAlign w:val="bottom"/>
          </w:tcPr>
          <w:p>
            <w:pPr>
              <w:spacing w:after="0"/>
              <w:rPr>
                <w:sz w:val="17"/>
                <w:szCs w:val="17"/>
                <w:color w:val="auto"/>
              </w:rPr>
            </w:pPr>
          </w:p>
        </w:tc>
        <w:tc>
          <w:tcPr>
            <w:tcW w:w="126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32"/>
        </w:trPr>
        <w:tc>
          <w:tcPr>
            <w:tcW w:w="81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94"/>
        </w:trPr>
        <w:tc>
          <w:tcPr>
            <w:tcW w:w="8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224"/>
        </w:trPr>
        <w:tc>
          <w:tcPr>
            <w:tcW w:w="81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0" w:type="dxa"/>
            <w:vAlign w:val="bottom"/>
          </w:tcPr>
          <w:p>
            <w:pPr>
              <w:spacing w:after="0"/>
              <w:rPr>
                <w:sz w:val="1"/>
                <w:szCs w:val="1"/>
                <w:color w:val="auto"/>
              </w:rPr>
            </w:pPr>
          </w:p>
        </w:tc>
      </w:tr>
      <w:tr>
        <w:trPr>
          <w:trHeight w:val="250"/>
        </w:trPr>
        <w:tc>
          <w:tcPr>
            <w:tcW w:w="814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w:t>
            </w:r>
          </w:p>
        </w:tc>
        <w:tc>
          <w:tcPr>
            <w:tcW w:w="0" w:type="dxa"/>
            <w:vAlign w:val="bottom"/>
          </w:tcPr>
          <w:p>
            <w:pPr>
              <w:spacing w:after="0"/>
              <w:rPr>
                <w:sz w:val="1"/>
                <w:szCs w:val="1"/>
                <w:color w:val="auto"/>
              </w:rPr>
            </w:pPr>
          </w:p>
        </w:tc>
      </w:tr>
      <w:tr>
        <w:trPr>
          <w:trHeight w:val="25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5,800</w:t>
            </w:r>
          </w:p>
        </w:tc>
        <w:tc>
          <w:tcPr>
            <w:tcW w:w="0" w:type="dxa"/>
            <w:vAlign w:val="bottom"/>
          </w:tcPr>
          <w:p>
            <w:pPr>
              <w:spacing w:after="0"/>
              <w:rPr>
                <w:sz w:val="1"/>
                <w:szCs w:val="1"/>
                <w:color w:val="auto"/>
              </w:rPr>
            </w:pPr>
          </w:p>
        </w:tc>
      </w:tr>
      <w:tr>
        <w:trPr>
          <w:trHeight w:val="209"/>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10,596</w:t>
            </w:r>
          </w:p>
        </w:tc>
        <w:tc>
          <w:tcPr>
            <w:tcW w:w="0" w:type="dxa"/>
            <w:vAlign w:val="bottom"/>
          </w:tcPr>
          <w:p>
            <w:pPr>
              <w:spacing w:after="0"/>
              <w:rPr>
                <w:sz w:val="1"/>
                <w:szCs w:val="1"/>
                <w:color w:val="auto"/>
              </w:rPr>
            </w:pPr>
          </w:p>
        </w:tc>
      </w:tr>
      <w:tr>
        <w:trPr>
          <w:trHeight w:val="224"/>
        </w:trPr>
        <w:tc>
          <w:tcPr>
            <w:tcW w:w="8140" w:type="dxa"/>
            <w:vAlign w:val="bottom"/>
          </w:tcPr>
          <w:p>
            <w:pPr>
              <w:ind w:left="20"/>
              <w:spacing w:after="0"/>
              <w:rPr>
                <w:sz w:val="20"/>
                <w:szCs w:val="20"/>
                <w:color w:val="auto"/>
              </w:rPr>
            </w:pPr>
            <w:r>
              <w:rPr>
                <w:rFonts w:ascii="Arial" w:cs="Arial" w:eastAsia="Arial" w:hAnsi="Arial"/>
                <w:sz w:val="16"/>
                <w:szCs w:val="16"/>
                <w:color w:val="auto"/>
              </w:rPr>
              <w:t>Goodwill and intangible assets, net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Other noncurrent financial assets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24"/>
        </w:trPr>
        <w:tc>
          <w:tcPr>
            <w:tcW w:w="8140" w:type="dxa"/>
            <w:vAlign w:val="bottom"/>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33"/>
        </w:trPr>
        <w:tc>
          <w:tcPr>
            <w:tcW w:w="8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12,187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12,041</w:t>
            </w:r>
          </w:p>
        </w:tc>
        <w:tc>
          <w:tcPr>
            <w:tcW w:w="0" w:type="dxa"/>
            <w:vAlign w:val="bottom"/>
          </w:tcPr>
          <w:p>
            <w:pPr>
              <w:spacing w:after="0"/>
              <w:rPr>
                <w:sz w:val="1"/>
                <w:szCs w:val="1"/>
                <w:color w:val="auto"/>
              </w:rPr>
            </w:pPr>
          </w:p>
        </w:tc>
      </w:tr>
      <w:tr>
        <w:trPr>
          <w:trHeight w:val="257"/>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17,815</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17,841</w:t>
            </w:r>
          </w:p>
        </w:tc>
        <w:tc>
          <w:tcPr>
            <w:tcW w:w="0" w:type="dxa"/>
            <w:vAlign w:val="bottom"/>
          </w:tcPr>
          <w:p>
            <w:pPr>
              <w:spacing w:after="0"/>
              <w:rPr>
                <w:sz w:val="1"/>
                <w:szCs w:val="1"/>
                <w:color w:val="auto"/>
              </w:rPr>
            </w:pPr>
          </w:p>
        </w:tc>
      </w:tr>
      <w:tr>
        <w:trPr>
          <w:trHeight w:val="257"/>
        </w:trPr>
        <w:tc>
          <w:tcPr>
            <w:tcW w:w="81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2,849</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Current portion of deferred income from government grants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4"/>
        </w:trPr>
        <w:tc>
          <w:tcPr>
            <w:tcW w:w="814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3"/>
        </w:trPr>
        <w:tc>
          <w:tcPr>
            <w:tcW w:w="8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2,895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3,359</w:t>
            </w:r>
          </w:p>
        </w:tc>
        <w:tc>
          <w:tcPr>
            <w:tcW w:w="0" w:type="dxa"/>
            <w:vAlign w:val="bottom"/>
          </w:tcPr>
          <w:p>
            <w:pPr>
              <w:spacing w:after="0"/>
              <w:rPr>
                <w:sz w:val="1"/>
                <w:szCs w:val="1"/>
                <w:color w:val="auto"/>
              </w:rPr>
            </w:pPr>
          </w:p>
        </w:tc>
      </w:tr>
      <w:tr>
        <w:trPr>
          <w:trHeight w:val="196"/>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of long-term debt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Noncurrent portion of deferred income from government grants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Noncurrent portion of lease obligations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w:t>
            </w:r>
          </w:p>
        </w:tc>
        <w:tc>
          <w:tcPr>
            <w:tcW w:w="0" w:type="dxa"/>
            <w:vAlign w:val="bottom"/>
          </w:tcPr>
          <w:p>
            <w:pPr>
              <w:spacing w:after="0"/>
              <w:rPr>
                <w:sz w:val="1"/>
                <w:szCs w:val="1"/>
                <w:color w:val="auto"/>
              </w:rPr>
            </w:pPr>
          </w:p>
        </w:tc>
      </w:tr>
      <w:tr>
        <w:trPr>
          <w:trHeight w:val="256"/>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Total noncurrent liabilities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4,613</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4,522</w:t>
            </w:r>
          </w:p>
        </w:tc>
        <w:tc>
          <w:tcPr>
            <w:tcW w:w="0" w:type="dxa"/>
            <w:vAlign w:val="bottom"/>
          </w:tcPr>
          <w:p>
            <w:pPr>
              <w:spacing w:after="0"/>
              <w:rPr>
                <w:sz w:val="1"/>
                <w:szCs w:val="1"/>
                <w:color w:val="auto"/>
              </w:rPr>
            </w:pPr>
          </w:p>
        </w:tc>
      </w:tr>
      <w:tr>
        <w:trPr>
          <w:trHeight w:val="27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7,881</w:t>
            </w:r>
          </w:p>
        </w:tc>
        <w:tc>
          <w:tcPr>
            <w:tcW w:w="0" w:type="dxa"/>
            <w:vAlign w:val="bottom"/>
          </w:tcPr>
          <w:p>
            <w:pPr>
              <w:spacing w:after="0"/>
              <w:rPr>
                <w:sz w:val="1"/>
                <w:szCs w:val="1"/>
                <w:color w:val="auto"/>
              </w:rPr>
            </w:pPr>
          </w:p>
        </w:tc>
      </w:tr>
      <w:tr>
        <w:trPr>
          <w:trHeight w:val="230"/>
        </w:trPr>
        <w:tc>
          <w:tcPr>
            <w:tcW w:w="814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capital</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8140" w:type="dxa"/>
            <w:vAlign w:val="bottom"/>
          </w:tcPr>
          <w:p>
            <w:pPr>
              <w:ind w:left="20"/>
              <w:spacing w:after="0"/>
              <w:rPr>
                <w:sz w:val="20"/>
                <w:szCs w:val="20"/>
                <w:color w:val="auto"/>
              </w:rPr>
            </w:pPr>
            <w:r>
              <w:rPr>
                <w:rFonts w:ascii="Arial" w:cs="Arial" w:eastAsia="Arial" w:hAnsi="Arial"/>
                <w:sz w:val="16"/>
                <w:szCs w:val="16"/>
                <w:color w:val="auto"/>
              </w:rPr>
              <w:t>Ordinary shares, $0.02 par value, 551,780 thousand and 547,755 thousand shares issued and outstanding as of</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Arial" w:cs="Arial" w:eastAsia="Arial" w:hAnsi="Arial"/>
                <w:sz w:val="16"/>
                <w:szCs w:val="16"/>
                <w:color w:val="auto"/>
              </w:rPr>
              <w:t>March 31, 2023 and December 31, 2022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23,831</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(14,021)</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53"/>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Equity attributable to the shareholders of GLOBALFOUNDRIES INC.</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10,260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9,913</w:t>
            </w:r>
          </w:p>
        </w:tc>
        <w:tc>
          <w:tcPr>
            <w:tcW w:w="0" w:type="dxa"/>
            <w:vAlign w:val="bottom"/>
          </w:tcPr>
          <w:p>
            <w:pPr>
              <w:spacing w:after="0"/>
              <w:rPr>
                <w:sz w:val="1"/>
                <w:szCs w:val="1"/>
                <w:color w:val="auto"/>
              </w:rPr>
            </w:pPr>
          </w:p>
        </w:tc>
      </w:tr>
      <w:tr>
        <w:trPr>
          <w:trHeight w:val="24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56"/>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10,307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9,960</w:t>
            </w:r>
          </w:p>
        </w:tc>
        <w:tc>
          <w:tcPr>
            <w:tcW w:w="0" w:type="dxa"/>
            <w:vAlign w:val="bottom"/>
          </w:tcPr>
          <w:p>
            <w:pPr>
              <w:spacing w:after="0"/>
              <w:rPr>
                <w:sz w:val="1"/>
                <w:szCs w:val="1"/>
                <w:color w:val="auto"/>
              </w:rPr>
            </w:pPr>
          </w:p>
        </w:tc>
      </w:tr>
      <w:tr>
        <w:trPr>
          <w:trHeight w:val="25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ectPr>
          <w:pgSz w:w="11900" w:h="16838" w:orient="portrait"/>
          <w:cols w:equalWidth="0" w:num="1">
            <w:col w:w="11240"/>
          </w:cols>
          <w:pgMar w:left="320" w:top="94" w:right="339" w:bottom="572" w:gutter="0" w:footer="0" w:header="0"/>
        </w:sect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572"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302"/>
        </w:trPr>
        <w:tc>
          <w:tcPr>
            <w:tcW w:w="8020" w:type="dxa"/>
            <w:vAlign w:val="bottom"/>
          </w:tcPr>
          <w:p>
            <w:pPr>
              <w:jc w:val="center"/>
              <w:ind w:left="3138"/>
              <w:spacing w:after="0"/>
              <w:rPr>
                <w:sz w:val="20"/>
                <w:szCs w:val="20"/>
                <w:color w:val="auto"/>
              </w:rPr>
            </w:pPr>
            <w:r>
              <w:rPr>
                <w:rFonts w:ascii="Arial" w:cs="Arial" w:eastAsia="Arial" w:hAnsi="Arial"/>
                <w:sz w:val="22"/>
                <w:szCs w:val="22"/>
                <w:b w:val="1"/>
                <w:bCs w:val="1"/>
                <w:color w:val="auto"/>
                <w:w w:val="98"/>
              </w:rPr>
              <w:t>GLOBALFOUNDRIES INC.</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7"/>
        </w:trPr>
        <w:tc>
          <w:tcPr>
            <w:tcW w:w="9580" w:type="dxa"/>
            <w:vAlign w:val="bottom"/>
            <w:gridSpan w:val="3"/>
          </w:tcPr>
          <w:p>
            <w:pPr>
              <w:ind w:left="2780"/>
              <w:spacing w:after="0"/>
              <w:rPr>
                <w:sz w:val="20"/>
                <w:szCs w:val="20"/>
                <w:color w:val="auto"/>
              </w:rPr>
            </w:pPr>
            <w:r>
              <w:rPr>
                <w:rFonts w:ascii="Arial" w:cs="Arial" w:eastAsia="Arial" w:hAnsi="Arial"/>
                <w:sz w:val="16"/>
                <w:szCs w:val="16"/>
                <w:b w:val="1"/>
                <w:bCs w:val="1"/>
                <w:color w:val="auto"/>
              </w:rPr>
              <w:t>INTERIM CONDENSED CONSOLIDATED STATEMENTS OF OPERATIONS FOR THE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8020" w:type="dxa"/>
            <w:vAlign w:val="bottom"/>
          </w:tcPr>
          <w:p>
            <w:pPr>
              <w:jc w:val="center"/>
              <w:ind w:left="3138"/>
              <w:spacing w:after="0"/>
              <w:rPr>
                <w:sz w:val="20"/>
                <w:szCs w:val="20"/>
                <w:color w:val="auto"/>
              </w:rPr>
            </w:pPr>
            <w:r>
              <w:rPr>
                <w:rFonts w:ascii="Arial" w:cs="Arial" w:eastAsia="Arial" w:hAnsi="Arial"/>
                <w:sz w:val="16"/>
                <w:szCs w:val="16"/>
                <w:b w:val="1"/>
                <w:bCs w:val="1"/>
                <w:color w:val="auto"/>
              </w:rPr>
              <w:t>Three Months Ended March 31, 2023 AND 2022</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27"/>
        </w:trPr>
        <w:tc>
          <w:tcPr>
            <w:tcW w:w="8020" w:type="dxa"/>
            <w:vAlign w:val="bottom"/>
          </w:tcPr>
          <w:p>
            <w:pPr>
              <w:jc w:val="center"/>
              <w:ind w:left="3138"/>
              <w:spacing w:after="0"/>
              <w:rPr>
                <w:sz w:val="20"/>
                <w:szCs w:val="20"/>
                <w:color w:val="auto"/>
              </w:rPr>
            </w:pPr>
            <w:r>
              <w:rPr>
                <w:rFonts w:ascii="Arial" w:cs="Arial" w:eastAsia="Arial" w:hAnsi="Arial"/>
                <w:sz w:val="16"/>
                <w:szCs w:val="16"/>
                <w:b w:val="1"/>
                <w:bCs w:val="1"/>
                <w:color w:val="auto"/>
              </w:rPr>
              <w:t>(unaudited)</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745"/>
        </w:trPr>
        <w:tc>
          <w:tcPr>
            <w:tcW w:w="8020" w:type="dxa"/>
            <w:vAlign w:val="bottom"/>
          </w:tcPr>
          <w:p>
            <w:pPr>
              <w:spacing w:after="0"/>
              <w:rPr>
                <w:sz w:val="24"/>
                <w:szCs w:val="24"/>
                <w:color w:val="auto"/>
              </w:rPr>
            </w:pPr>
          </w:p>
        </w:tc>
        <w:tc>
          <w:tcPr>
            <w:tcW w:w="268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24"/>
                <w:szCs w:val="24"/>
                <w:color w:val="auto"/>
              </w:rPr>
            </w:pPr>
          </w:p>
        </w:tc>
      </w:tr>
      <w:tr>
        <w:trPr>
          <w:trHeight w:val="248"/>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10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March 31,</w:t>
            </w:r>
          </w:p>
        </w:tc>
        <w:tc>
          <w:tcPr>
            <w:tcW w:w="540" w:type="dxa"/>
            <w:vAlign w:val="bottom"/>
            <w:tcBorders>
              <w:bottom w:val="single" w:sz="8" w:color="auto"/>
            </w:tcBorders>
          </w:tcPr>
          <w:p>
            <w:pPr>
              <w:spacing w:after="0"/>
              <w:rPr>
                <w:sz w:val="21"/>
                <w:szCs w:val="21"/>
                <w:color w:val="auto"/>
              </w:rPr>
            </w:pPr>
          </w:p>
        </w:tc>
      </w:tr>
      <w:tr>
        <w:trPr>
          <w:trHeight w:val="229"/>
        </w:trPr>
        <w:tc>
          <w:tcPr>
            <w:tcW w:w="80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Pr>
          <w:p>
            <w:pPr>
              <w:spacing w:after="0"/>
              <w:rPr>
                <w:sz w:val="19"/>
                <w:szCs w:val="19"/>
                <w:color w:val="auto"/>
              </w:rPr>
            </w:pPr>
          </w:p>
        </w:tc>
      </w:tr>
      <w:tr>
        <w:trPr>
          <w:trHeight w:val="21"/>
        </w:trPr>
        <w:tc>
          <w:tcPr>
            <w:tcW w:w="8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112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1,940</w:t>
            </w:r>
          </w:p>
        </w:tc>
      </w:tr>
      <w:tr>
        <w:trPr>
          <w:trHeight w:val="250"/>
        </w:trPr>
        <w:tc>
          <w:tcPr>
            <w:tcW w:w="80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w:t>
            </w:r>
          </w:p>
        </w:tc>
      </w:tr>
      <w:tr>
        <w:trPr>
          <w:trHeight w:val="25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469</w:t>
            </w:r>
          </w:p>
        </w:tc>
      </w:tr>
      <w:tr>
        <w:trPr>
          <w:trHeight w:val="221"/>
        </w:trPr>
        <w:tc>
          <w:tcPr>
            <w:tcW w:w="802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33"/>
        </w:trPr>
        <w:tc>
          <w:tcPr>
            <w:tcW w:w="8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50"/>
        </w:trPr>
        <w:tc>
          <w:tcPr>
            <w:tcW w:w="802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244</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Profit from operations</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290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225</w:t>
            </w:r>
          </w:p>
        </w:tc>
      </w:tr>
      <w:tr>
        <w:trPr>
          <w:trHeight w:val="21"/>
        </w:trPr>
        <w:tc>
          <w:tcPr>
            <w:tcW w:w="8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income (expenses), net</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24"/>
        </w:trPr>
        <w:tc>
          <w:tcPr>
            <w:tcW w:w="8020" w:type="dxa"/>
            <w:vAlign w:val="bottom"/>
          </w:tcPr>
          <w:p>
            <w:pPr>
              <w:ind w:left="20"/>
              <w:spacing w:after="0"/>
              <w:rPr>
                <w:sz w:val="20"/>
                <w:szCs w:val="20"/>
                <w:color w:val="auto"/>
              </w:rPr>
            </w:pPr>
            <w:r>
              <w:rPr>
                <w:rFonts w:ascii="Arial" w:cs="Arial" w:eastAsia="Arial" w:hAnsi="Arial"/>
                <w:sz w:val="16"/>
                <w:szCs w:val="16"/>
                <w:color w:val="auto"/>
              </w:rPr>
              <w:t>Share of profit of joint ventures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6"/>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Profit before income taxes</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277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207</w:t>
            </w:r>
          </w:p>
        </w:tc>
      </w:tr>
      <w:tr>
        <w:trPr>
          <w:trHeight w:val="21"/>
        </w:trPr>
        <w:tc>
          <w:tcPr>
            <w:tcW w:w="8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5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1020" w:type="dxa"/>
            <w:vAlign w:val="bottom"/>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254</w:t>
            </w:r>
          </w:p>
        </w:tc>
        <w:tc>
          <w:tcPr>
            <w:tcW w:w="112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178</w:t>
            </w:r>
          </w:p>
        </w:tc>
      </w:tr>
      <w:tr>
        <w:trPr>
          <w:trHeight w:val="23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33"/>
        </w:trPr>
        <w:tc>
          <w:tcPr>
            <w:tcW w:w="8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10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5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w:t>
            </w: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w:t>
            </w:r>
          </w:p>
        </w:tc>
      </w:tr>
      <w:tr>
        <w:trPr>
          <w:trHeight w:val="22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per share attributable to the equity holders of the Company:</w:t>
            </w:r>
          </w:p>
        </w:tc>
        <w:tc>
          <w:tcPr>
            <w:tcW w:w="10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color w:val="auto"/>
              </w:rPr>
              <w:t>Basic weighted average common shares outstanding</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33"/>
        </w:trPr>
        <w:tc>
          <w:tcPr>
            <w:tcW w:w="8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 outstanding</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w:t>
            </w: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0.46</w:t>
            </w:r>
          </w:p>
        </w:tc>
        <w:tc>
          <w:tcPr>
            <w:tcW w:w="1120" w:type="dxa"/>
            <w:vAlign w:val="bottom"/>
            <w:gridSpan w:val="2"/>
          </w:tcPr>
          <w:p>
            <w:pPr>
              <w:jc w:val="right"/>
              <w:ind w:right="8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0.34</w:t>
            </w:r>
          </w:p>
        </w:tc>
      </w:tr>
      <w:tr>
        <w:trPr>
          <w:trHeight w:val="33"/>
        </w:trPr>
        <w:tc>
          <w:tcPr>
            <w:tcW w:w="8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1120" w:type="dxa"/>
            <w:vAlign w:val="bottom"/>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r>
      <w:tr>
        <w:trPr>
          <w:trHeight w:val="33"/>
        </w:trPr>
        <w:tc>
          <w:tcPr>
            <w:tcW w:w="80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 OF COMPREHENSIVE INCOME FOR THE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31, 2023 AND 2022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40" w:type="dxa"/>
            <w:vAlign w:val="bottom"/>
          </w:tcPr>
          <w:p>
            <w:pPr>
              <w:spacing w:after="0"/>
              <w:rPr>
                <w:sz w:val="17"/>
                <w:szCs w:val="17"/>
                <w:color w:val="auto"/>
              </w:rPr>
            </w:pPr>
          </w:p>
        </w:tc>
        <w:tc>
          <w:tcPr>
            <w:tcW w:w="266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7"/>
                <w:szCs w:val="17"/>
                <w:color w:val="auto"/>
              </w:rPr>
            </w:pPr>
          </w:p>
        </w:tc>
      </w:tr>
      <w:tr>
        <w:trPr>
          <w:trHeight w:val="248"/>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March 31,</w:t>
            </w:r>
          </w:p>
        </w:tc>
        <w:tc>
          <w:tcPr>
            <w:tcW w:w="440" w:type="dxa"/>
            <w:vAlign w:val="bottom"/>
            <w:tcBorders>
              <w:bottom w:val="single" w:sz="8" w:color="auto"/>
            </w:tcBorders>
          </w:tcPr>
          <w:p>
            <w:pPr>
              <w:spacing w:after="0"/>
              <w:rPr>
                <w:sz w:val="21"/>
                <w:szCs w:val="21"/>
                <w:color w:val="auto"/>
              </w:rPr>
            </w:pPr>
          </w:p>
        </w:tc>
      </w:tr>
      <w:tr>
        <w:trPr>
          <w:trHeight w:val="229"/>
        </w:trPr>
        <w:tc>
          <w:tcPr>
            <w:tcW w:w="814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520" w:type="dxa"/>
            <w:vAlign w:val="bottom"/>
          </w:tcPr>
          <w:p>
            <w:pPr>
              <w:spacing w:after="0"/>
              <w:rPr>
                <w:sz w:val="19"/>
                <w:szCs w:val="19"/>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440" w:type="dxa"/>
            <w:vAlign w:val="bottom"/>
          </w:tcPr>
          <w:p>
            <w:pPr>
              <w:spacing w:after="0"/>
              <w:rPr>
                <w:sz w:val="19"/>
                <w:szCs w:val="19"/>
                <w:color w:val="auto"/>
              </w:rPr>
            </w:pPr>
          </w:p>
        </w:tc>
      </w:tr>
      <w:tr>
        <w:trPr>
          <w:trHeight w:val="21"/>
        </w:trPr>
        <w:tc>
          <w:tcPr>
            <w:tcW w:w="8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1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10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3"/>
        </w:trPr>
        <w:tc>
          <w:tcPr>
            <w:tcW w:w="8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80" w:type="dxa"/>
            <w:vAlign w:val="bottom"/>
            <w:tcBorders>
              <w:bottom w:val="single" w:sz="8" w:color="CCEEFF"/>
            </w:tcBorders>
            <w:gridSpan w:val="2"/>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50"/>
        </w:trPr>
        <w:tc>
          <w:tcPr>
            <w:tcW w:w="814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0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5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254</w:t>
            </w:r>
          </w:p>
        </w:tc>
        <w:tc>
          <w:tcPr>
            <w:tcW w:w="1080" w:type="dxa"/>
            <w:vAlign w:val="bottom"/>
            <w:gridSpan w:val="2"/>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w:t>
            </w:r>
          </w:p>
        </w:tc>
      </w:tr>
      <w:tr>
        <w:trPr>
          <w:trHeight w:val="267"/>
        </w:trPr>
        <w:tc>
          <w:tcPr>
            <w:tcW w:w="8140" w:type="dxa"/>
            <w:vAlign w:val="bottom"/>
            <w:tcBorders>
              <w:top w:val="single" w:sz="8" w:color="CCEEFF"/>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net of tax:</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r>
      <w:tr>
        <w:trPr>
          <w:trHeight w:val="235"/>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Items that may be reclassified subsequently to profit:</w:t>
            </w: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1"/>
        </w:trPr>
        <w:tc>
          <w:tcPr>
            <w:tcW w:w="8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of foreign exchange fluctuation reserve of joint ventures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80" w:type="dxa"/>
            <w:vAlign w:val="bottom"/>
            <w:tcBorders>
              <w:bottom w:val="single" w:sz="8" w:color="CCEEFF"/>
            </w:tcBorders>
            <w:gridSpan w:val="2"/>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4"/>
        </w:trPr>
        <w:tc>
          <w:tcPr>
            <w:tcW w:w="8140" w:type="dxa"/>
            <w:vAlign w:val="bottom"/>
          </w:tcPr>
          <w:p>
            <w:pPr>
              <w:ind w:left="20"/>
              <w:spacing w:after="0"/>
              <w:rPr>
                <w:sz w:val="20"/>
                <w:szCs w:val="20"/>
                <w:color w:val="auto"/>
              </w:rPr>
            </w:pPr>
            <w:r>
              <w:rPr>
                <w:rFonts w:ascii="Arial" w:cs="Arial" w:eastAsia="Arial" w:hAnsi="Arial"/>
                <w:sz w:val="16"/>
                <w:szCs w:val="16"/>
                <w:color w:val="auto"/>
              </w:rPr>
              <w:t>Effective portion of changes in the fair value of cash flow hedges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33"/>
        </w:trPr>
        <w:tc>
          <w:tcPr>
            <w:tcW w:w="8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Fair value on investments measured at fair value through other comprehensive income</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8140" w:type="dxa"/>
            <w:vAlign w:val="bottom"/>
          </w:tcPr>
          <w:p>
            <w:pPr>
              <w:ind w:left="20"/>
              <w:spacing w:after="0"/>
              <w:rPr>
                <w:sz w:val="20"/>
                <w:szCs w:val="20"/>
                <w:color w:val="auto"/>
              </w:rPr>
            </w:pPr>
            <w:r>
              <w:rPr>
                <w:rFonts w:ascii="Arial" w:cs="Arial" w:eastAsia="Arial" w:hAnsi="Arial"/>
                <w:sz w:val="16"/>
                <w:szCs w:val="16"/>
                <w:color w:val="auto"/>
              </w:rPr>
              <w:t>Income tax effect</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8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for the period</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80" w:type="dxa"/>
            <w:vAlign w:val="bottom"/>
            <w:tcBorders>
              <w:bottom w:val="single" w:sz="8" w:color="CCEEFF"/>
            </w:tcBorders>
            <w:gridSpan w:val="2"/>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w:t>
            </w:r>
          </w:p>
        </w:tc>
      </w:tr>
      <w:tr>
        <w:trPr>
          <w:trHeight w:val="250"/>
        </w:trPr>
        <w:tc>
          <w:tcPr>
            <w:tcW w:w="814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w:t>
            </w:r>
          </w:p>
        </w:tc>
        <w:tc>
          <w:tcPr>
            <w:tcW w:w="108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33"/>
        </w:trPr>
        <w:tc>
          <w:tcPr>
            <w:tcW w:w="8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for the period</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80" w:type="dxa"/>
            <w:vAlign w:val="bottom"/>
            <w:tcBorders>
              <w:bottom w:val="single" w:sz="8" w:color="CCEEFF"/>
            </w:tcBorders>
            <w:gridSpan w:val="2"/>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w:t>
            </w:r>
          </w:p>
        </w:tc>
      </w:tr>
      <w:tr>
        <w:trPr>
          <w:trHeight w:val="250"/>
        </w:trPr>
        <w:tc>
          <w:tcPr>
            <w:tcW w:w="8140" w:type="dxa"/>
            <w:vAlign w:val="bottom"/>
            <w:tcBorders>
              <w:bottom w:val="single" w:sz="8" w:color="CCEEFF"/>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for the period</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80" w:type="dxa"/>
            <w:vAlign w:val="bottom"/>
            <w:tcBorders>
              <w:bottom w:val="single" w:sz="8" w:color="CCEEFF"/>
            </w:tcBorders>
            <w:gridSpan w:val="2"/>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50"/>
        </w:trPr>
        <w:tc>
          <w:tcPr>
            <w:tcW w:w="814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r>
      <w:tr>
        <w:trPr>
          <w:trHeight w:val="23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262</w:t>
            </w:r>
          </w:p>
        </w:tc>
        <w:tc>
          <w:tcPr>
            <w:tcW w:w="108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33"/>
        </w:trPr>
        <w:tc>
          <w:tcPr>
            <w:tcW w:w="8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10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53"/>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 for the period</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w:t>
            </w:r>
          </w:p>
        </w:tc>
        <w:tc>
          <w:tcPr>
            <w:tcW w:w="80" w:type="dxa"/>
            <w:vAlign w:val="bottom"/>
          </w:tcPr>
          <w:p>
            <w:pPr>
              <w:spacing w:after="0"/>
              <w:rPr>
                <w:sz w:val="21"/>
                <w:szCs w:val="21"/>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6" w:name="page7"/>
    <w:bookmarkEnd w:id="6"/>
    <w:p>
      <w:pPr>
        <w:jc w:val="center"/>
        <w:ind w:right="-999"/>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ind w:right="-999"/>
        <w:spacing w:after="0"/>
        <w:rPr>
          <w:sz w:val="20"/>
          <w:szCs w:val="20"/>
          <w:color w:val="auto"/>
        </w:rPr>
      </w:pPr>
      <w:r>
        <w:rPr>
          <w:rFonts w:ascii="Arial" w:cs="Arial" w:eastAsia="Arial" w:hAnsi="Arial"/>
          <w:sz w:val="16"/>
          <w:szCs w:val="16"/>
          <w:b w:val="1"/>
          <w:bCs w:val="1"/>
          <w:color w:val="auto"/>
        </w:rPr>
        <w:t>INTERIM CONDENSED CONSOLIDATED STATEMENTS OF CHANGES IN EQUITY</w:t>
      </w:r>
    </w:p>
    <w:p>
      <w:pPr>
        <w:spacing w:after="0" w:line="12" w:lineRule="exact"/>
        <w:rPr>
          <w:sz w:val="20"/>
          <w:szCs w:val="20"/>
          <w:color w:val="auto"/>
        </w:rPr>
      </w:pPr>
    </w:p>
    <w:p>
      <w:pPr>
        <w:jc w:val="center"/>
        <w:ind w:right="-999"/>
        <w:spacing w:after="0"/>
        <w:rPr>
          <w:sz w:val="20"/>
          <w:szCs w:val="20"/>
          <w:color w:val="auto"/>
        </w:rPr>
      </w:pPr>
      <w:r>
        <w:rPr>
          <w:rFonts w:ascii="Arial" w:cs="Arial" w:eastAsia="Arial" w:hAnsi="Arial"/>
          <w:sz w:val="16"/>
          <w:szCs w:val="16"/>
          <w:b w:val="1"/>
          <w:bCs w:val="1"/>
          <w:color w:val="auto"/>
        </w:rPr>
        <w:t>FOR THE Three Months Ended March 31, 2023 AND 2022</w:t>
      </w:r>
    </w:p>
    <w:p>
      <w:pPr>
        <w:spacing w:after="0" w:line="19"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0" w:type="dxa"/>
            <w:vAlign w:val="bottom"/>
            <w:gridSpan w:val="14"/>
          </w:tcPr>
          <w:p>
            <w:pPr>
              <w:jc w:val="right"/>
              <w:ind w:right="457"/>
              <w:spacing w:after="0"/>
              <w:rPr>
                <w:sz w:val="20"/>
                <w:szCs w:val="20"/>
                <w:color w:val="auto"/>
              </w:rPr>
            </w:pPr>
            <w:r>
              <w:rPr>
                <w:rFonts w:ascii="Arial" w:cs="Arial" w:eastAsia="Arial" w:hAnsi="Arial"/>
                <w:sz w:val="13"/>
                <w:szCs w:val="13"/>
                <w:b w:val="1"/>
                <w:bCs w:val="1"/>
                <w:color w:val="auto"/>
              </w:rPr>
              <w:t>Equity Attributable to Shareholders of GLOBALFOUNDRIES Inc.</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rPr>
              <w:t>Foreign</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Currency</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Translation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rPr>
              <w:t>and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Non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57"/>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b w:val="1"/>
                <w:bCs w:val="1"/>
                <w:color w:val="auto"/>
                <w:w w:val="99"/>
              </w:rPr>
              <w:t>Hedging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Investments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Controlling</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740" w:type="dxa"/>
            <w:vAlign w:val="bottom"/>
            <w:gridSpan w:val="4"/>
          </w:tcPr>
          <w:p>
            <w:pPr>
              <w:jc w:val="right"/>
              <w:ind w:right="297"/>
              <w:spacing w:after="0"/>
              <w:rPr>
                <w:sz w:val="20"/>
                <w:szCs w:val="20"/>
                <w:color w:val="auto"/>
              </w:rPr>
            </w:pPr>
            <w:r>
              <w:rPr>
                <w:rFonts w:ascii="Arial" w:cs="Arial" w:eastAsia="Arial" w:hAnsi="Arial"/>
                <w:sz w:val="13"/>
                <w:szCs w:val="13"/>
                <w:b w:val="1"/>
                <w:bCs w:val="1"/>
                <w:color w:val="auto"/>
              </w:rPr>
              <w:t>Common 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3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w w:val="98"/>
              </w:rPr>
              <w:t>Reserve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Reserves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Interest</w:t>
            </w:r>
          </w:p>
        </w:tc>
        <w:tc>
          <w:tcPr>
            <w:tcW w:w="8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35"/>
        </w:trPr>
        <w:tc>
          <w:tcPr>
            <w:tcW w:w="16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680" w:type="dxa"/>
            <w:vAlign w:val="bottom"/>
          </w:tcPr>
          <w:p>
            <w:pPr>
              <w:spacing w:after="0"/>
              <w:rPr>
                <w:sz w:val="15"/>
                <w:szCs w:val="15"/>
                <w:color w:val="auto"/>
              </w:rPr>
            </w:pPr>
          </w:p>
        </w:tc>
        <w:tc>
          <w:tcPr>
            <w:tcW w:w="82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17"/>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23,487</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(15,469)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$7,975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58</w:t>
            </w:r>
          </w:p>
        </w:tc>
        <w:tc>
          <w:tcPr>
            <w:tcW w:w="2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8,033</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43"/>
        </w:trPr>
        <w:tc>
          <w:tcPr>
            <w:tcW w:w="1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62"/>
        </w:trPr>
        <w:tc>
          <w:tcPr>
            <w:tcW w:w="1680" w:type="dxa"/>
            <w:vAlign w:val="bottom"/>
          </w:tcPr>
          <w:p>
            <w:pPr>
              <w:ind w:left="20"/>
              <w:spacing w:after="0"/>
              <w:rPr>
                <w:sz w:val="20"/>
                <w:szCs w:val="20"/>
                <w:color w:val="auto"/>
              </w:rPr>
            </w:pPr>
            <w:r>
              <w:rPr>
                <w:rFonts w:ascii="Arial" w:cs="Arial" w:eastAsia="Arial" w:hAnsi="Arial"/>
                <w:sz w:val="13"/>
                <w:szCs w:val="13"/>
                <w:color w:val="auto"/>
              </w:rPr>
              <w:t>Other comprehensive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3"/>
                <w:szCs w:val="13"/>
                <w:color w:val="auto"/>
              </w:rPr>
              <w:t>income</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43"/>
        </w:trPr>
        <w:tc>
          <w:tcPr>
            <w:tcW w:w="16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March 31, 2022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$23,540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$(15,290)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$8,282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$8,339</w:t>
            </w:r>
          </w:p>
        </w:tc>
        <w:tc>
          <w:tcPr>
            <w:tcW w:w="0" w:type="dxa"/>
            <w:vAlign w:val="bottom"/>
          </w:tcPr>
          <w:p>
            <w:pPr>
              <w:spacing w:after="0"/>
              <w:rPr>
                <w:sz w:val="1"/>
                <w:szCs w:val="1"/>
                <w:color w:val="auto"/>
              </w:rPr>
            </w:pPr>
          </w:p>
        </w:tc>
      </w:tr>
      <w:tr>
        <w:trPr>
          <w:trHeight w:val="156"/>
        </w:trPr>
        <w:tc>
          <w:tcPr>
            <w:tcW w:w="168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548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23,831</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(14,021)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103</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34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9,913</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w:t>
            </w:r>
          </w:p>
        </w:tc>
        <w:tc>
          <w:tcPr>
            <w:tcW w:w="2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9,960</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rPr>
                <w:sz w:val="20"/>
                <w:szCs w:val="20"/>
                <w:color w:val="auto"/>
              </w:rPr>
            </w:pPr>
            <w:r>
              <w:rPr>
                <w:rFonts w:ascii="Arial" w:cs="Arial" w:eastAsia="Arial" w:hAnsi="Arial"/>
                <w:sz w:val="13"/>
                <w:szCs w:val="13"/>
                <w:color w:val="auto"/>
              </w:rPr>
              <w:t>Proceeds from issuance of</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80" w:type="dxa"/>
            <w:vAlign w:val="bottom"/>
          </w:tcPr>
          <w:p>
            <w:pPr>
              <w:ind w:left="20"/>
              <w:spacing w:after="0"/>
              <w:rPr>
                <w:sz w:val="20"/>
                <w:szCs w:val="20"/>
                <w:color w:val="auto"/>
              </w:rPr>
            </w:pPr>
            <w:r>
              <w:rPr>
                <w:rFonts w:ascii="Arial" w:cs="Arial" w:eastAsia="Arial" w:hAnsi="Arial"/>
                <w:sz w:val="13"/>
                <w:szCs w:val="13"/>
                <w:color w:val="auto"/>
              </w:rPr>
              <w:t>equity instruments</w:t>
            </w: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43"/>
        </w:trPr>
        <w:tc>
          <w:tcPr>
            <w:tcW w:w="1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43"/>
        </w:trPr>
        <w:tc>
          <w:tcPr>
            <w:tcW w:w="1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92"/>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w:t>
            </w: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March 31, 2023</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552</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23,916</w:t>
            </w:r>
          </w:p>
        </w:tc>
        <w:tc>
          <w:tcPr>
            <w:tcW w:w="16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(13,767)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106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10,260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10,307</w:t>
            </w: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9"/>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ind w:left="55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94" w:right="1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CASH FLOWS FOR THE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31, 2023 AND 2022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27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March 31,</w:t>
            </w: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254</w:t>
            </w:r>
          </w:p>
        </w:tc>
        <w:tc>
          <w:tcPr>
            <w:tcW w:w="1140" w:type="dxa"/>
            <w:vAlign w:val="bottom"/>
            <w:gridSpan w:val="2"/>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taxes paid and finance income (expense), net</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Amortization of deferred income from government grants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6"/>
                <w:szCs w:val="16"/>
                <w:color w:val="auto"/>
              </w:rPr>
              <w:t>Gain on disposal of property, plant and equipment and other</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assets and liabilities:</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Receivables, prepayments, other assets and other noncurrent assets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6"/>
                <w:szCs w:val="16"/>
                <w:color w:val="auto"/>
              </w:rPr>
              <w:t>Trade and other payables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33"/>
        </w:trPr>
        <w:tc>
          <w:tcPr>
            <w:tcW w:w="8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800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479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845</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 net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intangible assets</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1"/>
        </w:trPr>
        <w:tc>
          <w:tcPr>
            <w:tcW w:w="8000" w:type="dxa"/>
            <w:vAlign w:val="bottom"/>
          </w:tcPr>
          <w:p>
            <w:pPr>
              <w:ind w:left="20"/>
              <w:spacing w:after="0"/>
              <w:rPr>
                <w:sz w:val="20"/>
                <w:szCs w:val="20"/>
                <w:color w:val="auto"/>
              </w:rPr>
            </w:pPr>
            <w:r>
              <w:rPr>
                <w:rFonts w:ascii="Arial" w:cs="Arial" w:eastAsia="Arial" w:hAnsi="Arial"/>
                <w:sz w:val="16"/>
                <w:szCs w:val="16"/>
                <w:color w:val="auto"/>
              </w:rPr>
              <w:t>Proceeds from the sale of EFK business</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Advances and proceeds from sale of property, plant and equipment and intangible assets</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6"/>
                <w:szCs w:val="16"/>
                <w:color w:val="auto"/>
              </w:rPr>
              <w:t>Purchases of investment in marketable securities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the sale of investment in marketable securities</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800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(639)</w:t>
            </w:r>
          </w:p>
        </w:tc>
        <w:tc>
          <w:tcPr>
            <w:tcW w:w="0" w:type="dxa"/>
            <w:vAlign w:val="bottom"/>
          </w:tcPr>
          <w:p>
            <w:pPr>
              <w:spacing w:after="0"/>
              <w:rPr>
                <w:sz w:val="1"/>
                <w:szCs w:val="1"/>
                <w:color w:val="auto"/>
              </w:rPr>
            </w:pPr>
          </w:p>
        </w:tc>
      </w:tr>
      <w:tr>
        <w:trPr>
          <w:trHeight w:val="267"/>
        </w:trPr>
        <w:tc>
          <w:tcPr>
            <w:tcW w:w="80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Net proceeds from borrowings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of debt and finance lease obligations</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Proceeds from issuance of equity instruments and other</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10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6"/>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118</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Net increase/(decrease) in cash and cash equivalents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2,939</w:t>
            </w:r>
          </w:p>
        </w:tc>
        <w:tc>
          <w:tcPr>
            <w:tcW w:w="0" w:type="dxa"/>
            <w:vAlign w:val="bottom"/>
          </w:tcPr>
          <w:p>
            <w:pPr>
              <w:spacing w:after="0"/>
              <w:rPr>
                <w:sz w:val="1"/>
                <w:szCs w:val="1"/>
                <w:color w:val="auto"/>
              </w:rPr>
            </w:pPr>
          </w:p>
        </w:tc>
      </w:tr>
      <w:tr>
        <w:trPr>
          <w:trHeight w:val="257"/>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1020" w:type="dxa"/>
            <w:vAlign w:val="bottom"/>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2,256</w:t>
            </w:r>
          </w:p>
        </w:tc>
        <w:tc>
          <w:tcPr>
            <w:tcW w:w="114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3,264</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10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00" w:type="dxa"/>
            <w:vAlign w:val="bottom"/>
          </w:tcPr>
          <w:p>
            <w:pPr>
              <w:ind w:left="20"/>
              <w:spacing w:after="0"/>
              <w:rPr>
                <w:sz w:val="20"/>
                <w:szCs w:val="20"/>
                <w:color w:val="auto"/>
              </w:rPr>
            </w:pPr>
            <w:r>
              <w:rPr>
                <w:rFonts w:ascii="Arial" w:cs="Arial" w:eastAsia="Arial" w:hAnsi="Arial"/>
                <w:sz w:val="16"/>
                <w:szCs w:val="16"/>
                <w:color w:val="auto"/>
              </w:rPr>
              <w:t>Amounts payable for property, plant and equipment</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acquired through lease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50"/>
        </w:trPr>
        <w:tc>
          <w:tcPr>
            <w:tcW w:w="8000" w:type="dxa"/>
            <w:vAlign w:val="bottom"/>
          </w:tcPr>
          <w:p>
            <w:pPr>
              <w:ind w:left="20"/>
              <w:spacing w:after="0"/>
              <w:rPr>
                <w:sz w:val="20"/>
                <w:szCs w:val="20"/>
                <w:color w:val="auto"/>
              </w:rPr>
            </w:pPr>
            <w:r>
              <w:rPr>
                <w:rFonts w:ascii="Arial" w:cs="Arial" w:eastAsia="Arial" w:hAnsi="Arial"/>
                <w:sz w:val="16"/>
                <w:szCs w:val="16"/>
                <w:color w:val="auto"/>
              </w:rPr>
              <w:t>Amounts payable for intangible assets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ectPr>
          <w:pgSz w:w="11900" w:h="16838" w:orient="portrait"/>
          <w:cols w:equalWidth="0" w:num="1">
            <w:col w:w="11240"/>
          </w:cols>
          <w:pgMar w:left="320" w:top="94" w:right="339" w:bottom="1440" w:gutter="0" w:footer="0" w:header="0"/>
        </w:sect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Corporate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Operations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GLOBALFOUNDRIES and its subsidiaries (together referred to as the “Company”, “GlobalFoundries”, “GF”, “we”, or “us”) is one of the world’s leading semiconductor foundries and offers a full range of mainstream wafer fabrication services and technologies. The Company manufactures a broad range of semiconductor devices, including microprocessors, mobile application processors, baseband processors, network processors, radio frequency modems, microcontroller, and power management units.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Basis of Presentation and Summary of Significant Accounting Policies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Statement of Compliance — </w:t>
      </w:r>
      <w:r>
        <w:rPr>
          <w:rFonts w:ascii="Arial" w:cs="Arial" w:eastAsia="Arial" w:hAnsi="Arial"/>
          <w:sz w:val="16"/>
          <w:szCs w:val="16"/>
          <w:color w:val="auto"/>
        </w:rPr>
        <w:t>The accompanying interim condensed consolidated financial statements have been prepared by management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accordance with the rules and regulations of the International Financial Reporting Standards (“IFRS”) as issued by the International Accounting Standards Board (“IASB”). The interim condensed consolidated financial statements do not include all the information and disclosures required in the annual consolidated financial statements prepared in accordance with IFRS as issued by the IASB and should be read in conjunction with the Company’s annual consolidated financial statements, included in GLOBALFOUNDRIES' Annual Report on Form 20-F for the year ended December 31, 2022.</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interim condensed consolidated financial statements were authorized by the Audit, Risk and Compliance Committee of GLOBALFOUNDRIES’ Board of Directors on May 16, 2023, to be issued and subsequent events have been evaluated for their potential effect on the interim condensed consolidated financial statements through May 18, 2022.</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auto"/>
        </w:rPr>
        <w:t xml:space="preserve">Significant Accounting Judgments, Estimates and Assumptions — </w:t>
      </w:r>
      <w:r>
        <w:rPr>
          <w:rFonts w:ascii="Arial" w:cs="Arial" w:eastAsia="Arial" w:hAnsi="Arial"/>
          <w:sz w:val="16"/>
          <w:szCs w:val="16"/>
          <w:color w:val="auto"/>
        </w:rPr>
        <w:t>The preparation of financial statements in accordance with International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Standards (“IAS”) 34, Interim Financial Reporting, requires the use of certain critical accounting estimates. It also requires management to exercise judgment in applying the Company’s accounting policies. In the opinion of management, all adjustments, consisting solely of normal recurring adjustments necessary for a fair presentation of the financial information for the periods indicated, have been included. The results for the three months ended March 31, 2023 are not necessarily indicative of the results that may be expected for the year ending December 31, 2023.</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Significant Accounting Policies — </w:t>
      </w:r>
      <w:r>
        <w:rPr>
          <w:rFonts w:ascii="Arial" w:cs="Arial" w:eastAsia="Arial" w:hAnsi="Arial"/>
          <w:sz w:val="16"/>
          <w:szCs w:val="16"/>
          <w:color w:val="auto"/>
        </w:rPr>
        <w:t>Except as set forth below, the accounting policies (including accounting judgements, estimates and assumptions)</w:t>
      </w:r>
      <w:r>
        <w:rPr>
          <w:rFonts w:ascii="Arial" w:cs="Arial" w:eastAsia="Arial" w:hAnsi="Arial"/>
          <w:sz w:val="16"/>
          <w:szCs w:val="16"/>
          <w:b w:val="1"/>
          <w:bCs w:val="1"/>
          <w:color w:val="auto"/>
        </w:rPr>
        <w:t xml:space="preserve"> </w:t>
      </w:r>
      <w:r>
        <w:rPr>
          <w:rFonts w:ascii="Arial" w:cs="Arial" w:eastAsia="Arial" w:hAnsi="Arial"/>
          <w:sz w:val="16"/>
          <w:szCs w:val="16"/>
          <w:color w:val="auto"/>
        </w:rPr>
        <w:t>adopted in the preparation of the interim condensed consolidated financial statements are consistent with those followed in the preparation of the Company's annual audited consolidated financial statements contained in our Annual Report on Form 20-F for the year ended December 31, 2022.</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Property, Plant and Equipment — </w:t>
      </w:r>
      <w:r>
        <w:rPr>
          <w:rFonts w:ascii="Arial" w:cs="Arial" w:eastAsia="Arial" w:hAnsi="Arial"/>
          <w:sz w:val="16"/>
          <w:szCs w:val="16"/>
          <w:color w:val="auto"/>
        </w:rPr>
        <w:t>We periodically assess the estimated useful lives of property, plant and equipment. As a result of a review completed in</w:t>
      </w:r>
      <w:r>
        <w:rPr>
          <w:rFonts w:ascii="Arial" w:cs="Arial" w:eastAsia="Arial" w:hAnsi="Arial"/>
          <w:sz w:val="16"/>
          <w:szCs w:val="16"/>
          <w:b w:val="1"/>
          <w:bCs w:val="1"/>
          <w:color w:val="auto"/>
        </w:rPr>
        <w:t xml:space="preserve"> </w:t>
      </w:r>
      <w:r>
        <w:rPr>
          <w:rFonts w:ascii="Arial" w:cs="Arial" w:eastAsia="Arial" w:hAnsi="Arial"/>
          <w:sz w:val="16"/>
          <w:szCs w:val="16"/>
          <w:color w:val="auto"/>
        </w:rPr>
        <w:t>April 2023, the Company concluded the estimated maximum useful life of buildings should be increased from 26 years to 50 years. This change in estimate was applied prospectively, effective beginning in the first quarter of 2023. The Company determined that the change in estimated maximum useful lives of buildings did not have a material impact on the financial statements as of and for the three months ended March 31, 2023.</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Adopted:</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Amendments to IFRS 9, IAS 39, IFRS 7 and IFRS 16 Interest Rate Benchmark Reform (“IBOR reform”)</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Refer to the audited consolidated financial statements included in the Company's Annual Report on Form 20-F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Net Revenue</w:t>
      </w:r>
    </w:p>
    <w:p>
      <w:pPr>
        <w:spacing w:after="0" w:line="2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presents the Company’s revenue disaggregated based on revenue source and timing of revenue recognition for the three month periods ended March 31, 2023 and 2022. The Company believes these categories best depict the nature and timing of revenue: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76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March 31,</w:t>
            </w:r>
          </w:p>
        </w:tc>
      </w:tr>
      <w:tr>
        <w:trPr>
          <w:trHeight w:val="233"/>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7760" w:type="dxa"/>
            <w:vAlign w:val="bottom"/>
            <w:gridSpan w:val="3"/>
            <w:shd w:val="clear" w:color="auto" w:fill="CCEEFF"/>
          </w:tcPr>
          <w:p>
            <w:pPr>
              <w:spacing w:after="0" w:line="183" w:lineRule="exact"/>
              <w:rPr>
                <w:sz w:val="20"/>
                <w:szCs w:val="20"/>
                <w:color w:val="auto"/>
              </w:rPr>
            </w:pPr>
            <w:r>
              <w:rPr>
                <w:rFonts w:ascii="Arial" w:cs="Arial" w:eastAsia="Arial" w:hAnsi="Arial"/>
                <w:sz w:val="16"/>
                <w:szCs w:val="16"/>
                <w:color w:val="auto"/>
              </w:rPr>
              <w:t>Type of goods and services:</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3"/>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Wafer fabrication</w:t>
            </w:r>
          </w:p>
        </w:tc>
        <w:tc>
          <w:tcPr>
            <w:tcW w:w="574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1,680</w:t>
            </w:r>
          </w:p>
        </w:tc>
        <w:tc>
          <w:tcPr>
            <w:tcW w:w="480" w:type="dxa"/>
            <w:vAlign w:val="bottom"/>
            <w:tcBorders>
              <w:top w:val="single" w:sz="8" w:color="CCEEFF"/>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1,825</w:t>
            </w:r>
          </w:p>
        </w:tc>
      </w:tr>
      <w:tr>
        <w:trPr>
          <w:trHeight w:val="33"/>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Engineering and other pre-fabrication services</w:t>
            </w: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29"/>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1,841</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Timing of revenue recognition:</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Revenue recognized over time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48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23"/>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Revenue recognized at a point in time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1,813</w:t>
            </w:r>
          </w:p>
        </w:tc>
      </w:tr>
      <w:tr>
        <w:trPr>
          <w:trHeight w:val="33"/>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1,841</w:t>
            </w:r>
          </w:p>
        </w:tc>
        <w:tc>
          <w:tcPr>
            <w:tcW w:w="48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1,940</w:t>
            </w:r>
          </w:p>
        </w:tc>
      </w:tr>
      <w:tr>
        <w:trPr>
          <w:trHeight w:val="20"/>
        </w:trPr>
        <w:tc>
          <w:tcPr>
            <w:tcW w:w="2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Income taxes</w:t>
      </w:r>
    </w:p>
    <w:p>
      <w:pPr>
        <w:spacing w:after="0" w:line="2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For tax reporting purposes, the Company consolidates its entities under GLOBALFOUNDRIES Inc., a Cayman Islands entity. As a Cayman Islands corporation, the Company’s domestic statutory income tax rate is 0.0%. The difference between the Company’s domestic statutory income tax rate and its effective income tax rate reflected in the income tax benefit or income tax expense is </w:t>
      </w:r>
      <w:r>
        <w:rPr>
          <w:rFonts w:ascii="Arial" w:cs="Arial" w:eastAsia="Arial" w:hAnsi="Arial"/>
          <w:sz w:val="16"/>
          <w:szCs w:val="16"/>
          <w:color w:val="212121"/>
        </w:rPr>
        <w:t>primarily due to the effect of the tax rates and permanent differences in</w:t>
      </w:r>
      <w:r>
        <w:rPr>
          <w:rFonts w:ascii="Arial" w:cs="Arial" w:eastAsia="Arial" w:hAnsi="Arial"/>
          <w:sz w:val="16"/>
          <w:szCs w:val="16"/>
          <w:color w:val="auto"/>
        </w:rPr>
        <w:t xml:space="preserve"> </w:t>
      </w:r>
      <w:r>
        <w:rPr>
          <w:rFonts w:ascii="Arial" w:cs="Arial" w:eastAsia="Arial" w:hAnsi="Arial"/>
          <w:sz w:val="16"/>
          <w:szCs w:val="16"/>
          <w:color w:val="212121"/>
        </w:rPr>
        <w:t>the other jurisdictions in which the Company operates.</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effective tax rate for the three months ended March 31, 2023 and 2022 was 8.3% and 14.0%, respectively. The decrease for the three months ended March 31, 2023 compared to the prior year was primarily due to an improved mix of income in certain jurisdictions and a benefit related to Singapore tax incentives, partially offset by additional withholding tax expense accrued in the United States.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Earnings Per Share</w:t>
      </w:r>
    </w:p>
    <w:p>
      <w:pPr>
        <w:spacing w:after="0" w:line="2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Basic earnings per share ("EPS") is based upon the weighted average number of common shares outstanding during the period. Diluted earnings per share is based upon the weighted average number of common shares outstanding during the period assuming the issuance of common shares for all potentially dilutive common shares outstanding.</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20"/>
                <w:szCs w:val="20"/>
                <w:color w:val="auto"/>
              </w:rPr>
            </w:pPr>
            <w:r>
              <w:rPr>
                <w:rFonts w:ascii="Arial" w:cs="Arial" w:eastAsia="Arial" w:hAnsi="Arial"/>
                <w:sz w:val="16"/>
                <w:szCs w:val="16"/>
                <w:color w:val="auto"/>
              </w:rPr>
              <w:t>The following table sets forth the computation of basic and diluted earnings per share:</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4"/>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320" w:type="dxa"/>
            <w:vAlign w:val="bottom"/>
          </w:tcPr>
          <w:p>
            <w:pPr>
              <w:spacing w:after="0"/>
              <w:rPr>
                <w:sz w:val="24"/>
                <w:szCs w:val="24"/>
                <w:color w:val="auto"/>
              </w:rPr>
            </w:pPr>
          </w:p>
        </w:tc>
        <w:tc>
          <w:tcPr>
            <w:tcW w:w="31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r>
      <w:tr>
        <w:trPr>
          <w:trHeight w:val="21"/>
        </w:trPr>
        <w:tc>
          <w:tcPr>
            <w:tcW w:w="7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9"/>
        </w:trPr>
        <w:tc>
          <w:tcPr>
            <w:tcW w:w="7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
        </w:trPr>
        <w:tc>
          <w:tcPr>
            <w:tcW w:w="7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equity shareholders of the Company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48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50"/>
        </w:trPr>
        <w:tc>
          <w:tcPr>
            <w:tcW w:w="78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3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24"/>
        </w:trPr>
        <w:tc>
          <w:tcPr>
            <w:tcW w:w="7800" w:type="dxa"/>
            <w:vAlign w:val="bottom"/>
          </w:tcPr>
          <w:p>
            <w:pPr>
              <w:ind w:left="160"/>
              <w:spacing w:after="0"/>
              <w:rPr>
                <w:sz w:val="20"/>
                <w:szCs w:val="20"/>
                <w:color w:val="auto"/>
              </w:rPr>
            </w:pPr>
            <w:r>
              <w:rPr>
                <w:rFonts w:ascii="Arial" w:cs="Arial" w:eastAsia="Arial" w:hAnsi="Arial"/>
                <w:sz w:val="16"/>
                <w:szCs w:val="16"/>
                <w:color w:val="auto"/>
              </w:rPr>
              <w:t>Basic</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33"/>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7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w:t>
            </w:r>
          </w:p>
        </w:tc>
      </w:tr>
      <w:tr>
        <w:trPr>
          <w:trHeight w:val="270"/>
        </w:trPr>
        <w:tc>
          <w:tcPr>
            <w:tcW w:w="7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basic and diluted EPS attributable to equity shareholders</w:t>
            </w: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17"/>
        </w:trPr>
        <w:tc>
          <w:tcPr>
            <w:tcW w:w="7800" w:type="dxa"/>
            <w:vAlign w:val="bottom"/>
          </w:tcPr>
          <w:p>
            <w:pPr>
              <w:ind w:left="120"/>
              <w:spacing w:after="0"/>
              <w:rPr>
                <w:sz w:val="20"/>
                <w:szCs w:val="20"/>
                <w:color w:val="auto"/>
              </w:rPr>
            </w:pPr>
            <w:r>
              <w:rPr>
                <w:rFonts w:ascii="Arial" w:cs="Arial" w:eastAsia="Arial" w:hAnsi="Arial"/>
                <w:sz w:val="16"/>
                <w:szCs w:val="16"/>
                <w:color w:val="auto"/>
              </w:rPr>
              <w:t>Basic</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0.46</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0.34</w:t>
            </w:r>
          </w:p>
        </w:tc>
      </w:tr>
      <w:tr>
        <w:trPr>
          <w:trHeight w:val="33"/>
        </w:trPr>
        <w:tc>
          <w:tcPr>
            <w:tcW w:w="7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48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0.33</w:t>
            </w:r>
          </w:p>
        </w:tc>
      </w:tr>
      <w:tr>
        <w:trPr>
          <w:trHeight w:val="20"/>
        </w:trPr>
        <w:tc>
          <w:tcPr>
            <w:tcW w:w="7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40" w:type="dxa"/>
            <w:vAlign w:val="bottom"/>
            <w:gridSpan w:val="3"/>
          </w:tcPr>
          <w:p>
            <w:pPr>
              <w:spacing w:after="0"/>
              <w:rPr>
                <w:sz w:val="20"/>
                <w:szCs w:val="20"/>
                <w:color w:val="auto"/>
              </w:rPr>
            </w:pPr>
            <w:r>
              <w:rPr>
                <w:rFonts w:ascii="Arial" w:cs="Arial" w:eastAsia="Arial" w:hAnsi="Arial"/>
                <w:sz w:val="16"/>
                <w:szCs w:val="16"/>
                <w:b w:val="1"/>
                <w:bCs w:val="1"/>
                <w:color w:val="auto"/>
              </w:rPr>
              <w:t>Note 6. Property Plant and Equipment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rPr>
              <w:t>Land and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b w:val="1"/>
                <w:bCs w:val="1"/>
                <w:color w:val="auto"/>
              </w:rPr>
              <w:t>Building and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Land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rPr>
              <w:t>Leasehold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Construction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5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20"/>
                <w:szCs w:val="20"/>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b w:val="1"/>
                <w:bCs w:val="1"/>
                <w:color w:val="auto"/>
              </w:rPr>
              <w:t>Improvements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b w:val="1"/>
                <w:bCs w:val="1"/>
                <w:color w:val="auto"/>
              </w:rPr>
              <w:t>Improvements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Equipment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Computer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rPr>
              <w:t>in Progress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2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1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52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122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7,867</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22,569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439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3,384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34,381</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19"/>
        </w:trPr>
        <w:tc>
          <w:tcPr>
            <w:tcW w:w="2520" w:type="dxa"/>
            <w:vAlign w:val="bottom"/>
          </w:tcPr>
          <w:p>
            <w:pPr>
              <w:ind w:left="20"/>
              <w:spacing w:after="0"/>
              <w:rPr>
                <w:sz w:val="20"/>
                <w:szCs w:val="20"/>
                <w:color w:val="auto"/>
              </w:rPr>
            </w:pPr>
            <w:r>
              <w:rPr>
                <w:rFonts w:ascii="Arial" w:cs="Arial" w:eastAsia="Arial" w:hAnsi="Arial"/>
                <w:sz w:val="16"/>
                <w:szCs w:val="16"/>
                <w:color w:val="auto"/>
              </w:rPr>
              <w:t>Transfers from construction in</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20" w:type="dxa"/>
            <w:vAlign w:val="bottom"/>
          </w:tcPr>
          <w:p>
            <w:pPr>
              <w:ind w:left="20"/>
              <w:spacing w:after="0"/>
              <w:rPr>
                <w:sz w:val="20"/>
                <w:szCs w:val="20"/>
                <w:color w:val="auto"/>
              </w:rPr>
            </w:pPr>
            <w:r>
              <w:rPr>
                <w:rFonts w:ascii="Arial" w:cs="Arial" w:eastAsia="Arial" w:hAnsi="Arial"/>
                <w:sz w:val="16"/>
                <w:szCs w:val="16"/>
                <w:color w:val="auto"/>
              </w:rPr>
              <w:t>progress</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50"/>
        </w:trPr>
        <w:tc>
          <w:tcPr>
            <w:tcW w:w="252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March 31, 2023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7,937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3,870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34,835</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Depreciation and</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Impairment</w:t>
            </w: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52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4,544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18,804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391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23,785</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24"/>
        </w:trPr>
        <w:tc>
          <w:tcPr>
            <w:tcW w:w="2520" w:type="dxa"/>
            <w:vAlign w:val="bottom"/>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6"/>
                <w:szCs w:val="16"/>
                <w:b w:val="1"/>
                <w:bCs w:val="1"/>
                <w:color w:val="auto"/>
              </w:rPr>
              <w:t>As of March 31, 2023</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4,620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18,943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396</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24,006</w:t>
            </w:r>
          </w:p>
        </w:tc>
        <w:tc>
          <w:tcPr>
            <w:tcW w:w="0" w:type="dxa"/>
            <w:vAlign w:val="bottom"/>
          </w:tcPr>
          <w:p>
            <w:pPr>
              <w:spacing w:after="0"/>
              <w:rPr>
                <w:sz w:val="1"/>
                <w:szCs w:val="1"/>
                <w:color w:val="auto"/>
              </w:rPr>
            </w:pP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5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Net book value as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83</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3,323</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3,765</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3,377</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10,596</w:t>
            </w:r>
          </w:p>
        </w:tc>
        <w:tc>
          <w:tcPr>
            <w:tcW w:w="0" w:type="dxa"/>
            <w:vAlign w:val="bottom"/>
          </w:tcPr>
          <w:p>
            <w:pPr>
              <w:spacing w:after="0"/>
              <w:rPr>
                <w:sz w:val="1"/>
                <w:szCs w:val="1"/>
                <w:color w:val="auto"/>
              </w:rPr>
            </w:pPr>
          </w:p>
        </w:tc>
      </w:tr>
      <w:tr>
        <w:trPr>
          <w:trHeight w:val="241"/>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vMerge w:val="continue"/>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book value as of March 31,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520" w:type="dxa"/>
            <w:vAlign w:val="bottom"/>
            <w:vMerge w:val="continue"/>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83</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3,317</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3,521</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45</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3,863</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10,829</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6"/>
                <w:szCs w:val="16"/>
                <w:b w:val="1"/>
                <w:bCs w:val="1"/>
                <w:color w:val="auto"/>
              </w:rPr>
              <w:t>2023</w:t>
            </w:r>
          </w:p>
        </w:tc>
        <w:tc>
          <w:tcPr>
            <w:tcW w:w="180" w:type="dxa"/>
            <w:vAlign w:val="bottom"/>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three months ended March 31, 2023 and 2022, the depreciation expense of property, plant and equipment was $312 million and $356 million, respectively.</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Restructuring</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incurred $5 million of restructuring costs during the three months ended March 31, 2023. These costs are included in restructuring expenses in the Company’s consolidated statements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changes to the restructuring provisions recorded on the consolidated statements of financial position as of March 31, 2023, are summarized as follows: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560" w:type="dxa"/>
            <w:vAlign w:val="bottom"/>
          </w:tcPr>
          <w:p>
            <w:pPr>
              <w:spacing w:after="0"/>
              <w:rPr>
                <w:sz w:val="19"/>
                <w:szCs w:val="19"/>
                <w:color w:val="auto"/>
              </w:rPr>
            </w:pPr>
          </w:p>
        </w:tc>
        <w:tc>
          <w:tcPr>
            <w:tcW w:w="1820" w:type="dxa"/>
            <w:vAlign w:val="bottom"/>
          </w:tcPr>
          <w:p>
            <w:pPr>
              <w:jc w:val="right"/>
              <w:ind w:right="939"/>
              <w:spacing w:after="0"/>
              <w:rPr>
                <w:sz w:val="20"/>
                <w:szCs w:val="20"/>
                <w:color w:val="auto"/>
              </w:rPr>
            </w:pPr>
            <w:r>
              <w:rPr>
                <w:rFonts w:ascii="Arial" w:cs="Arial" w:eastAsia="Arial" w:hAnsi="Arial"/>
                <w:sz w:val="16"/>
                <w:szCs w:val="16"/>
                <w:b w:val="1"/>
                <w:bCs w:val="1"/>
                <w:color w:val="auto"/>
              </w:rPr>
              <w:t>2023</w:t>
            </w:r>
          </w:p>
        </w:tc>
      </w:tr>
      <w:tr>
        <w:trPr>
          <w:trHeight w:val="21"/>
        </w:trPr>
        <w:tc>
          <w:tcPr>
            <w:tcW w:w="88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as of December 31, 2022</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Provision</w:t>
            </w:r>
          </w:p>
        </w:tc>
        <w:tc>
          <w:tcPr>
            <w:tcW w:w="5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8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paid</w:t>
            </w:r>
          </w:p>
        </w:tc>
        <w:tc>
          <w:tcPr>
            <w:tcW w:w="56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5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balance as of March 31, 2023</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0"/>
        </w:trPr>
        <w:tc>
          <w:tcPr>
            <w:tcW w:w="8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Receivables, Prepayments and Other Assets</w:t>
      </w: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7"/>
                <w:szCs w:val="17"/>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32"/>
        </w:trPr>
        <w:tc>
          <w:tcPr>
            <w:tcW w:w="79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94"/>
        </w:trPr>
        <w:tc>
          <w:tcPr>
            <w:tcW w:w="7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20"/>
              <w:spacing w:after="0"/>
              <w:rPr>
                <w:sz w:val="20"/>
                <w:szCs w:val="20"/>
                <w:color w:val="auto"/>
              </w:rPr>
            </w:pPr>
            <w:r>
              <w:rPr>
                <w:rFonts w:ascii="Arial" w:cs="Arial" w:eastAsia="Arial" w:hAnsi="Arial"/>
                <w:sz w:val="16"/>
                <w:szCs w:val="16"/>
                <w:color w:val="auto"/>
              </w:rPr>
              <w:t>Trade receivables, other than related parties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851</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57"/>
        </w:trPr>
        <w:tc>
          <w:tcPr>
            <w:tcW w:w="7900" w:type="dxa"/>
            <w:vAlign w:val="bottom"/>
          </w:tcPr>
          <w:p>
            <w:pPr>
              <w:ind w:left="20"/>
              <w:spacing w:after="0"/>
              <w:rPr>
                <w:sz w:val="20"/>
                <w:szCs w:val="20"/>
                <w:color w:val="auto"/>
              </w:rPr>
            </w:pPr>
            <w:r>
              <w:rPr>
                <w:rFonts w:ascii="Arial" w:cs="Arial" w:eastAsia="Arial" w:hAnsi="Arial"/>
                <w:sz w:val="16"/>
                <w:szCs w:val="16"/>
                <w:color w:val="auto"/>
              </w:rPr>
              <w:t xml:space="preserve">Unbilled accounts receivable </w:t>
            </w:r>
            <w:r>
              <w:rPr>
                <w:rFonts w:ascii="Arial" w:cs="Arial" w:eastAsia="Arial" w:hAnsi="Arial"/>
                <w:sz w:val="21"/>
                <w:szCs w:val="21"/>
                <w:color w:val="auto"/>
                <w:vertAlign w:val="superscript"/>
              </w:rPr>
              <w:t>(1)</w:t>
            </w:r>
          </w:p>
        </w:tc>
        <w:tc>
          <w:tcPr>
            <w:tcW w:w="2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from government grants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4"/>
        </w:trPr>
        <w:tc>
          <w:tcPr>
            <w:tcW w:w="7900" w:type="dxa"/>
            <w:vAlign w:val="bottom"/>
          </w:tcPr>
          <w:p>
            <w:pPr>
              <w:ind w:left="20"/>
              <w:spacing w:after="0"/>
              <w:rPr>
                <w:sz w:val="20"/>
                <w:szCs w:val="20"/>
                <w:color w:val="auto"/>
              </w:rPr>
            </w:pPr>
            <w:r>
              <w:rPr>
                <w:rFonts w:ascii="Arial" w:cs="Arial" w:eastAsia="Arial" w:hAnsi="Arial"/>
                <w:sz w:val="16"/>
                <w:szCs w:val="16"/>
                <w:color w:val="auto"/>
              </w:rPr>
              <w:t>Receivables from related parties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19"/>
                <w:szCs w:val="19"/>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1,296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1,487</w:t>
            </w:r>
          </w:p>
        </w:tc>
        <w:tc>
          <w:tcPr>
            <w:tcW w:w="0" w:type="dxa"/>
            <w:vAlign w:val="bottom"/>
          </w:tcPr>
          <w:p>
            <w:pPr>
              <w:spacing w:after="0"/>
              <w:rPr>
                <w:sz w:val="1"/>
                <w:szCs w:val="1"/>
                <w:color w:val="auto"/>
              </w:rPr>
            </w:pPr>
          </w:p>
        </w:tc>
      </w:tr>
      <w:tr>
        <w:trPr>
          <w:trHeight w:val="21"/>
        </w:trPr>
        <w:tc>
          <w:tcPr>
            <w:tcW w:w="7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Non-current:</w:t>
            </w:r>
          </w:p>
        </w:tc>
        <w:tc>
          <w:tcPr>
            <w:tcW w:w="2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color w:val="auto"/>
              </w:rPr>
              <w:t>Advances to suppliers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230</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5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8"/>
        <w:spacing w:after="0" w:line="217" w:lineRule="auto"/>
        <w:tabs>
          <w:tab w:leader="none" w:pos="189" w:val="left"/>
        </w:tabs>
        <w:numPr>
          <w:ilvl w:val="0"/>
          <w:numId w:val="1"/>
        </w:numPr>
        <w:rPr>
          <w:rFonts w:ascii="Arial" w:cs="Arial" w:eastAsia="Arial" w:hAnsi="Arial"/>
          <w:sz w:val="19"/>
          <w:szCs w:val="19"/>
          <w:color w:val="auto"/>
          <w:vertAlign w:val="superscript"/>
        </w:rPr>
      </w:pPr>
      <w:r>
        <w:rPr>
          <w:rFonts w:ascii="Arial" w:cs="Arial" w:eastAsia="Arial" w:hAnsi="Arial"/>
          <w:sz w:val="14"/>
          <w:szCs w:val="14"/>
          <w:color w:val="auto"/>
        </w:rPr>
        <w:t>Unbilled accounts receivable represents amounts recognized on revenue contracts less associated advances and progress billings. These amounts will be billed in accordance with the agreed-upon contractual terms or rendering services.</w:t>
      </w:r>
    </w:p>
    <w:p>
      <w:pPr>
        <w:spacing w:after="0" w:line="23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table summarizes the activity in the Company’s unbilled accounts receivable for the three months ended March 31, 2023 and the twelve months ended December 31, 2022, respectively:</w:t>
      </w:r>
    </w:p>
    <w:p>
      <w:pPr>
        <w:spacing w:after="0" w:line="200" w:lineRule="exact"/>
        <w:rPr>
          <w:sz w:val="20"/>
          <w:szCs w:val="20"/>
          <w:color w:val="auto"/>
        </w:rPr>
      </w:pPr>
    </w:p>
    <w:p>
      <w:pPr>
        <w:spacing w:after="0" w:line="274" w:lineRule="exact"/>
        <w:rPr>
          <w:sz w:val="20"/>
          <w:szCs w:val="20"/>
          <w:color w:val="auto"/>
        </w:rPr>
      </w:pPr>
    </w:p>
    <w:tbl>
      <w:tblPr>
        <w:tblLayout w:type="fixed"/>
        <w:tblInd w:w="380" w:type="dxa"/>
        <w:tblCellMar>
          <w:top w:w="0" w:type="dxa"/>
          <w:left w:w="0" w:type="dxa"/>
          <w:bottom w:w="0" w:type="dxa"/>
          <w:right w:w="0" w:type="dxa"/>
        </w:tblCellMar>
      </w:tblPr>
      <w:tr>
        <w:trPr>
          <w:trHeight w:val="203"/>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27"/>
        </w:trPr>
        <w:tc>
          <w:tcPr>
            <w:tcW w:w="7240" w:type="dxa"/>
            <w:vAlign w:val="bottom"/>
          </w:tcPr>
          <w:p>
            <w:pPr>
              <w:spacing w:after="0"/>
              <w:rPr>
                <w:sz w:val="19"/>
                <w:szCs w:val="19"/>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1"/>
        </w:trPr>
        <w:tc>
          <w:tcPr>
            <w:tcW w:w="7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beginning of period</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23"/>
        </w:trPr>
        <w:tc>
          <w:tcPr>
            <w:tcW w:w="7240" w:type="dxa"/>
            <w:vAlign w:val="bottom"/>
          </w:tcPr>
          <w:p>
            <w:pPr>
              <w:ind w:left="60"/>
              <w:spacing w:after="0"/>
              <w:rPr>
                <w:sz w:val="20"/>
                <w:szCs w:val="20"/>
                <w:color w:val="auto"/>
              </w:rPr>
            </w:pPr>
            <w:r>
              <w:rPr>
                <w:rFonts w:ascii="Arial" w:cs="Arial" w:eastAsia="Arial" w:hAnsi="Arial"/>
                <w:sz w:val="16"/>
                <w:szCs w:val="16"/>
                <w:color w:val="auto"/>
              </w:rPr>
              <w:t>Revenue recognized during the period</w:t>
            </w:r>
          </w:p>
        </w:tc>
        <w:tc>
          <w:tcPr>
            <w:tcW w:w="120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7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Amounts invoiced</w:t>
            </w:r>
          </w:p>
        </w:tc>
        <w:tc>
          <w:tcPr>
            <w:tcW w:w="1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50"/>
        </w:trPr>
        <w:tc>
          <w:tcPr>
            <w:tcW w:w="7240" w:type="dxa"/>
            <w:vAlign w:val="bottom"/>
          </w:tcPr>
          <w:p>
            <w:pPr>
              <w:ind w:left="60"/>
              <w:spacing w:after="0"/>
              <w:rPr>
                <w:sz w:val="20"/>
                <w:szCs w:val="20"/>
                <w:color w:val="auto"/>
              </w:rPr>
            </w:pPr>
            <w:r>
              <w:rPr>
                <w:rFonts w:ascii="Arial" w:cs="Arial" w:eastAsia="Arial" w:hAnsi="Arial"/>
                <w:sz w:val="16"/>
                <w:szCs w:val="16"/>
                <w:b w:val="1"/>
                <w:bCs w:val="1"/>
                <w:color w:val="auto"/>
              </w:rPr>
              <w:t>Balance, end of period</w:t>
            </w: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33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r>
      <w:tr>
        <w:trPr>
          <w:trHeight w:val="20"/>
        </w:trPr>
        <w:tc>
          <w:tcPr>
            <w:tcW w:w="7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Inventories</w:t>
      </w:r>
    </w:p>
    <w:p>
      <w:pPr>
        <w:spacing w:after="0" w:line="27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Company records inventories at the lower of cost or net realizable value for finished goods, work-in-progress, raw materials, and supplies. The Company makes inventory write-downs on an item-by-item basis, except where it may be appropriate to group similar or related items.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7"/>
                <w:szCs w:val="17"/>
                <w:color w:val="auto"/>
              </w:rPr>
            </w:pPr>
          </w:p>
        </w:tc>
        <w:tc>
          <w:tcPr>
            <w:tcW w:w="140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27"/>
        </w:trPr>
        <w:tc>
          <w:tcPr>
            <w:tcW w:w="7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0"/>
        </w:trPr>
        <w:tc>
          <w:tcPr>
            <w:tcW w:w="7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Work in progress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r>
      <w:tr>
        <w:trPr>
          <w:trHeight w:val="236"/>
        </w:trPr>
        <w:tc>
          <w:tcPr>
            <w:tcW w:w="7780" w:type="dxa"/>
            <w:vAlign w:val="bottom"/>
          </w:tcPr>
          <w:p>
            <w:pPr>
              <w:ind w:left="80"/>
              <w:spacing w:after="0"/>
              <w:rPr>
                <w:sz w:val="20"/>
                <w:szCs w:val="20"/>
                <w:color w:val="auto"/>
              </w:rPr>
            </w:pPr>
            <w:r>
              <w:rPr>
                <w:rFonts w:ascii="Arial" w:cs="Arial" w:eastAsia="Arial" w:hAnsi="Arial"/>
                <w:sz w:val="16"/>
                <w:szCs w:val="16"/>
                <w:color w:val="auto"/>
              </w:rPr>
              <w:t>Raw materials and supplies</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r>
      <w:tr>
        <w:trPr>
          <w:trHeight w:val="277"/>
        </w:trPr>
        <w:tc>
          <w:tcPr>
            <w:tcW w:w="778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Long Term Debt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terms and amounts of the Company’s debt:</w:t>
      </w: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Nominal Interest</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Year</w:t>
            </w:r>
          </w:p>
        </w:tc>
        <w:tc>
          <w:tcPr>
            <w:tcW w:w="280" w:type="dxa"/>
            <w:vAlign w:val="bottom"/>
          </w:tcPr>
          <w:p>
            <w:pPr>
              <w:spacing w:after="0"/>
              <w:rPr>
                <w:sz w:val="17"/>
                <w:szCs w:val="17"/>
                <w:color w:val="auto"/>
              </w:rPr>
            </w:pP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32"/>
        </w:trPr>
        <w:tc>
          <w:tcPr>
            <w:tcW w:w="3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16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Currency</w:t>
            </w: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Rate</w:t>
            </w:r>
          </w:p>
        </w:tc>
        <w:tc>
          <w:tcPr>
            <w:tcW w:w="11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line="20" w:lineRule="exact"/>
              <w:rPr>
                <w:sz w:val="1"/>
                <w:szCs w:val="1"/>
                <w:color w:val="auto"/>
              </w:rPr>
            </w:pPr>
          </w:p>
        </w:tc>
      </w:tr>
      <w:tr>
        <w:trPr>
          <w:trHeight w:val="216"/>
        </w:trPr>
        <w:tc>
          <w:tcPr>
            <w:tcW w:w="39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Maturity</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 Tool Equipment Purchase and Lease Financing</w:t>
            </w:r>
          </w:p>
        </w:tc>
        <w:tc>
          <w:tcPr>
            <w:tcW w:w="1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LIBOR </w:t>
            </w:r>
            <w:r>
              <w:rPr>
                <w:rFonts w:ascii="Arial" w:cs="Arial" w:eastAsia="Arial" w:hAnsi="Arial"/>
                <w:sz w:val="16"/>
                <w:szCs w:val="16"/>
                <w:color w:val="auto"/>
              </w:rPr>
              <w:t>+ 1.60%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2023</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Arial" w:cs="Arial" w:eastAsia="Arial" w:hAnsi="Arial"/>
                <w:sz w:val="16"/>
                <w:szCs w:val="16"/>
                <w:color w:val="auto"/>
              </w:rPr>
              <w:t>2019 Tool Equipment Purchase and Lease Financing</w:t>
            </w:r>
          </w:p>
        </w:tc>
        <w:tc>
          <w:tcPr>
            <w:tcW w:w="1160" w:type="dxa"/>
            <w:vAlign w:val="bottom"/>
          </w:tcPr>
          <w:p>
            <w:pPr>
              <w:ind w:left="10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LIBOR </w:t>
            </w:r>
            <w:r>
              <w:rPr>
                <w:rFonts w:ascii="Arial" w:cs="Arial" w:eastAsia="Arial" w:hAnsi="Arial"/>
                <w:sz w:val="16"/>
                <w:szCs w:val="16"/>
                <w:color w:val="auto"/>
              </w:rPr>
              <w:t>+ 1.75%</w:t>
            </w:r>
          </w:p>
        </w:tc>
        <w:tc>
          <w:tcPr>
            <w:tcW w:w="1160" w:type="dxa"/>
            <w:vAlign w:val="bottom"/>
          </w:tcPr>
          <w:p>
            <w:pPr>
              <w:jc w:val="center"/>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 USD Dresden Equipment Financing</w:t>
            </w:r>
          </w:p>
        </w:tc>
        <w:tc>
          <w:tcPr>
            <w:tcW w:w="1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LIBOR </w:t>
            </w:r>
            <w:r>
              <w:rPr>
                <w:rFonts w:ascii="Arial" w:cs="Arial" w:eastAsia="Arial" w:hAnsi="Arial"/>
                <w:sz w:val="16"/>
                <w:szCs w:val="16"/>
                <w:color w:val="auto"/>
              </w:rPr>
              <w:t>+ 1.75%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2024</w:t>
            </w: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Arial" w:cs="Arial" w:eastAsia="Arial" w:hAnsi="Arial"/>
                <w:sz w:val="16"/>
                <w:szCs w:val="16"/>
                <w:color w:val="auto"/>
              </w:rPr>
              <w:t>2020 USD Equipment Financing</w:t>
            </w:r>
          </w:p>
        </w:tc>
        <w:tc>
          <w:tcPr>
            <w:tcW w:w="1160" w:type="dxa"/>
            <w:vAlign w:val="bottom"/>
          </w:tcPr>
          <w:p>
            <w:pPr>
              <w:ind w:left="10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LIBOR </w:t>
            </w:r>
            <w:r>
              <w:rPr>
                <w:rFonts w:ascii="Arial" w:cs="Arial" w:eastAsia="Arial" w:hAnsi="Arial"/>
                <w:sz w:val="16"/>
                <w:szCs w:val="16"/>
                <w:color w:val="auto"/>
              </w:rPr>
              <w:t>+ 1.90%</w:t>
            </w:r>
          </w:p>
        </w:tc>
        <w:tc>
          <w:tcPr>
            <w:tcW w:w="1160" w:type="dxa"/>
            <w:vAlign w:val="bottom"/>
          </w:tcPr>
          <w:p>
            <w:pPr>
              <w:jc w:val="center"/>
              <w:spacing w:after="0"/>
              <w:rPr>
                <w:sz w:val="20"/>
                <w:szCs w:val="20"/>
                <w:color w:val="auto"/>
              </w:rPr>
            </w:pPr>
            <w:r>
              <w:rPr>
                <w:rFonts w:ascii="Arial" w:cs="Arial" w:eastAsia="Arial" w:hAnsi="Arial"/>
                <w:sz w:val="16"/>
                <w:szCs w:val="16"/>
                <w:color w:val="auto"/>
              </w:rPr>
              <w:t>2025</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 EUR Dresden Equipment Financing</w:t>
            </w:r>
          </w:p>
        </w:tc>
        <w:tc>
          <w:tcPr>
            <w:tcW w:w="1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EUR</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EURIBOR </w:t>
            </w:r>
            <w:r>
              <w:rPr>
                <w:rFonts w:ascii="Arial" w:cs="Arial" w:eastAsia="Arial" w:hAnsi="Arial"/>
                <w:sz w:val="16"/>
                <w:szCs w:val="16"/>
                <w:color w:val="auto"/>
              </w:rPr>
              <w:t>+ 1.75%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2026</w:t>
            </w: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6"/>
                <w:szCs w:val="16"/>
                <w:color w:val="auto"/>
              </w:rPr>
              <w:t>Various</w:t>
            </w:r>
          </w:p>
        </w:tc>
        <w:tc>
          <w:tcPr>
            <w:tcW w:w="1160" w:type="dxa"/>
            <w:vAlign w:val="bottom"/>
          </w:tcPr>
          <w:p>
            <w:pPr>
              <w:ind w:left="100"/>
              <w:spacing w:after="0"/>
              <w:rPr>
                <w:sz w:val="20"/>
                <w:szCs w:val="20"/>
                <w:color w:val="auto"/>
              </w:rPr>
            </w:pPr>
            <w:r>
              <w:rPr>
                <w:rFonts w:ascii="Arial" w:cs="Arial" w:eastAsia="Arial" w:hAnsi="Arial"/>
                <w:sz w:val="16"/>
                <w:szCs w:val="16"/>
                <w:color w:val="auto"/>
              </w:rPr>
              <w:t>EUR, USD</w:t>
            </w: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Various</w:t>
            </w:r>
          </w:p>
        </w:tc>
        <w:tc>
          <w:tcPr>
            <w:tcW w:w="1160" w:type="dxa"/>
            <w:vAlign w:val="bottom"/>
          </w:tcPr>
          <w:p>
            <w:pPr>
              <w:jc w:val="center"/>
              <w:spacing w:after="0"/>
              <w:rPr>
                <w:sz w:val="20"/>
                <w:szCs w:val="20"/>
                <w:color w:val="auto"/>
              </w:rPr>
            </w:pPr>
            <w:r>
              <w:rPr>
                <w:rFonts w:ascii="Arial" w:cs="Arial" w:eastAsia="Arial" w:hAnsi="Arial"/>
                <w:sz w:val="16"/>
                <w:szCs w:val="16"/>
                <w:color w:val="auto"/>
              </w:rPr>
              <w:t>2024-2026</w:t>
            </w: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53"/>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total</w:t>
            </w:r>
          </w:p>
        </w:tc>
        <w:tc>
          <w:tcPr>
            <w:tcW w:w="1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205</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w:t>
            </w:r>
          </w:p>
        </w:tc>
        <w:tc>
          <w:tcPr>
            <w:tcW w:w="0" w:type="dxa"/>
            <w:vAlign w:val="bottom"/>
          </w:tcPr>
          <w:p>
            <w:pPr>
              <w:spacing w:after="0"/>
              <w:rPr>
                <w:sz w:val="1"/>
                <w:szCs w:val="1"/>
                <w:color w:val="auto"/>
              </w:rPr>
            </w:pPr>
          </w:p>
        </w:tc>
      </w:tr>
      <w:tr>
        <w:trPr>
          <w:trHeight w:val="254"/>
        </w:trPr>
        <w:tc>
          <w:tcPr>
            <w:tcW w:w="392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spacing w:after="0"/>
              <w:rPr>
                <w:sz w:val="22"/>
                <w:szCs w:val="22"/>
                <w:color w:val="auto"/>
              </w:rPr>
            </w:pPr>
          </w:p>
        </w:tc>
        <w:tc>
          <w:tcPr>
            <w:tcW w:w="158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 Tool Equipment Purchase and Lease Financing</w:t>
            </w:r>
          </w:p>
        </w:tc>
        <w:tc>
          <w:tcPr>
            <w:tcW w:w="1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LIBOR </w:t>
            </w:r>
            <w:r>
              <w:rPr>
                <w:rFonts w:ascii="Arial" w:cs="Arial" w:eastAsia="Arial" w:hAnsi="Arial"/>
                <w:sz w:val="16"/>
                <w:szCs w:val="16"/>
                <w:color w:val="auto"/>
              </w:rPr>
              <w:t>+ 1.75%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2024</w:t>
            </w: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Arial" w:cs="Arial" w:eastAsia="Arial" w:hAnsi="Arial"/>
                <w:sz w:val="16"/>
                <w:szCs w:val="16"/>
                <w:color w:val="auto"/>
              </w:rPr>
              <w:t>2019 USD Dresden Equipment Financing</w:t>
            </w:r>
          </w:p>
        </w:tc>
        <w:tc>
          <w:tcPr>
            <w:tcW w:w="1160" w:type="dxa"/>
            <w:vAlign w:val="bottom"/>
          </w:tcPr>
          <w:p>
            <w:pPr>
              <w:ind w:left="10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LIBOR </w:t>
            </w:r>
            <w:r>
              <w:rPr>
                <w:rFonts w:ascii="Arial" w:cs="Arial" w:eastAsia="Arial" w:hAnsi="Arial"/>
                <w:sz w:val="16"/>
                <w:szCs w:val="16"/>
                <w:color w:val="auto"/>
              </w:rPr>
              <w:t>+ 2.25%</w:t>
            </w:r>
          </w:p>
        </w:tc>
        <w:tc>
          <w:tcPr>
            <w:tcW w:w="1160" w:type="dxa"/>
            <w:vAlign w:val="bottom"/>
          </w:tcPr>
          <w:p>
            <w:pPr>
              <w:jc w:val="center"/>
              <w:spacing w:after="0"/>
              <w:rPr>
                <w:sz w:val="20"/>
                <w:szCs w:val="20"/>
                <w:color w:val="auto"/>
              </w:rPr>
            </w:pPr>
            <w:r>
              <w:rPr>
                <w:rFonts w:ascii="Arial" w:cs="Arial" w:eastAsia="Arial" w:hAnsi="Arial"/>
                <w:sz w:val="16"/>
                <w:szCs w:val="16"/>
                <w:color w:val="auto"/>
              </w:rPr>
              <w:t>2026</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 USD Equipment Financing</w:t>
            </w:r>
          </w:p>
        </w:tc>
        <w:tc>
          <w:tcPr>
            <w:tcW w:w="1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LIBOR </w:t>
            </w:r>
            <w:r>
              <w:rPr>
                <w:rFonts w:ascii="Arial" w:cs="Arial" w:eastAsia="Arial" w:hAnsi="Arial"/>
                <w:sz w:val="16"/>
                <w:szCs w:val="16"/>
                <w:color w:val="auto"/>
              </w:rPr>
              <w:t>+ 1.90%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6"/>
                <w:szCs w:val="16"/>
                <w:color w:val="auto"/>
              </w:rPr>
              <w:t>USD Term Loan A</w:t>
            </w:r>
          </w:p>
        </w:tc>
        <w:tc>
          <w:tcPr>
            <w:tcW w:w="1160" w:type="dxa"/>
            <w:vAlign w:val="bottom"/>
          </w:tcPr>
          <w:p>
            <w:pPr>
              <w:ind w:left="10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LIBOR </w:t>
            </w:r>
            <w:r>
              <w:rPr>
                <w:rFonts w:ascii="Arial" w:cs="Arial" w:eastAsia="Arial" w:hAnsi="Arial"/>
                <w:sz w:val="16"/>
                <w:szCs w:val="16"/>
                <w:color w:val="auto"/>
              </w:rPr>
              <w:t>+ 2.90%</w:t>
            </w:r>
          </w:p>
        </w:tc>
        <w:tc>
          <w:tcPr>
            <w:tcW w:w="1160" w:type="dxa"/>
            <w:vAlign w:val="bottom"/>
          </w:tcPr>
          <w:p>
            <w:pPr>
              <w:jc w:val="center"/>
              <w:spacing w:after="0"/>
              <w:rPr>
                <w:sz w:val="20"/>
                <w:szCs w:val="20"/>
                <w:color w:val="auto"/>
              </w:rPr>
            </w:pPr>
            <w:r>
              <w:rPr>
                <w:rFonts w:ascii="Arial" w:cs="Arial" w:eastAsia="Arial" w:hAnsi="Arial"/>
                <w:sz w:val="16"/>
                <w:szCs w:val="16"/>
                <w:color w:val="auto"/>
              </w:rPr>
              <w:t>2025</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EUR Term Loan A</w:t>
            </w:r>
          </w:p>
        </w:tc>
        <w:tc>
          <w:tcPr>
            <w:tcW w:w="1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EUR</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EURIBOR </w:t>
            </w:r>
            <w:r>
              <w:rPr>
                <w:rFonts w:ascii="Arial" w:cs="Arial" w:eastAsia="Arial" w:hAnsi="Arial"/>
                <w:sz w:val="16"/>
                <w:szCs w:val="16"/>
                <w:color w:val="auto"/>
              </w:rPr>
              <w:t>+ 2.60%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3920" w:type="dxa"/>
            <w:vAlign w:val="bottom"/>
          </w:tcPr>
          <w:p>
            <w:pPr>
              <w:ind w:left="20"/>
              <w:spacing w:after="0"/>
              <w:rPr>
                <w:sz w:val="20"/>
                <w:szCs w:val="20"/>
                <w:color w:val="auto"/>
              </w:rPr>
            </w:pPr>
            <w:r>
              <w:rPr>
                <w:rFonts w:ascii="Arial" w:cs="Arial" w:eastAsia="Arial" w:hAnsi="Arial"/>
                <w:sz w:val="16"/>
                <w:szCs w:val="16"/>
                <w:color w:val="auto"/>
              </w:rPr>
              <w:t>2019 EUR Dresden Equipment Financing</w:t>
            </w:r>
          </w:p>
        </w:tc>
        <w:tc>
          <w:tcPr>
            <w:tcW w:w="1160" w:type="dxa"/>
            <w:vAlign w:val="bottom"/>
          </w:tcPr>
          <w:p>
            <w:pPr>
              <w:ind w:left="100"/>
              <w:spacing w:after="0"/>
              <w:rPr>
                <w:sz w:val="20"/>
                <w:szCs w:val="20"/>
                <w:color w:val="auto"/>
              </w:rPr>
            </w:pPr>
            <w:r>
              <w:rPr>
                <w:rFonts w:ascii="Arial" w:cs="Arial" w:eastAsia="Arial" w:hAnsi="Arial"/>
                <w:sz w:val="16"/>
                <w:szCs w:val="16"/>
                <w:color w:val="auto"/>
              </w:rPr>
              <w:t>EUR</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EURIBOR </w:t>
            </w:r>
            <w:r>
              <w:rPr>
                <w:rFonts w:ascii="Arial" w:cs="Arial" w:eastAsia="Arial" w:hAnsi="Arial"/>
                <w:sz w:val="16"/>
                <w:szCs w:val="16"/>
                <w:color w:val="auto"/>
              </w:rPr>
              <w:t>+ 1.75%</w:t>
            </w:r>
          </w:p>
        </w:tc>
        <w:tc>
          <w:tcPr>
            <w:tcW w:w="1160" w:type="dxa"/>
            <w:vAlign w:val="bottom"/>
          </w:tcPr>
          <w:p>
            <w:pPr>
              <w:jc w:val="center"/>
              <w:spacing w:after="0"/>
              <w:rPr>
                <w:sz w:val="20"/>
                <w:szCs w:val="20"/>
                <w:color w:val="auto"/>
              </w:rPr>
            </w:pPr>
            <w:r>
              <w:rPr>
                <w:rFonts w:ascii="Arial" w:cs="Arial" w:eastAsia="Arial" w:hAnsi="Arial"/>
                <w:sz w:val="16"/>
                <w:szCs w:val="16"/>
                <w:color w:val="auto"/>
              </w:rPr>
              <w:t>2026</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 SGD EDB Loan</w:t>
            </w:r>
          </w:p>
        </w:tc>
        <w:tc>
          <w:tcPr>
            <w:tcW w:w="1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SGD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1.40%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2041</w:t>
            </w: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Arial" w:cs="Arial" w:eastAsia="Arial" w:hAnsi="Arial"/>
                <w:sz w:val="16"/>
                <w:szCs w:val="16"/>
                <w:color w:val="auto"/>
              </w:rPr>
              <w:t>Various</w:t>
            </w:r>
          </w:p>
        </w:tc>
        <w:tc>
          <w:tcPr>
            <w:tcW w:w="1160" w:type="dxa"/>
            <w:vAlign w:val="bottom"/>
          </w:tcPr>
          <w:p>
            <w:pPr>
              <w:ind w:left="100"/>
              <w:spacing w:after="0"/>
              <w:rPr>
                <w:sz w:val="20"/>
                <w:szCs w:val="20"/>
                <w:color w:val="auto"/>
              </w:rPr>
            </w:pPr>
            <w:r>
              <w:rPr>
                <w:rFonts w:ascii="Arial" w:cs="Arial" w:eastAsia="Arial" w:hAnsi="Arial"/>
                <w:sz w:val="16"/>
                <w:szCs w:val="16"/>
                <w:color w:val="auto"/>
              </w:rPr>
              <w:t>EUR, USD</w:t>
            </w: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Various</w:t>
            </w:r>
          </w:p>
        </w:tc>
        <w:tc>
          <w:tcPr>
            <w:tcW w:w="1160" w:type="dxa"/>
            <w:vAlign w:val="bottom"/>
          </w:tcPr>
          <w:p>
            <w:pPr>
              <w:jc w:val="center"/>
              <w:spacing w:after="0"/>
              <w:rPr>
                <w:sz w:val="20"/>
                <w:szCs w:val="20"/>
                <w:color w:val="auto"/>
              </w:rPr>
            </w:pPr>
            <w:r>
              <w:rPr>
                <w:rFonts w:ascii="Arial" w:cs="Arial" w:eastAsia="Arial" w:hAnsi="Arial"/>
                <w:sz w:val="16"/>
                <w:szCs w:val="16"/>
                <w:color w:val="auto"/>
              </w:rPr>
              <w:t>2024-2027</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total</w:t>
            </w:r>
          </w:p>
        </w:tc>
        <w:tc>
          <w:tcPr>
            <w:tcW w:w="1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2,310</w:t>
            </w:r>
          </w:p>
        </w:tc>
        <w:tc>
          <w:tcPr>
            <w:tcW w:w="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2,288</w:t>
            </w: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unutilized credit facilities available to the Company to maintain liquidity necessary to fund operations: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27"/>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9"/>
                <w:szCs w:val="19"/>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1"/>
        </w:trPr>
        <w:tc>
          <w:tcPr>
            <w:tcW w:w="7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7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Citibank Revolving Credit Facility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color w:val="auto"/>
              </w:rPr>
              <w:t>SGD EDB Loan</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7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7"/>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Uncommitted Credit Facilities</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50"/>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1,070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1,118</w:t>
            </w:r>
          </w:p>
        </w:tc>
      </w:tr>
      <w:tr>
        <w:trPr>
          <w:trHeight w:val="20"/>
        </w:trPr>
        <w:tc>
          <w:tcPr>
            <w:tcW w:w="7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Subject to lender approval before draw-down or being usable.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Related Party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total amounts of $10 million and $11 million due from related parties as of March 31, 2023 and December 31, 2022, respectively, have been included in receivables, prepayments and other assets (see Note 7). The $7 million and $10 million due to related parties as of March 31, 2023 and December 31, 2022, respectively, have been included in trade and other payables.</w:t>
      </w:r>
    </w:p>
    <w:p>
      <w:pPr>
        <w:spacing w:after="0" w:line="20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Related party balances disclosed in the interim condensed consolidated statements of financial position related to Silicon Manufacturing Partners Pte Ltd. ("SMP"). SMP is a joint venture with LSI Technology (Singapore) Pte. Ltd. The Company holds a 49% interest in SMP and manages all aspects of its manufacturing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related party transactions included in the interim condensed consolidated statements of operations: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Three Months Ended March 31,</w:t>
            </w:r>
          </w:p>
        </w:tc>
      </w:tr>
      <w:tr>
        <w:trPr>
          <w:trHeight w:val="233"/>
        </w:trPr>
        <w:tc>
          <w:tcPr>
            <w:tcW w:w="7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46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
        </w:trPr>
        <w:tc>
          <w:tcPr>
            <w:tcW w:w="7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Purchases from: *</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4"/>
        </w:trPr>
        <w:tc>
          <w:tcPr>
            <w:tcW w:w="7780" w:type="dxa"/>
            <w:vAlign w:val="bottom"/>
          </w:tcPr>
          <w:p>
            <w:pPr>
              <w:ind w:left="20"/>
              <w:spacing w:after="0"/>
              <w:rPr>
                <w:sz w:val="20"/>
                <w:szCs w:val="20"/>
                <w:color w:val="auto"/>
              </w:rPr>
            </w:pPr>
            <w:r>
              <w:rPr>
                <w:rFonts w:ascii="Arial" w:cs="Arial" w:eastAsia="Arial" w:hAnsi="Arial"/>
                <w:sz w:val="16"/>
                <w:szCs w:val="16"/>
                <w:color w:val="auto"/>
              </w:rPr>
              <w:t>SMP</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77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35"/>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Other transactions with:</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
        </w:trPr>
        <w:tc>
          <w:tcPr>
            <w:tcW w:w="7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SMP (reimbursement of expenses and contribution of tools)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7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 Purchases from SMP were primarily comprised of wafer purchases.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60" w:type="dxa"/>
            <w:vAlign w:val="bottom"/>
          </w:tcPr>
          <w:p>
            <w:pPr>
              <w:spacing w:after="0"/>
              <w:rPr>
                <w:sz w:val="20"/>
                <w:szCs w:val="20"/>
                <w:color w:val="auto"/>
              </w:rPr>
            </w:pPr>
            <w:r>
              <w:rPr>
                <w:rFonts w:ascii="Arial" w:cs="Arial" w:eastAsia="Arial" w:hAnsi="Arial"/>
                <w:sz w:val="16"/>
                <w:szCs w:val="16"/>
                <w:b w:val="1"/>
                <w:bCs w:val="1"/>
                <w:color w:val="auto"/>
              </w:rPr>
              <w:t>Note 12. Commitments and Contingencies</w:t>
            </w: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7660" w:type="dxa"/>
            <w:vAlign w:val="bottom"/>
          </w:tcPr>
          <w:p>
            <w:pPr>
              <w:spacing w:after="0"/>
              <w:rPr>
                <w:sz w:val="20"/>
                <w:szCs w:val="20"/>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color w:val="auto"/>
              </w:rPr>
              <w:t>– The Company’s unconditional purchase commitments are as follows:</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7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19"/>
        </w:trPr>
        <w:tc>
          <w:tcPr>
            <w:tcW w:w="7660" w:type="dxa"/>
            <w:vAlign w:val="bottom"/>
            <w:vMerge w:val="continue"/>
          </w:tcPr>
          <w:p>
            <w:pPr>
              <w:spacing w:after="0"/>
              <w:rPr>
                <w:sz w:val="10"/>
                <w:szCs w:val="10"/>
                <w:color w:val="auto"/>
              </w:rPr>
            </w:pPr>
          </w:p>
        </w:tc>
        <w:tc>
          <w:tcPr>
            <w:tcW w:w="12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08"/>
        </w:trPr>
        <w:tc>
          <w:tcPr>
            <w:tcW w:w="76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76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Contracts for capital expenditures</w:t>
            </w: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2,195</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2,774</w:t>
            </w:r>
          </w:p>
        </w:tc>
        <w:tc>
          <w:tcPr>
            <w:tcW w:w="0" w:type="dxa"/>
            <w:vAlign w:val="bottom"/>
          </w:tcPr>
          <w:p>
            <w:pPr>
              <w:spacing w:after="0"/>
              <w:rPr>
                <w:sz w:val="1"/>
                <w:szCs w:val="1"/>
                <w:color w:val="auto"/>
              </w:rPr>
            </w:pPr>
          </w:p>
        </w:tc>
      </w:tr>
      <w:tr>
        <w:trPr>
          <w:trHeight w:val="224"/>
        </w:trPr>
        <w:tc>
          <w:tcPr>
            <w:tcW w:w="7660" w:type="dxa"/>
            <w:vAlign w:val="bottom"/>
          </w:tcPr>
          <w:p>
            <w:pPr>
              <w:ind w:left="80"/>
              <w:spacing w:after="0"/>
              <w:rPr>
                <w:sz w:val="20"/>
                <w:szCs w:val="20"/>
                <w:color w:val="auto"/>
              </w:rPr>
            </w:pPr>
            <w:r>
              <w:rPr>
                <w:rFonts w:ascii="Arial" w:cs="Arial" w:eastAsia="Arial" w:hAnsi="Arial"/>
                <w:sz w:val="16"/>
                <w:szCs w:val="16"/>
                <w:color w:val="auto"/>
              </w:rPr>
              <w:t>Contracts for operating expenditures</w:t>
            </w: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3,325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3,587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5,520</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6,361</w:t>
            </w:r>
          </w:p>
        </w:tc>
        <w:tc>
          <w:tcPr>
            <w:tcW w:w="0" w:type="dxa"/>
            <w:vAlign w:val="bottom"/>
          </w:tcPr>
          <w:p>
            <w:pPr>
              <w:spacing w:after="0"/>
              <w:rPr>
                <w:sz w:val="1"/>
                <w:szCs w:val="1"/>
                <w:color w:val="auto"/>
              </w:rPr>
            </w:pPr>
          </w:p>
        </w:tc>
      </w:tr>
      <w:tr>
        <w:trPr>
          <w:trHeight w:val="229"/>
        </w:trPr>
        <w:tc>
          <w:tcPr>
            <w:tcW w:w="7660" w:type="dxa"/>
            <w:vAlign w:val="bottom"/>
          </w:tcPr>
          <w:p>
            <w:pPr>
              <w:ind w:left="80"/>
              <w:spacing w:after="0"/>
              <w:rPr>
                <w:sz w:val="20"/>
                <w:szCs w:val="20"/>
                <w:color w:val="auto"/>
              </w:rPr>
            </w:pPr>
            <w:r>
              <w:rPr>
                <w:rFonts w:ascii="Arial" w:cs="Arial" w:eastAsia="Arial" w:hAnsi="Arial"/>
                <w:sz w:val="16"/>
                <w:szCs w:val="16"/>
                <w:b w:val="1"/>
                <w:bCs w:val="1"/>
                <w:color w:val="auto"/>
              </w:rPr>
              <w:t>Due within the next 12 months</w:t>
            </w:r>
          </w:p>
        </w:tc>
        <w:tc>
          <w:tcPr>
            <w:tcW w:w="1240" w:type="dxa"/>
            <w:vAlign w:val="bottom"/>
            <w:tcBorders>
              <w:top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1,943</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2,732</w:t>
            </w: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addition to the above, the Company obtained letters of credit to primarily guarantee payments for utility suppliers and foreign statutory payroll related charges. The Company has obtained letters of credit of $20 million as of March 31, 2023 and December 31, 2022 and has drawn down bank guarantees of $9 million and $4 million as of March 31, 2023 and December 31, 2022.</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color w:val="auto"/>
        </w:rPr>
        <w:t>— From time to time, the Company is a party to claims that arise in the normal course of business. These claims include allegations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infringement of intellectual property rights of others as well as other claims of liability. In addition, the Company, on a case by case basis, includes intellectual property indemnification provisions in the terms of sale and technology licenses with third parties. The Company is also subject to various taxes in the different jurisdictions in which it operates. These include property, goods and services, and other non-income taxes. The Company accrues costs associated with these matters when they become probable and reasonably estimable. The Company does not believe it is probable that losses associated with these matters beyond those already recognized will be incurred in amounts that would be material to the interim condensed consolidated statements of financial position or interim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April 28, 2021, International Business Machines (“IBM”) sent the Company a letter alleging that the Company did not fulfill the Company’s obligations under the contracts the Company entered into with IBM in 2014 associated with the Company’s acquisition of IBM’s Microelectronics business. IBM asserted that the Company engaged in fraudulent misrepresentations during the underlying negotiations, and claimed the Company owed them at least $2.5 billion damages and restitution. On June 7, 2021, the Company filed a complaint with the New York State Supreme Court (the “Court”) seeking a declaratory judgment that the Company did not breach the relevant contracts. IBM subsequently filed its complaint with the Court on June 8, 2021. On September 14, 2021, the Court granted the Company's motion to dismiss IBM’s claims of fraud, unjust enrichment and breach of the implied covenant of good faith and fair dealing. IBM appealed its fraud claim, and on April 7, 2022, the New York Appellate Division reversed the Court’s decision. The Company believes, based on discussions with legal counsel, that it has meritorious defenses against IBM’s claims. The Company disputes IBM’s claims and intends to vigorously defend against them.</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Fair Value Measurements</w:t>
      </w:r>
    </w:p>
    <w:p>
      <w:pPr>
        <w:spacing w:after="0" w:line="27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Company uses the following hierarchy for determining and disclosing the fair value of financial instruments by valuation technique:</w:t>
      </w:r>
    </w:p>
    <w:p>
      <w:pPr>
        <w:spacing w:after="0" w:line="10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22" w:lineRule="exact"/>
        <w:rPr>
          <w:rFonts w:ascii="Arial" w:cs="Arial" w:eastAsia="Arial" w:hAnsi="Arial"/>
          <w:sz w:val="16"/>
          <w:szCs w:val="16"/>
          <w:color w:val="auto"/>
        </w:rPr>
      </w:pPr>
    </w:p>
    <w:p>
      <w:pPr>
        <w:jc w:val="both"/>
        <w:ind w:left="660" w:hanging="328"/>
        <w:spacing w:after="0" w:line="25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inputs other than quoted prices in active markets in Level 1, such as quoted prices for similar assets or liabilities in active markets, quoted prices for similar assets or liabilities that are not active; or other inputs that are observable or can be corroborated by observable market data for substantially the full term of the asset or liability; and</w:t>
      </w:r>
    </w:p>
    <w:p>
      <w:pPr>
        <w:ind w:left="660" w:hanging="328"/>
        <w:spacing w:after="0" w:line="27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3: unobservable inputs for which little or no market data exists, therefore requiring management judgment to develop the Company’s own models with estimates and assumptions.</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Cash Equivalents </w:t>
      </w:r>
      <w:r>
        <w:rPr>
          <w:rFonts w:ascii="Arial" w:cs="Arial" w:eastAsia="Arial" w:hAnsi="Arial"/>
          <w:sz w:val="16"/>
          <w:szCs w:val="16"/>
          <w:color w:val="auto"/>
        </w:rPr>
        <w:t>- Cash equivalents include investments in government obligation-based money market funds, other money market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interest-bearing deposits with initial or remaining terms of three months or less. The fair value of cash equivalents approximates its carrying value due to the short-term nature of these instruments.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Marketable securities include U.S. Treasury Securities, U.S. Government Sponsored Enterprises, floating rate securities, money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mutual funds, corporate debt instruments and other Notes, bonds or debt securities issued by non-U.S. sovereign or multilateral entities, as these securities all have quoted prices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center"/>
              <w:ind w:right="59"/>
              <w:spacing w:after="0"/>
              <w:rPr>
                <w:sz w:val="20"/>
                <w:szCs w:val="20"/>
                <w:color w:val="auto"/>
              </w:rPr>
            </w:pPr>
            <w:r>
              <w:rPr>
                <w:rFonts w:ascii="Arial" w:cs="Arial" w:eastAsia="Arial" w:hAnsi="Arial"/>
                <w:sz w:val="16"/>
                <w:szCs w:val="16"/>
                <w:b w:val="1"/>
                <w:bCs w:val="1"/>
                <w:color w:val="auto"/>
              </w:rPr>
              <w:t>Quoted Prices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Identical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rPr>
              <w:t>Significant Other</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center"/>
              <w:ind w:right="199"/>
              <w:spacing w:after="0"/>
              <w:rPr>
                <w:sz w:val="20"/>
                <w:szCs w:val="20"/>
                <w:color w:val="auto"/>
              </w:rPr>
            </w:pPr>
            <w:r>
              <w:rPr>
                <w:rFonts w:ascii="Arial" w:cs="Arial" w:eastAsia="Arial" w:hAnsi="Arial"/>
                <w:sz w:val="16"/>
                <w:szCs w:val="16"/>
                <w:b w:val="1"/>
                <w:bCs w:val="1"/>
                <w:color w:val="auto"/>
              </w:rPr>
              <w:t>Significant</w:t>
            </w:r>
          </w:p>
        </w:tc>
      </w:tr>
      <w:tr>
        <w:trPr>
          <w:trHeight w:val="227"/>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center"/>
              <w:ind w:right="59"/>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Inputs</w:t>
            </w:r>
          </w:p>
        </w:tc>
        <w:tc>
          <w:tcPr>
            <w:tcW w:w="12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57"/>
        </w:trPr>
        <w:tc>
          <w:tcPr>
            <w:tcW w:w="4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jc w:val="center"/>
              <w:ind w:right="59"/>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tcPr>
          <w:p>
            <w:pPr>
              <w:jc w:val="center"/>
              <w:ind w:right="199"/>
              <w:spacing w:after="0"/>
              <w:rPr>
                <w:sz w:val="20"/>
                <w:szCs w:val="20"/>
                <w:color w:val="auto"/>
              </w:rPr>
            </w:pPr>
            <w:r>
              <w:rPr>
                <w:rFonts w:ascii="Arial" w:cs="Arial" w:eastAsia="Arial" w:hAnsi="Arial"/>
                <w:sz w:val="16"/>
                <w:szCs w:val="16"/>
                <w:b w:val="1"/>
                <w:bCs w:val="1"/>
                <w:color w:val="auto"/>
              </w:rPr>
              <w:t>(Level 3)</w:t>
            </w:r>
          </w:p>
        </w:tc>
      </w:tr>
      <w:tr>
        <w:trPr>
          <w:trHeight w:val="21"/>
        </w:trPr>
        <w:tc>
          <w:tcPr>
            <w:tcW w:w="4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3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instruments</w:t>
            </w:r>
            <w:r>
              <w:rPr>
                <w:rFonts w:ascii="Arial" w:cs="Arial" w:eastAsia="Arial" w:hAnsi="Arial"/>
                <w:sz w:val="21"/>
                <w:szCs w:val="21"/>
                <w:color w:val="auto"/>
                <w:vertAlign w:val="superscript"/>
              </w:rPr>
              <w:t>(2)</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40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r>
      <w:tr>
        <w:trPr>
          <w:trHeight w:val="25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0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r>
        <w:trPr>
          <w:trHeight w:val="23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66</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March 31, 2023</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1,408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1,408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4040" w:type="dxa"/>
            <w:vAlign w:val="bottom"/>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Equity instruments</w:t>
            </w:r>
            <w:r>
              <w:rPr>
                <w:rFonts w:ascii="Arial" w:cs="Arial" w:eastAsia="Arial" w:hAnsi="Arial"/>
                <w:sz w:val="21"/>
                <w:szCs w:val="21"/>
                <w:color w:val="auto"/>
                <w:vertAlign w:val="superscript"/>
              </w:rPr>
              <w:t>(2)</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166</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4040" w:type="dxa"/>
            <w:vAlign w:val="bottom"/>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976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976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40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92"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Included in cash and cash equivalents on the Company’s interim condensed consolidated statements of financial position.</w:t>
      </w:r>
    </w:p>
    <w:p>
      <w:pPr>
        <w:spacing w:after="0" w:line="117"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Included in current and non-current receivables, prepayments and other assets on the Company’s interim condensed consolidated statements of financial position.</w:t>
      </w:r>
    </w:p>
    <w:p>
      <w:pPr>
        <w:spacing w:after="0" w:line="87" w:lineRule="exact"/>
        <w:rPr>
          <w:rFonts w:ascii="Arial" w:cs="Arial" w:eastAsia="Arial" w:hAnsi="Arial"/>
          <w:sz w:val="18"/>
          <w:szCs w:val="18"/>
          <w:color w:val="auto"/>
          <w:vertAlign w:val="superscript"/>
        </w:rPr>
      </w:pPr>
    </w:p>
    <w:p>
      <w:pPr>
        <w:ind w:firstLine="8"/>
        <w:spacing w:after="0" w:line="282" w:lineRule="auto"/>
        <w:tabs>
          <w:tab w:leader="none" w:pos="156" w:val="left"/>
        </w:tabs>
        <w:numPr>
          <w:ilvl w:val="0"/>
          <w:numId w:val="4"/>
        </w:numPr>
        <w:rPr>
          <w:rFonts w:ascii="Arial" w:cs="Arial" w:eastAsia="Arial" w:hAnsi="Arial"/>
          <w:sz w:val="9"/>
          <w:szCs w:val="9"/>
          <w:color w:val="auto"/>
        </w:rPr>
      </w:pPr>
      <w:r>
        <w:rPr>
          <w:rFonts w:ascii="Arial" w:cs="Arial" w:eastAsia="Arial" w:hAnsi="Arial"/>
          <w:sz w:val="14"/>
          <w:szCs w:val="14"/>
          <w:color w:val="auto"/>
        </w:rPr>
        <w:t>Consists of foreign currency forward contracts, interest rate swaps, cross currency swaps and commodity hedge. Included in other current and non-current financial assets on the Company’s interim condensed consolidated statements of financial position</w:t>
      </w:r>
      <w:r>
        <w:rPr>
          <w:rFonts w:ascii="Arial" w:cs="Arial" w:eastAsia="Arial" w:hAnsi="Arial"/>
          <w:sz w:val="16"/>
          <w:szCs w:val="16"/>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2023 and 2022, there were no transfers between Level 1, Level 2 or Level 3 fair value measurements.</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Measured and Recorded at Fair Value on a Non- Recurring Basis</w:t>
      </w:r>
    </w:p>
    <w:p>
      <w:pPr>
        <w:spacing w:after="0" w:line="27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Certain assets and liabilities, such as equity method investments, intangible assets and property, plant and equipment, and other non-financial assets are recorded at fair value only if an impairment or observable price adjustment is recognized in the current period.</w:t>
      </w: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Recorded at Fair Value on a Recurring Basis</w:t>
      </w:r>
    </w:p>
    <w:p>
      <w:pPr>
        <w:spacing w:after="0" w:line="2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Financial instruments not recorded at fair value on a recurring basis include grants receivable, loans receivable, lease obligations and the Company’s current and noncurrent portion of long-term debt.</w:t>
      </w:r>
    </w:p>
    <w:p>
      <w:pPr>
        <w:spacing w:after="0" w:line="91"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auto"/>
        </w:rPr>
        <w:t>The carrying amounts and fair values of the Company’s financial instruments not recorded at fair value on a recurring basis are presented in the following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 2023</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December 31, 2022</w:t>
            </w:r>
          </w:p>
        </w:tc>
      </w:tr>
      <w:tr>
        <w:trPr>
          <w:trHeight w:val="259"/>
        </w:trPr>
        <w:tc>
          <w:tcPr>
            <w:tcW w:w="3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Financial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Carrying Amount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Carrying Amount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217"/>
        </w:trPr>
        <w:tc>
          <w:tcPr>
            <w:tcW w:w="34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Other long-term debt</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2,515</w:t>
            </w: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2,511</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2,414</w:t>
            </w:r>
          </w:p>
        </w:tc>
      </w:tr>
      <w:tr>
        <w:trPr>
          <w:trHeight w:val="33"/>
        </w:trPr>
        <w:tc>
          <w:tcPr>
            <w:tcW w:w="3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2,414</w:t>
            </w:r>
          </w:p>
        </w:tc>
      </w:tr>
      <w:tr>
        <w:trPr>
          <w:trHeight w:val="20"/>
        </w:trPr>
        <w:tc>
          <w:tcPr>
            <w:tcW w:w="3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32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Estimated fair values of long-term debt are based on quoted prices for similar liabilities for which significant inputs are observable and represents a Level 2 valuation. The fair values are estimated based on the type of debt and their maturities. The Company estimates the fair value using market interest rates of debts with similar maturities.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Share-Based Compensation</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measure and recognize compensation expense related to share-based transactions, including employee, consultant, and non-employee director share option awards, in our consolidated financial statements based on fair value. The fair value of each award is estimated on the date of grant using the Black-Scholes option pricing model for options, and the Monte Carlo simulation model for the performance share units and a share price at the grant date for the restricted share units. The Black-Scholes model and Monte Carlo model both require management to make certain assumptions of future expectations based on historical and current data. The assumptions include the expected term of the awards, expected volatility, dividend yield, and risk-free interest rate. The expected term represents the amount of time that awards granted are expected to be outstanding, based on forecasted exercise behavior. The option pricing model requires the input of highly subjective assumptions, including the estimated fair value of the Company’s stock, expected term of the awards, expected volatility of the price of the Company’s shares, risk free interest rate and the expected dividend yield of ordinary shares. The assumptions used to determine the fair value of the option awards represent management’s best estimates. These estimates involve inherent uncertainties and the application of management’s judgment. The Company estimates the expected forfeiture for options utilizing historical data, and only recognizes expense when a defined liquidity event (change in control or IPO) is deemed probable on the number of awards that are expected to vest. After applying a forfeiture estimate during each reporting period for when they are probable of vesting, the Company recognizes expense on a graded attribution basis for each tranche of the award over the period from the grant date to the later of the one-year anniversary of estimated time following a liquidity event or the legal vesting dates.</w:t>
      </w:r>
    </w:p>
    <w:p>
      <w:pPr>
        <w:spacing w:after="0" w:line="32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offers an Employee Stock Purchase Plan which provides eligible employees with an opportunity to purchase our ordinary shares through payroll deductions of up to 10% of their eligible compensation. A participant may purchase a maximum of 2,500 ordinary shares during the purchase period. Amounts deducted and accumulated by the participant are used to purchase ordinary shares at the end of each six-month period, with the Company matching 20% of each employee's contributions on an after-tax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240"/>
          </w:cols>
          <w:pgMar w:left="320" w:top="9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document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trade and political tensions with China and the Russia/Ukraine conflict and actions taken in response to such events; the market for our products may develop more slowly than expected or than it has in the past;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damage our reputation; we could experience interruptions or performance problems associated with our technology, including a service outage; and global economic conditions could deteriorate, including due to increasing interest rates, rising inflation, and any potential recession.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GLOBALFOUNDRIES’ Annual Report on Form 20-F for the year ended December 31, 2022, current reports on Form 6-K and other reports filed with the Securities and Exchange Commission (the “SEC”). Copies of our SEC filings are available on our Investor Relations website, investors.gf.com, or from the SEC website,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AND FINANCIAL REVIEWS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3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GLOBALFOUNDRIES Inc. (“We,” “GF,” or the “Company”) is one of the world’s leading semiconductor foundries. We manufacture complex, feature-rich integrated circuits (“ICs”) that enable billions of electronic devices that are pervasive throughout nearly every sector of the global economy. With our specialized foundry manufacturing processes, a library consisting of thousands of IP titles, and differentiated transistor and device technology, we serve a broad range of customers, including the global leaders in IC design, and provide optimized solutions for the function, performance and power requirements of critical applications driving key secular growth end markets.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combination of our highly-differentiated technology and our scaled manufacturing footprint enables us to attract a large share of single-sourced products and long-term supply agreements (“LTAs”), providing a high degree of revenue visibility and significant operating leverage, resulting in improved financial performance and bottom line growth. These agreements include binding, multi-year, reciprocal annual (and, in some cases, quarterly) minimum purchase and supply commitments with wafer pricing and associated mechanics outlined for the contract term. Through an intense focus on collaboration, we have built deep strategic partnerships with a broad base of more than 40 customers with LTAs as of March 31, 2023, many of whom are the global leaders in their field.</w:t>
      </w: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principal source of our revenue is wafer fabrication and sales of finished semiconductor wafers, which accounted for approximately 91% of our net revenue during the quarter ended March 31, 2023. The rest of our net revenue was mainly derived from photomask manufacturing, sourcing services and pre-fab manufacturing services.</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semiconductor industry is susceptible to uncertain economic conditions that could impact demand. We remain cautious regarding the macroeconomic headwinds facing our industry in the first half of 2023. We continue to implement a long-term partnership-driven model with our industry, which is driving improved visibility for our business through this period of uncertainty.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generate the majority of our revenue from volume production and sales of finished semiconductor wafers, which are priced on a per-wafer basis for the applicable design. We also generate revenue from pre-fabrication services such as rendering of non-recurring engineering (“NRE”) services, mask production and pre-fabrication services such as bump, test, and packaging. Pricing is typically agreed prior to production and then updated based on subsequent period negotiations.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Cost of revenue consists primarily of material expenses, depreciation and amortization, employee-related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As it pertains to inflation and inflationary-headwinds we are facing within our business, we have experienced an increase in costs for materials and energy in the current period, and we expect these increases to continue to have an adverse impact on our financial results of operations, while these economic conditions persist.</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charges primarily include the depreciation of clean room production equipment We periodically assess the estimated useful</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lives of property, plant and equipment</w:t>
      </w:r>
      <w:r>
        <w:rPr>
          <w:rFonts w:ascii="Arial" w:cs="Arial" w:eastAsia="Arial" w:hAnsi="Arial"/>
          <w:sz w:val="21"/>
          <w:szCs w:val="21"/>
          <w:color w:val="auto"/>
        </w:rPr>
        <w:t>.</w:t>
      </w:r>
      <w:r>
        <w:rPr>
          <w:rFonts w:ascii="Arial" w:cs="Arial" w:eastAsia="Arial" w:hAnsi="Arial"/>
          <w:sz w:val="16"/>
          <w:szCs w:val="16"/>
          <w:color w:val="auto"/>
        </w:rPr>
        <w:t xml:space="preserve"> As a result of a review completed in April 2023, the Company concluded the estimated maximum useful life of buildings should be increased from 26 years to 50 years. This change in estimate was applied prospectively, effective beginning in the first quarter of 2023. We depreciate equipment on a straight-line basis over a two-to-ten-year period. We depreciate equipment on a straight-line basis over a two-to-ten-year period. Employee-related expenses primarily include employee wages and salaries, social security contributions and benefit costs for operators, maintenance technicians, process engineers, supply chain, IT production, yield improvement and health and safety roles. Facility costs primarily consist of the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of electricity, water and other utilities and services. We expect cost of revenue to increase modestly in absolute terms and as a percentage of revenue in the second quarter 2023.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Our operating expenses consist of research and development (“R&amp;D”), selling, general and administrative expenses, and restructuring charges. Personnel costs are the most significant component of our operating expenses and consist of salaries, benefits, bonuses, share-based compensation, and commissions.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(“R&amp;D”)</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R&amp;D efforts are focused on developing highly differentiated process technologies and solutions. Our R&amp;D expense includes personnel costs, material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We expect our R&amp;D expense to increase modestly in absolute terms and as a percentage of revenue in the second quarter 2023..</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(“SG&amp;A”)</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SG&amp;A expenses consist primarily of personnel-related costs, including sales commissions to independent sales representatives and professional fees, including the costs of accounting, audit, legal, regulatory and tax compliance. Additionally, costs related to advertising, trade shows, corporate marketing and allocated overhead costs are also included in SG&amp;A expenses.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Since we became a publicly traded company in October 2021, we have and will continue to incur increased audit, accounting, legal, information technology, regulatory, compliance, director and officer insurance costs as well as investor and public relations expenses associated with operating as a public company. We expect SG&amp;A expenses to decrease modestly in absolute terms and as a percentage of revenue in the second quarter 2023.</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Charges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Restructuring charges relate to reductions in our global workforce , leased workspace and we engage consultants for strategic support of the restructuring.</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Operating Charges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Income (Expense), net</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Finance income (expense), net consists primarily of interest on borrowings, amortization of debt issuance costs under our term loans, revolving credit facility, finance leases and the other credit facilities we maintain with various financial institutions, net of interest income related to investing activities.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Other income (expense), net consists of gains and losses and other miscellaneous income and expense items unrelated to our core operations. Included are tool sales to third party, as well as gains and losses relating to hedging activities.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Income tax expense consists primarily of income taxes in certain foreign jurisdictions in which we conduct business, which mainly include Germany, Singapore and the United States.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consolidated statements of operations data for the periods indicated: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8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tcBorders>
              <w:bottom w:val="single" w:sz="8" w:color="auto"/>
            </w:tcBorders>
            <w:gridSpan w:val="8"/>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469</w:t>
            </w:r>
          </w:p>
        </w:tc>
        <w:tc>
          <w:tcPr>
            <w:tcW w:w="0" w:type="dxa"/>
            <w:vAlign w:val="bottom"/>
          </w:tcPr>
          <w:p>
            <w:pPr>
              <w:spacing w:after="0"/>
              <w:rPr>
                <w:sz w:val="1"/>
                <w:szCs w:val="1"/>
                <w:color w:val="auto"/>
              </w:rPr>
            </w:pPr>
          </w:p>
        </w:tc>
      </w:tr>
      <w:tr>
        <w:trPr>
          <w:trHeight w:val="207"/>
        </w:trPr>
        <w:tc>
          <w:tcPr>
            <w:tcW w:w="598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 expenses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6"/>
                <w:szCs w:val="16"/>
                <w:color w:val="auto"/>
              </w:rPr>
              <w:t>Restructuring 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244</w:t>
            </w:r>
          </w:p>
        </w:tc>
        <w:tc>
          <w:tcPr>
            <w:tcW w:w="0" w:type="dxa"/>
            <w:vAlign w:val="bottom"/>
          </w:tcPr>
          <w:p>
            <w:pPr>
              <w:spacing w:after="0"/>
              <w:rPr>
                <w:sz w:val="1"/>
                <w:szCs w:val="1"/>
                <w:color w:val="auto"/>
              </w:rPr>
            </w:pPr>
          </w:p>
        </w:tc>
      </w:tr>
      <w:tr>
        <w:trPr>
          <w:trHeight w:val="210"/>
        </w:trPr>
        <w:tc>
          <w:tcPr>
            <w:tcW w:w="598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225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income (expenses),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5980" w:type="dxa"/>
            <w:vAlign w:val="bottom"/>
            <w:gridSpan w:val="2"/>
          </w:tcPr>
          <w:p>
            <w:pPr>
              <w:ind w:left="20"/>
              <w:spacing w:after="0"/>
              <w:rPr>
                <w:sz w:val="20"/>
                <w:szCs w:val="20"/>
                <w:color w:val="auto"/>
              </w:rPr>
            </w:pPr>
            <w:r>
              <w:rPr>
                <w:rFonts w:ascii="Arial" w:cs="Arial" w:eastAsia="Arial" w:hAnsi="Arial"/>
                <w:sz w:val="16"/>
                <w:szCs w:val="16"/>
                <w:color w:val="auto"/>
              </w:rPr>
              <w:t>Share of profit of joint ventures and associates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0"/>
        </w:trPr>
        <w:tc>
          <w:tcPr>
            <w:tcW w:w="598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207</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9"/>
        </w:trPr>
        <w:tc>
          <w:tcPr>
            <w:tcW w:w="59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254</w:t>
            </w:r>
          </w:p>
        </w:tc>
        <w:tc>
          <w:tcPr>
            <w:tcW w:w="2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178</w:t>
            </w:r>
          </w:p>
        </w:tc>
        <w:tc>
          <w:tcPr>
            <w:tcW w:w="0" w:type="dxa"/>
            <w:vAlign w:val="bottom"/>
          </w:tcPr>
          <w:p>
            <w:pPr>
              <w:spacing w:after="0"/>
              <w:rPr>
                <w:sz w:val="1"/>
                <w:szCs w:val="1"/>
                <w:color w:val="auto"/>
              </w:rPr>
            </w:pPr>
          </w:p>
        </w:tc>
      </w:tr>
      <w:tr>
        <w:trPr>
          <w:trHeight w:val="21"/>
        </w:trPr>
        <w:tc>
          <w:tcPr>
            <w:tcW w:w="59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Comparison of Three Months Ended March 31, 2023 and 2022</w:t>
            </w: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9"/>
        </w:trPr>
        <w:tc>
          <w:tcPr>
            <w:tcW w:w="59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7"/>
        </w:trPr>
        <w:tc>
          <w:tcPr>
            <w:tcW w:w="43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i w:val="1"/>
                <w:iCs w:val="1"/>
                <w:color w:val="auto"/>
              </w:rPr>
              <w:t>Net Revenue</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246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9"/>
        </w:trPr>
        <w:tc>
          <w:tcPr>
            <w:tcW w:w="4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bl>
    <w:p>
      <w:pPr>
        <w:spacing w:after="0" w:line="32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Net revenue decreased by $99 million, or 5.1%, for the three months ended March 31, 2023, compared to the three months ended March 31, 2022. The decrease was primarily a result of lower wafer shipment volumes despite higher average selling prices (“ASP”). For the three months ended March 31, 2023, wafer shipments were 511 thousand (300mm equivalent), an 18% decrease from the prior year. ASP per wafer increased approximately 12% year over year, driven by ramping LTAs with better pricing, and continued improvement in product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0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67"/>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30"/>
        </w:trPr>
        <w:tc>
          <w:tcPr>
            <w:tcW w:w="6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310"/>
        </w:trPr>
        <w:tc>
          <w:tcPr>
            <w:tcW w:w="6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3"/>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1,326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1,471</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1"/>
        </w:trPr>
        <w:tc>
          <w:tcPr>
            <w:tcW w:w="600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24.2 %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i w:val="1"/>
                <w:iCs w:val="1"/>
                <w:color w:val="auto"/>
              </w:rPr>
              <w:t>+380bps</w:t>
            </w:r>
          </w:p>
        </w:tc>
      </w:tr>
    </w:tbl>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Cost of revenue decreased by $145 million, or 9.9%, for the three months ended March 31, 2023, compared to the three months ended March 31, 2022. The decrease was primarily a result of approximately 18% decrease in wafer shipments, $20 million decrease in depreciation expense and $11 million decrease in share-based compensation.</w:t>
      </w:r>
    </w:p>
    <w:p>
      <w:pPr>
        <w:spacing w:after="0" w:line="8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improvement in gross margin to 28.0% for the three months ended March 31, 2023 from 24.2% for the three months ended March 31, 2022 was largely attributable to higher ASPs and product mix.</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20" w:type="dxa"/>
            <w:vAlign w:val="bottom"/>
          </w:tcPr>
          <w:p>
            <w:pPr>
              <w:spacing w:after="0"/>
              <w:rPr>
                <w:sz w:val="20"/>
                <w:szCs w:val="20"/>
                <w:color w:val="auto"/>
              </w:rPr>
            </w:pPr>
            <w:r>
              <w:rPr>
                <w:rFonts w:ascii="Arial" w:cs="Arial" w:eastAsia="Arial" w:hAnsi="Arial"/>
                <w:sz w:val="16"/>
                <w:szCs w:val="16"/>
                <w:b w:val="1"/>
                <w:bCs w:val="1"/>
                <w:i w:val="1"/>
                <w:iCs w:val="1"/>
                <w:color w:val="auto"/>
              </w:rPr>
              <w:t>Research and Development Expenses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7"/>
        </w:trPr>
        <w:tc>
          <w:tcPr>
            <w:tcW w:w="61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2"/>
        </w:trPr>
        <w:tc>
          <w:tcPr>
            <w:tcW w:w="6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305"/>
        </w:trPr>
        <w:tc>
          <w:tcPr>
            <w:tcW w:w="6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3"/>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109</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0"/>
        </w:trPr>
        <w:tc>
          <w:tcPr>
            <w:tcW w:w="6120" w:type="dxa"/>
            <w:vAlign w:val="bottom"/>
          </w:tcPr>
          <w:p>
            <w:pPr>
              <w:ind w:left="20"/>
              <w:spacing w:after="0"/>
              <w:rPr>
                <w:sz w:val="20"/>
                <w:szCs w:val="20"/>
                <w:color w:val="auto"/>
              </w:rPr>
            </w:pPr>
            <w:r>
              <w:rPr>
                <w:rFonts w:ascii="Arial" w:cs="Arial" w:eastAsia="Arial" w:hAnsi="Arial"/>
                <w:sz w:val="16"/>
                <w:szCs w:val="16"/>
                <w:color w:val="auto"/>
              </w:rPr>
              <w:t>As a % of revenue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bl>
    <w:p>
      <w:pPr>
        <w:spacing w:after="0" w:line="200" w:lineRule="exact"/>
        <w:rPr>
          <w:sz w:val="20"/>
          <w:szCs w:val="20"/>
          <w:color w:val="auto"/>
        </w:rPr>
      </w:pPr>
    </w:p>
    <w:p>
      <w:pPr>
        <w:spacing w:after="0" w:line="29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Research and development expenses decreased by $19 million, or 14.8%, for the three months ended March 31, 2023, compared to the three months ended March 31, 2022. The change was primarily a result of a 20% decrease in employee-related expenses driven by lower headcount.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60" w:type="dxa"/>
            <w:vAlign w:val="bottom"/>
          </w:tcPr>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6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30"/>
        </w:trPr>
        <w:tc>
          <w:tcPr>
            <w:tcW w:w="6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310"/>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111</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As a % of revenue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Selling, general and administrative expenses decreased by $5 million, or 4.3%, for the three months ended March 31, 2023, compared to the three months ended March 31, 2022. The change was primarily a result of lower headcount which contributed to a decrease in share-based compensation of $10 million, partially offset by a $5 million increase in professional services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00" w:type="dxa"/>
            <w:vAlign w:val="bottom"/>
          </w:tcPr>
          <w:p>
            <w:pPr>
              <w:spacing w:after="0"/>
              <w:rPr>
                <w:sz w:val="20"/>
                <w:szCs w:val="20"/>
                <w:color w:val="auto"/>
              </w:rPr>
            </w:pPr>
            <w:r>
              <w:rPr>
                <w:rFonts w:ascii="Arial" w:cs="Arial" w:eastAsia="Arial" w:hAnsi="Arial"/>
                <w:sz w:val="16"/>
                <w:szCs w:val="16"/>
                <w:b w:val="1"/>
                <w:bCs w:val="1"/>
                <w:i w:val="1"/>
                <w:iCs w:val="1"/>
                <w:color w:val="auto"/>
              </w:rPr>
              <w:t>Restructuring Charges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6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56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rPr>
              <w:t>Three Months Ended March</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w w:val="89"/>
              </w:rPr>
              <w:t>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0" w:type="dxa"/>
            <w:vAlign w:val="bottom"/>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9"/>
                <w:szCs w:val="19"/>
                <w:color w:val="auto"/>
              </w:rPr>
            </w:pP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6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Restructuring charges were $5 million for the three months ended March 31, 2023 compared to $0 for the three months ended March 31, 2022. This change was due to the Company incurring additional employee-related charges associated with the reduction in our global workforce.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40" w:type="dxa"/>
            <w:vAlign w:val="bottom"/>
          </w:tcPr>
          <w:p>
            <w:pPr>
              <w:spacing w:after="0"/>
              <w:rPr>
                <w:sz w:val="20"/>
                <w:szCs w:val="20"/>
                <w:color w:val="auto"/>
              </w:rPr>
            </w:pPr>
            <w:r>
              <w:rPr>
                <w:rFonts w:ascii="Arial" w:cs="Arial" w:eastAsia="Arial" w:hAnsi="Arial"/>
                <w:sz w:val="16"/>
                <w:szCs w:val="16"/>
                <w:b w:val="1"/>
                <w:bCs w:val="1"/>
                <w:i w:val="1"/>
                <w:iCs w:val="1"/>
                <w:color w:val="auto"/>
              </w:rPr>
              <w:t>Finance income (expense), net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6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260" w:type="dxa"/>
            <w:vAlign w:val="bottom"/>
            <w:gridSpan w:val="6"/>
          </w:tcPr>
          <w:p>
            <w:pPr>
              <w:jc w:val="center"/>
              <w:spacing w:after="0"/>
              <w:rPr>
                <w:sz w:val="20"/>
                <w:szCs w:val="20"/>
                <w:color w:val="auto"/>
              </w:rPr>
            </w:pPr>
            <w:r>
              <w:rPr>
                <w:rFonts w:ascii="Arial" w:cs="Arial" w:eastAsia="Arial" w:hAnsi="Arial"/>
                <w:sz w:val="16"/>
                <w:szCs w:val="16"/>
                <w:b w:val="1"/>
                <w:bCs w:val="1"/>
                <w:color w:val="auto"/>
              </w:rPr>
              <w:t>Three Months Ended March</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w w:val="89"/>
              </w:rPr>
              <w:t>31,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0"/>
        </w:trPr>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income (expenses), net</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103.6 %</w:t>
            </w:r>
          </w:p>
        </w:tc>
        <w:tc>
          <w:tcPr>
            <w:tcW w:w="0" w:type="dxa"/>
            <w:vAlign w:val="bottom"/>
          </w:tcPr>
          <w:p>
            <w:pPr>
              <w:spacing w:after="0"/>
              <w:rPr>
                <w:sz w:val="1"/>
                <w:szCs w:val="1"/>
                <w:color w:val="auto"/>
              </w:rPr>
            </w:pPr>
          </w:p>
        </w:tc>
      </w:tr>
    </w:tbl>
    <w:p>
      <w:pPr>
        <w:spacing w:after="0" w:line="32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Finance income, net increased by $29 million, or 103.6%, for the three months ended March 31, 2023, compared to the three months ended March 31, 2022. The increase was primarily a result of $31 million higher interest income generated from money market funds and investments in marketable debt securities, partially offset by $2 million higher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4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6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280" w:type="dxa"/>
            <w:vAlign w:val="bottom"/>
            <w:gridSpan w:val="5"/>
          </w:tcPr>
          <w:p>
            <w:pPr>
              <w:jc w:val="right"/>
              <w:spacing w:after="0"/>
              <w:rPr>
                <w:sz w:val="20"/>
                <w:szCs w:val="20"/>
                <w:color w:val="auto"/>
              </w:rPr>
            </w:pPr>
            <w:r>
              <w:rPr>
                <w:rFonts w:ascii="Arial" w:cs="Arial" w:eastAsia="Arial" w:hAnsi="Arial"/>
                <w:sz w:val="16"/>
                <w:szCs w:val="16"/>
                <w:b w:val="1"/>
                <w:bCs w:val="1"/>
                <w:color w:val="auto"/>
              </w:rPr>
              <w:t>Three Months Ended March</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40" w:type="dxa"/>
            <w:vAlign w:val="bottom"/>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31,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9"/>
        </w:trPr>
        <w:tc>
          <w:tcPr>
            <w:tcW w:w="6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(15)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(266.7)%</w:t>
            </w:r>
          </w:p>
        </w:tc>
        <w:tc>
          <w:tcPr>
            <w:tcW w:w="0" w:type="dxa"/>
            <w:vAlign w:val="bottom"/>
          </w:tcPr>
          <w:p>
            <w:pPr>
              <w:spacing w:after="0"/>
              <w:rPr>
                <w:sz w:val="1"/>
                <w:szCs w:val="1"/>
                <w:color w:val="auto"/>
              </w:rPr>
            </w:pPr>
          </w:p>
        </w:tc>
      </w:tr>
    </w:tbl>
    <w:p>
      <w:pPr>
        <w:spacing w:after="0" w:line="32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Other income (expense), net decreased by $24 million, for the three months ended March 31, 2023, compared to the three months ended March 31, 2022. The decrease was primarily driven by $30 million of foreign exchange currency losses and losses in 2023 from unwinding of certain commodity hedges, partially offset by utilization of approximately $7 million in asset retirement obligations associated with the sale of the East Fishkill business.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40" w:type="dxa"/>
            <w:vAlign w:val="bottom"/>
          </w:tcPr>
          <w:p>
            <w:pPr>
              <w:spacing w:after="0"/>
              <w:rPr>
                <w:sz w:val="20"/>
                <w:szCs w:val="20"/>
                <w:color w:val="auto"/>
              </w:rPr>
            </w:pPr>
            <w:r>
              <w:rPr>
                <w:rFonts w:ascii="Arial" w:cs="Arial" w:eastAsia="Arial" w:hAnsi="Arial"/>
                <w:sz w:val="16"/>
                <w:szCs w:val="16"/>
                <w:b w:val="1"/>
                <w:bCs w:val="1"/>
                <w:i w:val="1"/>
                <w:iCs w:val="1"/>
                <w:color w:val="auto"/>
              </w:rPr>
              <w:t>Income Tax Expense</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6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28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 March</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40" w:type="dxa"/>
            <w:vAlign w:val="bottom"/>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0"/>
        </w:trPr>
        <w:tc>
          <w:tcPr>
            <w:tcW w:w="6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(23)  $</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33"/>
        </w:trPr>
        <w:tc>
          <w:tcPr>
            <w:tcW w:w="6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Income tax expense decreased by $6 million, or 20.7%, for the three months ended March 31, 2023, compared to the three months ended March 31, 2022. The decrease was primarily a result of an improved mix of income in certain jurisdictions and a benefit related to Singapore tax incentives, partially offset by additional withholding tax expense accrued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Liquidity and Capital Resources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have financed our operations primarily through cash and cash equivalents, marketable securities, as well as cash generated from our business operations, including customers' prepayments under LTAs. As of March 31, 2023, our cash, cash equivalents and marketable securities balances of $3.2 billion included $2.3 billion of cash and cash equivalent and $976 million of marketable securities.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March 31, 2023 and December 31, 2022, we had an undrawn revolving credit facility of $1 billion. In addition to our available revolver, we had $2.5 billion of debt outstanding as of March 31, 2023 and December 31, 2022, respectively, which was primarily comprised of multiple term loans in various currencies. Our future capital requirements will depend on many factors, including our revenue growth rate, the timing and the amount we receive from customers, the timing and extent of our expansion in new territories, spending to support research and development efforts, the introduction of new and enhanced products and solutions, and the continuing market adoption of our technology offerings. We may from time to time seek to raise additional capital to support our growth. We believe that our existing cash, cash equivalents, investment in marketable securities, credit under our revolving credit facility, and expected cash generated from operations are sufficient to meet our capital requirements.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20" w:type="dxa"/>
            <w:vAlign w:val="bottom"/>
            <w:gridSpan w:val="2"/>
          </w:tcPr>
          <w:p>
            <w:pPr>
              <w:spacing w:after="0"/>
              <w:rPr>
                <w:sz w:val="20"/>
                <w:szCs w:val="20"/>
                <w:color w:val="auto"/>
              </w:rPr>
            </w:pPr>
            <w:r>
              <w:rPr>
                <w:rFonts w:ascii="Arial" w:cs="Arial" w:eastAsia="Arial" w:hAnsi="Arial"/>
                <w:sz w:val="16"/>
                <w:szCs w:val="16"/>
                <w:b w:val="1"/>
                <w:bCs w:val="1"/>
                <w:color w:val="auto"/>
              </w:rPr>
              <w:t>Cash Flows</w:t>
            </w: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0"/>
        </w:trPr>
        <w:tc>
          <w:tcPr>
            <w:tcW w:w="7820" w:type="dxa"/>
            <w:vAlign w:val="bottom"/>
            <w:gridSpan w:val="2"/>
          </w:tcPr>
          <w:p>
            <w:pPr>
              <w:spacing w:after="0"/>
              <w:rPr>
                <w:sz w:val="20"/>
                <w:szCs w:val="20"/>
                <w:color w:val="auto"/>
              </w:rPr>
            </w:pPr>
            <w:r>
              <w:rPr>
                <w:rFonts w:ascii="Arial" w:cs="Arial" w:eastAsia="Arial" w:hAnsi="Arial"/>
                <w:sz w:val="16"/>
                <w:szCs w:val="16"/>
                <w:color w:val="auto"/>
              </w:rPr>
              <w:t>The following table shows a summary of our cash flows for the periods presented:</w:t>
            </w: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1"/>
        </w:trPr>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60" w:type="dxa"/>
            <w:vAlign w:val="bottom"/>
            <w:tcBorders>
              <w:bottom w:val="single" w:sz="8" w:color="auto"/>
            </w:tcBorders>
          </w:tcPr>
          <w:p>
            <w:pPr>
              <w:spacing w:after="0"/>
              <w:rPr>
                <w:sz w:val="24"/>
                <w:szCs w:val="24"/>
                <w:color w:val="auto"/>
              </w:rPr>
            </w:pPr>
          </w:p>
        </w:tc>
      </w:tr>
      <w:tr>
        <w:trPr>
          <w:trHeight w:val="237"/>
        </w:trPr>
        <w:tc>
          <w:tcPr>
            <w:tcW w:w="7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520" w:type="dxa"/>
            <w:vAlign w:val="bottom"/>
          </w:tcPr>
          <w:p>
            <w:pPr>
              <w:spacing w:after="0"/>
              <w:rPr>
                <w:sz w:val="20"/>
                <w:szCs w:val="20"/>
                <w:color w:val="auto"/>
              </w:rPr>
            </w:pPr>
          </w:p>
        </w:tc>
        <w:tc>
          <w:tcPr>
            <w:tcW w:w="13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460" w:type="dxa"/>
            <w:vAlign w:val="bottom"/>
          </w:tcPr>
          <w:p>
            <w:pPr>
              <w:spacing w:after="0"/>
              <w:rPr>
                <w:sz w:val="20"/>
                <w:szCs w:val="20"/>
                <w:color w:val="auto"/>
              </w:rPr>
            </w:pPr>
          </w:p>
        </w:tc>
      </w:tr>
      <w:tr>
        <w:trPr>
          <w:trHeight w:val="216"/>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300" w:type="dxa"/>
            <w:vAlign w:val="bottom"/>
            <w:gridSpan w:val="2"/>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r>
      <w:tr>
        <w:trPr>
          <w:trHeight w:val="213"/>
        </w:trPr>
        <w:tc>
          <w:tcPr>
            <w:tcW w:w="7820" w:type="dxa"/>
            <w:vAlign w:val="bottom"/>
            <w:gridSpan w:val="2"/>
          </w:tcPr>
          <w:p>
            <w:pPr>
              <w:ind w:left="20"/>
              <w:spacing w:after="0"/>
              <w:rPr>
                <w:sz w:val="20"/>
                <w:szCs w:val="20"/>
                <w:color w:val="auto"/>
              </w:rPr>
            </w:pPr>
            <w:r>
              <w:rPr>
                <w:rFonts w:ascii="Arial" w:cs="Arial" w:eastAsia="Arial" w:hAnsi="Arial"/>
                <w:sz w:val="16"/>
                <w:szCs w:val="16"/>
                <w:color w:val="auto"/>
              </w:rPr>
              <w:t>Cash used in investing activities</w:t>
            </w: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(639)</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financing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06"/>
        </w:trPr>
        <w:tc>
          <w:tcPr>
            <w:tcW w:w="7720" w:type="dxa"/>
            <w:vAlign w:val="bottom"/>
          </w:tcPr>
          <w:p>
            <w:pPr>
              <w:ind w:left="240"/>
              <w:spacing w:after="0"/>
              <w:rPr>
                <w:sz w:val="20"/>
                <w:szCs w:val="20"/>
                <w:color w:val="auto"/>
              </w:rPr>
            </w:pPr>
            <w:r>
              <w:rPr>
                <w:rFonts w:ascii="Arial" w:cs="Arial" w:eastAsia="Arial" w:hAnsi="Arial"/>
                <w:sz w:val="16"/>
                <w:szCs w:val="16"/>
                <w:color w:val="auto"/>
              </w:rPr>
              <w:t>Effect of exchange rate changes on cash and cash equivalents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7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increase/(decrease) in cash and cash equivalents</w:t>
            </w: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3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Cash provided by operating activities for the three months ended March 31, 2023 of $479 million decreased $366 million compared to the $845 million provided for the three month period ended March 31, 2022. The decrease was primarily attributable to higher net income of $76 million, adjusted for $65 million of reduced depreciation and amortization of intangible assets and $18 million of lower share based compensation expense. Unfavorable changes in working capital of $363 million included a decrease in trade and other payables of $356 million driven by a decrease in advances and deposits, and an increase in inventory of $20 million due to ongoing cyclical headwinds facing the semiconductor industry, in part caused by recent macroeconomic events which have led to softness in certain consumer-centric markets. This was partially offset by an increase in receivables, prepayments. other non current assets and other assets of $13 million.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Cash used in investing activities for the three months ended March 31, 2023 of $586 million, decreased $53 million compared to the use of $639 million for the three month period ended March 31, 2022. The decrease was primarily attributable to capital expenditures, of $853 million, net of a $152 million tax credit refund from the State of New York, a net increase of $210 million from the prior year period, principally associated with activities to expand capacity within certain of our fabrication facilities. This increase was partially offset by $238 million in proceeds from the sale of the East Fishkill business and the net proceeds from the sale of marketable securities increased by $25 million.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Cash provided by financing activities for the three months ended March 31, 2023 of $10 million decreased $108 million compared to the $118 million provided in the three month period ended March 31, 2022. The decrease was primarily attributable to reduced proceeds from borrowings of $170 million partially offset by a debt repayment reduction of $33 million, increased proceeds from the issuance of equity instruments of $32 million and an increase in proceeds of government grants of $5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2023-05-18T06:44:25Z</dcterms:created>
  <dcterms:modified xsi:type="dcterms:W3CDTF">2023-05-18T06:44:25Z</dcterms:modified>
</cp:coreProperties>
</file>