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424(b)(7)</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File no. 333-294214</w:t>
      </w:r>
    </w:p>
    <w:p>
      <w:pPr>
        <w:pStyle w:val="TextBody"/>
        <w:bidi w:val="0"/>
        <w:spacing w:lineRule="auto" w:line="288" w:before="0" w:after="180"/>
        <w:jc w:val="left"/>
        <w:rPr>
          <w:rFonts w:ascii="Times New Roman;serif" w:hAnsi="Times New Roman;serif"/>
          <w:b/>
          <w:color w:val="DE1A1E"/>
          <w:sz w:val="20"/>
        </w:rPr>
      </w:pPr>
      <w:r>
        <w:rPr>
          <w:rFonts w:ascii="Times New Roman;serif" w:hAnsi="Times New Roman;serif"/>
          <w:b/>
          <w:color w:val="DE1A1E"/>
          <w:sz w:val="20"/>
        </w:rPr>
        <w:t>The information in this preliminary prospectus supplement is not complete and may be changed. A registration statement relating to these securities has been declared effective by the Securities and Exchange Commission. This preliminary prospectus supplement and the attached prospectus are not an offer to sell these securities and are not soliciting an offer to buy these securities in any jurisdiction where an offer or sale is not permitted.</w:t>
      </w:r>
    </w:p>
    <w:p>
      <w:pPr>
        <w:pStyle w:val="TextBody"/>
        <w:bidi w:val="0"/>
        <w:spacing w:lineRule="auto" w:line="288" w:before="0" w:after="180"/>
        <w:jc w:val="left"/>
        <w:rPr>
          <w:rFonts w:ascii="Times New Roman;serif" w:hAnsi="Times New Roman;serif"/>
          <w:b/>
          <w:color w:val="DE1A1E"/>
          <w:sz w:val="20"/>
        </w:rPr>
      </w:pPr>
      <w:r>
        <w:rPr>
          <w:rFonts w:ascii="Times New Roman;serif" w:hAnsi="Times New Roman;serif"/>
          <w:b/>
          <w:color w:val="DE1A1E"/>
          <w:sz w:val="20"/>
        </w:rPr>
        <w:t>SUBJECT TO COMPLETION, DATED March 11, 2026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(To Prospectus Dated March 11, 2026)</w:t>
      </w:r>
    </w:p>
    <w:p>
      <w:pPr>
        <w:pStyle w:val="TextBody"/>
        <w:bidi w:val="0"/>
        <w:spacing w:before="0" w:after="60"/>
        <w:jc w:val="center"/>
        <w:rPr/>
      </w:pPr>
      <w:r>
        <w:rPr/>
        <w:drawing>
          <wp:inline distT="0" distB="0" distL="0" distR="0">
            <wp:extent cx="42005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00525" cy="8572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GLOBALFOUNDRIES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left"/>
        <w:rPr/>
      </w:pPr>
      <w:r>
        <w:rPr>
          <w:rFonts w:ascii="Times New Roman;serif" w:hAnsi="Times New Roman;serif"/>
          <w:b w:val="false"/>
          <w:color w:val="000000"/>
          <w:sz w:val="16"/>
        </w:rPr>
        <w:t>This is a public offering of the ordinary shares, US$0.02 par value per share, of GLOBALFOUNDRIES Inc., or the company. Our selling shareholder, Mubadala Technology Investment Company (“MTIC”), a wholly owned subsidiary of Mubadala Investment Company PJSC (“MIC,” together with MTIC, “Mubadala”), is offering an aggregate of ordinary shares, 20,000,000 shares of which shall be sold to the public at a price to the public of $ and approximately $300.0 million worth of shares of which shall be repurchased by us at the price paid by the underwriters in this offering, as described below, under this prospectus supplement (the “Prospectus Supplement”) to the accompanying prospectus pursuant to a registration statement on Form F-3 that the company filed with the U.S. Securities and Exchange Commission (“SEC”) on March 11, 2026. On March 10, 2026, the last reported sale price for our ordinary shares on the Nasdaq Global Select Market (“Nasdaq”) was $46.63 per ordinary share. We are not selling any ordinary shares under this prospectus supplement and will not receive any proceeds from the sale of the ordinary shares by MTIC. We intend to concurrently repurchase from the underwriters approximately $300.0 million of the ordinary shares that are subject to this offering, referred to as the share repurchase, at a price per ordinary share equal to the price to be paid by the underwriters in this offering.</w:t>
      </w:r>
      <w:r>
        <w:rPr>
          <w:color w:val="000000"/>
        </w:rPr>
        <w:t xml:space="preserve"> </w:t>
      </w:r>
      <w:r>
        <w:rPr>
          <w:rFonts w:ascii="Times New Roman;serif" w:hAnsi="Times New Roman;serif"/>
          <w:b w:val="false"/>
          <w:color w:val="000000"/>
          <w:sz w:val="16"/>
        </w:rPr>
        <w:t xml:space="preserve">At an assumed repurchase price of $43.08 per ordinary share, we would repurchase 6,963,789 ordinary shares in this offering. The closing of the share repurchase is contingent upon the closing of this offering. The closing of this offering is not contingent on the closing of the share repurchase. Our ordinary shares are listed and traded on Nasdaq under the symbol “GFS.”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pPr>
      <w:r>
        <w:rPr>
          <w:rFonts w:ascii="Times New Roman;serif" w:hAnsi="Times New Roman;serif"/>
          <w:b/>
          <w:color w:val="000000"/>
          <w:sz w:val="16"/>
        </w:rPr>
        <w:t>Investing in our ordinary shares involves risks. See “</w:t>
      </w:r>
      <w:hyperlink w:anchor="i2eff79bc0a8f43af8befe2b8215adb08_195">
        <w:r>
          <w:rPr>
            <w:rStyle w:val="InternetLink"/>
            <w:rFonts w:ascii="Times New Roman;serif" w:hAnsi="Times New Roman;serif"/>
            <w:b/>
            <w:color w:val="0000FF"/>
            <w:sz w:val="16"/>
            <w:u w:val="single"/>
          </w:rPr>
          <w:t>Risk Factors</w:t>
        </w:r>
      </w:hyperlink>
      <w:r>
        <w:rPr>
          <w:color w:val="000000"/>
        </w:rPr>
        <w:t xml:space="preserve">” </w:t>
      </w:r>
      <w:r>
        <w:rPr>
          <w:rFonts w:ascii="Times New Roman;serif" w:hAnsi="Times New Roman;serif"/>
          <w:b/>
          <w:color w:val="000000"/>
          <w:sz w:val="16"/>
        </w:rPr>
        <w:t xml:space="preserve">beginning on page </w:t>
      </w:r>
      <w:hyperlink w:anchor="i2eff79bc0a8f43af8befe2b8215adb08_195">
        <w:r>
          <w:rPr>
            <w:rStyle w:val="InternetLink"/>
            <w:rFonts w:ascii="Times New Roman;serif" w:hAnsi="Times New Roman;serif"/>
            <w:b/>
            <w:color w:val="0000FF"/>
            <w:sz w:val="16"/>
            <w:u w:val="single"/>
          </w:rPr>
          <w:t>S-8</w:t>
        </w:r>
      </w:hyperlink>
      <w:r>
        <w:rPr>
          <w:color w:val="000000"/>
        </w:rPr>
        <w:t xml:space="preserve"> </w:t>
      </w:r>
      <w:r>
        <w:rPr>
          <w:rFonts w:ascii="Times New Roman;serif" w:hAnsi="Times New Roman;serif"/>
          <w:b/>
          <w:color w:val="000000"/>
          <w:sz w:val="16"/>
        </w:rPr>
        <w:t>of this prospectus supplement, any risk factors included in the accompanying prospectus, and in the documents incorporated by reference in this prospectus supplement before investing in our ordinary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02" w:type="dxa"/>
        <w:jc w:val="left"/>
        <w:tblInd w:w="0" w:type="dxa"/>
        <w:tblLayout w:type="fixed"/>
        <w:tblCellMar>
          <w:top w:w="28" w:type="dxa"/>
          <w:left w:w="28" w:type="dxa"/>
          <w:bottom w:w="28" w:type="dxa"/>
          <w:right w:w="28" w:type="dxa"/>
        </w:tblCellMar>
      </w:tblPr>
      <w:tblGrid>
        <w:gridCol w:w="1329"/>
        <w:gridCol w:w="1170"/>
        <w:gridCol w:w="1176"/>
        <w:gridCol w:w="519"/>
        <w:gridCol w:w="519"/>
        <w:gridCol w:w="521"/>
        <w:gridCol w:w="109"/>
        <w:gridCol w:w="109"/>
        <w:gridCol w:w="109"/>
        <w:gridCol w:w="158"/>
        <w:gridCol w:w="158"/>
        <w:gridCol w:w="225"/>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Public offering price </w:t>
            </w:r>
            <w:r>
              <w:rPr>
                <w:rFonts w:ascii="Times New Roman;serif" w:hAnsi="Times New Roman;serif"/>
                <w:b w:val="false"/>
                <w:color w:val="000000"/>
                <w:sz w:val="13"/>
              </w:rPr>
              <w:t>(1)</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discounts and commissions </w:t>
            </w:r>
            <w:r>
              <w:rPr>
                <w:rFonts w:ascii="Times New Roman;serif" w:hAnsi="Times New Roman;serif"/>
                <w:b w:val="false"/>
                <w:color w:val="000000"/>
                <w:sz w:val="13"/>
              </w:rPr>
              <w:t>(2)</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Proceeds to Mubadala, before expenses </w:t>
            </w:r>
            <w:r>
              <w:rPr>
                <w:rFonts w:ascii="Times New Roman;serif" w:hAnsi="Times New Roman;serif"/>
                <w:b w:val="false"/>
                <w:color w:val="000000"/>
                <w:sz w:val="13"/>
              </w:rPr>
              <w:t>(3)(4)</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public offering price for the 20,000,000 ordinary shares sold to the public was $        per share.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(2)The underwriting discount for the 20,000,000 shares offered to the public was $        per share. The price for the approximately $300.0 million worth of ordinary shares we intend to repurchase from the underwriters was $        per share. No underwriting discount or commissions will be paid to the underwriters with respect to the        shares we intend to repurchase.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(3)Proceeds in the table only includes proceeds from the offering to the public of 20,000,000 ordinary shares. In addition to the proceeds for the 20,000,000 ordinary shares sold to the public, Mubadala is also receiving approximately $300.0 million from the sale of the ordinary shares we intend to repurchase from the underwriters in the offering.</w:t>
      </w:r>
    </w:p>
    <w:p>
      <w:pPr>
        <w:pStyle w:val="TextBody"/>
        <w:bidi w:val="0"/>
        <w:spacing w:lineRule="auto" w:line="288" w:before="0" w:after="60"/>
        <w:ind w:left="0" w:right="0" w:hanging="360"/>
        <w:jc w:val="left"/>
        <w:rPr/>
      </w:pPr>
      <w:r>
        <w:rPr>
          <w:rFonts w:ascii="Times New Roman;serif" w:hAnsi="Times New Roman;serif"/>
          <w:b w:val="false"/>
          <w:color w:val="000000"/>
          <w:sz w:val="16"/>
        </w:rPr>
        <w:t>(4)We refer you to “</w:t>
      </w:r>
      <w:hyperlink w:anchor="i2eff79bc0a8f43af8befe2b8215adb08_316">
        <w:r>
          <w:rPr>
            <w:rStyle w:val="InternetLink"/>
            <w:rFonts w:ascii="Times New Roman;serif" w:hAnsi="Times New Roman;serif"/>
            <w:b w:val="false"/>
            <w:color w:val="0000FF"/>
            <w:sz w:val="16"/>
            <w:u w:val="single"/>
          </w:rPr>
          <w:t>Underwriters</w:t>
        </w:r>
      </w:hyperlink>
      <w:r>
        <w:rPr>
          <w:color w:val="000000"/>
        </w:rPr>
        <w:t xml:space="preserve">” </w:t>
      </w:r>
      <w:r>
        <w:rPr>
          <w:rFonts w:ascii="Times New Roman;serif" w:hAnsi="Times New Roman;serif"/>
          <w:b w:val="false"/>
          <w:color w:val="000000"/>
          <w:sz w:val="16"/>
        </w:rPr>
        <w:t xml:space="preserve">beginning on page </w:t>
      </w:r>
      <w:hyperlink w:anchor="i2eff79bc0a8f43af8befe2b8215adb08_316">
        <w:r>
          <w:rPr>
            <w:rStyle w:val="InternetLink"/>
            <w:rFonts w:ascii="Times New Roman;serif" w:hAnsi="Times New Roman;serif"/>
            <w:b w:val="false"/>
            <w:color w:val="0000FF"/>
            <w:sz w:val="16"/>
            <w:u w:val="single"/>
          </w:rPr>
          <w:t>S-19</w:t>
        </w:r>
      </w:hyperlink>
      <w:r>
        <w:rPr>
          <w:color w:val="000000"/>
        </w:rPr>
        <w:t xml:space="preserve"> </w:t>
      </w:r>
      <w:r>
        <w:rPr>
          <w:rFonts w:ascii="Times New Roman;serif" w:hAnsi="Times New Roman;serif"/>
          <w:b w:val="false"/>
          <w:color w:val="000000"/>
          <w:sz w:val="16"/>
        </w:rPr>
        <w:t>of this prospectus supplement for additional information regarding underwriting compensation.</w:t>
      </w:r>
    </w:p>
    <w:p>
      <w:pPr>
        <w:pStyle w:val="TextBody"/>
        <w:bidi w:val="0"/>
        <w:spacing w:lineRule="auto" w:line="288" w:before="0" w:after="60"/>
        <w:ind w:left="0" w:right="0" w:firstLine="360"/>
        <w:jc w:val="left"/>
        <w:rPr>
          <w:rFonts w:ascii="Times New Roman;serif" w:hAnsi="Times New Roman;serif"/>
          <w:b w:val="false"/>
          <w:i/>
          <w:color w:val="000000"/>
          <w:sz w:val="16"/>
        </w:rPr>
      </w:pPr>
      <w:r>
        <w:rPr>
          <w:rFonts w:ascii="Times New Roman;serif" w:hAnsi="Times New Roman;serif"/>
          <w:b w:val="false"/>
          <w:i/>
          <w:color w:val="000000"/>
          <w:sz w:val="16"/>
        </w:rPr>
        <w:t>MTIC has granted an option to the underwriters, exercisable for 30 days after the date of this prospectus supplement, to purchase up to 3,000,000 additional ordinary shares (equal to 15% of the initial ordinary shares being sold to the public). The underwriters will pay the public offering price, less underwriting discounts and commissions, for any shares sold pursuant to such option. The share repurchase shall not be contingent on any exercise of such option by the underwriters, and any such exercise will not have any impact on the amount or price of the share repurchase.</w:t>
      </w:r>
    </w:p>
    <w:p>
      <w:pPr>
        <w:pStyle w:val="TextBody"/>
        <w:bidi w:val="0"/>
        <w:spacing w:lineRule="auto" w:line="288" w:before="0" w:after="60"/>
        <w:ind w:left="0" w:right="0" w:firstLine="360"/>
        <w:jc w:val="left"/>
        <w:rPr>
          <w:rFonts w:ascii="Times New Roman;serif" w:hAnsi="Times New Roman;serif"/>
          <w:b w:val="false"/>
          <w:i/>
          <w:color w:val="000000"/>
          <w:sz w:val="16"/>
        </w:rPr>
      </w:pPr>
      <w:r>
        <w:rPr>
          <w:rFonts w:ascii="Times New Roman;serif" w:hAnsi="Times New Roman;serif"/>
          <w:b w:val="false"/>
          <w:i/>
          <w:color w:val="000000"/>
          <w:sz w:val="16"/>
        </w:rPr>
        <w:t>Neither the U.S. Securities and Exchange Commission (the “SEC”) nor any state securities commission has approved or disapproved of these securities or passed upon the adequacy or accuracy of this prospectus supplement. Any representation to the contrary is a criminal offense.</w:t>
      </w:r>
    </w:p>
    <w:p>
      <w:pPr>
        <w:pStyle w:val="TextBody"/>
        <w:bidi w:val="0"/>
        <w:spacing w:lineRule="auto" w:line="288" w:before="0" w:after="60"/>
        <w:ind w:left="0" w:right="0" w:firstLine="360"/>
        <w:jc w:val="left"/>
        <w:rPr>
          <w:rFonts w:ascii="Times New Roman;serif" w:hAnsi="Times New Roman;serif"/>
          <w:b w:val="false"/>
          <w:i/>
          <w:color w:val="000000"/>
          <w:sz w:val="16"/>
        </w:rPr>
      </w:pPr>
      <w:r>
        <w:rPr>
          <w:rFonts w:ascii="Times New Roman;serif" w:hAnsi="Times New Roman;serif"/>
          <w:b w:val="false"/>
          <w:i/>
          <w:color w:val="000000"/>
          <w:sz w:val="16"/>
        </w:rPr>
        <w:t>The underwriters expect to deliver the ordinary shares against payment in New York, New York on or about                , 2026, through the book-entry facility of The Depository Trust Company.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Joint Book-Running Managers</w:t>
      </w:r>
    </w:p>
    <w:tbl>
      <w:tblPr>
        <w:tblW w:w="5082" w:type="dxa"/>
        <w:jc w:val="left"/>
        <w:tblInd w:w="0" w:type="dxa"/>
        <w:tblLayout w:type="fixed"/>
        <w:tblCellMar>
          <w:top w:w="28" w:type="dxa"/>
          <w:left w:w="28" w:type="dxa"/>
          <w:bottom w:w="28" w:type="dxa"/>
          <w:right w:w="28" w:type="dxa"/>
        </w:tblCellMar>
      </w:tblPr>
      <w:tblGrid>
        <w:gridCol w:w="772"/>
        <w:gridCol w:w="678"/>
        <w:gridCol w:w="680"/>
        <w:gridCol w:w="109"/>
        <w:gridCol w:w="109"/>
        <w:gridCol w:w="109"/>
        <w:gridCol w:w="769"/>
        <w:gridCol w:w="769"/>
        <w:gridCol w:w="1087"/>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J.P. Morgan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Morgan Stanley</w:t>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PROSPECTUS SUPPLEMENT DATED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6375" w:type="dxa"/>
        <w:jc w:val="left"/>
        <w:tblInd w:w="0" w:type="dxa"/>
        <w:tblLayout w:type="fixed"/>
        <w:tblCellMar>
          <w:top w:w="28" w:type="dxa"/>
          <w:left w:w="28" w:type="dxa"/>
          <w:bottom w:w="28" w:type="dxa"/>
          <w:right w:w="28" w:type="dxa"/>
        </w:tblCellMar>
      </w:tblPr>
      <w:tblGrid>
        <w:gridCol w:w="2121"/>
        <w:gridCol w:w="1859"/>
        <w:gridCol w:w="1870"/>
        <w:gridCol w:w="153"/>
        <w:gridCol w:w="153"/>
        <w:gridCol w:w="219"/>
      </w:tblGrid>
      <w:tr>
        <w:trPr/>
        <w:tc>
          <w:tcPr>
            <w:tcW w:w="21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
              <w:r>
                <w:rPr>
                  <w:rStyle w:val="InternetLink"/>
                  <w:rFonts w:ascii="Times New Roman;serif" w:hAnsi="Times New Roman;serif"/>
                  <w:b w:val="false"/>
                  <w:color w:val="000080"/>
                  <w:sz w:val="20"/>
                  <w:u w:val="single"/>
                </w:rPr>
                <w:t>ABOUT THIS PROSPECT</w:t>
              </w:r>
            </w:hyperlink>
            <w:hyperlink w:anchor="i2eff79bc0a8f43af8befe2b8215adb08_7">
              <w:r>
                <w:rPr>
                  <w:rStyle w:val="InternetLink"/>
                  <w:rFonts w:ascii="Times New Roman;serif" w:hAnsi="Times New Roman;serif"/>
                  <w:b w:val="false"/>
                  <w:color w:val="000080"/>
                  <w:sz w:val="20"/>
                  <w:u w:val="single"/>
                </w:rPr>
                <w: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eff79bc0a8f43af8befe2b8215adb08_7">
              <w:r>
                <w:rPr>
                  <w:rStyle w:val="InternetLink"/>
                  <w:rFonts w:ascii="Times New Roman;serif" w:hAnsi="Times New Roman;serif"/>
                  <w:b w:val="false"/>
                  <w:color w:val="0000FF"/>
                  <w:sz w:val="20"/>
                  <w:u w:val="single"/>
                </w:rPr>
                <w:t>S-1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140">
              <w:r>
                <w:rPr>
                  <w:rStyle w:val="InternetLink"/>
                  <w:rFonts w:ascii="Times New Roman;serif" w:hAnsi="Times New Roman;serif"/>
                  <w:b w:val="false"/>
                  <w:color w:val="0000FF"/>
                  <w:sz w:val="20"/>
                  <w:u w:val="single"/>
                </w:rPr>
                <w:t>PRESENTATION OF FINANCIAL AND OTHER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140">
              <w:r>
                <w:rPr>
                  <w:rStyle w:val="InternetLink"/>
                  <w:rFonts w:ascii="Times New Roman;serif" w:hAnsi="Times New Roman;serif"/>
                  <w:b w:val="false"/>
                  <w:color w:val="0000FF"/>
                  <w:sz w:val="20"/>
                  <w:u w:val="single"/>
                </w:rPr>
                <w:t>S-2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155">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155">
              <w:r>
                <w:rPr>
                  <w:rStyle w:val="InternetLink"/>
                  <w:rFonts w:ascii="Times New Roman;serif" w:hAnsi="Times New Roman;serif"/>
                  <w:b w:val="false"/>
                  <w:color w:val="0000FF"/>
                  <w:sz w:val="20"/>
                  <w:u w:val="single"/>
                </w:rPr>
                <w:t>S-3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10">
              <w:r>
                <w:rPr>
                  <w:rStyle w:val="InternetLink"/>
                  <w:rFonts w:ascii="Times New Roman;serif" w:hAnsi="Times New Roman;serif"/>
                  <w:b w:val="false"/>
                  <w:color w:val="0000FF"/>
                  <w:sz w:val="20"/>
                  <w:u w:val="single"/>
                </w:rPr>
                <w:t>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10">
              <w:r>
                <w:rPr>
                  <w:rStyle w:val="InternetLink"/>
                  <w:rFonts w:ascii="Times New Roman;serif" w:hAnsi="Times New Roman;serif"/>
                  <w:b w:val="false"/>
                  <w:color w:val="0000FF"/>
                  <w:sz w:val="20"/>
                  <w:u w:val="single"/>
                </w:rPr>
                <w:t>S-5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457">
              <w:r>
                <w:rPr>
                  <w:rStyle w:val="InternetLink"/>
                  <w:rFonts w:ascii="Times New Roman;serif" w:hAnsi="Times New Roman;serif"/>
                  <w:b w:val="false"/>
                  <w:color w:val="0000FF"/>
                  <w:sz w:val="20"/>
                  <w:u w:val="single"/>
                </w:rPr>
                <w:t>GLOBALFOUNDRIES INC.</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457">
              <w:r>
                <w:rPr>
                  <w:rStyle w:val="InternetLink"/>
                  <w:rFonts w:ascii="Times New Roman;serif" w:hAnsi="Times New Roman;serif"/>
                  <w:b w:val="false"/>
                  <w:color w:val="0000FF"/>
                  <w:sz w:val="20"/>
                  <w:u w:val="single"/>
                </w:rPr>
                <w:t>S-5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479">
              <w:r>
                <w:rPr>
                  <w:rStyle w:val="InternetLink"/>
                  <w:rFonts w:ascii="Times New Roman;serif" w:hAnsi="Times New Roman;serif"/>
                  <w:b w:val="false"/>
                  <w:color w:val="0000FF"/>
                  <w:sz w:val="20"/>
                  <w:u w:val="single"/>
                </w:rPr>
                <w:t>CORPORATE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479">
              <w:r>
                <w:rPr>
                  <w:rStyle w:val="InternetLink"/>
                  <w:rFonts w:ascii="Times New Roman;serif" w:hAnsi="Times New Roman;serif"/>
                  <w:b w:val="false"/>
                  <w:color w:val="0000FF"/>
                  <w:sz w:val="20"/>
                  <w:u w:val="single"/>
                </w:rPr>
                <w:t>S-5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501">
              <w:r>
                <w:rPr>
                  <w:rStyle w:val="InternetLink"/>
                  <w:rFonts w:ascii="Times New Roman;serif" w:hAnsi="Times New Roman;serif"/>
                  <w:b w:val="false"/>
                  <w:color w:val="0000FF"/>
                  <w:sz w:val="20"/>
                  <w:u w:val="single"/>
                </w:rPr>
                <w:t>SHARE REPURCHASE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501">
              <w:r>
                <w:rPr>
                  <w:rStyle w:val="InternetLink"/>
                  <w:rFonts w:ascii="Times New Roman;serif" w:hAnsi="Times New Roman;serif"/>
                  <w:b w:val="false"/>
                  <w:color w:val="0000FF"/>
                  <w:sz w:val="20"/>
                  <w:u w:val="single"/>
                </w:rPr>
                <w:t>S-5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523">
              <w:r>
                <w:rPr>
                  <w:rStyle w:val="InternetLink"/>
                  <w:rFonts w:ascii="Times New Roman;serif" w:hAnsi="Times New Roman;serif"/>
                  <w:b w:val="false"/>
                  <w:color w:val="0000FF"/>
                  <w:sz w:val="20"/>
                  <w:u w:val="single"/>
                </w:rPr>
                <w:t>OUR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523">
              <w:r>
                <w:rPr>
                  <w:rStyle w:val="InternetLink"/>
                  <w:rFonts w:ascii="Times New Roman;serif" w:hAnsi="Times New Roman;serif"/>
                  <w:b w:val="false"/>
                  <w:color w:val="0000FF"/>
                  <w:sz w:val="20"/>
                  <w:u w:val="single"/>
                </w:rPr>
                <w:t>S-6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195">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195">
              <w:r>
                <w:rPr>
                  <w:rStyle w:val="InternetLink"/>
                  <w:rFonts w:ascii="Times New Roman;serif" w:hAnsi="Times New Roman;serif"/>
                  <w:b w:val="false"/>
                  <w:color w:val="0000FF"/>
                  <w:sz w:val="20"/>
                  <w:u w:val="single"/>
                </w:rPr>
                <w:t>S-8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211">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211">
              <w:r>
                <w:rPr>
                  <w:rStyle w:val="InternetLink"/>
                  <w:rFonts w:ascii="Times New Roman;serif" w:hAnsi="Times New Roman;serif"/>
                  <w:b w:val="false"/>
                  <w:color w:val="0000FF"/>
                  <w:sz w:val="20"/>
                  <w:u w:val="single"/>
                </w:rPr>
                <w:t>S-11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226">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226">
              <w:r>
                <w:rPr>
                  <w:rStyle w:val="InternetLink"/>
                  <w:rFonts w:ascii="Times New Roman;serif" w:hAnsi="Times New Roman;serif"/>
                  <w:b w:val="false"/>
                  <w:color w:val="0000FF"/>
                  <w:sz w:val="20"/>
                  <w:u w:val="single"/>
                </w:rPr>
                <w:t>S-12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270">
              <w:r>
                <w:rPr>
                  <w:rStyle w:val="InternetLink"/>
                  <w:rFonts w:ascii="Times New Roman;serif" w:hAnsi="Times New Roman;serif"/>
                  <w:b w:val="false"/>
                  <w:color w:val="0000FF"/>
                  <w:sz w:val="20"/>
                  <w:u w:val="single"/>
                </w:rPr>
                <w:t>CAPITALIZATION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270">
              <w:r>
                <w:rPr>
                  <w:rStyle w:val="InternetLink"/>
                  <w:rFonts w:ascii="Times New Roman;serif" w:hAnsi="Times New Roman;serif"/>
                  <w:b w:val="false"/>
                  <w:color w:val="0000FF"/>
                  <w:sz w:val="20"/>
                  <w:u w:val="single"/>
                </w:rPr>
                <w:t>S-13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285">
              <w:r>
                <w:rPr>
                  <w:rStyle w:val="InternetLink"/>
                  <w:rFonts w:ascii="Times New Roman;serif" w:hAnsi="Times New Roman;serif"/>
                  <w:b w:val="false"/>
                  <w:color w:val="0000FF"/>
                  <w:sz w:val="20"/>
                  <w:u w:val="single"/>
                </w:rPr>
                <w:t>PRINCIPAL AND SELLING SHAREHOLDER</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285">
              <w:r>
                <w:rPr>
                  <w:rStyle w:val="InternetLink"/>
                  <w:rFonts w:ascii="Times New Roman;serif" w:hAnsi="Times New Roman;serif"/>
                  <w:b w:val="false"/>
                  <w:color w:val="0000FF"/>
                  <w:sz w:val="20"/>
                  <w:u w:val="single"/>
                </w:rPr>
                <w:t>S-14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01">
              <w:r>
                <w:rPr>
                  <w:rStyle w:val="InternetLink"/>
                  <w:rFonts w:ascii="Times New Roman;serif" w:hAnsi="Times New Roman;serif"/>
                  <w:b w:val="false"/>
                  <w:color w:val="0000FF"/>
                  <w:sz w:val="20"/>
                  <w:u w:val="single"/>
                </w:rPr>
                <w:t>TAXATION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01">
              <w:r>
                <w:rPr>
                  <w:rStyle w:val="InternetLink"/>
                  <w:rFonts w:ascii="Times New Roman;serif" w:hAnsi="Times New Roman;serif"/>
                  <w:b w:val="false"/>
                  <w:color w:val="0000FF"/>
                  <w:sz w:val="20"/>
                  <w:u w:val="single"/>
                </w:rPr>
                <w:t>S-15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16">
              <w:r>
                <w:rPr>
                  <w:rStyle w:val="InternetLink"/>
                  <w:rFonts w:ascii="Times New Roman;serif" w:hAnsi="Times New Roman;serif"/>
                  <w:b w:val="false"/>
                  <w:color w:val="0000FF"/>
                  <w:sz w:val="20"/>
                  <w:u w:val="single"/>
                </w:rPr>
                <w:t>UNDERWRITERS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16">
              <w:r>
                <w:rPr>
                  <w:rStyle w:val="InternetLink"/>
                  <w:rFonts w:ascii="Times New Roman;serif" w:hAnsi="Times New Roman;serif"/>
                  <w:b w:val="false"/>
                  <w:color w:val="0000FF"/>
                  <w:sz w:val="20"/>
                  <w:u w:val="single"/>
                </w:rPr>
                <w:t>S-19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31">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31">
              <w:r>
                <w:rPr>
                  <w:rStyle w:val="InternetLink"/>
                  <w:rFonts w:ascii="Times New Roman;serif" w:hAnsi="Times New Roman;serif"/>
                  <w:b w:val="false"/>
                  <w:color w:val="0000FF"/>
                  <w:sz w:val="20"/>
                  <w:u w:val="single"/>
                </w:rPr>
                <w:t>S-28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46">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46">
              <w:r>
                <w:rPr>
                  <w:rStyle w:val="InternetLink"/>
                  <w:rFonts w:ascii="Times New Roman;serif" w:hAnsi="Times New Roman;serif"/>
                  <w:b w:val="false"/>
                  <w:color w:val="0000FF"/>
                  <w:sz w:val="20"/>
                  <w:u w:val="single"/>
                </w:rPr>
                <w:t>S-29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61">
              <w:r>
                <w:rPr>
                  <w:rStyle w:val="InternetLink"/>
                  <w:rFonts w:ascii="Times New Roman;serif" w:hAnsi="Times New Roman;serif"/>
                  <w:b w:val="false"/>
                  <w:color w:val="0000FF"/>
                  <w:sz w:val="20"/>
                  <w:u w:val="single"/>
                </w:rPr>
                <w:t>WHERE YOU CAN FIND ADDITIONAL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61">
              <w:r>
                <w:rPr>
                  <w:rStyle w:val="InternetLink"/>
                  <w:rFonts w:ascii="Times New Roman;serif" w:hAnsi="Times New Roman;serif"/>
                  <w:b w:val="false"/>
                  <w:color w:val="0000FF"/>
                  <w:sz w:val="20"/>
                  <w:u w:val="single"/>
                </w:rPr>
                <w:t>S-30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376">
              <w:r>
                <w:rPr>
                  <w:rStyle w:val="InternetLink"/>
                  <w:rFonts w:ascii="Times New Roman;serif" w:hAnsi="Times New Roman;serif"/>
                  <w:b w:val="false"/>
                  <w:color w:val="0000FF"/>
                  <w:sz w:val="20"/>
                  <w:u w:val="single"/>
                </w:rPr>
                <w:t>INCORPORATION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376">
              <w:r>
                <w:rPr>
                  <w:rStyle w:val="InternetLink"/>
                  <w:rFonts w:ascii="Times New Roman;serif" w:hAnsi="Times New Roman;serif"/>
                  <w:b w:val="false"/>
                  <w:color w:val="0000FF"/>
                  <w:sz w:val="20"/>
                  <w:u w:val="single"/>
                </w:rPr>
                <w:t>S-31</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7561" w:type="dxa"/>
        <w:jc w:val="left"/>
        <w:tblInd w:w="0" w:type="dxa"/>
        <w:tblLayout w:type="fixed"/>
        <w:tblCellMar>
          <w:top w:w="28" w:type="dxa"/>
          <w:left w:w="28" w:type="dxa"/>
          <w:bottom w:w="28" w:type="dxa"/>
          <w:right w:w="28" w:type="dxa"/>
        </w:tblCellMar>
      </w:tblPr>
      <w:tblGrid>
        <w:gridCol w:w="2552"/>
        <w:gridCol w:w="2243"/>
        <w:gridCol w:w="2255"/>
        <w:gridCol w:w="149"/>
        <w:gridCol w:w="149"/>
        <w:gridCol w:w="213"/>
      </w:tblGrid>
      <w:tr>
        <w:trPr/>
        <w:tc>
          <w:tcPr>
            <w:tcW w:w="255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12">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eff79bc0a8f43af8befe2b8215adb08_712">
              <w:r>
                <w:rPr>
                  <w:rStyle w:val="InternetLink"/>
                  <w:rFonts w:ascii="Times New Roman;serif" w:hAnsi="Times New Roman;serif"/>
                  <w:b w:val="false"/>
                  <w:color w:val="3C3CF2"/>
                  <w:sz w:val="20"/>
                  <w:u w:val="single"/>
                </w:rPr>
                <w:t>1</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67">
              <w:r>
                <w:rPr>
                  <w:rStyle w:val="InternetLink"/>
                  <w:rFonts w:ascii="Times New Roman;serif" w:hAnsi="Times New Roman;serif"/>
                  <w:b w:val="false"/>
                  <w:color w:val="0000FF"/>
                  <w:sz w:val="20"/>
                  <w:u w:val="single"/>
                </w:rPr>
                <w:t>PRESENTATION OF FINANCIAL AND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67">
              <w:r>
                <w:rPr>
                  <w:rStyle w:val="InternetLink"/>
                  <w:rFonts w:ascii="Times New Roman;serif" w:hAnsi="Times New Roman;serif"/>
                  <w:b w:val="false"/>
                  <w:color w:val="3C3CF2"/>
                  <w:sz w:val="20"/>
                  <w:u w:val="single"/>
                </w:rPr>
                <w:t>2</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21">
              <w:r>
                <w:rPr>
                  <w:rStyle w:val="InternetLink"/>
                  <w:rFonts w:ascii="Times New Roman;serif" w:hAnsi="Times New Roman;serif"/>
                  <w:b w:val="false"/>
                  <w:color w:val="0000FF"/>
                  <w:sz w:val="20"/>
                  <w:u w:val="single"/>
                </w:rPr>
                <w:t>CAUTIONARY STATEMENT REGARDING FORWARD-LOOKING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21">
              <w:r>
                <w:rPr>
                  <w:rStyle w:val="InternetLink"/>
                  <w:rFonts w:ascii="Times New Roman;serif" w:hAnsi="Times New Roman;serif"/>
                  <w:b w:val="false"/>
                  <w:color w:val="3C3CF2"/>
                  <w:sz w:val="20"/>
                  <w:u w:val="single"/>
                </w:rPr>
                <w:t>3</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30">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30">
              <w:r>
                <w:rPr>
                  <w:rStyle w:val="InternetLink"/>
                  <w:rFonts w:ascii="Times New Roman;serif" w:hAnsi="Times New Roman;serif"/>
                  <w:b w:val="false"/>
                  <w:color w:val="3C3CF2"/>
                  <w:sz w:val="20"/>
                  <w:u w:val="single"/>
                </w:rPr>
                <w:t>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44">
              <w:r>
                <w:rPr>
                  <w:rStyle w:val="InternetLink"/>
                  <w:rFonts w:ascii="Times New Roman;serif" w:hAnsi="Times New Roman;serif"/>
                  <w:b w:val="false"/>
                  <w:color w:val="0000FF"/>
                  <w:sz w:val="20"/>
                  <w:u w:val="single"/>
                </w:rPr>
                <w:t>GLOBALFOUNDRIES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44">
              <w:r>
                <w:rPr>
                  <w:rStyle w:val="InternetLink"/>
                  <w:rFonts w:ascii="Times New Roman;serif" w:hAnsi="Times New Roman;serif"/>
                  <w:b w:val="false"/>
                  <w:color w:val="3C3CF2"/>
                  <w:sz w:val="20"/>
                  <w:u w:val="single"/>
                </w:rPr>
                <w:t>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5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58">
              <w:r>
                <w:rPr>
                  <w:rStyle w:val="InternetLink"/>
                  <w:rFonts w:ascii="Times New Roman;serif" w:hAnsi="Times New Roman;serif"/>
                  <w:b w:val="false"/>
                  <w:color w:val="3C3CF2"/>
                  <w:sz w:val="20"/>
                  <w:u w:val="single"/>
                </w:rPr>
                <w:t>6</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76">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76">
              <w:r>
                <w:rPr>
                  <w:rStyle w:val="InternetLink"/>
                  <w:rFonts w:ascii="Times New Roman;serif" w:hAnsi="Times New Roman;serif"/>
                  <w:b w:val="false"/>
                  <w:color w:val="3C3CF2"/>
                  <w:sz w:val="20"/>
                  <w:u w:val="single"/>
                </w:rPr>
                <w:t>7</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85">
              <w:r>
                <w:rPr>
                  <w:rStyle w:val="InternetLink"/>
                  <w:rFonts w:ascii="Times New Roman;serif" w:hAnsi="Times New Roman;serif"/>
                  <w:b w:val="false"/>
                  <w:color w:val="0000FF"/>
                  <w:sz w:val="20"/>
                  <w:u w:val="single"/>
                </w:rPr>
                <w:t>PRINCIPAL AND SELLING SHAREHOLDERS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85">
              <w:r>
                <w:rPr>
                  <w:rStyle w:val="InternetLink"/>
                  <w:rFonts w:ascii="Times New Roman;serif" w:hAnsi="Times New Roman;serif"/>
                  <w:b w:val="false"/>
                  <w:color w:val="3C3CF2"/>
                  <w:sz w:val="20"/>
                  <w:u w:val="single"/>
                </w:rPr>
                <w:t>8</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94">
              <w:r>
                <w:rPr>
                  <w:rStyle w:val="InternetLink"/>
                  <w:rFonts w:ascii="Times New Roman;serif" w:hAnsi="Times New Roman;serif"/>
                  <w:b w:val="false"/>
                  <w:color w:val="0000FF"/>
                  <w:sz w:val="20"/>
                  <w:u w:val="single"/>
                </w:rPr>
                <w:t>DESCRIPTION OF THE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94">
              <w:r>
                <w:rPr>
                  <w:rStyle w:val="InternetLink"/>
                  <w:rFonts w:ascii="Times New Roman;serif" w:hAnsi="Times New Roman;serif"/>
                  <w:b w:val="false"/>
                  <w:color w:val="3C3CF2"/>
                  <w:sz w:val="20"/>
                  <w:u w:val="single"/>
                </w:rPr>
                <w:t>9</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03">
              <w:r>
                <w:rPr>
                  <w:rStyle w:val="InternetLink"/>
                  <w:rFonts w:ascii="Times New Roman;serif" w:hAnsi="Times New Roman;serif"/>
                  <w:b w:val="false"/>
                  <w:color w:val="0000FF"/>
                  <w:sz w:val="20"/>
                  <w:u w:val="single"/>
                </w:rPr>
                <w:t>DESCRIPTION OF SHARE CAPITAL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03">
              <w:r>
                <w:rPr>
                  <w:rStyle w:val="InternetLink"/>
                  <w:rFonts w:ascii="Times New Roman;serif" w:hAnsi="Times New Roman;serif"/>
                  <w:b w:val="false"/>
                  <w:color w:val="3C3CF2"/>
                  <w:sz w:val="20"/>
                  <w:u w:val="single"/>
                </w:rPr>
                <w:t>9</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1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12">
              <w:r>
                <w:rPr>
                  <w:rStyle w:val="InternetLink"/>
                  <w:rFonts w:ascii="Times New Roman;serif" w:hAnsi="Times New Roman;serif"/>
                  <w:b w:val="false"/>
                  <w:color w:val="3C3CF2"/>
                  <w:sz w:val="20"/>
                  <w:u w:val="single"/>
                </w:rPr>
                <w:t>25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21">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21">
              <w:r>
                <w:rPr>
                  <w:rStyle w:val="InternetLink"/>
                  <w:rFonts w:ascii="Times New Roman;serif" w:hAnsi="Times New Roman;serif"/>
                  <w:b w:val="false"/>
                  <w:color w:val="3C3CF2"/>
                  <w:sz w:val="20"/>
                  <w:u w:val="single"/>
                </w:rPr>
                <w:t>26</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30">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30">
              <w:r>
                <w:rPr>
                  <w:rStyle w:val="InternetLink"/>
                  <w:rFonts w:ascii="Times New Roman;serif" w:hAnsi="Times New Roman;serif"/>
                  <w:b w:val="false"/>
                  <w:color w:val="3C3CF2"/>
                  <w:sz w:val="20"/>
                  <w:u w:val="single"/>
                </w:rPr>
                <w:t>27</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41">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41">
              <w:r>
                <w:rPr>
                  <w:rStyle w:val="InternetLink"/>
                  <w:rFonts w:ascii="Times New Roman;serif" w:hAnsi="Times New Roman;serif"/>
                  <w:b w:val="false"/>
                  <w:color w:val="3C3CF2"/>
                  <w:sz w:val="20"/>
                  <w:u w:val="single"/>
                </w:rPr>
                <w:t>28</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50">
              <w:r>
                <w:rPr>
                  <w:rStyle w:val="InternetLink"/>
                  <w:rFonts w:ascii="Times New Roman;serif" w:hAnsi="Times New Roman;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50">
              <w:r>
                <w:rPr>
                  <w:rStyle w:val="InternetLink"/>
                  <w:rFonts w:ascii="Times New Roman;serif" w:hAnsi="Times New Roman;serif"/>
                  <w:b w:val="false"/>
                  <w:color w:val="3C3CF2"/>
                  <w:sz w:val="20"/>
                  <w:u w:val="singl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this prospectus supplement, unless the context otherwise requires, the terms “GF,” “the company,” “we,” “us” and “our” refer to GLOBALFOUNDRIES Inc. and its consolidated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or incorporated by reference in this prospectus supplement and the accompanying prospectus or contained in any free writing prospectus prepared by or on behalf of us or to which we have referred you. None of the company, Mubadala or the underwriters have authorized anyone to provide any information or make any representations other than those contained in this prospectus supplement and the accompanying prospectus or in any free writing prospectus prepared by or on behalf of us or to which we have referred you. We and Mubadala take no responsibility for, and can provide no assurance as to the reliability of, any other information that others may give you. MTIC is offering to sell, and seeking offers to buy, ordinary shares only in jurisdictions where offers and sales are permitted. The information contained in this prospectus supplement, the accompanying prospectus and the documents incorporated by reference herein and therein is accurate only as of the respective dates of the relevant documents, regardless of the time of delivery of this prospectus supplement or of any sale of the ordinary shares. Our results of operations, financial condition, business and prospects may have changed since such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form part of a registration statement on Form F-3 that we filed with the SEC, using a “shelf” registration process. This document is in two parts. The first part is this prospectus supplement, which adds to and updates information contained in the accompanying prospectus and the documents incorporated by reference into the accompanying prospectus. The second part is the accompanying prospectus, which gives more general information, some of which may not apply to this offering of ordinary shares. You should read both this prospectus supplement and the accompanying prospectus, together with the documents incorporated by reference herein and therein in their entirety before making an investment decision. You should also read and consider the information contained in the documents to which we have referred you to in “Where You Can Find Additional Information” in this prospectus supplement and the accompanying prospectus. This prospectus supplement adds, updates and changes information contained in the accompanying prospectus and the information incorporated by reference. To the extent the information contained in this prospectus supplement differs or varies from the information contained in the accompanying prospectus or any document incorporated by reference,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 Generally, when we refer to the prospectus, we are referring to this prospectus supplement and the accompanying prospectus combined.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investors outside of the United States: neither we, Mubadala, nor any of the underwriters have done anything that would permit this offering or possession or distribution of this prospectus supplement and the accompanying prospectus in any jurisdiction where action for that purpose is required, other than in the United States. Persons outside of the United States who come into possession of this prospectus supplement and the accompanying prospectus must inform themselves about, and observe any restrictions relating to, the offering of ordinary shares and this distribution of this prospectus supplement and the accompanying prospectus outside of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PRESENTATION OF FINANCIAL AND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report under International Financial Reporting Standards (“IFRS”), as issued by the International Accounting Standards Board (“IASB”). Our consolidated financial statements were not prepared in accordance with generally accepted accounting principles in the United States. We present our consolidated financial statements in U.S. dollars. References in this prospectus supplement to “US$” or “$” refer to U.S. dollars, the official currency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and certain documents incorporated by reference herein contain certain statements that are, or may be deemed to be, “forward-looking statements” within the meaning of U.S. securities laws. These forward-looking statements are based on current expectations, estimates, forecasts and projections. These forward-looking statements appear in a number of places in this prospectus supplement including, but not limited to, the sections titled “Prospectus Summary” and “Risk Factors.” Words such as “expect,” “anticipate,” “should,” “believe,” “hope,” “target,” “project,” “goals,” “estimate,” “potential,” “predict,” “may,” “will,” “might,” “could,” “intend,” “shall,” “outlook,” “on track,”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prospectus supplement and the accompanying prospectus and certain documents incorporated by reference herein. Important factors that could cause those differences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global economic and geopolitical conditions, including impacts and uncertainty from trade disputes and tariffs on goods imported to the United States and goods exported to other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reduced demand and average selling prices in a prolonged inflationary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cyclical nature, volatility and seasonality of the semiconductor and microelectronics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secure and maintain design wins, particularly single-source design wins, and manage our long-term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a small number of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and operating strategies and plans for the development of existing and new businesses, ability to implement such strategies and plans and expected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anticipated benefits of our acquisitions and our ability to successfully integrate acquired businesses;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funding we have received or plan to receive, including awards under the U.S. CHIPS and Science Act and New York State Green CHIPS;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business development,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expected changes in our revenue, costs or expenditures;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assumptions and estimates regarding design wins;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demand for and market acceptance of our products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relationships with customers, contract manufacturers, component suppliers, third-party service providers, strategic partners and other stakeholders;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capacity to develop, manufacture and deliver semiconductor products in fulfillment of our contractual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conduct our manufacturing operations without disruptions;</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capacity and production facilities effectively, including through technology transfers between our facilities;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technologies successfully and remain a technological leader;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control over expansion and facility modifications;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growth or profitable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protect our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hire and maintain qualified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effective tax rate or tax liability;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dividend policy;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acquire required equipment and supplies necessary to meet customer demand;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competition from other companies and our ability to retain and increase our market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 or changes to, laws, regulations, governmental policies (including foreign governmental policies in response to changes to the U.S. government’s foreign policy positions), incentives and taxation affecting our operations relating to our industry;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assumptions underlying or related to any of the foregoing.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does not contain all of the forward-looking statements made in this prospectus supplement. </w:t>
      </w:r>
    </w:p>
    <w:p>
      <w:pPr>
        <w:pStyle w:val="TextBody"/>
        <w:bidi w:val="0"/>
        <w:spacing w:lineRule="auto" w:line="288" w:before="0" w:after="180"/>
        <w:ind w:left="0" w:right="0" w:firstLine="360"/>
        <w:jc w:val="left"/>
        <w:rPr/>
      </w:pPr>
      <w:r>
        <w:rPr>
          <w:rFonts w:ascii="Times New Roman;serif" w:hAnsi="Times New Roman;serif"/>
          <w:b w:val="false"/>
          <w:color w:val="000000"/>
          <w:sz w:val="20"/>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w:t>
      </w:r>
      <w:hyperlink w:anchor="i2eff79bc0a8f43af8befe2b8215adb08_195">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pStyle w:val="TextBody"/>
        <w:bidi w:val="0"/>
        <w:spacing w:lineRule="auto" w:line="288" w:before="0" w:after="180"/>
        <w:ind w:left="0" w:right="0" w:firstLine="360"/>
        <w:jc w:val="left"/>
        <w:rPr/>
      </w:pPr>
      <w:r>
        <w:rPr>
          <w:rFonts w:ascii="Times New Roman;serif" w:hAnsi="Times New Roman;serif"/>
          <w:b w:val="false"/>
          <w:color w:val="000000"/>
          <w:sz w:val="20"/>
        </w:rPr>
        <w:t>You should carefully consider the “</w:t>
      </w:r>
      <w:hyperlink w:anchor="i2eff79bc0a8f43af8befe2b8215adb08_195">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below, as they may be amended or supplemented by subsequent filings with the SEC,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w:t>
      </w:r>
    </w:p>
    <w:p>
      <w:pPr>
        <w:pStyle w:val="TextBody"/>
        <w:bidi w:val="0"/>
        <w:spacing w:lineRule="auto" w:line="288" w:before="0" w:after="180"/>
        <w:ind w:left="0" w:right="0" w:firstLine="36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that is presented in greater detail elsewhere in this prospectus supplement and the accompanying prospectus or incorporated by reference herein from our filings with the SEC listed under “Incorporation by Reference.” This summary does not contain all of the information you should consider before investing in our ordinary shares pursuant to this prospectus supplement. You should read this entire prospectus supplement and the accompanying prospectus carefully, including the section titled “Risk Factors,” as it may be amended or supplemented by subsequent filings with the SEC, and our financial statements and the related notes in our 2025 Form 20-F (as defined below) filed on February 27, 2026, incorporated by reference in this prospectus supplement and other information incorporated herein by reference, before making an investment decision.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GLOBALFOUNDRIES INC.</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 leading global semiconductor foundry, focused on delivering differentiated, essential chip technologies that enable billions of devices across a broad range of end markets, including automotive, communications infrastructure and data center, smart mobile devices, home and industrial internet of things. We are the only scaled foundry with a global manufacturing footprint with operations in the United States, Europe, and Asia. Our business strategy is built on three core pillars: creating differentiated, essential chip technology; delivering dependable, geographically diverse operations; and building deep customer and ecosystem partnerships.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an exempted company with limited liability that was incorporated under the laws of the Cayman Islands in October 2008. Our principal executive offices are located at 400 Stonebreak Road Extension, Malta, New York 12020, United States, and our telephone number is (518) 305-9013. Our website address is www.gf.com. Information contained on, or that can be accessed through, our website is not incorporated by reference into this prospectus supplement, and you should not consider information on our website to be part of this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GF design logo, “GF” and our other registered or common law trademarks, service marks, or trade names appearing in this prospectus supplement are the property of GLOBALFOUNDRIES Inc. Other trade names, trademarks and service marks used in this prospectus supplement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SHARE REPURCHASE</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Subject to the completion of this offering, we intend to concurrently repurchase from the underwriters approximately $300.0 million of the ordinary shares that are subject to this offering at a price per ordinary share equal to the price to be paid by the underwriters in this offering. We refer to this transaction as the “share repurchase.” The repurchased ordinary shares will be cancelled upon repurchase. Accordingly, the number of our ordinary shares offered in this prospectus supplement available to the general public will be 20,000,000 ordinary shares (or 23,000,000 ordinary shares, if the underwriters exercise their option to purchase such additional shares in full in the offering). The closing of the share repurchase is contingent upon the closing of this offering. The closing of this offering is not contingent on the closing of the share repurchase. The share repurchase shall not be contingent on any exercise of the underwriters’ option to purchase additional shares in the offering, and any such exercise will not have any impact on the amount or price of the share repurchase.</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intend to fund the share repurchase with cash on hand.</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description of, and the other information in this prospectus supplement regarding, the share repurchase are included in this prospectus supplement for informational purposes only. Nothing in this prospectus supplement should be construed as an offer to sell, or the solicitation of an offer to buy, any of our ordinary shares subject to the share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OFFERING</w:t>
      </w:r>
    </w:p>
    <w:p>
      <w:pPr>
        <w:pStyle w:val="TextBody"/>
        <w:bidi w:val="0"/>
        <w:spacing w:lineRule="auto" w:line="288" w:before="0" w:after="180"/>
        <w:ind w:left="0" w:right="0" w:firstLine="360"/>
        <w:jc w:val="left"/>
        <w:rPr/>
      </w:pPr>
      <w:r>
        <w:rPr>
          <w:rFonts w:ascii="Times New Roman;serif" w:hAnsi="Times New Roman;serif"/>
          <w:b w:val="false"/>
          <w:i/>
          <w:color w:val="000000"/>
          <w:sz w:val="20"/>
          <w:bdr w:val="single" w:sz="8" w:space="36" w:color="000000"/>
        </w:rPr>
        <w:t>The offering terms are summarized below solely for your convenience. For a more complete description of the terms of our equity shares, see “</w:t>
      </w:r>
      <w:hyperlink w:anchor="i2eff79bc0a8f43af8befe2b8215adb08_803">
        <w:r>
          <w:rPr>
            <w:rStyle w:val="InternetLink"/>
            <w:rFonts w:ascii="Times New Roman;serif" w:hAnsi="Times New Roman;serif"/>
            <w:b w:val="false"/>
            <w:i/>
            <w:color w:val="0000FF"/>
            <w:sz w:val="20"/>
            <w:u w:val="single"/>
            <w:bdr w:val="single" w:sz="8" w:space="36" w:color="000000"/>
          </w:rPr>
          <w:t>Description of Share Capital</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in the accompanying prospectus.</w:t>
      </w:r>
    </w:p>
    <w:tbl>
      <w:tblPr>
        <w:tblW w:w="10205" w:type="dxa"/>
        <w:jc w:val="left"/>
        <w:tblInd w:w="0" w:type="dxa"/>
        <w:tblLayout w:type="fixed"/>
        <w:tblCellMar>
          <w:top w:w="28" w:type="dxa"/>
          <w:left w:w="28" w:type="dxa"/>
          <w:bottom w:w="28" w:type="dxa"/>
          <w:right w:w="28" w:type="dxa"/>
        </w:tblCellMar>
      </w:tblPr>
      <w:tblGrid>
        <w:gridCol w:w="659"/>
        <w:gridCol w:w="379"/>
        <w:gridCol w:w="382"/>
        <w:gridCol w:w="109"/>
        <w:gridCol w:w="109"/>
        <w:gridCol w:w="109"/>
        <w:gridCol w:w="3214"/>
        <w:gridCol w:w="2171"/>
        <w:gridCol w:w="3073"/>
      </w:tblGrid>
      <w:tr>
        <w:trPr/>
        <w:tc>
          <w:tcPr>
            <w:tcW w:w="65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Ordinary shares offered by MTIC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 aggregate of ordinary shares, including (i) 20,000,000 ordinary shares to the public (or 23,000,000 shares if the underwriters exercise their option to purchase additional shares in full), as well as (ii) an approximate $300.0 million share repurchase.</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 to purchase additional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underwriters have a 30-day option to purchase up to 3,000,000 additional ordinary shares from the selling shareholder (equal to 15% of the initial ordinary shares being sold to the public). The underwriters will pay the public offering price, less underwriting discounts and commissions, for any shares sold pursuant to such option.</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Ordinary shares to be repurchased by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Approximately $300.0 million of ordinary shares</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Ordinary shares outstanding after this offering and share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ordinary shares</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Public 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per ordinary share</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of our ordinary shares sold pursuant to this prospectus supplement will be sold by MTIC. MTIC will receive all of the net proceeds and bear the underwriting discount from the sale of our ordinary shares pursuant to this prospectus supplement. We will not receive any proceeds from such sale. See “</w:t>
            </w:r>
            <w:hyperlink w:anchor="i2eff79bc0a8f43af8befe2b8215adb08_211">
              <w:r>
                <w:rPr>
                  <w:rStyle w:val="InternetLink"/>
                  <w:rFonts w:ascii="Times New Roman;serif" w:hAnsi="Times New Roman;serif"/>
                  <w:b w:val="false"/>
                  <w:color w:val="0000FF"/>
                  <w:sz w:val="20"/>
                  <w:u w:val="single"/>
                </w:rPr>
                <w:t>Use of Proceeds</w:t>
              </w:r>
            </w:hyperlink>
            <w:r>
              <w:rPr>
                <w:color w:val="000000"/>
              </w:rPr>
              <w:t xml:space="preserve">” </w:t>
            </w:r>
            <w:r>
              <w:rPr>
                <w:rFonts w:ascii="Times New Roman;serif" w:hAnsi="Times New Roman;serif"/>
                <w:b w:val="false"/>
                <w:color w:val="000000"/>
                <w:sz w:val="20"/>
              </w:rPr>
              <w:t>and “</w:t>
            </w:r>
            <w:hyperlink w:anchor="i2eff79bc0a8f43af8befe2b8215adb08_285">
              <w:r>
                <w:rPr>
                  <w:rStyle w:val="InternetLink"/>
                  <w:rFonts w:ascii="Times New Roman;serif" w:hAnsi="Times New Roman;serif"/>
                  <w:b w:val="false"/>
                  <w:color w:val="0000FF"/>
                  <w:sz w:val="20"/>
                  <w:u w:val="single"/>
                </w:rPr>
                <w:t>Principal and Selling Shareholder</w:t>
              </w:r>
            </w:hyperlink>
            <w:r>
              <w:rPr>
                <w:rFonts w:ascii="Times New Roman;serif" w:hAnsi="Times New Roman;serif"/>
                <w:b w:val="false"/>
                <w:color w:val="000000"/>
                <w:sz w:val="20"/>
              </w:rPr>
              <w:t>.”</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Company share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Subject to the completion of this offering, we intend to concurrently repurchase from the underwriters approximately $300.0 million of the ordinary shares that are subject to this offering at a price per ordinary share equal to the price to be paid by the underwriters in this offering. The closing of the share repurchase is contingent upon the closing of this offering. The closing of this offering is not contingent on the closing of the share repurchase. The share repurchase shall not be contingent on any exercise of the underwriters' option to purchase additional shares, and any such exercise will not have any impact on the amount or price of the share repurchase. See “</w:t>
            </w:r>
            <w:hyperlink w:anchor="i2eff79bc0a8f43af8befe2b8215adb08_10">
              <w:r>
                <w:rPr>
                  <w:rStyle w:val="InternetLink"/>
                  <w:rFonts w:ascii="Times New Roman;serif" w:hAnsi="Times New Roman;serif"/>
                  <w:b w:val="false"/>
                  <w:color w:val="0000FF"/>
                  <w:sz w:val="20"/>
                  <w:u w:val="single"/>
                </w:rPr>
                <w:t>Summary—Share Repurchase</w:t>
              </w:r>
            </w:hyperlink>
            <w:r>
              <w:rPr>
                <w:color w:val="000000"/>
              </w:rPr>
              <w:t xml:space="preserve">” </w:t>
            </w:r>
            <w:r>
              <w:rPr>
                <w:rFonts w:ascii="Times New Roman;serif" w:hAnsi="Times New Roman;serif"/>
                <w:b w:val="false"/>
                <w:color w:val="000000"/>
                <w:sz w:val="20"/>
              </w:rPr>
              <w:t>for additional information.</w:t>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2607"/>
        <w:gridCol w:w="2607"/>
        <w:gridCol w:w="3690"/>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Principal shareholder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of February 15, 2026, Mubadala beneficially owned approximately 80.94% of our ordinary shares. After the completion of this offering and the share repurchase described herein, assuming the sale of all ordinary shares offered pursuant to this prospectus supplement and the concurrent consummation of our share repurchase, Mubadala will beneficially own approximately 77.06% of our ordinary shares (assuming a repurchase of approximately $300.0 million worth of ordinary shares by us at an assumed repurchase price of $43.08). If the underwriters exercise their option to purchase additional shares in full, then Mubadala will beneficially own approximately 76.52% of our ordinary shares (assuming a repurchase of approximately $300.0 million worth of ordinary shares by us at an assumed repurchase price of $43.08). For further information regarding our relationship with Mubadala, see “</w:t>
            </w:r>
            <w:hyperlink w:anchor="i2eff79bc0a8f43af8befe2b8215adb08_285">
              <w:r>
                <w:rPr>
                  <w:rStyle w:val="InternetLink"/>
                  <w:rFonts w:ascii="Times New Roman;serif" w:hAnsi="Times New Roman;serif"/>
                  <w:b w:val="false"/>
                  <w:color w:val="0000FF"/>
                  <w:sz w:val="20"/>
                  <w:u w:val="single"/>
                </w:rPr>
                <w:t>Principal and Selling Shareholder</w:t>
              </w:r>
            </w:hyperlink>
            <w:r>
              <w:rPr>
                <w:rFonts w:ascii="Times New Roman;serif" w:hAnsi="Times New Roman;serif"/>
                <w:b w:val="false"/>
                <w:color w:val="000000"/>
                <w:sz w:val="20"/>
              </w:rPr>
              <w: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on our ordinary shares, and while we may consider doing so in the future, we do not have a current plan to, and we cannot assure you that we will ever, pay cash dividends.</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Investing in our ordinary shares involves risk. See “</w:t>
            </w:r>
            <w:hyperlink w:anchor="i2eff79bc0a8f43af8befe2b8215adb08_195">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together with all of the other information in this prospectus supplement and the accompanying prospectus or incorporated by reference in this prospectus supplement and the accompanying prospectus for a discussion of factors you should carefully consider before deciding to invest.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Nasdaq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GFS”</w:t>
            </w:r>
          </w:p>
        </w:tc>
      </w:tr>
    </w:tbl>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our ordinary shares to be outstanding after this offering and the share repurchase disclosed above is based on 556,417,256 ordinary shares outstanding as of February 15, 2026. Unless otherwise indicated, all information contained in this prospectus supplement assumes no exercise of the option granted to the underwriters to purchase up to 3,000,000 additional ordinary shares.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ordinary shares to be outstanding after this offering does not take into account 24,571,600 ordinary shares available for future grant under the 2021 Equity Plan, 3,641,685 ordinary shares available for future grant under the 2018 Equity Plan, 10,560,710 restricted share unit awards outstanding under the 2021 Equity Plan, options to purchase 245,602 ordinary shares and 150 restricted share unit awards outstanding under the 2018 Equity Plan, all as of February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A description of the risks and uncertainties related to ownership of our ordinary shares is set forth below; however, these risks are not the only ones we face. You should carefully consider the risks and uncertainties described below, as they may be amended or supplemented by subsequent filings with the SEC, together with all of the other information in this prospectus supplement and the accompanying prospectus or incorporated by reference in this prospectus supplement and the accompanying prospectus, including the risks described under “Risk Factors” in Part I, Item 3D of our 2025 Form 20-F and the section titled “Management’s Discussion and Analysis of Financial Condition and Result of Operations,” before making a decision to invest in our shares. Our results of operations, financial condition, business and prospects could also be harmed by risks and uncertainties that are not presently known to us or that we currently believe are not material. If any of the risks actually occur, our results of operations, financial condition, business and prospects could be materially and adversely affected. In that event, the market price of our shares could decline and you could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Ordinary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or distributions of our shares by Mubadala could depress the price of our ordinary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by Mubadala in the public market or other distributions of substantial amounts of our ordinary shares, or the filing of a registration statement relating to a substantial amount of our ordinary shares, could depress our ordinary share price. All of the ordinary shares sold by Mubadala in this offering and not repurchased by us will be freely tradable without restriction or further registration under the Securities Act. In addition, in connection with our initial public offering, we have entered into agreements with Mubadala that provide a framework for our ongoing relationship, including a Shareholder’s Agreement and Registration Rights Agreement. Under the Registration Rights Agreement, Mubadala has the right, subject to certain conditions, to require us to file registration statements covering its shares or to include its shares in other registration statements that we may file. Mubadala has in the past, such as in May 2024, and may in the future, conduct underwritten secondary sales of our ordinary shares pursuant to a registration statement filed by us. By further exercising its registration rights and selling a large number of shares, Mubadala could cause the price of our ordinary shares to decline. </w:t>
      </w:r>
    </w:p>
    <w:p>
      <w:pPr>
        <w:pStyle w:val="TextBody"/>
        <w:bidi w:val="0"/>
        <w:spacing w:lineRule="auto" w:line="288" w:before="0" w:after="180"/>
        <w:jc w:val="left"/>
        <w:rPr>
          <w:rFonts w:ascii="Times New Roman;serif" w:hAnsi="Times New Roman;serif"/>
          <w:b/>
          <w:i/>
          <w:color w:val="000000"/>
          <w:sz w:val="20"/>
        </w:rPr>
      </w:pPr>
      <w:bookmarkStart w:id="0" w:name="i769db23da2bb45eabf291b308f1b8140_132310"/>
      <w:bookmarkEnd w:id="0"/>
      <w:r>
        <w:rPr>
          <w:rFonts w:ascii="Times New Roman;serif" w:hAnsi="Times New Roman;serif"/>
          <w:b/>
          <w:i/>
          <w:color w:val="000000"/>
          <w:sz w:val="20"/>
        </w:rPr>
        <w:t xml:space="preserve">We have not historically paid dividends on our ordinary shares, and while we may consider doing so in the future, we cannot assure you that we will ever pay cash dividends.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ordinary shares and do not have a current plan to do so. Consequently, investors must rely on sales of their shares of our ordinary shares after price appreciation, which may never occur, as the only way to realize any future gains on their investment. Investors seeking dividends should not purchase shares of our ordinary shares. Any future determination to declare and pay dividends, if any, will be at the discretion of our board of directors and will be subject to or depend on, among other things, our compliance with applicable law,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and any other factors or considerations our board of directors may regard as relevant. Any cash dividends paid in the future could affect the trading price of our ordinary shares and decrease our cash reserves, which could reduce the amount of cash we have available to fund working capital, capital expenditures, strategic acquisitions or business opportunities, and other general corporate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stock repurchase program will be fully consummated or that it will enhance long-term stockholder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we announced that our board of directors approved a share repurchase authorization of up to $500 million of our ordinary shares. The authorization is valid for an initial period of 12 months and may be modified, suspended or terminated at any time. Our repurchase program does not require us to repurchase any specific dollar amount or to acquire any specific number of ordinary shares. We cannot guarantee that the program will be fully consummated or renewed, or that it will enhance long-term stockholder value. The timing and amount of any repurchases, if any, will depend on factors such as our historical and expected business performance and cash and liquidity positions, the price of our ordinary shares, economic and market conditions and regulatory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requirements. The program could also affect the trading price of our ordinary shares and increase volatility, and any announcement of a termination or change of this program may result in a decrease in the trading price of our ordinary shares. In addition, any purchases made under this program would diminish our cash reserves and therefore could reduce the amount of cash we have available to fund working capital, capital expenditures, strategic acquisitions or business opportunities, and other general corporate purposes.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our ordinary shares may be volatile and purchasers of our ordinary shares could incur substantial losses.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market price of our ordinary</w:t>
      </w:r>
      <w:r>
        <w:rPr>
          <w:color w:val="000000"/>
        </w:rPr>
        <w:t xml:space="preserve"> </w:t>
      </w:r>
      <w:r>
        <w:rPr>
          <w:rFonts w:ascii="Times New Roman;serif" w:hAnsi="Times New Roman;serif"/>
          <w:b w:val="false"/>
          <w:color w:val="000000"/>
          <w:sz w:val="20"/>
        </w:rPr>
        <w:t>shares may be subject to significant fluctuations in response to actual or anticipated variations in our operating results or other factors beyond our control. In addition, the securities markets have from time to time experienced extreme price and volume fluctuations that often have been unrelated or disproportionate to the operating performance of particular companies. These broad market fluctuations, as well as general market, economic and political conditions, such as recessions, tariffs or potential application thereof, loss of investor confidence or interest rate changes, may negatively affect our business and the market price of our ordinary</w:t>
      </w:r>
      <w:r>
        <w:rPr>
          <w:color w:val="000000"/>
        </w:rPr>
        <w:t xml:space="preserve"> </w:t>
      </w:r>
      <w:r>
        <w:rPr>
          <w:rFonts w:ascii="Times New Roman;serif" w:hAnsi="Times New Roman;serif"/>
          <w:b w:val="false"/>
          <w:color w:val="000000"/>
          <w:sz w:val="20"/>
        </w:rPr>
        <w:t>shares. If any of the foregoing occurs, it could cause the price of our ordinary</w:t>
      </w:r>
      <w:r>
        <w:rPr>
          <w:color w:val="000000"/>
        </w:rPr>
        <w:t xml:space="preserve"> </w:t>
      </w:r>
      <w:r>
        <w:rPr>
          <w:rFonts w:ascii="Times New Roman;serif" w:hAnsi="Times New Roman;serif"/>
          <w:b w:val="false"/>
          <w:color w:val="000000"/>
          <w:sz w:val="20"/>
        </w:rPr>
        <w:t>shares to fall and may result in purchasers of our ordinary</w:t>
      </w:r>
      <w:r>
        <w:rPr>
          <w:color w:val="000000"/>
        </w:rPr>
        <w:t xml:space="preserve"> </w:t>
      </w:r>
      <w:r>
        <w:rPr>
          <w:rFonts w:ascii="Times New Roman;serif" w:hAnsi="Times New Roman;serif"/>
          <w:b w:val="false"/>
          <w:color w:val="000000"/>
          <w:sz w:val="20"/>
        </w:rPr>
        <w:t>shares losing some or all of the value of their investment in our ordinary</w:t>
      </w:r>
      <w:r>
        <w:rPr>
          <w:color w:val="000000"/>
        </w:rPr>
        <w:t xml:space="preserve"> </w:t>
      </w:r>
      <w:r>
        <w:rPr>
          <w:rFonts w:ascii="Times New Roman;serif" w:hAnsi="Times New Roman;serif"/>
          <w:b w:val="false"/>
          <w:color w:val="000000"/>
          <w:sz w:val="20"/>
        </w:rPr>
        <w:t>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organizational documents and Cayman Islands law may discourage or prevent a change of control, even if an acquisition would be beneficial to our shareholders, which could depress the price of our ordinary shares and prevent attempts by our shareholders to replace or remove our current management.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contain provisions that may discourage unsolicited takeover proposals that shareholders may consider to be in their best interests. Our board of directors is divided into three classes with staggered, three-year terms. Our board of directors has the ability to designate the terms of and issue preferred shares without shareholder approval. We are also subject to certain provisions under Cayman Islands law that could delay or prevent a change of control. Together these provisions may make more difficult the removal of management and may discourage transactions that otherwise could involve payment of a premium over prevailing market prices for our ordinary shares.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Memorandum and Articles of Association provide that the courts of the Cayman Islands will be the exclusive forum for certain disputes between us and our shareholders, which could limit our shareholders’ ability to obtain a favorable judicial forum for complaints against us or our directors, officers or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of 1933, as amended (“Securities Act”), or Exchange Act, including all causes of action asserted against any defendant named in such complaint.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equitable relief for any threatened or actual breach of the selection of the courts of the Cayman Islands as exclusive forum.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these provisions in our Memorandum and Articles of Association to be inapplicable or unenforceable in an action, we may incur additional costs associated with resolving the dispute in other jurisdictions, which could have adverse effect on our business and financial performance.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Memorandum and Articles of Association provide for indemnification of officers and directors at our expense, which may result in a major cost to us and hurt the interests of our shareholders because corporate resources may be expended for the benefit of officers and/or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and applicable law of the Cayman Islands provide for the indemnification of our directors and officers, under certain circumstances, against any liability, action, proceeding, claim, demand, costs, damages or expenses, including legal expenses, whatsoever which they or any of them may incur as a result of any act or failure to act in carrying out their functions in connection with our company, other than such liability (if any) that they may incur by reason of their own actual fraud, dishonesty, willful neglect or willful default. We will also bear the expenses of such litigation for any of our directors or officers, upon such person’s undertaking to repay any amounts paid, advanced, or reimbursed by us if it is ultimately determined that any such person shall not have been entitled to indemnification. This indemnification policy could result in substantial expenditures by us that we will be unable to recoup.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advised that, in the opinion of the SEC, indemnification for liabilities arising under federal securities laws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left"/>
        <w:rPr/>
      </w:pPr>
      <w:r>
        <w:rPr>
          <w:rFonts w:ascii="Times New Roman;serif" w:hAnsi="Times New Roman;serif"/>
          <w:b w:val="false"/>
          <w:color w:val="000000"/>
          <w:sz w:val="20"/>
        </w:rPr>
        <w:t>MTIC will receive all of the net proceeds from the sale of shares of ordinary shares in this offering. We are not selling any ordinary shares under this prospectus supplement and will not receive any proceeds from the sale of ordinary shares by MTIC. MTIC will bear the underwriting discount attributable to their sale of our ordinary shares and all offering-related expenses. Any offering-related expenses initially paid by us will be reimbursed by MTIC. See “</w:t>
      </w:r>
      <w:hyperlink w:anchor="i2eff79bc0a8f43af8befe2b8215adb08_285">
        <w:r>
          <w:rPr>
            <w:rStyle w:val="InternetLink"/>
            <w:rFonts w:ascii="Times New Roman;serif" w:hAnsi="Times New Roman;serif"/>
            <w:b w:val="false"/>
            <w:color w:val="0000FF"/>
            <w:sz w:val="20"/>
            <w:u w:val="single"/>
          </w:rPr>
          <w:t>Principal and Selling Shareholder</w:t>
        </w:r>
      </w:hyperlink>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DIVIDEND POLICY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on our ordinary shares, and while we may consider doing so in the future, we cannot assure you that we will ever pay cash dividends. We do not have a current plan to declare or pay cash dividends on our ordinary shares.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covenants in the agreements governing our current and future indebtedness, other contractual restrictions, industry trends and any other factors or considerations our board of directors may regard as relevant.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Cayman Islands law, dividends may be declared and paid only out of funds legally available therefor, namely out of either profit or distributable reserves, including our share premium account, and provided further that a dividend may not be paid if this would result in us being unable to pay our debts as they fall due in the ordinary course of business. </w:t>
      </w:r>
    </w:p>
    <w:p>
      <w:pPr>
        <w:pStyle w:val="TextBody"/>
        <w:bidi w:val="0"/>
        <w:spacing w:lineRule="auto" w:line="288" w:before="0" w:after="180"/>
        <w:ind w:left="0" w:right="0" w:firstLine="360"/>
        <w:jc w:val="left"/>
        <w:rPr/>
      </w:pPr>
      <w:r>
        <w:rPr>
          <w:rFonts w:ascii="Times New Roman;serif" w:hAnsi="Times New Roman;serif"/>
          <w:b w:val="false"/>
          <w:color w:val="000000"/>
          <w:sz w:val="20"/>
        </w:rPr>
        <w:t>For additional information, see “</w:t>
      </w:r>
      <w:hyperlink w:anchor="i769db23da2bb45eabf291b308f1b8140_132310">
        <w:r>
          <w:rPr>
            <w:rStyle w:val="InternetLink"/>
            <w:rFonts w:ascii="Times New Roman;serif" w:hAnsi="Times New Roman;serif"/>
            <w:b w:val="false"/>
            <w:color w:val="0000FF"/>
            <w:sz w:val="20"/>
            <w:u w:val="single"/>
          </w:rPr>
          <w:t>Risk Factors—We have not historically paid dividends on our ordinary shares, and while we may consider doing so in the future, we cannot assure you that we will ever pay cash dividends</w:t>
        </w:r>
      </w:hyperlink>
      <w:r>
        <w:rPr>
          <w:color w:val="000000"/>
        </w:rPr>
        <w:t xml:space="preserve">” </w:t>
      </w:r>
      <w:r>
        <w:rPr>
          <w:rFonts w:ascii="Times New Roman;serif" w:hAnsi="Times New Roman;serif"/>
          <w:b w:val="false"/>
          <w:color w:val="000000"/>
          <w:sz w:val="20"/>
        </w:rPr>
        <w:t>in this prospectus supplement and “</w:t>
      </w:r>
      <w:hyperlink w:anchor="i2a503b7da255485e986f555d542883b5_63390">
        <w:r>
          <w:rPr>
            <w:rStyle w:val="InternetLink"/>
            <w:rFonts w:ascii="Times New Roman;serif" w:hAnsi="Times New Roman;serif"/>
            <w:b w:val="false"/>
            <w:color w:val="0000FF"/>
            <w:sz w:val="20"/>
            <w:u w:val="single"/>
          </w:rPr>
          <w:t>Description of Share Capital—Dividends</w:t>
        </w:r>
      </w:hyperlink>
      <w:r>
        <w:rPr>
          <w:color w:val="000000"/>
        </w:rPr>
        <w:t xml:space="preserve">” </w:t>
      </w:r>
      <w:r>
        <w:rPr>
          <w:rFonts w:ascii="Times New Roman;serif" w:hAnsi="Times New Roman;serif"/>
          <w:b w:val="false"/>
          <w:color w:val="000000"/>
          <w:sz w:val="20"/>
        </w:rPr>
        <w:t>in the accompanying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capitalization and cash and cash equivalents as of December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an actual basis;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an as adjusted basis giving effect to the share repurchase (based on an assumed repurchase price of $43.08 per ordinary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table should be read in conjunction with “Management’s Discussion and Analysis of Financial Condition and Results of Operations” and our consolidated financial statements and the related notes included in our 2025 Form 20-F filed on February 27, 2026, and with other financial information contained in this prospectus supplement. </w:t>
      </w:r>
    </w:p>
    <w:tbl>
      <w:tblPr>
        <w:tblW w:w="6916" w:type="dxa"/>
        <w:jc w:val="left"/>
        <w:tblInd w:w="0" w:type="dxa"/>
        <w:tblLayout w:type="fixed"/>
        <w:tblCellMar>
          <w:top w:w="28" w:type="dxa"/>
          <w:left w:w="28" w:type="dxa"/>
          <w:bottom w:w="28" w:type="dxa"/>
          <w:right w:w="28" w:type="dxa"/>
        </w:tblCellMar>
      </w:tblPr>
      <w:tblGrid>
        <w:gridCol w:w="1648"/>
        <w:gridCol w:w="1446"/>
        <w:gridCol w:w="1450"/>
        <w:gridCol w:w="211"/>
        <w:gridCol w:w="616"/>
        <w:gridCol w:w="109"/>
        <w:gridCol w:w="109"/>
        <w:gridCol w:w="109"/>
        <w:gridCol w:w="109"/>
        <w:gridCol w:w="238"/>
        <w:gridCol w:w="697"/>
        <w:gridCol w:w="174"/>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 adjusted</w:t>
            </w:r>
            <w:r>
              <w:rPr>
                <w:rFonts w:ascii="Times New Roman;serif" w:hAnsi="Times New Roman;serif"/>
                <w:b/>
                <w:color w:val="000000"/>
                <w:sz w:val="10"/>
              </w:rPr>
              <w:t>(3)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 thereof):</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2019 EUR Dresden Equipment Financing due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2019 USD Dresden Equipment Financing due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2021 SGD EDB Loan due 2041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Additional paid-in capital</w:t>
            </w:r>
            <w:r>
              <w:rPr>
                <w:rFonts w:ascii="Times New Roman;serif" w:hAnsi="Times New Roman;serif"/>
                <w:b w:val="false"/>
                <w:color w:val="000000"/>
                <w:sz w:val="13"/>
              </w:rPr>
              <w:t>(1)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attributable to the shareholders of the company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8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12,834 </w:t>
            </w:r>
          </w:p>
        </w:tc>
        <w:tc>
          <w:tcPr>
            <w:tcW w:w="1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entered into loan facilities with Mubadala in 2012 to 2016 (collectively, the “Shareholder Loans”). After June 30, 2021, $442 million of cash payments were made. On October 3, 2021, we executed the conversion of the entire Shareholder Loans balance of approximately $10,113 million into additional paid-in-capital, which did not have an impact on shares outstanding or have any dilutive effects, as no additional shares were issued.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(2)Reflects repurchase of 6,963,789 ordinary shares to be cancelled upon repurchase for approximately $300.0 million (based on an assumed repurchase price of $43.08 per ordinary share), using balance sheet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PRINCIPAL AND SELLING SHAREHOLDER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ordinary shares as of February 15, 2026, (i) immediately prior to this offering and the concurrent share repurchase and (ii) as adjusted to reflect the sale of 20,000,000 to the public or 23,000,000 ordinary shares offered by the selling shareholder in this offering, depending on whether the underwriters exercise their option to purchase additional shares, and the concurrent repurchase of approximately $300.0 million of ordinary shares (approximately 6,963,789 shares of ordinary shares, based on an assumed repurchase price of $43.08 per ordinary share). Subject to the completion of this offering, we intend to concurrently repurchase from the underwriters approximately $300.0 million of the ordinary shares that are subject to this offering at the price per ordinary share equal to the price paid by the underwriters in this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of the SEC. Unless otherwise indicated below, to our knowledge, based on information furnished to us, the persons and entities named in the table have sole voting and investment power with respect to all shares that they beneficially own, subject to applicable community property laws. The information in the table below is based on 556,417,256 ordinary shares outstanding as of February 15, 2026, which number of shares has not changed as of the date hereof.</w:t>
      </w:r>
    </w:p>
    <w:tbl>
      <w:tblPr>
        <w:tblW w:w="11210"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525"/>
        <w:gridCol w:w="526"/>
        <w:gridCol w:w="190"/>
        <w:gridCol w:w="109"/>
        <w:gridCol w:w="109"/>
        <w:gridCol w:w="109"/>
        <w:gridCol w:w="278"/>
        <w:gridCol w:w="278"/>
        <w:gridCol w:w="482"/>
        <w:gridCol w:w="109"/>
        <w:gridCol w:w="109"/>
        <w:gridCol w:w="109"/>
        <w:gridCol w:w="480"/>
        <w:gridCol w:w="481"/>
        <w:gridCol w:w="226"/>
        <w:gridCol w:w="109"/>
        <w:gridCol w:w="109"/>
        <w:gridCol w:w="109"/>
        <w:gridCol w:w="525"/>
        <w:gridCol w:w="526"/>
        <w:gridCol w:w="190"/>
        <w:gridCol w:w="109"/>
        <w:gridCol w:w="109"/>
        <w:gridCol w:w="109"/>
        <w:gridCol w:w="278"/>
        <w:gridCol w:w="278"/>
        <w:gridCol w:w="482"/>
        <w:gridCol w:w="109"/>
        <w:gridCol w:w="109"/>
        <w:gridCol w:w="109"/>
        <w:gridCol w:w="525"/>
        <w:gridCol w:w="526"/>
        <w:gridCol w:w="196"/>
        <w:gridCol w:w="109"/>
        <w:gridCol w:w="109"/>
        <w:gridCol w:w="109"/>
        <w:gridCol w:w="278"/>
        <w:gridCol w:w="278"/>
        <w:gridCol w:w="547"/>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pPr>
            <w:r>
              <w:rPr>
                <w:rFonts w:ascii="Times New Roman;serif" w:hAnsi="Times New Roman;serif"/>
                <w:b/>
                <w:color w:val="000000"/>
                <w:sz w:val="16"/>
              </w:rPr>
              <w:t xml:space="preserve">Prior to this Offering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Being</w:t>
            </w:r>
          </w:p>
          <w:p>
            <w:pPr>
              <w:pStyle w:val="TableContents"/>
              <w:bidi w:val="0"/>
              <w:spacing w:lineRule="auto" w:line="240" w:before="0" w:after="0"/>
              <w:jc w:val="center"/>
              <w:rPr/>
            </w:pPr>
            <w:r>
              <w:rPr>
                <w:rFonts w:ascii="Times New Roman;serif" w:hAnsi="Times New Roman;serif"/>
                <w:b/>
                <w:color w:val="000000"/>
                <w:sz w:val="16"/>
              </w:rPr>
              <w:t xml:space="preserve">Offered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After this Offering (if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Underwriters do not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 their Option to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 Additional</w:t>
            </w:r>
          </w:p>
          <w:p>
            <w:pPr>
              <w:pStyle w:val="TableContents"/>
              <w:bidi w:val="0"/>
              <w:spacing w:lineRule="auto" w:line="240" w:before="0" w:after="0"/>
              <w:jc w:val="center"/>
              <w:rPr/>
            </w:pPr>
            <w:r>
              <w:rPr>
                <w:rFonts w:ascii="Times New Roman;serif" w:hAnsi="Times New Roman;serif"/>
                <w:b/>
                <w:color w:val="000000"/>
                <w:sz w:val="16"/>
              </w:rPr>
              <w:t xml:space="preserve">Shares)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Beneficially Owned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After this Offering (if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Underwriters Exercise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their Option to Purchase</w:t>
            </w:r>
          </w:p>
          <w:p>
            <w:pPr>
              <w:pStyle w:val="TableContents"/>
              <w:bidi w:val="0"/>
              <w:spacing w:lineRule="auto" w:line="240" w:before="0" w:after="0"/>
              <w:jc w:val="center"/>
              <w:rPr/>
            </w:pPr>
            <w:r>
              <w:rPr>
                <w:rFonts w:ascii="Times New Roman;serif" w:hAnsi="Times New Roman;serif"/>
                <w:b/>
                <w:color w:val="000000"/>
                <w:sz w:val="16"/>
              </w:rPr>
              <w:t xml:space="preserve">Additional Shares) </w:t>
            </w:r>
            <w:r>
              <w:rPr>
                <w:rFonts w:ascii="Times New Roman;serif" w:hAnsi="Times New Roman;serif"/>
                <w:b/>
                <w:color w:val="000000"/>
                <w:sz w:val="10"/>
              </w:rPr>
              <w:t>(2)</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Mubadala Investment Company PJSC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450,387,613 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80.94 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26,963,789 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423,423,824 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420,423,824 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76.52 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(1)Consists of 336,085,544 ordinary shares held by MTIC, and 114,302,069 ordinary shares held by MTI International Investment Company LLC, both wholly owned subsidiaries of Mubadala Technology Investments (Mubadala Technology) LLC. The address of Mubadala is Mamoura A Building Abu Dhabi, 45005 United Arab Emirates.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assume the consummation of our share repurchase at an amount equal to 6,963,789 shares of ordinary shares (based on an intended repurchase of approximately $300.0 million worth of ordinary shares at an assumed repurchase price of $43.08 per ordinary share) as described herein concurrently with the closing of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TAXATION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Cayman Islands Tax Considerations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contains a description of certain Cayman Islands tax consequences of the acquisition, ownership and disposition of our ordinary shares, but it does not purport to be a comprehensive description of all the tax considerations that may be relevant to a decision to purchase our ordinary shares. The summary is based upon the tax laws of Cayman Islands and regulations thereunder as of the date hereof, which are subject to change. If you are considering the purchase of our ordinary shares, you should consult your own tax advisors concerning the particular tax consequences to you of the purchase, ownership and disposition of our ordinary shares, as well as the consequences to you arising under the laws of your country of citizenship, residence or domicile.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Under Existing Cayman Islands Laws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stamp duty is payable in respect of the issue of ordinary shares or on an instrument of transfer in respect of an ordinary share.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under the laws of the Cayman Islands as an exempted company with limited liability and, as such, has received an undertaking from the Governor in Cabinet of the Cayman Islands in substantially the following form: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Tax Concessions Law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(1999 Revision)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Undertaking as to Tax Concessions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Section 6 of the Tax Concessions Law (1999 Revision) the Governor in Cabinet undertakes with GLOBALFOUNDRIES Inc.: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(a)that no Law which is hereafter enacted in the Islands imposing any tax to be levied on profits, income, gains or appreciations shall apply to us the company or our operations;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(b)in addition, that no tax to be levied on profits, income, gains or appreciations or which is in the nature of estate duty or inheritance tax shall be payable: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a.on or in respect of the shares, debentures or other obligations of the company;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b.by way of the withholding in whole or part, of any relevant payment as defined in Section 6(3) of the Tax Concessions Law (2018 Revision).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concessions shall be for a period of TWENTY years from 21st day of October 2008.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U.S. Federal Income Tax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material U.S. federal income tax considerations that are likely to be relevant to the purchase, ownership and disposition of our ordinary shares by a U.S. Holder (as defined below). </w:t>
      </w: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summary is based on provisions of the U.S.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summary is not a comprehensive discussion of all of the tax considerations that may be relevant to a particular investor’s decision to purchase, hold, or dispose of our ordinary shares. In particular, this summary is directed only to U.S. Holders that hold our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real estate investment trusts, entities or arrangements that are treated as partnerships for U.S. federal income tax purposes (or partners therein), holders that own or are treated as owning 10% or more of our ordinary shares by vote or value, persons holding our ordinary shares as part of a hedging or conversion transaction or a straddle, persons whose functional currency is not the U.S. dollar, or persons holding our ordinary shares in connection with a trade or business outside the United States. Moreover, this summary does not address state, local or foreign taxes, the U.S. federal estate and gift taxes, the Medicare contribution tax applicable to net investment income of certain non-corporate U.S. Holders, or alternative minimum tax consequences of acquiring, holding or disposing of our ordinary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this summary, a “U.S. Holder” is a beneficial owner of our ordinary shares that is a citizen or resident of the United States or a U.S. domestic corporation or that otherwise is subject to U.S. federal income taxation on a net income basis in respect of such ordinary shares.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You should consult your own tax advisors about the consequences of the acquisition, ownership, and disposition of the ordinary shares, including the relevance to your particular situation of the considerations discussed below and any consequences arising under foreign, state, local or other tax laws.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Taxation of Distributions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below under “—Passive Foreign Investment Company Status,” the gross amount of any distribution of cash or property with respect to our ordinary shares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U.S. corporations under the Code.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expect to maintain calculations of our earnings and profits in accordance with U.S. federal income tax principles. U.S. Holders therefore should expect that distributions generally will be treated as dividends for U.S. federal income tax purposes.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Dividends received by an individual with respect to the ordinary shares will be subject to taxation at a preferential rate if the dividends are “qualified dividends.” Subject to certain exceptions for short-term positions, dividends paid on the ordinary shares will be treated as qualified dividends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ordinary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not, in the year prior to the year in which the dividend was paid, and are not, in the year in which the dividend is paid, a passive foreign investment company (a “PFIC”).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on the Nasdaq and will qualify as readily tradable on an established securities market in the United States so long as they are so listed. Based on our financial statements and relevant market and shareholder data, we believe that we were not a PFIC for U.S. federal income tax purposes with respect to our 2025 taxable year. In addition, based on our financial statements and our current expectations regarding the value and nature of our assets, the sources and nature of our income, and relevant market and shareholder data, we do not </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anticipate becoming a PFIC for our current taxable year or in the foreseeable future. U.S. Holders should consult their own tax advisors regarding the availability of the reduced dividend tax rate in light of their own particular circumstances.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Holders that receive distributions of additional ordinary shares or rights to subscribe for ordinary shares as part of a pro rata distribution to all our shareholders generally will not be subject to U.S. federal income tax in respect of the distributions, unless the U.S. Holder has the right to receive cash or property instead, in which case the U.S. Holder will be treated as if it received cash equal to the fair market value of the distribution.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Taxation of Dispositions of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discussion below under “—Passive Foreign Investment Company Status,” upon a sale, exchange or other taxable disposition of the ordinary shares, U.S. Holders will realize gain or loss for U.S. federal income tax purposes in an amount equal to the difference between the amount realized on the disposition and the U.S. Holder’s adjusted tax basis in the ordinary shares, as determined in U.S. dollars. Such gain or loss will be capital gain or loss and will generally be long-term capital gain or loss if the ordinary shares have been held for more than one year. Long-term capital gain realized by a U.S. Holder that is an individual generally is subject to taxation at a preferential rate. The deductibility of capital losses is subject to limitations.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Passive Foreign Investment Company Status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Special U.S. tax rules apply regarding investors in companies that are considered to be PFICs. We will be classified as a PFIC in a particular taxable year if either: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75% or more of our gross income for the taxable year is passive income;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average percentage of the value of our assets that produce or are held for the production of passive income is at least 50%.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this purpose, passive income generally includes dividends, interest, gains from certain commodities transactions, rents, royalties and the excess of gains over losses from the disposition of assets that produce passive income.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financial statements and relevant market and shareholder data, we believe that we were not a PFIC for U.S. federal income tax purposes with respect to our 2025 taxable year. In addition, based on our financial statements and our current expectations regarding the value and nature of our assets, the sources and nature of our income, and relevant market and shareholder data, we do not anticipate becoming a PFIC for our current taxable year or in the foreseeable future. Whether we are a PFIC is a factual determination made annually, and our status could change depending, among other things, upon changes in the composition of our gross income and the relative quarterly average value of our assets. If we were a PFIC for any taxable year in which you hold our ordinary shares, you generally would be subject to additional taxes on certain distributions and any gain realized from the sale or other taxable disposition of the ordinary shares regardless of whether we continued to be a PFIC in any subsequent year. You are encouraged to consult your own tax advisor as to our status as a PFIC, the tax consequences to you of such status, and the availability and desirability of making a mark-to-market election to mitigate the unfavorable rules mentioned in the preceding sentence.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Foreign Financial Asset Reporting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 U.S. Holders that own “specified foreign financial assets” with an aggregate value in excess of US$50,000 on the last day of the taxable year or US$75,000 at any time during the taxable year are generally required to file an information statement along with their tax returns, currently on U.S. Internal Revenue Service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objective </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Backup Withholding and Information Reporting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Dividends paid on, and proceeds from the sale or other disposition of, the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holder that is not a U.S. Holder may be required to comply with certification and identification procedures in order to establish its exemption from information reporting and backup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UNDERWRITERS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and subject to the conditions in an underwriting agreement dated the date of this prospectus supplement, the underwriters named below, for whom J.P. Morgan Securities LLC and Morgan Stanley &amp; Co. LLC are acting as representatives, have severally agreed to purchase, and Mubadala has agreed to sell to them, severally, the number of shares indicated below: </w:t>
      </w:r>
    </w:p>
    <w:tbl>
      <w:tblPr>
        <w:tblW w:w="4151" w:type="dxa"/>
        <w:jc w:val="left"/>
        <w:tblInd w:w="0" w:type="dxa"/>
        <w:tblLayout w:type="fixed"/>
        <w:tblCellMar>
          <w:top w:w="28" w:type="dxa"/>
          <w:left w:w="28" w:type="dxa"/>
          <w:bottom w:w="28" w:type="dxa"/>
          <w:right w:w="28" w:type="dxa"/>
        </w:tblCellMar>
      </w:tblPr>
      <w:tblGrid>
        <w:gridCol w:w="857"/>
        <w:gridCol w:w="750"/>
        <w:gridCol w:w="762"/>
        <w:gridCol w:w="109"/>
        <w:gridCol w:w="109"/>
        <w:gridCol w:w="109"/>
        <w:gridCol w:w="425"/>
        <w:gridCol w:w="425"/>
        <w:gridCol w:w="605"/>
      </w:tblGrid>
      <w:tr>
        <w:trPr/>
        <w:tc>
          <w:tcPr>
            <w:tcW w:w="8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J.P. Morgan Securities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underwriters and the representatives are collectively referred to as the “underwriters” and the “representatives,” respectively. The underwriters are offering the ordinary shares subject to their acceptance of the shares from MTIC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shares are taken. However, the underwriters are not required to take or pay for the shares covered by the underwriters’ option to purchase additional shares described below.</w:t>
      </w:r>
    </w:p>
    <w:p>
      <w:pPr>
        <w:pStyle w:val="TextBody"/>
        <w:bidi w:val="0"/>
        <w:spacing w:lineRule="auto" w:line="288" w:before="0" w:after="180"/>
        <w:ind w:left="0" w:right="0" w:firstLine="360"/>
        <w:jc w:val="left"/>
        <w:rPr/>
      </w:pPr>
      <w:r>
        <w:rPr>
          <w:rFonts w:ascii="Times New Roman;serif" w:hAnsi="Times New Roman;serif"/>
          <w:b w:val="false"/>
          <w:color w:val="000000"/>
          <w:sz w:val="20"/>
        </w:rPr>
        <w:t>Subject to the completion of the offering, we intend to concurrently repurchase from the underwriters approximately $300.0 million of the ordinary shares that are subject to this offering at the price per ordinary share to be paid by the underwriters in this offering. See “</w:t>
      </w:r>
      <w:hyperlink w:anchor="i2eff79bc0a8f43af8befe2b8215adb08_10">
        <w:r>
          <w:rPr>
            <w:rStyle w:val="InternetLink"/>
            <w:rFonts w:ascii="Times New Roman;serif" w:hAnsi="Times New Roman;serif"/>
            <w:b w:val="false"/>
            <w:color w:val="0000FF"/>
            <w:sz w:val="20"/>
            <w:u w:val="single"/>
          </w:rPr>
          <w:t>Summary—Share Repurchase</w:t>
        </w:r>
      </w:hyperlink>
      <w:r>
        <w:rPr>
          <w:rFonts w:ascii="Times New Roman;serif" w:hAnsi="Times New Roman;serif"/>
          <w:b w:val="false"/>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initially propose to offer part of the ordinary shares directly to the public at the offering price listed on the cover page of this prospectus supplement and part to certain dealers. After the offering of the ordinary shares, the offering price and other selling terms may from time to time be varied by the representatives.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MTIC has granted to the underwriters an option, exercisable for 30 days from the date of this prospectus supplement, to purchase up to 3,000,000 additional ordinary shares. The underwriters will pay the public offering price, less underwriting discounts and commissions, for any shares sold pursuant to such option.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 The share repurchase shall not be contingent on any exercise of such option by the underwriters, and any such exercise will not have any impact on the amount or price of the share repurchase.</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per ordinary share and total public offering price, underwriting discounts and commissions, and proceeds before expenses to MTIC. These amounts are shown only with respect to the 20,000,000 ordinary shares offered to the public, and assuming both no exercise and full exercise of the underwriters’ option to purchase up to an additional 3,000,000 ordinary shares.</w:t>
      </w:r>
    </w:p>
    <w:tbl>
      <w:tblPr>
        <w:tblW w:w="10205" w:type="dxa"/>
        <w:jc w:val="left"/>
        <w:tblInd w:w="0" w:type="dxa"/>
        <w:tblLayout w:type="fixed"/>
        <w:tblCellMar>
          <w:top w:w="28" w:type="dxa"/>
          <w:left w:w="28" w:type="dxa"/>
          <w:bottom w:w="28" w:type="dxa"/>
          <w:right w:w="28" w:type="dxa"/>
        </w:tblCellMar>
      </w:tblPr>
      <w:tblGrid>
        <w:gridCol w:w="1994"/>
        <w:gridCol w:w="1735"/>
        <w:gridCol w:w="1751"/>
        <w:gridCol w:w="269"/>
        <w:gridCol w:w="269"/>
        <w:gridCol w:w="271"/>
        <w:gridCol w:w="109"/>
        <w:gridCol w:w="109"/>
        <w:gridCol w:w="109"/>
        <w:gridCol w:w="315"/>
        <w:gridCol w:w="315"/>
        <w:gridCol w:w="317"/>
        <w:gridCol w:w="109"/>
        <w:gridCol w:w="109"/>
        <w:gridCol w:w="109"/>
        <w:gridCol w:w="339"/>
        <w:gridCol w:w="339"/>
        <w:gridCol w:w="341"/>
        <w:gridCol w:w="109"/>
        <w:gridCol w:w="109"/>
        <w:gridCol w:w="109"/>
        <w:gridCol w:w="281"/>
        <w:gridCol w:w="281"/>
        <w:gridCol w:w="407"/>
      </w:tblGrid>
      <w:tr>
        <w:trPr/>
        <w:tc>
          <w:tcPr>
            <w:tcW w:w="199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54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4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 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Full 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Public offering price</w:t>
            </w:r>
            <w:r>
              <w:rPr>
                <w:rFonts w:ascii="Times New Roman;serif" w:hAnsi="Times New Roman;serif"/>
                <w:b w:val="false"/>
                <w:color w:val="000000"/>
                <w:sz w:val="13"/>
              </w:rPr>
              <w:t>(1)</w:t>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Underwriting discounts and commissions to be paid by: MTIC</w:t>
            </w:r>
            <w:r>
              <w:rPr>
                <w:rFonts w:ascii="Times New Roman;serif" w:hAnsi="Times New Roman;serif"/>
                <w:b w:val="false"/>
                <w:color w:val="000000"/>
                <w:sz w:val="13"/>
              </w:rPr>
              <w:t>(2)(3)(4)</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MTIC</w:t>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public offering price for the 20,000,000 shares sold to the public was $       per share.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(2)The underwriting discount for the 20,000,000 shares sold to the public was $       per share. The price for the approximately $300.0 million worth of shares we intend to repurchase from the underwriters was $       per share. No underwriting discount or commissions will be paid to the underwriter with respect to the       shares we intend to repurchase.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(3)Proceeds in the table only includes proceeds from the offering to the public of 20,000,000 ordinary shares. In addition to the proceeds for the 20,000,000 ordinary shares sold to the public, Mubadala is also receiving approximately $300.0 million from the sale of the ordinary shares we intend to repurchase from the underwriters in the offering.</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(4)See below for additional information regarding total underwriter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estimated offering expenses payable by MTIC (either directly or through reimbursement to us for any expenses initially paid by us), exclusive of the underwriting discounts and commissions, are approximately $          . We have agreed to reimburse the underwriters for certain of their expenses in an amount up to $50,000, which expenses MTIC has agreed to reimburse to us. The following is a statement of estimated offering expenses, exclusive of underwriting discounts and commissions:</w:t>
      </w:r>
    </w:p>
    <w:tbl>
      <w:tblPr>
        <w:tblW w:w="4036" w:type="dxa"/>
        <w:jc w:val="left"/>
        <w:tblInd w:w="0" w:type="dxa"/>
        <w:tblLayout w:type="fixed"/>
        <w:tblCellMar>
          <w:top w:w="28" w:type="dxa"/>
          <w:left w:w="28" w:type="dxa"/>
          <w:bottom w:w="28" w:type="dxa"/>
          <w:right w:w="28" w:type="dxa"/>
        </w:tblCellMar>
      </w:tblPr>
      <w:tblGrid>
        <w:gridCol w:w="1026"/>
        <w:gridCol w:w="902"/>
        <w:gridCol w:w="907"/>
        <w:gridCol w:w="351"/>
        <w:gridCol w:w="351"/>
        <w:gridCol w:w="499"/>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Registration fees</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Federal taxes, state taxes and fees</w:t>
            </w:r>
          </w:p>
        </w:tc>
        <w:tc>
          <w:tcPr>
            <w:tcW w:w="120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Trustees’ and transfer agents’ fees</w:t>
            </w:r>
          </w:p>
        </w:tc>
        <w:tc>
          <w:tcPr>
            <w:tcW w:w="120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Printing and engraving costs</w:t>
            </w:r>
          </w:p>
        </w:tc>
        <w:tc>
          <w:tcPr>
            <w:tcW w:w="120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120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Accounting fees</w:t>
            </w:r>
          </w:p>
        </w:tc>
        <w:tc>
          <w:tcPr>
            <w:tcW w:w="120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Engineering fees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201"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w:t>
            </w:r>
          </w:p>
        </w:tc>
        <w:tc>
          <w:tcPr>
            <w:tcW w:w="120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underwriters have informed us that they do not intend sales to discretionary accounts to exceed 5% of the total number of ordinary shares offered by them.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directors and executive officers listed under “Directors and Senior Management” in Part I, Item 6 of our 2025 Form 20-F and MTIC have agreed that, without the prior written consent of the representatives on behalf of the underwriters, we and they will not, and will not publicly disclose an intention to, during the period ending 60 days after the date of this prospectus supplement (the “restricted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file or confidentially submit registration statement with the SEC relating to the offering of any ordinary shares or any securities convertible into or exercisable or exchangeable for ordinary shares; or </w:t>
      </w: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enter into any swap or other arrangement that transfers to another, in whole or in part, any of the economic consequences of ownership of the ordinary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whether any such transaction described above is to be settled by delivery of ordinary shares or such other securities, in cash or otherwise.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or any security convertible into or exercisable or exchangeable for ordinary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restrictions described in the immediately preceding paragraph do not apply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transfer of ordinary shares to the underwriters pursuant to the underwriting agreement;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transfer of ordinary shares or other securities acquired in open market transactions after the completion of this offering, provided that no filing under Section 16(a) of the Exchange Act (other than a required Form 5), reporting a reduction in beneficial ownership of such ordinary shares, shall be required or shall be voluntarily made during the restricted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transfer of ordinary shares as a bona fide gift or as charitable contributions, provided that the donee or donees thereof agree to be bound in writing by the restrictions set forth in the lock-up agreements, and provided further that any filing under the Exchange Act made in connection with such transfer shall clearly indicate in the footnotes thereto that the filing relates to the circumstances described 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transfer of ordinary shares by operation of law;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distribution of ordinary shares to any corporation, partnership, limited partnership, limited liability company, governmental entity or other entity, in each case, that (i) controls, or is controlled by or is under common control with, the undersigned, or (ii) is directly or indirectly wholly owned by the Government of the Emirate of Abu Dhabi, or (iii) is otherwise an affiliate (as defined in Rule 405 promulgated under the Securities Act of 1933, as amended) of a lock-up party, provided that in the case of any such distribution, each distributee shall agree to be subject to the restrictions set forth in the lock-up agreements, and provided further that no filing under Section 16(a) of the Exchange Act, reporting a reduction in beneficial ownership of ordinary shares shall be required or shall be voluntarily made during the restricted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reclassification or conversion of the ordinary shares, provided that any securities received upon such conversion or reclassification will be subject to the restrictions set forth in the lock-up agreements, provided that any filing under the Exchange Act made in connection with such transfer shall clearly indicate in the footnotes thereto that the filing relates to the circumstances described herein;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transfer of ordinary shares pursuant to a trading plan pursuant to Rule 10b5-1 under the Exchange Act that is existing as of the date of this prospectus supplement, provided that any filing under the Exchange Act made in connection with such transfer shall clearly indicate in the footnotes thereto that the filing relates to the circumstances described 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establishment of a trading plan pursuant to Rule 10b5-1 under the Exchange Act provided that (i) such plan does not provide for the transfer of ordinary shares during the restricted period and (ii) to the extent a public announcement or filing under the Exchange Act, if any, is required of or voluntarily made by or on behalf of a lock-up party or the company regarding the establishment of such plan, such announcement or filing shall include a statement to the effect that no transfer of ordinary shares may be made under such plan during the restricted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transfer of ordinary shares pursuant to a bona fide third-party tender offer, merger, consolidation or other similar transaction that is approved by our board of directors (or a duly authorized committee thereof) involving a change of control of the company in which the acquiring party becomes the beneficial owner (as defined in Rules 13d-3 and 13d-5 of the Exchange Act) of more than 50% of the total voting power of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voting ordinary shares following such transaction provided that all of the lock-up party’s ordinary shares subject to the lock-up agreement that are not so transferred, sold, tendered or otherwise disposed of remain subject the lock-up agreement; and provided, further, that in the event that such tender offer, merger, consolidation or other similar transaction is not completed, the lock-up party’s ordinary shares shall remain subject to the provisions of the lock-up agreement;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issuance of ordinary shares upon the exercise of an option or warrant (including net exercise), settlement of restricted stock units (including net settlement) or the conversion of a security outstanding as of the date of this prospectus supplement;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filing of a registration statement with the SEC on Form S-8 relating to the offering of securities granted or to be granted in accordance with the terms of an equity incentive plan, employment benefit plan, employment agreement or similar arrangement Act that is existing as of the date of this prospectus supplement (provided that any ordinary shares or securities registered pursuant to such registration statement shall be subject to restrictions described in the preceding paragraphs);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issuance by the company of ordinary shares or the grant by the company of any options or warrants to purchase ordinary shares or any securities convertible into, exchangeable for or that represent the right to receive ordinary shares, in each case, pursuant to and subject to the terms of the company’s equity incentive plans or employment benefit plans that are described in this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representatives, in their sole discretion, may release the ordinary shares and other securities subject to the lock-up agreements described above in whole or in part at any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facilitate the offering of the ordinary shares, the underwriters, pursuant to Regulation M of the Securities Act,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may also impose a penalty bid. This occurs when a particular underwriter repays to the underwriters a portion of the underwriting discount received by it because the representatives have repurchased ordinary shares sold by or for the account of such underwriter in stabilizing or short covering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Mubadala and the underwriters have agreed to indemnify each other against certain liabilities, including liabilities under the Securities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prospectus supplement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underwriters and their respective affiliates have, from time to time, performed, do perform and may in the future perform in the ordinary course of business various financial advisory, investment banking, commercial banking services and other services for us, Mubadala and their affiliates, for which they received or will receive customary fees and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any underwriter that is not a U.S. registered broker-dealer intends to effect any offers or sales of any ordinary shares in the United States, it will do so through one or more U.S. registered broker-dealers in accordance with the applicable U.S. securities laws and regulations.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Selling Restrictions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European Economic Area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(a)to any qualified investor as defined under Article 2 of the Prospectus Regulation;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(b)to fewer than 150 natural or legal persons (other than qualified investors as defined under Article 2 of the Prospectus Regulation), subject to obtaining the prior consent of the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(c)in any other circumstances falling within Article 1(4) of the Prospectus Regulation;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provided that no such offer of shares shall require us or any of our representatives to publish a prospectus pursuant to Article 3 of the Prospectus Regulation, supplement a prospectus pursuant to Article 23 of the Prospectus Regulation or publish an Annex IX document pursuant to Article 1(4) of the Prospectus Regulation.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selling restriction is in addition to any other selling restrictions set out below.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offering, the underwriters are not acting for anyone other than the issuer and will not be responsible to anyone other than the issuer for providing the protections afforded to their clients nor for providing advice in relation to the offering.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United Kingdom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shares have been offered or will be offered pursuant to this offering to the public in the United Kingdom except that the shares may be offered to the public in the United Kingdom at any time: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(a)where (i) the offer is conditional on the admission of the shares to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(b)to any qualified investor as defined under paragraph 15 of Schedule 1 of the POATR;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(c)to fewer than 150 natural or legal persons (other than qualified investors as defined under paragraph 15 of Schedule 1 of the POATR), subject to obtaining the prior consent of the representatives for any such offer;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(d)in any other circumstances falling within Part 1 of Schedule 1 of the POATR.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the underwriters and their affiliates will rely upon the truth and accuracy of the foregoing representations, acknowledgements and agreements.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Japan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registration pursuant to Article 4, paragraph 1 of the Financial Instruments and Exchange Law of Japan (Law No. 25 of 1948, as amended) (the “FIEL”) has been made or will be made with respect to the solicitation of the application for the acquisition of the ordinary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For Qualified Institutional Investors (“QII”)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For Non-QII Investors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 </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Switzerland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Dubai International Financial Centre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relates to an Exempt Offer in accordance with the Markets Rules of the Dubai Financial Services Authority (“DFSA”). This prospectus supplement is intended for distribution only to persons of a type specified in the Markets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Abu Dhabi Global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an Exempt Offer in accordance with the Market Rulebook of the Financial Services Regulatory Authority (“FSRA”). This prospectus supplement is intended for distribution only to persons of a type specified in the Financial Services and Markets Regulations. It must not be delivered to, or relied on by, any other person. The FSRA has no responsibility for reviewing or verifying any documents in connection with an Exempt Offer. The FSRA has not approved this prospectus supplement nor taken any steps to verify the information set out in this prospectus supplement, and has no responsibility for it. The shares to which this prospectus supplement relates may be illiquid and/or subject to restrictions on their resale. Prospective purchasers should conduct their own due diligence on the shares. If you do not understand the contents of this prospectus supplement, you should consult an authorized financial adviser.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Singapore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Where the shares are subscribed or purchased under Section 275 of the SFA by a relevant person which is: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 trust (where the trustee is not an accredited investor) whose sole purpose is to hold investments and each beneficiary of the trust is an individual who is an accredited investor,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(1)to an institutional investor or to a relevant person, or to any person arising from an offer referred to in Section 275(1A) or Section 276(4)(i)(B) of the SFA;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(2)where no consideration is or will be given for the transfer;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(3)where the transfer is by operation of law; or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(4)as specified in Section 276(7) of the SFA.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Canada </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 xml:space="preserve">may be sold only to purchasers purchasing, or deemed to be purchasing, as principal that are accredited investors, as defined in National Instrument 45-106 </w:t>
      </w:r>
      <w:r>
        <w:rPr>
          <w:rFonts w:ascii="Times New Roman;serif" w:hAnsi="Times New Roman;serif"/>
          <w:b w:val="false"/>
          <w:i/>
          <w:color w:val="000000"/>
          <w:sz w:val="20"/>
        </w:rPr>
        <w:t>Prospectus Exemptions</w:t>
      </w:r>
      <w:r>
        <w:rPr>
          <w:color w:val="000000"/>
        </w:rPr>
        <w:t xml:space="preserve"> </w:t>
      </w:r>
      <w:r>
        <w:rPr>
          <w:rFonts w:ascii="Times New Roman;serif" w:hAnsi="Times New Roman;serif"/>
          <w:b w:val="false"/>
          <w:color w:val="000000"/>
          <w:sz w:val="20"/>
        </w:rPr>
        <w:t xml:space="preserve">or subsection 73.3(1) of the </w:t>
      </w:r>
      <w:r>
        <w:rPr>
          <w:rFonts w:ascii="Times New Roman;serif" w:hAnsi="Times New Roman;serif"/>
          <w:b w:val="false"/>
          <w:i/>
          <w:color w:val="000000"/>
          <w:sz w:val="20"/>
        </w:rPr>
        <w:t>Securities Act</w:t>
      </w:r>
      <w:r>
        <w:rPr>
          <w:color w:val="000000"/>
        </w:rPr>
        <w:t xml:space="preserve"> </w:t>
      </w:r>
      <w:r>
        <w:rPr>
          <w:rFonts w:ascii="Times New Roman;serif" w:hAnsi="Times New Roman;serif"/>
          <w:b w:val="false"/>
          <w:color w:val="000000"/>
          <w:sz w:val="20"/>
        </w:rPr>
        <w:t xml:space="preserve">(Ontario), and are permitted clients, as defined in National Instrument 31-103 </w:t>
      </w:r>
      <w:r>
        <w:rPr>
          <w:rFonts w:ascii="Times New Roman;serif" w:hAnsi="Times New Roman;serif"/>
          <w:b w:val="false"/>
          <w:i/>
          <w:color w:val="000000"/>
          <w:sz w:val="20"/>
        </w:rPr>
        <w:t>Registration Requirements, Exemptions and Ongoing Registrant Obligations</w:t>
      </w:r>
      <w:r>
        <w:rPr>
          <w:rFonts w:ascii="Times New Roman;serif" w:hAnsi="Times New Roman;serif"/>
          <w:b w:val="false"/>
          <w:color w:val="000000"/>
          <w:sz w:val="20"/>
        </w:rPr>
        <w:t xml:space="preserve">. Any resale of the shares must be made in accordance with an exemption from, or in a transaction not subject to, the prospectus requirements of applicable securities laws. </w:t>
      </w:r>
    </w:p>
    <w:p>
      <w:pPr>
        <w:pStyle w:val="TextBody"/>
        <w:bidi w:val="0"/>
        <w:spacing w:lineRule="auto" w:line="288" w:before="0" w:after="180"/>
        <w:ind w:left="0" w:right="0" w:firstLine="360"/>
        <w:jc w:val="left"/>
        <w:rPr/>
      </w:pPr>
      <w:r>
        <w:rPr>
          <w:rFonts w:ascii="Times New Roman;serif" w:hAnsi="Times New Roman;serif"/>
          <w:b w:val="false"/>
          <w:color w:val="000000"/>
          <w:sz w:val="20"/>
        </w:rPr>
        <w:t>Securities legislation in certain provinces or territories of Canada may provide a purchaser with remedies for rescission or damages if this prospectus supplement</w:t>
      </w:r>
      <w:r>
        <w:rPr>
          <w:color w:val="000000"/>
        </w:rPr>
        <w:t xml:space="preserve"> </w:t>
      </w:r>
      <w:r>
        <w:rPr>
          <w:rFonts w:ascii="Times New Roman;serif" w:hAnsi="Times New Roman;serif"/>
          <w:b w:val="false"/>
          <w:color w:val="000000"/>
          <w:sz w:val="20"/>
        </w:rPr>
        <w:t xml:space="preserve">(including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Pursuant to section 3A.3 (or, in the case of securities issued or guaranteed by the government of a non-Canadian jurisdiction, section 3A.4) of National Instrument 33-105 </w:t>
      </w:r>
      <w:r>
        <w:rPr>
          <w:rFonts w:ascii="Times New Roman;serif" w:hAnsi="Times New Roman;serif"/>
          <w:b w:val="false"/>
          <w:i/>
          <w:color w:val="000000"/>
          <w:sz w:val="20"/>
        </w:rPr>
        <w:t>Underwriting Conflicts</w:t>
      </w:r>
      <w:r>
        <w:rPr>
          <w:color w:val="000000"/>
        </w:rPr>
        <w:t xml:space="preserve"> </w:t>
      </w:r>
      <w:r>
        <w:rPr>
          <w:rFonts w:ascii="Times New Roman;serif" w:hAnsi="Times New Roman;serif"/>
          <w:b w:val="false"/>
          <w:color w:val="000000"/>
          <w:sz w:val="20"/>
        </w:rPr>
        <w:t xml:space="preserve">(NI 33-105), the underwriters are not required to comply with the disclosure requirements of NI 33-105 regarding underwriter conflicts of interest in connection with this offering.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Australia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Hong Kong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matters of U.S. federal and New York State law will be passed upon for us by Cleary Gottlieb Steen &amp; Hamilton LLP and for the underwriters by Latham &amp; Watkins LLP. The validity of the ordinary shares offered in this offering and other legal matters as to Cayman Islands law will be passed upon for us by Maples and Calder (Cayman)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2025 and 2024 and for the years then ended and management’s assessment of the effectiveness of internal control over financial reporting (which is included in Management’s Annual Report on Internal Control over Financial Reporting) as of December 31, 2025 incorporated in the prospectus by reference to the Annual Report on Form 20-F for the year ended December 31, 2025 have been so incorporated in reliance on the report of PricewaterhouseCoopers LLP (which contains an adverse opinion on the effectiveness of the Company’s internal control over financial reporting and which contains a paragraph relating to the effectiveness of internal control over financial reporting due to the exclusion of Silicon Manufacturing Partners Pte Ltd. (“SMP”), MIPS Holding, Inc. (“MIPS”), Advanced Micro Foundry Pte. Ltd (“AMF”), and InfiniLink Inc. (“InfiniLink”) because they were acquired by the Company in purchase business combinations during 2025), an independent registered public accounting firm, given on the authority of said firm as experts in auditing and accounting.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the Company for the year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on Form F-3 under the Securities Act with respect to this offering of securities. This prospectus supplement and the accompanying prospectus, which constitute a part of the registration statement, do not contain all of the information set forth in the registration statement, some of which is contained in exhibits to the registration statement as permitted by the rules and regulations of the SEC. For further information with respect to us and our ordinary shares, we refer you to the registration statement, including the exhibits filed as a part of the registration statement. Statements contained in this prospectus supplement and the accompanying prospectus concerning the contents of any contract or any other document are not necessarily complete descriptions of all terms of such documents. If a contract or document has been filed as an exhibit to the registration statement, please see the copy of the contract or document that has been filed. Each statement in this prospectus supplement and the accompanying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information requirements of the Exchange Act. Accordingly, we are required to file periodic reports and other information with the SEC, including annual reports on Form 20-F and reports on Form 6-K. These periodic reports and other information, including the filings that are incorporated by reference into this prospectus supplement, are available to the public at the website of the SEC referred to above. We also maintain a website at www.gf.com. Information contained on our website is not a part of this prospectus supplement and the inclusion of our website address in this prospectus supplement is an inactive textual reference only. As a foreign private issuer, we are exempt under the Exchange Act from, among other things, the rules prescribing the furnishing and content of proxy statements, and our executive officers, directors and shareholders are exempt from short-swing profit recovery provisions contained in Section 16 of the Exchange Act. Beginning March 18, 2026, upon effectiveness of the Holding Foreign Insiders Accountable Act which was signed into law on December 18, 2025, executive officers and directors of foreign private issuers will be subject to the reporting requirements of Section 16 of the Exchange Act. In addition, we will not be required under the Exchange Act to file periodic reports and financial statements with the SEC as frequently or as promptly as U.S. companies whose securities are registered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20-F</w:t>
        </w:r>
      </w:hyperlink>
      <w:r>
        <w:rPr>
          <w:color w:val="000000"/>
        </w:rPr>
        <w:t xml:space="preserve"> </w:t>
      </w:r>
      <w:r>
        <w:rPr>
          <w:rFonts w:ascii="Times New Roman;serif" w:hAnsi="Times New Roman;serif"/>
          <w:b w:val="false"/>
          <w:color w:val="000000"/>
          <w:sz w:val="20"/>
        </w:rPr>
        <w:t>for fiscal year ended December 31, 2025, filed on February 27, 2026 (“2025 Form 20-F”);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future Current Reports on Form 6-K furnished to the SEC that are identified in those forms as being incorporated by reference into this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ordinary shares contained in our Registration Statement on </w:t>
      </w:r>
      <w:hyperlink r:id="rId4">
        <w:r>
          <w:rPr>
            <w:rStyle w:val="InternetLink"/>
            <w:rFonts w:ascii="Times New Roman;serif" w:hAnsi="Times New Roman;serif"/>
            <w:b w:val="false"/>
            <w:color w:val="0000FF"/>
            <w:sz w:val="20"/>
            <w:u w:val="single"/>
          </w:rPr>
          <w:t>Form 8</w:t>
          <w:noBreakHyphen/>
          <w:t>A12B</w:t>
        </w:r>
      </w:hyperlink>
      <w:r>
        <w:rPr>
          <w:color w:val="000000"/>
        </w:rPr>
        <w:t xml:space="preserve"> </w:t>
      </w:r>
      <w:r>
        <w:rPr>
          <w:rFonts w:ascii="Times New Roman;serif" w:hAnsi="Times New Roman;serif"/>
          <w:b w:val="false"/>
          <w:color w:val="000000"/>
          <w:sz w:val="20"/>
        </w:rPr>
        <w:t>filed with the SEC on October 27, 2021, as updated by the description of our ordinary shares filed as Exhibit 2.3 to our Annual Report on Form 20-F for the fiscal year ended December 31, 2021 filed with the SEC on March 31, 2022, including any amendment or report filed for the purpose of updating such description.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GLOBALFOUNDRIES Inc., 400 Stonebreak Road Extension, Malta, New York, United States 12020.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S-31</w:t>
                      </w:r>
                    </w:p>
                  </w:txbxContent>
                </v:textbox>
                <w10:wrap type="none"/>
              </v:rect>
            </w:pict>
          </mc:Fallback>
        </mc:AlternateContent>
      </w:r>
    </w:p>
    <w:p>
      <w:pPr>
        <w:pStyle w:val="TextBody"/>
        <w:bidi w:val="0"/>
        <w:spacing w:before="0" w:after="180"/>
        <w:jc w:val="center"/>
        <w:rPr/>
      </w:pPr>
      <w:r>
        <w:rPr/>
        <w:drawing>
          <wp:inline distT="0" distB="0" distL="0" distR="0">
            <wp:extent cx="4257675" cy="933450"/>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5"/>
                    <a:stretch>
                      <a:fillRect/>
                    </a:stretch>
                  </pic:blipFill>
                  <pic:spPr bwMode="auto">
                    <a:xfrm>
                      <a:off x="0" y="0"/>
                      <a:ext cx="4257675" cy="9334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GLOBALFOUNDRIES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Mubadala Technology Investment Company (“MTIC”) and MTI International Investment Company LLC (“MTIIIC”) (collectively, the “Selling Shareholders”), wholly owned subsidiaries of Mubadala Investment Company PJSC (“MIC,” together with the Selling Shareholders, “Mubadala”), may from time to time offer ordinary shares of GLOBALFOUNDRIES Inc. (the “Company”). This prospectus describes some of the general terms that may apply to an offering of our ordinary shares and the general manner in which they may be offered. When the Selling Shareholders offer these securities, the specific terms of an offering of these securities, including the offering price, and the specific manner in which they may be offered, will be described in the supplements to this prospectus. Any applicable prospectus supplements may also supplement, update or amend information contained in this prospectus, including information about Mubadala, the relationship between Mubadala and the Company, and information about the Company and our ordinary shares. You should read this prospectus and any applicable prospectus supplement, together with the documents we incorporate by reference, before you invest. </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Company’s ordinary shares registered pursuant to the registration statement of which this prospectus forms a part may be offered or sold to or through underwriters, agents or dealers. More information about how the Company’s ordinary shares may be offered and sold is set forth in the section entitled “</w:t>
      </w:r>
      <w:hyperlink w:anchor="i2eff79bc0a8f43af8befe2b8215adb08_812">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2eff79bc0a8f43af8befe2b8215adb08_812">
        <w:r>
          <w:rPr>
            <w:rStyle w:val="InternetLink"/>
            <w:rFonts w:ascii="Times New Roman;serif" w:hAnsi="Times New Roman;serif"/>
            <w:b w:val="false"/>
            <w:color w:val="0000FF"/>
            <w:sz w:val="20"/>
            <w:u w:val="single"/>
          </w:rPr>
          <w:t>25</w:t>
        </w:r>
      </w:hyperlink>
      <w:r>
        <w:rPr>
          <w:rFonts w:ascii="Times New Roman;serif" w:hAnsi="Times New Roman;serif"/>
          <w:b w:val="false"/>
          <w:color w:val="000000"/>
          <w:sz w:val="20"/>
        </w:rPr>
        <w:t>. To the extent applicable, any applicable prospectus supplement may describe additional details with respect to the plan of distribution for that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registering such ordinary shares under the terms of a shareholder and registration rights agreement between us and the Selling Shareholders. We are not selling any ordinary shares under this prospectus and will not receive any proceeds from the sale of the ordinary shares by the Selling Shareholders. Our ordinary shares are listed and traded on the Nasdaq Global Select Market (“Nasdaq”) under the symbol “GFS.” The last reported sale price of our ordinary shares on Nasdaq on March 10, 2026 was $46.63 per share.</w:t>
      </w:r>
    </w:p>
    <w:p>
      <w:pPr>
        <w:pStyle w:val="TextBody"/>
        <w:bidi w:val="0"/>
        <w:spacing w:lineRule="auto" w:line="288" w:before="0" w:after="180"/>
        <w:ind w:left="0" w:right="0" w:firstLine="360"/>
        <w:jc w:val="left"/>
        <w:rPr/>
      </w:pPr>
      <w:r>
        <w:rPr>
          <w:rFonts w:ascii="Times New Roman;serif" w:hAnsi="Times New Roman;serif"/>
          <w:b/>
          <w:color w:val="000000"/>
          <w:sz w:val="20"/>
        </w:rPr>
        <w:t>Investing in our ordinary shares involves risks. See “</w:t>
      </w:r>
      <w:hyperlink w:anchor="i2eff79bc0a8f43af8befe2b8215adb08_758">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2eff79bc0a8f43af8befe2b8215adb08_758">
        <w:r>
          <w:rPr>
            <w:rStyle w:val="InternetLink"/>
            <w:rFonts w:ascii="Times New Roman;serif" w:hAnsi="Times New Roman;serif"/>
            <w:b/>
            <w:color w:val="0000FF"/>
            <w:sz w:val="20"/>
            <w:u w:val="single"/>
          </w:rPr>
          <w:t>6</w:t>
        </w:r>
      </w:hyperlink>
      <w:r>
        <w:rPr>
          <w:color w:val="000000"/>
        </w:rPr>
        <w:t xml:space="preserve"> </w:t>
      </w:r>
      <w:r>
        <w:rPr>
          <w:rFonts w:ascii="Times New Roman;serif" w:hAnsi="Times New Roman;serif"/>
          <w:b/>
          <w:color w:val="000000"/>
          <w:sz w:val="20"/>
        </w:rPr>
        <w:t>of this prospectus, any risk factors included in any applicable prospectus supplement, and in the documents incorporated by reference in this prospectus before investing in our common stock.</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Neither the U.S.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PROSPECTUS DATED March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561" w:type="dxa"/>
        <w:jc w:val="left"/>
        <w:tblInd w:w="0" w:type="dxa"/>
        <w:tblLayout w:type="fixed"/>
        <w:tblCellMar>
          <w:top w:w="28" w:type="dxa"/>
          <w:left w:w="28" w:type="dxa"/>
          <w:bottom w:w="28" w:type="dxa"/>
          <w:right w:w="28" w:type="dxa"/>
        </w:tblCellMar>
      </w:tblPr>
      <w:tblGrid>
        <w:gridCol w:w="2552"/>
        <w:gridCol w:w="2243"/>
        <w:gridCol w:w="2255"/>
        <w:gridCol w:w="149"/>
        <w:gridCol w:w="149"/>
        <w:gridCol w:w="213"/>
      </w:tblGrid>
      <w:tr>
        <w:trPr/>
        <w:tc>
          <w:tcPr>
            <w:tcW w:w="2552"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12">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eff79bc0a8f43af8befe2b8215adb08_712">
              <w:r>
                <w:rPr>
                  <w:rStyle w:val="InternetLink"/>
                  <w:rFonts w:ascii="Times New Roman;serif" w:hAnsi="Times New Roman;serif"/>
                  <w:b w:val="false"/>
                  <w:color w:val="3C3CF2"/>
                  <w:sz w:val="20"/>
                  <w:u w:val="single"/>
                </w:rPr>
                <w:t>1</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67">
              <w:r>
                <w:rPr>
                  <w:rStyle w:val="InternetLink"/>
                  <w:rFonts w:ascii="Times New Roman;serif" w:hAnsi="Times New Roman;serif"/>
                  <w:b w:val="false"/>
                  <w:color w:val="0000FF"/>
                  <w:sz w:val="20"/>
                  <w:u w:val="single"/>
                </w:rPr>
                <w:t>PRESENTATION OF FINANCIAL AND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67">
              <w:r>
                <w:rPr>
                  <w:rStyle w:val="InternetLink"/>
                  <w:rFonts w:ascii="Times New Roman;serif" w:hAnsi="Times New Roman;serif"/>
                  <w:b w:val="false"/>
                  <w:color w:val="3C3CF2"/>
                  <w:sz w:val="20"/>
                  <w:u w:val="single"/>
                </w:rPr>
                <w:t>2</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21">
              <w:r>
                <w:rPr>
                  <w:rStyle w:val="InternetLink"/>
                  <w:rFonts w:ascii="Times New Roman;serif" w:hAnsi="Times New Roman;serif"/>
                  <w:b w:val="false"/>
                  <w:color w:val="0000FF"/>
                  <w:sz w:val="20"/>
                  <w:u w:val="single"/>
                </w:rPr>
                <w:t>CAUTIONARY STATEMENT REGARDING FORWARD-LOOKING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21">
              <w:r>
                <w:rPr>
                  <w:rStyle w:val="InternetLink"/>
                  <w:rFonts w:ascii="Times New Roman;serif" w:hAnsi="Times New Roman;serif"/>
                  <w:b w:val="false"/>
                  <w:color w:val="3C3CF2"/>
                  <w:sz w:val="20"/>
                  <w:u w:val="single"/>
                </w:rPr>
                <w:t>3</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30">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30">
              <w:r>
                <w:rPr>
                  <w:rStyle w:val="InternetLink"/>
                  <w:rFonts w:ascii="Times New Roman;serif" w:hAnsi="Times New Roman;serif"/>
                  <w:b w:val="false"/>
                  <w:color w:val="3C3CF2"/>
                  <w:sz w:val="20"/>
                  <w:u w:val="single"/>
                </w:rPr>
                <w:t>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44">
              <w:r>
                <w:rPr>
                  <w:rStyle w:val="InternetLink"/>
                  <w:rFonts w:ascii="Times New Roman;serif" w:hAnsi="Times New Roman;serif"/>
                  <w:b w:val="false"/>
                  <w:color w:val="0000FF"/>
                  <w:sz w:val="20"/>
                  <w:u w:val="single"/>
                </w:rPr>
                <w:t>GLOBALFOUNDRIES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44">
              <w:r>
                <w:rPr>
                  <w:rStyle w:val="InternetLink"/>
                  <w:rFonts w:ascii="Times New Roman;serif" w:hAnsi="Times New Roman;serif"/>
                  <w:b w:val="false"/>
                  <w:color w:val="3C3CF2"/>
                  <w:sz w:val="20"/>
                  <w:u w:val="single"/>
                </w:rPr>
                <w:t>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5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58">
              <w:r>
                <w:rPr>
                  <w:rStyle w:val="InternetLink"/>
                  <w:rFonts w:ascii="Times New Roman;serif" w:hAnsi="Times New Roman;serif"/>
                  <w:b w:val="false"/>
                  <w:color w:val="3C3CF2"/>
                  <w:sz w:val="20"/>
                  <w:u w:val="single"/>
                </w:rPr>
                <w:t>6</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76">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76">
              <w:r>
                <w:rPr>
                  <w:rStyle w:val="InternetLink"/>
                  <w:rFonts w:ascii="Times New Roman;serif" w:hAnsi="Times New Roman;serif"/>
                  <w:b w:val="false"/>
                  <w:color w:val="3C3CF2"/>
                  <w:sz w:val="20"/>
                  <w:u w:val="single"/>
                </w:rPr>
                <w:t>7</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85">
              <w:r>
                <w:rPr>
                  <w:rStyle w:val="InternetLink"/>
                  <w:rFonts w:ascii="Times New Roman;serif" w:hAnsi="Times New Roman;serif"/>
                  <w:b w:val="false"/>
                  <w:color w:val="0000FF"/>
                  <w:sz w:val="20"/>
                  <w:u w:val="single"/>
                </w:rPr>
                <w:t>PRINCIPAL AND SELLING SHAREHOLDERS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85">
              <w:r>
                <w:rPr>
                  <w:rStyle w:val="InternetLink"/>
                  <w:rFonts w:ascii="Times New Roman;serif" w:hAnsi="Times New Roman;serif"/>
                  <w:b w:val="false"/>
                  <w:color w:val="3C3CF2"/>
                  <w:sz w:val="20"/>
                  <w:u w:val="single"/>
                </w:rPr>
                <w:t>8</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794">
              <w:r>
                <w:rPr>
                  <w:rStyle w:val="InternetLink"/>
                  <w:rFonts w:ascii="Times New Roman;serif" w:hAnsi="Times New Roman;serif"/>
                  <w:b w:val="false"/>
                  <w:color w:val="0000FF"/>
                  <w:sz w:val="20"/>
                  <w:u w:val="single"/>
                </w:rPr>
                <w:t>DESCRIPTION OF THE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794">
              <w:r>
                <w:rPr>
                  <w:rStyle w:val="InternetLink"/>
                  <w:rFonts w:ascii="Times New Roman;serif" w:hAnsi="Times New Roman;serif"/>
                  <w:b w:val="false"/>
                  <w:color w:val="3C3CF2"/>
                  <w:sz w:val="20"/>
                  <w:u w:val="single"/>
                </w:rPr>
                <w:t>9</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03">
              <w:r>
                <w:rPr>
                  <w:rStyle w:val="InternetLink"/>
                  <w:rFonts w:ascii="Times New Roman;serif" w:hAnsi="Times New Roman;serif"/>
                  <w:b w:val="false"/>
                  <w:color w:val="0000FF"/>
                  <w:sz w:val="20"/>
                  <w:u w:val="single"/>
                </w:rPr>
                <w:t>DESCRIPTION OF SHARE CAPITAL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03">
              <w:r>
                <w:rPr>
                  <w:rStyle w:val="InternetLink"/>
                  <w:rFonts w:ascii="Times New Roman;serif" w:hAnsi="Times New Roman;serif"/>
                  <w:b w:val="false"/>
                  <w:color w:val="3C3CF2"/>
                  <w:sz w:val="20"/>
                  <w:u w:val="single"/>
                </w:rPr>
                <w:t>9</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1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12">
              <w:r>
                <w:rPr>
                  <w:rStyle w:val="InternetLink"/>
                  <w:rFonts w:ascii="Times New Roman;serif" w:hAnsi="Times New Roman;serif"/>
                  <w:b w:val="false"/>
                  <w:color w:val="3C3CF2"/>
                  <w:sz w:val="20"/>
                  <w:u w:val="single"/>
                </w:rPr>
                <w:t>25</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21">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21">
              <w:r>
                <w:rPr>
                  <w:rStyle w:val="InternetLink"/>
                  <w:rFonts w:ascii="Times New Roman;serif" w:hAnsi="Times New Roman;serif"/>
                  <w:b w:val="false"/>
                  <w:color w:val="3C3CF2"/>
                  <w:sz w:val="20"/>
                  <w:u w:val="single"/>
                </w:rPr>
                <w:t>26</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30">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30">
              <w:r>
                <w:rPr>
                  <w:rStyle w:val="InternetLink"/>
                  <w:rFonts w:ascii="Times New Roman;serif" w:hAnsi="Times New Roman;serif"/>
                  <w:b w:val="false"/>
                  <w:color w:val="3C3CF2"/>
                  <w:sz w:val="20"/>
                  <w:u w:val="single"/>
                </w:rPr>
                <w:t>27</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41">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41">
              <w:r>
                <w:rPr>
                  <w:rStyle w:val="InternetLink"/>
                  <w:rFonts w:ascii="Times New Roman;serif" w:hAnsi="Times New Roman;serif"/>
                  <w:b w:val="false"/>
                  <w:color w:val="3C3CF2"/>
                  <w:sz w:val="20"/>
                  <w:u w:val="single"/>
                </w:rPr>
                <w:t>28</w:t>
              </w:r>
            </w:hyperlink>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eff79bc0a8f43af8befe2b8215adb08_850">
              <w:r>
                <w:rPr>
                  <w:rStyle w:val="InternetLink"/>
                  <w:rFonts w:ascii="Times New Roman;serif" w:hAnsi="Times New Roman;serif"/>
                  <w:b w:val="false"/>
                  <w:color w:val="0000FF"/>
                  <w:sz w:val="20"/>
                  <w:u w:val="singl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eff79bc0a8f43af8befe2b8215adb08_850">
              <w:r>
                <w:rPr>
                  <w:rStyle w:val="InternetLink"/>
                  <w:rFonts w:ascii="Times New Roman;serif" w:hAnsi="Times New Roman;serif"/>
                  <w:b w:val="false"/>
                  <w:color w:val="3C3CF2"/>
                  <w:sz w:val="20"/>
                  <w:u w:val="single"/>
                </w:rPr>
                <w:t>29</w:t>
              </w:r>
            </w:hyperlink>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the information contained or incorporated by reference in this prospectus, in any related prospectus supplement or contained in any free writing prospectus prepared by or on behalf of us or to which we have referred you. We and Mubadala have not, and the underwriters have not, authorized anyone to provide any information or make any representations other than those contained in this prospectus or in any prospectus supplement or free writing prospectus prepared by or on behalf of us or to which we have referred you. We and Mubadala take no responsibility for, and can provide no assurance as to the reliability of, any other information that others may give you. The Selling Shareholders are offering to sell, and seeking offers to buy, ordinary shares only in jurisdictions where offers and sales are permitted. The information contained in this prospectus is accurate only as of the date of this prospectus, regardless of the time of delivery of this prospectus or of any sale of the ordinary shares. Our results of operations, financial condition, business and prospects may have changed since such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investors outside of the United States: neither we, Mubadala, nor any of the underwriters have done anything that would permit offerings under this prospectus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ordinary shares and the distribution of this prospectus outside of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“GF,” “the Company,” “we,” “us” and “our” in this prospectus refer to GLOBALFOUNDRIES Inc. and its consolidated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as a “well-known seasoned issuer” as defined in Rule 405 under the Securities Act of 1933 (the “Securities Act”), utilizing a “shelf” registration process. By using an automatic shelf registration statement, the Selling Shareholders may, at any time and from time to time, offer and sell our ordinary shares described in this prospectus in one or more offerings.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only provides a general description of the securities that the Selling Shareholders may offer. Each time the Selling Shareholders offer securities, we will prepare a prospectus supplement containing specific information about the particular offering and the terms of those securities. We may also add, update or change other information contained in this prospectus by means of a prospectus supplement or by incorporating by reference information we file with the SEC. If there is any inconsistency between the information in this prospectus and any applicable prospectus supplement, you should rely on the information in the applicable prospectus supplement. The registration statement that we filed with the SEC includes exhibits that provide more detail on the matters discussed in this prospectus. Before you invest in any securities offered by this prospectus, you should read this prospectus, any related prospectus supplement and the related exhibits filed with the SEC, together with the additional information described under the headings “Where You Can Find Additional Information” and “Incorporation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PRESENTATION OF FINANCIAL AND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report under International Financial Reporting Standards (“IFRS”), as issued by the International Accounting Standards Board (“IASB”). Our consolidated financial statements were not prepared in accordance with generally accepted accounting principles in the United States. We present our consolidated financial statements in U.S. dollars. References in this prospectus to “US$” or “$” refer to U.S. dollars, the official currency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certain documents incorporated by reference herein contain certain statements that are, or may be deemed to be, “forward-looking statements” within the meaning of U.S. securities laws. These forward-looking statements are based on current expectations, estimates, forecasts and projections. These forward-looking statements appear in a number of places in this prospectus including, but not limited to, the sections titled “Prospectus Summary” and “Risk Factors.” Words such as “expect,” “anticipate,” “should,” “believe,” “hope,” “target,” “project,” “goals,” “estimate,” “potential,” “predict,” “may,” “will,” “might,” “could,” “intend,” “shall,” “outlook,” “on track,” and variations of these terms and similar expressions are intended to identify these forward-looking statements, although not all forward-looking statements contain these identifying words. Forward-looking statements are based on our management’s beliefs and assumptions and on information currently available to our management.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industries in which we operate may differ materially from those made in or suggested by the forward-looking statements contained in this prospectus and certain documents incorporated by reference herein. Important factors that could cause those differences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global economic and geopolitical conditions, including impacts and uncertainty from trade disputes and tariffs on goods imported to the United States (“U.S.”) and goods exported to other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reduced demand and average selling prices in a prolonged inflationary environment;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cyclical nature, volatility and seasonality of the semiconductor and microelectronics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secure and maintain design wins, particularly single-source design wins, and manage our long-term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a small number of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and operating strategies and plans for the development of existing and new businesses, ability to implement such strategies and plans and expected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anticipated benefits of our acquisitions and our ability to successfully integrate acquired businesses;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funding we have received or plan to receive, including awards under the U.S. CHIPS and Science Act and New York State Green CHIPS;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business development,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expected changes in our revenue, costs or expenditures;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assumptions and estimates regarding design wins;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demand for and market acceptance of our products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relationships with customers, contract manufacturers, component suppliers, third-party service providers, strategic partners and other stakeholders;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capacity to develop, manufacture and deliver semiconductor products in fulfillment of our contractual commitments;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conduct our manufacturing operations without disruptions;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capacity and production facilities effectively, including through technology transfers between our facilities;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technologies successfully and remain a technological leader;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control over expansion and facility modifications;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growth or profitable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protect our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hire and maintain qualified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effective tax rate or tax liability;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dividend policy;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acquire required equipment and supplies necessary to meet customer demand;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competition from other companies and our ability to retain and increase our market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in, or changes to, laws, regulations, governmental policies (including foreign governmental policies in response to changes to the U.S. government’s foreign policy positions), incentives and taxation affecting our operations relating to our industry;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assumptions underlying or related to any of the foregoing.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does not contain all of the forward-looking statements made in this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but are not limited to, statements regarding our strategy and future plans, future business condition and financial results, our capital expenditure plans, our capacity management plans, expectations as to the commercial production using more advanced technologies, technological upgrades, investment in research and development, future market demand, future regulatory or other developments in our industry, business expansion plans or new investments as well as business acquisitions and financing plans. Please see “Risk Factors” for a further discussion of certain factors that may cause actual results to differ materially from those indicated by our forward-looking statements. Accordingly, you should not place undue reliance on these forward-looking statements. In any event, these statements speak only as of their dates, and we undertake no obligation to update or revise any of them, whether as a result of new information, future events or otherwise.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carefully consider the “Risk Factors” below, as they may be amended or supplemented by subsequent filings with the SEC, and subsequent public statements, or reports filed with or furnished to the SEC, including our then most recent Annual Report on Form 20-F, and in any updates to those risks and uncertainties in our reports on Form 6-K, which are incorporated herein by reference,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that is presented in greater detail elsewhere in this prospectus or incorporated by reference herein from our filings with the SEC listed under “Incorporation by Reference.” This summary does not contain all of the information you should consider before investing in our ordinary shares pursuant to this prospectus. You should read this entire prospectus carefully, including the section titled “Risk Factors” and our financial statements and the related notes and the information incorporated herein by reference, before making an investment decision.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GLOBALFOUNDRIES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global semiconductor foundry, focused on delivering differentiated, essential chip technologies that enable billions of devices across a broad range of end markets, including automotive, communications infrastructure and data center, smart mobile devices, home and industrial internet of things. We are the only scaled foundry with a global manufacturing footprint with operations in the United States, Europe, and Asia. Our business strategy is built on three core pillars: creating differentiated, essential chip technology; delivering dependable, geographically diverse operations; and building deep customer and ecosystem partnerships.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with limited liability that was incorporated under the laws of the Cayman Islands in October 2008. Our principal executive offices are located at 400 Stonebreak Road Extension, Malta, New York 12020, United States, and our telephone number is (518) 305-9013. Our website address is www.gf.com. Information contained on, or that can be accessed through, our website is not incorporated by reference into this prospectus, and you should not consider information on our website to be part of this prospectus.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GF design logo, “GF” and our other registered or common law trademarks, service marks, or trade names appearing in this prospectus are the property of GLOBALFOUNDRIES Inc. Other trade names, trademarks and service marks used in this prospectus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carefully consider the risks and uncertainties associated with our business and ownership of our ordinary shares described in the applicable prospectus supplement and in our then most recent Annual Report on Form 20-F, and in any updates to those risks and uncertainties in our reports on Form 6-K incorporated herein, together with all of the other information in this prospectus or incorporated by reference in this prospectus, before making a decision to invest in our ordinary shares. Our results of operations, financial condition, business and prospects could also be harmed by risks and uncertainties that are not presently known to us or that we currently believe are not material. If any of the risks actually occur, our results of operations, financial condition, business and prospects could be materially and adversely affected. In that event, the market price of our ordinary shares could decline and you could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filing the registration statement of which this prospectus is a part to permit holders of the shares of our ordinary shares included in the section entitled “Principal and Selling Shareholders” to resell such shares. The Selling Shareholders will receive all of the net proceeds from any sale of shares of ordinary shares under this prospectus. We are not selling any ordinary shares under this prospectus and will not receive any proceeds from the sale of ordinary shares by the Selling Shareholders. The Selling Shareholders will bear the underwriting discount attributable to their sale of our ordinary shares and all offering-related expenses. Any offering-related expenses initially paid by us will be reimbursed by the Selling Shareholders. See “</w:t>
      </w:r>
      <w:r>
        <w:rPr>
          <w:rFonts w:ascii="Times New Roman;serif" w:hAnsi="Times New Roman;serif"/>
          <w:b w:val="false"/>
          <w:color w:val="0000FF"/>
          <w:sz w:val="20"/>
          <w:u w:val="single"/>
        </w:rPr>
        <w:t>Principal and Selling Shareholders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PRINCIPAL AND SELLING SHAREHOLDERS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the potential resale by the Selling Shareholders of our ordinary shares. The Selling Shareholders may from time to time offer any or all of the securities set forth below pursuant to this prospectus. We cannot advise you as to whether the Selling Shareholders will in fact sell any or all of such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about Mubadala, including its beneficial ownership of our ordinary shares, the number of ordinary shares being offered and sold by it, and the number of ordinary shares beneficially owned by it after the applicable offering, will be set forth in a prospectus supplement, in a post-effective amendment or in filings we make with the SEC under the Exchange Act which are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THE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Shareholders may from time to time offer under this prospectus our ordinary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SHARE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with limited liability that was incorporated under the laws of the Cayman Islands in October 2008.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purposes are unrestricted and we have the authority to carry out any object not prohibited by any law as provided by Section 7(4) of the Cayman Companies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affairs are governed principally by: (1) our Amended and Restated Memorandum and Articles of Association (the “Memorandum and Articles of Association”); (2) the Cayman Companies Act; and (3) the common law of the Cayman Islands. As provided in our Memorandum and Articles of Association, subject to Cayman Islands law, we have full capacity to carry on or undertake any business or activity, do any act or enter into any transaction, and, for such purposes, full rights, powers and privileges. Our registered office is c/o Maples Corporate Services Limited, PO Box 309, Ugland House, Grand Cayman, KY1-1104, Cayman Islands.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are summaries of material provisions of our Memorandum and Articles of Association and the Cayman Companies Act insofar as they relate to the material terms of our ordinary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summaries do not purport to be complete and are subject to the Memorandum and Articles of Association.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the following description of our share capital, we summarized the material terms of our ordinary shares as set forth in the Memorandum and Articles of Association. We have filed a copy of our complete Memorandum and Articles of Association as an exhibit to this registration statement on Form F-3.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Authorized Share Capital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1,300,000,000 ordinary shares with a par value of US$0.02 per share and 200,000,000 preferred shares with a par value of US$0.02 per share of such class or classes (however designated) as the board of directors may determine in accordance with our Memorandum and Articles of Association.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Ordinary Shares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15, 2026, there were 556,417,256 ordinary shares issued, fully paid and outstanding, 450,387,613 of which are held by the Selling Shareholders.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ordinary share is entitled to one vote on all matters upon which the ordinary shares are entitled to vote. Voting at any meeting of shareholders is by show of hands unless a poll is demanded. A poll may be demanded by the chairman of the meeting, or by shareholders present in person or by proxy holding at least 10% of the shares giving the right to attend and vote at the meeting before or on the declaration of the result of the show of hands.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 As a Cayman Islands exempted company, we are not obliged by the Cayman Companies Act to call annual general meetings. Only the board of directors may call an annual general meeting or any extraordinary general meeting. 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requisition of any one or more of our shareholders holding shares which carry in aggregate not less than one-third of all votes attaching to all issued and outstanding shares of our company entitled to vote at general meetings, our board of directors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regulatory requirements, the annual general meeting and any extraordinary general meetings must be called by not less than ten calendar days’ notice prior to the relevant shareholders meeting and convened by a notice discussed below. Alternatively, upon the prior consent of all holders entitled to attend and vote, with regards to the annual general meeting, or the holders of 95% in par value of the shares entitled to attend and vote at an extraordinary general meeting, that meeting may be convened by a shorter notice and in a manner deemed appropriate by those 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speaking, an ordinary resolution to be passed by the shareholders at a general meeting requires the affirmative vote of a simple majority of the votes cast by, or on behalf of, the shareholders entitled to vote, present in person or by proxy and voting at the meeting and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of our shareholders, as permitted by the Cayman Companies Act and our Memorandum and Articles of Association.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special resolution will be required for certain matters such as a change of name, amendments to our Memorandum and Articles of Association, and a reduction in our share capital or any capital redemption reserve fund. Our shareholders may effect certain changes by ordinary resolution, including increasing the amount of our authorized share capital, consolidating and dividing all or any of our share capital into shares of larger amounts than our existing shares, converting all or any of our paid-up shares into stocks and reconverting that stock into paid-up shares of any denomination, subdividing existing shares or dividing the whole or any part of our share capital into shares of smaller amounts or into shares without par value, and cancelling any authorized but unissued shares. </w:t>
      </w:r>
    </w:p>
    <w:p>
      <w:pPr>
        <w:pStyle w:val="TextBody"/>
        <w:bidi w:val="0"/>
        <w:spacing w:lineRule="auto" w:line="288" w:before="0" w:after="180"/>
        <w:ind w:left="0" w:right="0" w:firstLine="360"/>
        <w:jc w:val="left"/>
        <w:rPr>
          <w:rFonts w:ascii="Times New Roman;serif" w:hAnsi="Times New Roman;serif"/>
          <w:b/>
          <w:i/>
          <w:color w:val="000000"/>
          <w:sz w:val="20"/>
        </w:rPr>
      </w:pPr>
      <w:bookmarkStart w:id="1" w:name="i2a503b7da255485e986f555d542883b5_63390"/>
      <w:bookmarkEnd w:id="1"/>
      <w:r>
        <w:rPr>
          <w:rFonts w:ascii="Times New Roman;serif" w:hAnsi="Times New Roman;serif"/>
          <w:b/>
          <w:i/>
          <w:color w:val="000000"/>
          <w:sz w:val="20"/>
        </w:rPr>
        <w:t xml:space="preserve">Dividends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our ordinary shares are entitled to such dividends as may be declared by our board of directors. Under the Cayman Companies Act, a Cayman Islands company may pay a dividend out of either profit or distributable reserves, including our share premium account, provided that in no circumstances may a dividend be paid if this would result in the company being unable to pay its debts as they fall due in the ordinary course of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 winding up of our company, if the assets available for distribution among the holders of our ordinary shares shall be more than sufficient to repay the whole of the share capital at the commencement of the winding up, the surplus will be distributed among the holders of our ordinary shares in proportion to the par value of the ordinary shares held by them at the commencement of the winding up subject to a deduction from those ordinary shares in respect of which there are monies due, of all monies payable to the us for unpaid calls or otherwise.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assets available for distribution are insufficient to repay the whole of the issued share capital, such assets will be distributed so that the losses are borne by the holders of our ordinary shares in proportion to the par value of the ordinary shares held by them.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liquidator may, with the sanction of a special resolution of our shareholders and any other sanction required by the Cayman Companies Act, divide among the shareholders in kind the whole or any part of the assets of our company, and may for that purpose value any assets and determine how the division shall be carried out as among our shareholders or different classes of shareholders. The liquidator may, with the same sanction, vest the whole or any part of such assets in trustees upon such trusts for the benefit of the shareholder as the liquidator, with the same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sanction, shall think fit, but so that no shareholder shall be compelled to accept any asset upon which there is a liability.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Share Repurchase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and our Memorandum and Articles of Association permit us to purchase our own shares, subject to certain restrictions. The board of directors may only exercise this power on behalf of us, subject to the Cayman Companies Act, our Memorandum and Articles of Association and to any applicable requirements imposed from time to time by the SEC or the applicable stock exchange on which our securities are listed.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Share Options and Restricted Share Unit Awards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15, 2026, options to purchase 245,602 ordinary shares and 150 restricted share unit awards were outstanding under the 2018 Equity Plan. Further, under our 2021 Equity Plan, there were 10,560,710 restricted share unit awards outstanding. An additional 24,571,600 ordinary shares were available for future grant under the 2021 Equity Plan and 3,641,685 ordinary shares were available for future grant under the 2018 Equity Plan.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Directors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management of our company is vested in a board of directors. Our Memorandum and Articles of Association provide that the number of directors will be determined by our board of directors. However, for so long as MTIC is entitled to nominate at least one director to the board of directors, the board of directors will not, without MTIC’s prior written consent, include more than twelve directors and until such time as MTIC, MTIIIC and certain of their affiliates (the “Mubadala Entities”) no longer beneficially own in the aggregate at least 30% of our outstanding ordinary shares, the number of directors may not be changed without the prior written consent of MTIC.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our Memorandum and Articles of Association, our board of directors is divided into three classes of directors, with the directors in each class serving staggered three-year terms. The quorum necessary for any meeting of our board of directors shall consist of a simple majority of the members provided that, for so long as the Mubadala Entities are entitled to nominate one designee to our board of directors (“Mubadala Designee”), the presence of at least one Mubadala Designee shall be required on first call to a meeting of the board of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also include certain veto rights in favor of the Mubadala Entities providing that until such time as the Mubadala Entities no longer beneficially own at least 30% of our outstanding ordinary shares, the board of directors will require the prior written consent of MTIC to take, or to permit our subsidiaries to take, the following 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issuances of equity securities, subject to customary exceptions;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acquisitions or dispositions in an amount exceeding $300 million in any single transaction or $500 million in any calendar year, other than in the ordinary course of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mergers, consolidations, or other transactions that would involve a change of control of our company;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incurring financial indebtedness in an amount exceeding $200 million, subject to certain exceptions;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hiring or terminating our Chief Executive Officer, Chief Financial Officer or Chief Legal Officer or designating any replacement thereto;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material change in the nature of the business of our company and our subsidiaries, taken as a whole.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Corporate Opportunity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we renounce our interest in any corporate opportunity offered to any of our directors or officers. Additionally, any such director or officer shall be permitted to pursue competing opportunities without any liability to us.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Redemption of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shares on terms that are subject to redemption, at our option or at the option of the holders, on such terms and in such manner as may be determined by our board of directors.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Register of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ordinary shares held through DTC, and DTC or Cede &amp; Co., as nominee for DTC, will be recorded in the shareholders’ register as the holder of the ordinary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Cayman Islands law, we must keep a register of shareholders that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names and addresses of the shareholders, a statement of the shares held by each member, and of the amount paid or agreed to be considered as paid, on the shares of each member;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voting rights attach to the shares in issue;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on which the name of any person was entered on the register as a member;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on which any person ceased to be a member.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Under Cayman Islands law, our register of shareholders is </w:t>
      </w:r>
      <w:r>
        <w:rPr>
          <w:rFonts w:ascii="Times New Roman;serif" w:hAnsi="Times New Roman;serif"/>
          <w:b w:val="false"/>
          <w:i/>
          <w:color w:val="000000"/>
          <w:sz w:val="20"/>
        </w:rPr>
        <w:t>prima facie</w:t>
      </w:r>
      <w:r>
        <w:rPr>
          <w:color w:val="000000"/>
        </w:rPr>
        <w:t xml:space="preserve"> </w:t>
      </w:r>
      <w:r>
        <w:rPr>
          <w:rFonts w:ascii="Times New Roman;serif" w:hAnsi="Times New Roman;serif"/>
          <w:b w:val="false"/>
          <w:color w:val="000000"/>
          <w:sz w:val="20"/>
        </w:rPr>
        <w:t>evidence of the matters set out therein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the register of shareholders will raise a rebuttable presumption) and a shareholder registered in the register of shareholders is deemed as a matter of Cayman Islands law to have </w:t>
      </w:r>
      <w:r>
        <w:rPr>
          <w:rFonts w:ascii="Times New Roman;serif" w:hAnsi="Times New Roman;serif"/>
          <w:b w:val="false"/>
          <w:i/>
          <w:color w:val="000000"/>
          <w:sz w:val="20"/>
        </w:rPr>
        <w:t>prima facie</w:t>
      </w:r>
      <w:r>
        <w:rPr>
          <w:color w:val="000000"/>
        </w:rPr>
        <w:t xml:space="preserve"> </w:t>
      </w:r>
      <w:r>
        <w:rPr>
          <w:rFonts w:ascii="Times New Roman;serif" w:hAnsi="Times New Roman;serif"/>
          <w:b w:val="false"/>
          <w:color w:val="000000"/>
          <w:sz w:val="20"/>
        </w:rPr>
        <w:t xml:space="preserve">legal title to the shares as set against that person’s name in the register of shareholders. Upon the completion of the proposed transaction, the register of shareholders will be immediately updated to record and give effect to the issuance of new ordinary shares in the proposed transaction. Once the register of shareholders has been updated, the shareholders recorded in the register of shareholders should be deemed to have legal title to the shares set against their name.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Exempted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an exempted company with limited liability under the Cayman Companies Act. The Cayman Companies Act distinguishes between ordinary resident companies and exempted companies. Where the proposed activities of a company are to be carried out mainly outside of the Cayman Islands, the registrant can apply for registration as an exempted company. The requirements for an exempted company are essentially the same as for an ordinary company except for the exemptions and privileges listed below: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 does not have to file an annual return of its shareholders with the Registrar of Companies of the Cayman Islands;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company’s register of shareholders is not open to inspection;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 may obtain an undertaking against the imposition of any future taxation (such undertakings are usually given for 20 years in the first instance);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 may register by way of continuation in another jurisdiction and be deregistered in the Cayman Islands;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 may register as a limited duration company;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exempted company may register as a segregated portfolio company.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firstLine="360"/>
        <w:jc w:val="left"/>
        <w:rPr>
          <w:color w:val="000000"/>
        </w:rPr>
      </w:pPr>
      <w:r>
        <w:rPr>
          <w:color w:val="000000"/>
        </w:rPr>
        <w:t>“</w:t>
      </w:r>
      <w:r>
        <w:rPr>
          <w:rFonts w:ascii="Times New Roman;serif" w:hAnsi="Times New Roman;serif"/>
          <w:b w:val="false"/>
          <w:color w:val="000000"/>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Differences in Corporate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was modelled originally after similar laws in England and Wales but does not follow subsequent statutory enactments in England and Wales. In addition, the Cayman Companies Act differs from laws applicable to U.S. corporations and their shareholders. Set forth below is a summary of the significant differences between the provisions of the Cayman Companies Act applicable to us and the laws applicable to companies incorporated in the United States and their shareholders.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Mergers and Similar Arrangements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Cayman Companies Act, subject to the articles of association of the company, permits mergers or consolidations between two Cayman Islands companies, or between a Cayman Islands company and a company incorporated in another jurisdiction (provided that is facilitated by the laws of that other jurisdiction).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w:t>
      </w:r>
    </w:p>
    <w:p>
      <w:pPr>
        <w:pStyle w:val="TextBody"/>
        <w:bidi w:val="0"/>
        <w:spacing w:lineRule="auto" w:line="288" w:before="0" w:after="180"/>
        <w:ind w:left="0" w:right="0" w:firstLine="360"/>
        <w:jc w:val="left"/>
        <w:rPr/>
      </w:pPr>
      <w:r>
        <w:rPr>
          <w:rFonts w:ascii="Times New Roman;serif" w:hAnsi="Times New Roman;serif"/>
          <w:b w:val="false"/>
          <w:color w:val="000000"/>
          <w:sz w:val="20"/>
        </w:rPr>
        <w:t>Where the merger or consolidation is between two Cayman Islands companies, the directors of each company must approve a written plan of merger or consolidation, which must then be authorized by (a) a special resolution of the shareholders of each company; and (b) such other authorization, if any, as may be specified in such constituent company’s articles of association. No shareholder resolution is required for a merger between a parent company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 xml:space="preserve">a company that owns at least 90% of the issued shares of each class in a subsidiary company) and its subsidiary company if a copy of the plan of merger is given to every shareholder of that Cayman subsidiary to be merged unless that shareholder agrees otherwise. The consent of each holder of a fixed or floating security interest of a constituent company must be obtained, unless the court waives such requirement. If the Cayman Islands Registrar of Companies is satisfied that the requirements of the Cayman Companies Act (which includes certain other formalities) have been complied with, the Registrar of Companies will register the plan of merger or consolidation. Where the merger or consolidation involves a foreign company, the procedure is similar, save that with respect to the foreign company, the director of the Cayman Islands company is required to make a declaration to the effect that, having made due enquiry, the director is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company in any foreign jurisdictions; (iii) that no receiver, trustee, administrator or other similar person has been appointed in any jurisdiction and is acting in respect of the foreign company, its affairs or property or any part thereof; and (iv) that no scheme, order, compromise or similar arrangement has been entered into or made in any jurisdiction whereby the rights of creditors of the foreign company are and continue to be suspended or restricted.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Where the surviving company is the Cayman Islands company, the director of the Cayman Islands company is further required to make a declaration to the effect that, having made due inquiry, the director is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registered or exist under the laws of the relevant foreign jurisdiction; and (iv) that there is no other reason why it would be against the public interest to permit the merger or consolidation.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Where the above procedures are adopted, the Cayman Companies Act provides for a right of dissenting shareholders to be paid a payment of the fair value of their shares upon their dissenting to the merger or consolidation if they follow a prescribed procedure. In essence, that procedure is as follows: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shareholder must give the shareholder’s written objection to the merger or consolidation to the constituent company before the vote on the merger or consolidation, including a statement that the shareholder proposes to demand payment for the shareholder’s shares if the merger or consolidation is authorized by the vote;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(b)within 20 days following the date on which the merger or consolidation is approved by the shareholders, the constituent company must give written notice to each shareholder who made a written objection;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(c)a shareholder must within 20 days following receipt of such notice from the constituent company, give the constituent company a written notice of the shareholder’s intention to dissent including, among other details, a demand for payment of the fair value of his shares;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(d)within seven days following the date of the expiration of the period set out in paragraph (c) above or seven days following the date on which the plan of merger or consolidation is filed, whichever is later, the constituent company, the surviving company or the consolidated company must make a written offer to each dissenting shareholder to purchase the shareholder’s shares at a price that the company determines is the fair value and if the company and the shareholder agree the price within 30 days following the date on which the offer was made, the company must pay the shareholder such amount; and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(e)if the company and the shareholder fail to agree a price within such 30-day period, within 20 days following the date on which such 30-day period expires, the company (and any dissenting shareholder) must file a petition with the Grand Court of the Cayman Islands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is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in the case of a creditors’ scheme who must in addition represent three-fourths in value of each such class of creditors, that are present and voting either in person or by proxy at a meeting, or meetings summoned for that purpose. The convening of the meetings and subsequently the terms of the arrangement must be sanctioned by the Grand Court of the Cayman Islands. While a dissenting shareholder would have the right to express to the court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view that the transaction should not be approved, the court can be expected to approve the arrangement if it satisfies itself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are not proposing to act illegally or beyond the scope of our corporate authority and the statutory provisions as to majority vote have been complied with;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shareholders have been fairly represented at the meeting in question;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arrangement is such as a businessman would reasonably approve;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arrangement is not one that would more properly be sanctioned under some other provision of the Cayman Companies Act or that would amount to a “fraud on the minority.”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until such time as the Mubadala Entities no longer beneficially own at least 30% of our outstanding ordinary shares, the board of directors shall not cause our company to merge or consolidate with another entity without the prior written approval of MTIC.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Squeeze-out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 takeover offer is made and accepted by holders of 90% of the shares to whom the offer is made within four months, the offeror may, within a two-month period, require the holders of the remaining shares to transfer such shares on the terms of the offer. An objection may be made to the Grand Court of the Cayman Islands but is unlikely to succeed unless there is evidence of fraud, bad faith, collusion or inequitable treatment of the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arrangement and reconstruction is thus approved, the dissenting shareholder would have no rights comparable to appraisal rights, which might otherwise ordinarily be available to dissenting shareholders of United States corporations and allow such dissenting shareholders to receive payment in cash for the judicially determined value of the shares. However, appraisal rights would also not be available to shareholders of a Delaware target in a business combination transaction if the shares of the target were listed on a national securities exchange and target shareholders receive only shares of a corporation which shares are also listed on a national securities exchange.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Shareholders’ Suits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shareholder of a Delaware corporation has the right to bring a derivative action on behalf of the corporation if the shareholder was a shareholder of the corporation at the time of the transaction in question.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company is acting or proposing to act illegally or beyond the scope of its authority (and is therefore incapable of ratification by the shareholders);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act complained of, although not beyond the scope of the authority, could be effected if duly authorized by more than the number of votes which have actually been obtained;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those who control the company are perpetrating a “fraud on the minority.”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shareholder may have a direct right of action against us where the individual rights of that shareholder have been infringed or are about to be infringed.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each shareholder agrees to waive any claim or right of action he or she might have, whether individually or by or in the right of our Company, against any director or officer on account of any action taken by such director or officer, or the failure of such director to take any action in the performance of their duties with or for our company. However, such waiver shall not extend to any matter in respect of any dishonesty, actual fraud or willful default which may attach to such director or officer.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Maples and Calder (Cayman) LLP, our Cayman Islands counsel, is not aware of any reported class action suits having been brought in a Cayman Islands court. However, a class action suit could nonetheless be brought in the United States courts pursuant to an alleged violation of the securities laws of the United States.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Directors’ Fiduciary Duties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matter of Cayman Islands law, a director of a Cayman Islands company is in the position of a fiduciary with respect to the company. Accordingly, directors and officers owe the following fiduciary duties: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duty to act in good faith in what the director or officer believes to be in the best interests of the company as a whole;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duty to exercise powers for the purposes for which those powers were conferred and not for a collateral purpose;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directors should not improperly fetter the exercise of future discretion;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duty to exercise powers fairly as between different sections of shareholders;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duty to exercise independent judgment;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duty not to put themselves in a position in which there is a conflict between their duty to the company and their personal interests.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this obligation may be varied by the company’s articles of association, which may permit a director to vote on a matter in which the director has a personal interest provided that the director has disclosed that nature of his interest to the board of directors. With respect to the duty of directors to avoid conflicts of interest, our Memorandum and Articles of Association vary from the applicable provisions of Cayman Islands law mentioned above by providing that a director must disclose the nature and extent of the director’s interest in any contract or proposed contract or arrangement, and following such disclosure and subject to any separate requirement under applicable law or applicable listing rules, and unless disqualified by the chairman of the relevant meeting, such director may vote in respect of any transaction or arrangement in which the director is interested and may be counted in the quorum at the meeting.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under Cayman Islands law,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 The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or expectancy in, or in being offered an opportunity to participate in, any potential transaction or matter which may be a corporate opportunity for any director or officer, on the one hand, and us, on the other. 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However, under our Memorandum and Articles of Association, we renounced our interest in any corporate opportunity offered to any director or officer. Additionally, any such director or officer shall be permitted to pursue competing opportunities without any liability to us. Furthermore, each of our officers and directors may have pre-existing fiduciary obligations to other businesses of which they are officers or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the director actually possesses.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general notice may be given to the board of directors to the effect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director is a member or officer of a specified company or firm and is to be regarded as interested in any contract or arrangement which may after the date of the notice be made with that company or firm;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director is to be regarded as interested in any contract or arrangement which may after the date of the notice to the board of directors be made with a specified person who is connected with the director, will be deemed sufficient declaration of interest.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notice shall specify the nature of the interest in question. Following the disclosure being made pursuant to our Memorandum and Articles of Association and subject to any separate requirement under applicable law or applicable listing rules, a director may vote in respect of any transaction or arrangement in which the director is interested and may be counted in the quorum at the meeting.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directors must inform themselves of, and disclose to shareholders, all material information reasonably available regarding a significant transaction. The duty of loyalty requires that directors act in a manner they reasonably believe to be in the best interests of the corporation. They must not use their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 Action by Written Consent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 may eliminate the right of shareholders to act 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Shareholder Proposals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does not provide shareholders with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Our Memorandum and Articles of Association provide no other right to put any proposals before annual general meetings or extraordinary general meetings.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Cumulative Voting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Removal of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for cause by an affirmative vote of at least 75% of shareholders, provided that (1) Mubadala Designees may only be removed with or without cause by MTIC and (2) as long as the Mubadala Entities beneficially own in the aggregate at least 50% of the outstanding shares, directors other than the Mubadala Designees may be removed with or without cause by a majority of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notice of general meeting must contain a statement of the intention to remove the director and must be served on the director not less than ten calendar days before the meeting. The director is entitled to attend the meeting and be heard on the motion for his removal.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office of a director will be vacated automatically if the director: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becomes prohibited by law from being a director;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becomes bankrupt or makes an arrangement or composition with the director’s creditors;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dies or is in the opinion of all the director’s co-directors, incapable by reason of mental disorder of discharging his duties as director;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resigns the director’s office by notice to us;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has for more than six months been absent without permission of the directors from meetings of the board of directors held during that period, and the remaining directors resolve that the director’s office be vacated.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any vacancy on the board of directors in respect of a Mubadala Designee may only be filled by a decision of majority of the Mubadala Designees then in office, or if there are none, by MTIC.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Proceedings of the Board of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to be managed and conducted by the board of directors. The quorum necessary for any meeting of our board of directors shall consist of a simple majority of the members provided that, for so long as the Mubadala Entities are entitled to nominate one Mubadala Designee to our board of directors, the presence of at least one Mubadala Designee shall be required on first call to a meeting of the board of directors.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our Memorandum and Articles of Association, the board of directors may regulate its proceedings as they determine is appropriate.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our Memorandum and Articles of Association, to any directions given by ordinary resolution of the shareholders and applicable listing rules, the board of directors may from time to time at its discretion exercise all of our powers, including, subject to the Cayman Companies Act, the power to issue debentures, bonds and other securities of the company, whether outright or as collateral security for any debt, liability or obligation of our company or of any third party.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Transactions with Interested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acquiror of a Delaware corporation to negotiate the terms of any acquisition transaction with the target’s board of directors.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owes duties to ensure that these transactions are entered into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in the best interests of the company and for a proper corporate purpose and, as noted above, a transaction may be subject to challenge if it has the effect of constituting a fraud on the minority shareholders.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Dissolution; Winding Up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 up in a number of specified circumstances including where it is, in the opinion of the court, just and equitable to do so.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Cayman Companies Act, we may be dissolved, liquidated or wound up by an order of the Cayman Islands Courts, a special resolution of shareholders (requiring a two-thirds majority vote of those shareholders attending and voting at a quorate meeting), or, if the company is unable to pay its debts as they fall due, by an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ordinary resolution (requiring at least a majority vote of those shareholders attending and voting at a quorate meeting). Our Memorandum and Articles of Association also give our board of directors the authority to petition the Cayman Islands Court for our wind up. The Cayman Islands Courts have authority to order winding up in a number of specified circumstances, including where it is, in the opinion of the court, just and equitable to do so.</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Variation of Rights of Shares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without the consent of the holders of the issued shares of that class where such variation is considered by the directors not to have a material adverse effect upon such rights. Otherwise, all or any of the special rights attached to any class of shares may be varied with either the written consent of the beneficial holders of two-thirds of the issued shares of that class, or with the approval of a special resolution passed at a general meeting of the holders of the shares of that class.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rights conferred upon the holders of the shares of any class issued with preferred or other rights shall not, subject to any rights or restrictions for the time being attached to the shares of that class, be deemed to be materially adversely affected by the creation, allotment or issuance of further shares (whether ranking in priority to,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or subordinated to them) pursuant to the board of director’s ability to issue preference shares. The rights of the beneficial holders of the issued shares shall not be deemed to be materially adversely varied by the creation, allotment or issuance of shares with preferred or other rights including, without limitation, the creation of shares with enhanced or weighted voting rights.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Amendment of Governing Documents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Delaware General Corporation Law, a corporation’s governing documents may be amended with the approval of a majority of the outstanding shares entitled to vote, unless the certificate of incorporation provides otherwise. Under Cayman Islands law, our Memorandum and Articles of Association generally (and save for certain amendments to share capital described in this section) may only be amended by special resolution of shareholders (requiring a two-thirds majority vote of those shareholders attending and voting at a quorate meeting).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Indemnification of Directors and Executive Officers and Limitation of Liability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Cayman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Memorandum and Articles of Association provide that we shall indemnify and hold harmless our directors and officers against any liability, action, proceeding, claim, demand, costs, damages or expenses, including legal expenses, whatsoever which they or any of them may incur as a result of any act or failure to act in carrying out their functions in connection with the company other than such liability (if any) that they may incur by reason of their own actual fraud, dishonesty, willful neglect or willful default. We will also bear the expenses of any reasonable attorneys’ fees and other costs and expenses incurred in connection with the defense of any action, suit, proceeding or investigation involving such director or officer, upon such person’s undertaking to repay any amounts paid, advanced, or reimbursed by us if it is ultimately determined that any such person shall not have been entitled to indemnification. No director or officer shall be liable to our company for any loss or damage incurred by our company as a result (whether direct or indirect) of the carrying out of their functions unless that liability arises through the actual fraud, dishonesty, willful neglect or willful default of such officer or director. This standard of conduct is generally the same as permitted under the Delaware General Corporation Law for a Delaware corporation.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our directors, officers or persons controlling us under the foregoing provisions, we have been informed that, in the opinion of the SEC, this indemnification is against public policy as expressed in the Securities Act and is therefore unenforceable.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Enforcement of Civil Liabilities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in the United States; and (ii) in original actions brought in the Cayman Islands, to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appointed Corporation Service Company as our agent to receive service of process with respect to any action brought against us in the United States under the federal securities laws of the United States or of any state in the United States arising out of any offering under this prospectus. The address of Corporation Service Company is 251 Little Falls Drive, Wilmington, DE 19808.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provisions of our Memorandum and Articles of Association may discourage, delay or prevent a change in control of our company or management that shareholders may consider favorable, including provisions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board of directors will be divided into three separate classes, with each class serving for staggered terms, with successors to the class of directors whose term expires at subsequent annual meetings of shareholders following the date of such introduction, being elected for a further fixed term;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that our Memorandum and Articles of Association may be amended only by the affirmative vote of two-thirds of the votes permitted to be cast by persons present and voting in a general meeting at which a quorum is present;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that directors nominated by Mubadala may only be removed with or without cause by MTIC;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that any merger to which we are a party will require the approval of a special resolution and, until such time as the Mubadala Entities no longer beneficially own at least 30% of our outstanding ordinary shares, the prior written approval of MTIC;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 our board of directors to issue preferred shares and to designate the rights, preferences, privileges and restrictions of such preferred shares without any further vote or action by our shareholders;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limit the ability of shareholders to requisition and convene general meetings of shareholders and prevent our shareholders from putting any proposals before annual general meetings or extraordinary general meetings not called by such shareholders.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are expected to discourage coercive takeover practices and inadequate takeover bids. These provisions are also designed to encourage persons seeking to acquire control of the company to first negotiate with the board of directors. It is possible that these provisions could make it more difficult to accomplish transactions that shareholders may otherwise deem to be in their best interests.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Exclusive Forum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Memorandum and Articles of Association provide that unless we consent in writing to the selection of an alternative forum, the courts of the Cayman Islands will, to the fullest extent permitted by the law, have exclusive jurisdiction over any claim or dispute arising out of or in connection with our Memorandum and Articles of Association or otherwise related in any way to each shareholder’s shareholding in us, including but not limited to (i) any derivative action or proceeding brought on our behalf, (ii) any action asserting a claim of breach of any fiduciary or other duty owed by any of our current or former directors, officers or other employees to us or our shareholders, (iii) any action asserting a claim arising pursuant to any provision of the Cayman Companies Act or our Memorandum and Articles of Association, and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 Our Memorandum and Articles of Association provide that, unless we consent in writing to the selection of an alternative forum, to the fullest extent permitted by law, the federal district courts of the United States will be the exclusive forum for the resolution of any complaint asserting a cause or causes of action arising under the Securities Act or Exchange Act, including all causes of action asserted against any defendant named in such complaint. Our Memorandum and Articles of Association also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Rights of Non-Resident or Foreign Shareholders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limitations imposed by our Memorandum and Articles of Association on the rights of non-resident or foreign shareholders to hold or exercise voting rights of our shares. In addition, there are no provisions in our Memorandum and Articles of Association governing the ownership threshold above which shareholder ownership must be disclosed.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Inspection of Books and Records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shares have no general right under Cayman Islands law to inspect or obtain copies of the list of shareholders or our corporate records. However, our board of directors may determine from time to time whether and to what extent our accounting records and books shall be open to inspection by shareholders.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Handling of Mail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Cayman Islands Data Protection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certain duties under the Data Protection Act (as amended) of the Cayman Islands (“DPA”), based on internationally accepted principles of data privacy.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Privacy Notice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privacy notice puts our shareholders on notice that through your investment in us you will provide us with certain personal information which constitutes personal data within the meaning of the DPA, or personal data.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Investor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on an ongoing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Who this Affects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transmit the content of this Privacy Notice to such individuals or otherwise advise them of its content.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How We May Use a Shareholder’s Personal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Should we wish to use personal data for other specific purposes (including, if applicable, any purpose that requires your consent), we will contact you.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Why We May Transfer Your Personal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we may be legally obliged to share personal data and other information with respect to your shareholding with the relevant regulatory authorities such as the Cayman Islands Monetary Authority or the Tax Information Authority of the Cayman Islands. They, in turn, may exchange this information with foreign authorities, including tax authorities.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disclosing personal data to persons who provide services to us and their respective affiliates (which may include certain entities located outside the US, the Cayman Islands or the European Economic Area), who will process your personal data on our behalf.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The Data Protection Measures We Take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transfer of personal data by us or our duly authorized affiliates and/or delegates outside of the Cayman Islands shall be in accordance with the requirements of the DPA.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shall notify you of any personal data breach that is reasonably likely to result in a risk to your interests, fundamental rights or freedoms or those data subjects to whom the relevant personal data relates.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Shareholders, from time to time, may sell the securities to or through underwriters, agents or dealers.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 at a fixed price or prices, which may be changed, at market prices prevailing at the time of sale, or at prices related to such prevailing market prices to be negotiated with purchasers.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each series of the securities will also set forth the terms of the offering of the securities, including to the extent applicable, the initial offering price, the proceeds to the Company or the Selling Shareholders, the underwriting concessions or commissions, and any other discounts or concessions to be allowed or re-allowed to dealers. Underwriters or agents with respect to securities sold to or through underwriters or agents will be named in the prospectus supplement relating to such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securities, underwriters may receive compensation from Mubadala, or purchasers of the securities for whom they may act as agents, in the form of discounts, concessions or commissions. Any such commissions will be paid either using a portion of the funds received in connection with the sale of the securities or out of the general funds of the Company or the Selling Shareholders.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agreements which may be entered into by the Company, the Selling Shareholders, underwriters, dealers and agents who participate in the distribution of the securities may be entitled to indemnification by the Company or the Selling Shareholders against certain liabilities, including liabilities under securities legislation, or to contribution with respect to payments which such underwriters, dealers or agents may be required to make in respect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any offering of securities, the underwriters, agents or dealers may over-allot or effect transactions which stabilize or maintain the market price of the securities offered at levels above those which might otherwise prevail in the open market. Such transactions,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otherwise set forth in the applicable prospectus supplement, certain matters of U.S. federal and New York State law will be passed upon for us by Cleary Gottlieb Steen &amp; Hamilton LLP and for the underwriters by Latham &amp; Watkins LLP and the validity of the ordinary shares and other legal matters as to Cayman Islands law will be passed upon for us by Maples and Calder (Cayman) LLP.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2025 and 2024 and for the years then ended and management’s assessment of the effectiveness of internal control over financial reporting (which is included in Management’s Annual Report on Internal Control over Financial Reporting) as of December 31, 2025 incorporated in the prospectus by reference to the Annual Report on Form 20-F for the year ended December 31, 2025 have been so incorporated in reliance on the report of PricewaterhouseCoopers LLP (which contains an adverse opinion on the effectiveness of the Company’s internal control over financial reporting and which contains a paragraph relating to the effectiveness of internal control over financial reporting due to the exclusion of Silicon Manufacturing Partners Pte Ltd. (“SMP”), MIPS Holding, Inc. (“MIPS”), Advanced Micro Foundry Pte. Ltd (“AMF”), and InfiniLink Inc. (“InfiniLink”) because they were acquired by the Company in purchase business combinations during 2025), an independent registered public accounting firm, given on the authority of said firm as experts in auditing and accounting.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the Company for the year ended December 31, 2023, have been incorporated by reference herein in reliance upon the report of KPMG LLP, independent registered public accounting firm, incorporated by reference herein, and upon the authority of said firm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with the SEC a registration statement on Form F-3 under the Securities Act with respect to the sale of ordinary shares under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ordinary shares, we refer you to the registration statement, including the exhibits filed as a part of the registration statement. Statements contained in this prospectus concerning the contents of any contract or any other document are not necessarily complete descriptions of all terms of such documents.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file periodic reports with the SEC. These periodic reports and other information, including the filings that are incorporated by reference into this prospectus are available to the public at the website of the SEC referred to above. We also maintain a website at www.gf.com. Information contained on our website is not a part of this prospectus and the inclusion of our website address in this prospectus is an inactive textual reference only. As a foreign private issuer, we are exempt under the Exchange Act from, among other things, the rules prescribing the furnishing and content of proxy statements, and our executive officers, directors and shareholders are exempt from the short-swing profit recovery provisions contained in Section 16 of the Exchange Act. Beginning March 18, 2026, upon effectiveness of the Holding Foreign Insiders Accountable Act which was signed into law on December 18, 2025, executive officers and directors of foreign private issuers will be subject to the reporting requirements of Section 16 of the Exchange Act. In addition, we will not be required under the Exchange Act to file periodic reports and financial statements with the SEC as frequently or as promptly as U.S. companies whose securities are registered under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6">
        <w:r>
          <w:rPr>
            <w:rStyle w:val="InternetLink"/>
            <w:rFonts w:ascii="Times New Roman;serif" w:hAnsi="Times New Roman;serif"/>
            <w:b w:val="false"/>
            <w:color w:val="0000FF"/>
            <w:sz w:val="20"/>
            <w:u w:val="single"/>
          </w:rPr>
          <w:t>Form 20-F</w:t>
        </w:r>
      </w:hyperlink>
      <w:r>
        <w:rPr>
          <w:color w:val="000000"/>
        </w:rPr>
        <w:t xml:space="preserve"> </w:t>
      </w:r>
      <w:r>
        <w:rPr>
          <w:rFonts w:ascii="Times New Roman;serif" w:hAnsi="Times New Roman;serif"/>
          <w:b w:val="false"/>
          <w:color w:val="000000"/>
          <w:sz w:val="20"/>
        </w:rPr>
        <w:t xml:space="preserve">for fiscal year ended December 31, 2025, filed on February 27, 2026 (“2025 Form 20-F”);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future Current Reports on Form 6-K furnished to the SEC that are identified in those forms as being incorporated by reference into this prospectus;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ordinary shares contained in our Registration Statement on </w:t>
      </w:r>
      <w:hyperlink r:id="rId7">
        <w:r>
          <w:rPr>
            <w:rStyle w:val="InternetLink"/>
            <w:rFonts w:ascii="Times New Roman;serif" w:hAnsi="Times New Roman;serif"/>
            <w:b w:val="false"/>
            <w:color w:val="0000FF"/>
            <w:sz w:val="20"/>
            <w:u w:val="single"/>
          </w:rPr>
          <w:t>Form 8-A12B</w:t>
        </w:r>
      </w:hyperlink>
      <w:r>
        <w:rPr>
          <w:color w:val="000000"/>
        </w:rPr>
        <w:t xml:space="preserve"> </w:t>
      </w:r>
      <w:r>
        <w:rPr>
          <w:rFonts w:ascii="Times New Roman;serif" w:hAnsi="Times New Roman;serif"/>
          <w:b w:val="false"/>
          <w:color w:val="000000"/>
          <w:sz w:val="20"/>
        </w:rPr>
        <w:t xml:space="preserve">filed with the SEC on October 27, 2021, as updated by the description of our ordinary shares filed as </w:t>
      </w:r>
      <w:hyperlink r:id="rId8">
        <w:r>
          <w:rPr>
            <w:rStyle w:val="InternetLink"/>
            <w:rFonts w:ascii="Times New Roman;serif" w:hAnsi="Times New Roman;serif"/>
            <w:b w:val="false"/>
            <w:color w:val="0000FF"/>
            <w:sz w:val="20"/>
            <w:u w:val="single"/>
          </w:rPr>
          <w:t>Exhibit 2.3</w:t>
        </w:r>
      </w:hyperlink>
      <w:r>
        <w:rPr>
          <w:color w:val="000000"/>
        </w:rPr>
        <w:t xml:space="preserve"> </w:t>
      </w:r>
      <w:r>
        <w:rPr>
          <w:rFonts w:ascii="Times New Roman;serif" w:hAnsi="Times New Roman;serif"/>
          <w:b w:val="false"/>
          <w:color w:val="000000"/>
          <w:sz w:val="20"/>
        </w:rPr>
        <w:t>to our Annual Report on Form 20-F for the fiscal year ended December 31, 2021 filed with the SEC on March 31, 2022, including any amendment or report filed for the purpose of updating such description.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GLOBALFOUNDRIES Inc., 400 Stonebreak Road Extension, Malta, New York, United States 12020.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drawing>
          <wp:inline distT="0" distB="0" distL="0" distR="0">
            <wp:extent cx="4200525" cy="857250"/>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9"/>
                    <a:stretch>
                      <a:fillRect/>
                    </a:stretch>
                  </pic:blipFill>
                  <pic:spPr bwMode="auto">
                    <a:xfrm>
                      <a:off x="0" y="0"/>
                      <a:ext cx="4200525" cy="857250"/>
                    </a:xfrm>
                    <a:prstGeom prst="rect">
                      <a:avLst/>
                    </a:prstGeom>
                  </pic:spPr>
                </pic:pic>
              </a:graphicData>
            </a:graphic>
          </wp:inline>
        </w:drawing>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40"/>
        </w:rPr>
      </w:pPr>
      <w:r>
        <w:rPr>
          <w:rFonts w:ascii="Times New Roman;serif" w:hAnsi="Times New Roman;serif"/>
          <w:b/>
          <w:color w:val="000000"/>
          <w:sz w:val="40"/>
        </w:rPr>
        <w:t xml:space="preserve">Ordinary Shares </w: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Prospectus Supplement</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color w:val="000000"/>
        </w:rPr>
      </w:pPr>
      <w:r>
        <w:rPr>
          <w:color w:val="000000"/>
        </w:rPr>
        <w:t>              </w:t>
      </w:r>
      <w:r>
        <w:rPr>
          <w:rFonts w:ascii="Times New Roman;serif" w:hAnsi="Times New Roman;serif"/>
          <w:b w:val="false"/>
          <w:i/>
          <w:color w:val="000000"/>
          <w:sz w:val="20"/>
        </w:rPr>
        <w:t>, 2026</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(to Prospectus dated March 11, 2026)</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tbl>
      <w:tblPr>
        <w:tblW w:w="4991"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769"/>
        <w:gridCol w:w="769"/>
        <w:gridCol w:w="1087"/>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J.P. Morgan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Morgan Stanley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709048/000170904826000022/gfs-20251231.htm" TargetMode="External"/><Relationship Id="rId4" Type="http://schemas.openxmlformats.org/officeDocument/2006/relationships/hyperlink" Target="https://www.sec.gov/Archives/edgar/data/1709048/000119312521308789/d199778d8a12b.htm" TargetMode="External"/><Relationship Id="rId5" Type="http://schemas.openxmlformats.org/officeDocument/2006/relationships/image" Target="media/image2.jpeg"/><Relationship Id="rId6" Type="http://schemas.openxmlformats.org/officeDocument/2006/relationships/hyperlink" Target="https://www.sec.gov/ix?doc=/Archives/edgar/data/0001709048/000170904826000022/gfs-20251231.htm" TargetMode="External"/><Relationship Id="rId7" Type="http://schemas.openxmlformats.org/officeDocument/2006/relationships/hyperlink" Target="https://www.sec.gov/Archives/edgar/data/1709048/000119312521308789/d199778d8a12b.htm" TargetMode="External"/><Relationship Id="rId8" Type="http://schemas.openxmlformats.org/officeDocument/2006/relationships/hyperlink" Target="https://www.sec.gov/Archives/edgar/data/1709048/000170904822000008/ex23.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29851</Words>
  <Characters>160408</Characters>
  <CharactersWithSpaces>189940</CharactersWithSpaces>
  <Paragraphs>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