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Washington, DC 20549</w:t>
      </w:r>
    </w:p>
    <w:p>
      <w:pPr>
        <w:spacing w:after="0" w:line="25" w:lineRule="exact"/>
        <w:rPr>
          <w:sz w:val="24"/>
          <w:szCs w:val="24"/>
          <w:color w:val="auto"/>
        </w:rPr>
      </w:pPr>
    </w:p>
    <w:p>
      <w:pPr>
        <w:ind w:left="4464"/>
        <w:spacing w:after="0"/>
        <w:rPr>
          <w:sz w:val="20"/>
          <w:szCs w:val="20"/>
          <w:color w:val="auto"/>
        </w:rPr>
      </w:pPr>
      <w:r>
        <w:rPr>
          <w:rFonts w:ascii="Arial" w:cs="Arial" w:eastAsia="Arial" w:hAnsi="Arial"/>
          <w:sz w:val="17"/>
          <w:szCs w:val="17"/>
          <w:color w:val="auto"/>
        </w:rPr>
        <w:t>_________________________</w:t>
      </w:r>
    </w:p>
    <w:p>
      <w:pPr>
        <w:spacing w:after="0" w:line="99"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FORM 20-F</w:t>
      </w:r>
    </w:p>
    <w:p>
      <w:pPr>
        <w:spacing w:after="0" w:line="33" w:lineRule="exact"/>
        <w:rPr>
          <w:sz w:val="24"/>
          <w:szCs w:val="24"/>
          <w:color w:val="auto"/>
        </w:rPr>
      </w:pPr>
    </w:p>
    <w:p>
      <w:pPr>
        <w:ind w:left="4464"/>
        <w:spacing w:after="0"/>
        <w:rPr>
          <w:sz w:val="20"/>
          <w:szCs w:val="20"/>
          <w:color w:val="auto"/>
        </w:rPr>
      </w:pPr>
      <w:r>
        <w:rPr>
          <w:rFonts w:ascii="Arial" w:cs="Arial" w:eastAsia="Arial" w:hAnsi="Arial"/>
          <w:sz w:val="17"/>
          <w:szCs w:val="17"/>
          <w:color w:val="auto"/>
        </w:rPr>
        <w:t>_________________________</w:t>
      </w:r>
    </w:p>
    <w:p>
      <w:pPr>
        <w:spacing w:after="0" w:line="141" w:lineRule="exact"/>
        <w:rPr>
          <w:sz w:val="24"/>
          <w:szCs w:val="24"/>
          <w:color w:val="auto"/>
        </w:rPr>
      </w:pPr>
    </w:p>
    <w:p>
      <w:pPr>
        <w:ind w:left="5544" w:right="2920" w:hanging="5521"/>
        <w:spacing w:after="0" w:line="219" w:lineRule="auto"/>
        <w:tabs>
          <w:tab w:leader="none" w:pos="481" w:val="left"/>
        </w:tabs>
        <w:numPr>
          <w:ilvl w:val="0"/>
          <w:numId w:val="1"/>
        </w:numPr>
        <w:rPr>
          <w:rFonts w:ascii="Arial" w:cs="Arial" w:eastAsia="Arial" w:hAnsi="Arial"/>
          <w:sz w:val="28"/>
          <w:szCs w:val="28"/>
          <w:b w:val="1"/>
          <w:bCs w:val="1"/>
          <w:color w:val="auto"/>
          <w:vertAlign w:val="superscript"/>
        </w:rPr>
      </w:pPr>
      <w:r>
        <w:rPr>
          <w:rFonts w:ascii="Arial" w:cs="Arial" w:eastAsia="Arial" w:hAnsi="Arial"/>
          <w:sz w:val="14"/>
          <w:szCs w:val="14"/>
          <w:b w:val="1"/>
          <w:bCs w:val="1"/>
          <w:color w:val="auto"/>
        </w:rPr>
        <w:t>REGISTRATION STATEMENT PURSUANT TO SECTION 12(b) OR 12(g) OF THE SECURITIES EXCHANGE ACT OF 1934 OR</w:t>
      </w:r>
    </w:p>
    <w:p>
      <w:pPr>
        <w:spacing w:after="0" w:line="60" w:lineRule="exact"/>
        <w:rPr>
          <w:sz w:val="24"/>
          <w:szCs w:val="24"/>
          <w:color w:val="auto"/>
        </w:rPr>
      </w:pPr>
    </w:p>
    <w:p>
      <w:pPr>
        <w:ind w:left="484" w:hanging="461"/>
        <w:spacing w:after="0"/>
        <w:tabs>
          <w:tab w:leader="none" w:pos="484" w:val="left"/>
        </w:tabs>
        <w:numPr>
          <w:ilvl w:val="0"/>
          <w:numId w:val="2"/>
        </w:numPr>
        <w:rPr>
          <w:rFonts w:ascii="MS PGothic" w:cs="MS PGothic" w:eastAsia="MS PGothic" w:hAnsi="MS PGothic"/>
          <w:sz w:val="25"/>
          <w:szCs w:val="25"/>
          <w:color w:val="auto"/>
          <w:highlight w:val="black"/>
          <w:vertAlign w:val="superscript"/>
        </w:rPr>
      </w:pPr>
      <w:r>
        <w:rPr>
          <w:rFonts w:ascii="Arial" w:cs="Arial" w:eastAsia="Arial" w:hAnsi="Arial"/>
          <w:sz w:val="14"/>
          <w:szCs w:val="14"/>
          <w:b w:val="1"/>
          <w:bCs w:val="1"/>
          <w:color w:val="auto"/>
        </w:rPr>
        <w:t>ANNUAL REPORT PURSUANT TO SECTION 13 OR 15(d) OF THE SECURITIES EXCHANGE ACT OF 1934</w:t>
      </w:r>
    </w:p>
    <w:p>
      <w:pPr>
        <w:spacing w:after="0" w:line="162"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94"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464" w:hanging="464"/>
        <w:spacing w:after="0"/>
        <w:tabs>
          <w:tab w:leader="none" w:pos="464"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89"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484" w:hanging="461"/>
        <w:spacing w:after="0"/>
        <w:tabs>
          <w:tab w:leader="none" w:pos="484"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179" w:lineRule="exact"/>
        <w:rPr>
          <w:sz w:val="24"/>
          <w:szCs w:val="24"/>
          <w:color w:val="auto"/>
        </w:rPr>
      </w:pPr>
    </w:p>
    <w:p>
      <w:pPr>
        <w:ind w:left="4004"/>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94" w:lineRule="exact"/>
        <w:rPr>
          <w:sz w:val="24"/>
          <w:szCs w:val="24"/>
          <w:color w:val="auto"/>
        </w:rPr>
      </w:pPr>
    </w:p>
    <w:p>
      <w:pPr>
        <w:ind w:left="3964"/>
        <w:spacing w:after="0"/>
        <w:tabs>
          <w:tab w:leader="none" w:pos="6564"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94"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Commission file number 001-40974</w:t>
      </w:r>
    </w:p>
    <w:p>
      <w:pPr>
        <w:spacing w:after="0" w:line="118" w:lineRule="exact"/>
        <w:rPr>
          <w:sz w:val="24"/>
          <w:szCs w:val="24"/>
          <w:color w:val="auto"/>
        </w:rPr>
      </w:pPr>
    </w:p>
    <w:p>
      <w:pPr>
        <w:ind w:left="4464"/>
        <w:spacing w:after="0"/>
        <w:rPr>
          <w:sz w:val="20"/>
          <w:szCs w:val="20"/>
          <w:color w:val="auto"/>
        </w:rPr>
      </w:pPr>
      <w:r>
        <w:rPr>
          <w:rFonts w:ascii="Arial" w:cs="Arial" w:eastAsia="Arial" w:hAnsi="Arial"/>
          <w:sz w:val="17"/>
          <w:szCs w:val="17"/>
          <w:color w:val="auto"/>
        </w:rPr>
        <w:t>_________________________</w:t>
      </w:r>
    </w:p>
    <w:p>
      <w:pPr>
        <w:spacing w:after="0" w:line="88" w:lineRule="exact"/>
        <w:rPr>
          <w:sz w:val="24"/>
          <w:szCs w:val="24"/>
          <w:color w:val="auto"/>
        </w:rPr>
      </w:pPr>
    </w:p>
    <w:p>
      <w:pPr>
        <w:jc w:val="center"/>
        <w:ind w:right="-23"/>
        <w:spacing w:after="0"/>
        <w:rPr>
          <w:sz w:val="20"/>
          <w:szCs w:val="20"/>
          <w:color w:val="auto"/>
        </w:rPr>
      </w:pPr>
      <w:r>
        <w:rPr>
          <w:rFonts w:ascii="Arial" w:cs="Arial" w:eastAsia="Arial" w:hAnsi="Arial"/>
          <w:sz w:val="25"/>
          <w:szCs w:val="25"/>
          <w:b w:val="1"/>
          <w:bCs w:val="1"/>
          <w:color w:val="auto"/>
        </w:rPr>
        <w:t>GLOBALFOUNDRIES Inc.</w:t>
      </w:r>
    </w:p>
    <w:p>
      <w:pPr>
        <w:spacing w:after="0" w:line="49"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 w:lineRule="exact"/>
        <w:rPr>
          <w:sz w:val="24"/>
          <w:szCs w:val="24"/>
          <w:color w:val="auto"/>
        </w:rPr>
      </w:pPr>
    </w:p>
    <w:p>
      <w:pPr>
        <w:ind w:left="4464"/>
        <w:spacing w:after="0"/>
        <w:rPr>
          <w:sz w:val="20"/>
          <w:szCs w:val="20"/>
          <w:color w:val="auto"/>
        </w:rPr>
      </w:pPr>
      <w:r>
        <w:rPr>
          <w:rFonts w:ascii="Arial" w:cs="Arial" w:eastAsia="Arial" w:hAnsi="Arial"/>
          <w:sz w:val="17"/>
          <w:szCs w:val="17"/>
          <w:color w:val="auto"/>
        </w:rPr>
        <w:t>_________________________</w:t>
      </w:r>
    </w:p>
    <w:p>
      <w:pPr>
        <w:sectPr>
          <w:pgSz w:w="11900" w:h="16838" w:orient="portrait"/>
          <w:cols w:equalWidth="0" w:num="1">
            <w:col w:w="11284"/>
          </w:cols>
          <w:pgMar w:left="296" w:top="1044" w:right="319" w:bottom="0" w:gutter="0" w:footer="0" w:header="0"/>
        </w:sectPr>
      </w:pPr>
    </w:p>
    <w:p>
      <w:pPr>
        <w:spacing w:after="0" w:line="99" w:lineRule="exact"/>
        <w:rPr>
          <w:sz w:val="24"/>
          <w:szCs w:val="24"/>
          <w:color w:val="auto"/>
        </w:rPr>
      </w:pPr>
    </w:p>
    <w:p>
      <w:pPr>
        <w:jc w:val="center"/>
        <w:ind w:right="536"/>
        <w:spacing w:after="0"/>
        <w:rPr>
          <w:sz w:val="20"/>
          <w:szCs w:val="20"/>
          <w:color w:val="auto"/>
        </w:rPr>
      </w:pPr>
      <w:r>
        <w:rPr>
          <w:rFonts w:ascii="Arial" w:cs="Arial" w:eastAsia="Arial" w:hAnsi="Arial"/>
          <w:sz w:val="14"/>
          <w:szCs w:val="14"/>
          <w:b w:val="1"/>
          <w:bCs w:val="1"/>
          <w:color w:val="auto"/>
        </w:rPr>
        <w:t>N/A</w:t>
      </w:r>
    </w:p>
    <w:p>
      <w:pPr>
        <w:spacing w:after="0" w:line="27" w:lineRule="exact"/>
        <w:rPr>
          <w:sz w:val="24"/>
          <w:szCs w:val="24"/>
          <w:color w:val="auto"/>
        </w:rPr>
      </w:pPr>
    </w:p>
    <w:p>
      <w:pPr>
        <w:jc w:val="center"/>
        <w:ind w:right="536"/>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1260"/>
        <w:spacing w:after="0"/>
        <w:rPr>
          <w:sz w:val="20"/>
          <w:szCs w:val="20"/>
          <w:color w:val="auto"/>
        </w:rPr>
      </w:pPr>
      <w:r>
        <w:rPr>
          <w:rFonts w:ascii="Arial" w:cs="Arial" w:eastAsia="Arial" w:hAnsi="Arial"/>
          <w:sz w:val="14"/>
          <w:szCs w:val="14"/>
          <w:b w:val="1"/>
          <w:bCs w:val="1"/>
          <w:color w:val="auto"/>
        </w:rPr>
        <w:t>Cayman Islands</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60" w:lineRule="exact"/>
        <w:rPr>
          <w:sz w:val="24"/>
          <w:szCs w:val="24"/>
          <w:color w:val="auto"/>
        </w:rPr>
      </w:pPr>
    </w:p>
    <w:p>
      <w:pPr>
        <w:sectPr>
          <w:pgSz w:w="11900" w:h="16838" w:orient="portrait"/>
          <w:cols w:equalWidth="0" w:num="2">
            <w:col w:w="6204" w:space="720"/>
            <w:col w:w="4360"/>
          </w:cols>
          <w:pgMar w:left="296" w:top="1044" w:right="319" w:bottom="0" w:gutter="0" w:footer="0" w:header="0"/>
          <w:type w:val="continuous"/>
        </w:sectPr>
      </w:pPr>
    </w:p>
    <w:p>
      <w:pPr>
        <w:jc w:val="both"/>
        <w:ind w:left="5104" w:right="5100" w:firstLine="17"/>
        <w:spacing w:after="0" w:line="262" w:lineRule="auto"/>
        <w:tabs>
          <w:tab w:leader="none" w:pos="5387"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Stonebreak Road Extension Malta, NY 12020</w:t>
      </w:r>
    </w:p>
    <w:p>
      <w:pPr>
        <w:ind w:left="5524" w:hanging="360"/>
        <w:spacing w:after="0"/>
        <w:tabs>
          <w:tab w:leader="none" w:pos="5524" w:val="left"/>
        </w:tabs>
        <w:numPr>
          <w:ilvl w:val="1"/>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305-9013</w:t>
      </w:r>
    </w:p>
    <w:p>
      <w:pPr>
        <w:spacing w:after="0" w:line="9" w:lineRule="exact"/>
        <w:rPr>
          <w:sz w:val="24"/>
          <w:szCs w:val="24"/>
          <w:color w:val="auto"/>
        </w:rPr>
      </w:pPr>
    </w:p>
    <w:p>
      <w:pPr>
        <w:ind w:left="4304"/>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65" w:lineRule="exact"/>
        <w:rPr>
          <w:sz w:val="24"/>
          <w:szCs w:val="24"/>
          <w:color w:val="auto"/>
        </w:rPr>
      </w:pPr>
    </w:p>
    <w:p>
      <w:pPr>
        <w:ind w:left="4124"/>
        <w:spacing w:after="0"/>
        <w:rPr>
          <w:sz w:val="20"/>
          <w:szCs w:val="20"/>
          <w:color w:val="auto"/>
        </w:rPr>
      </w:pPr>
      <w:r>
        <w:rPr>
          <w:rFonts w:ascii="Arial" w:cs="Arial" w:eastAsia="Arial" w:hAnsi="Arial"/>
          <w:sz w:val="14"/>
          <w:szCs w:val="14"/>
          <w:b w:val="1"/>
          <w:bCs w:val="1"/>
          <w:color w:val="auto"/>
        </w:rPr>
        <w:t>Dr. Thomas Caulfield, Chief Executive Officer</w:t>
      </w:r>
    </w:p>
    <w:p>
      <w:pPr>
        <w:spacing w:after="0" w:line="14"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400 Stonebreak Road Extension</w:t>
      </w:r>
    </w:p>
    <w:p>
      <w:pPr>
        <w:jc w:val="center"/>
        <w:ind w:right="-23"/>
        <w:spacing w:after="0" w:line="237" w:lineRule="auto"/>
        <w:rPr>
          <w:sz w:val="20"/>
          <w:szCs w:val="20"/>
          <w:color w:val="auto"/>
        </w:rPr>
      </w:pPr>
      <w:r>
        <w:rPr>
          <w:rFonts w:ascii="Arial" w:cs="Arial" w:eastAsia="Arial" w:hAnsi="Arial"/>
          <w:sz w:val="14"/>
          <w:szCs w:val="14"/>
          <w:b w:val="1"/>
          <w:bCs w:val="1"/>
          <w:color w:val="auto"/>
        </w:rPr>
        <w:t>Malta, NY 12020</w:t>
      </w:r>
    </w:p>
    <w:p>
      <w:pPr>
        <w:ind w:left="5524" w:hanging="360"/>
        <w:spacing w:after="0" w:line="237" w:lineRule="auto"/>
        <w:tabs>
          <w:tab w:leader="none" w:pos="5524"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305-9013</w:t>
      </w:r>
    </w:p>
    <w:p>
      <w:pPr>
        <w:ind w:left="5044"/>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E-mail: ir@gf.com</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76"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121" w:lineRule="exact"/>
        <w:rPr>
          <w:sz w:val="24"/>
          <w:szCs w:val="24"/>
          <w:color w:val="auto"/>
        </w:rPr>
      </w:pPr>
    </w:p>
    <w:tbl>
      <w:tblPr>
        <w:tblLayout w:type="fixed"/>
        <w:tblInd w:w="324"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2"/>
        </w:trPr>
        <w:tc>
          <w:tcPr>
            <w:tcW w:w="386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Ordinary shares, par value US$0.02 per share</w:t>
            </w:r>
          </w:p>
        </w:tc>
        <w:tc>
          <w:tcPr>
            <w:tcW w:w="820" w:type="dxa"/>
            <w:vAlign w:val="bottom"/>
          </w:tcPr>
          <w:p>
            <w:pPr>
              <w:spacing w:after="0"/>
              <w:rPr>
                <w:sz w:val="16"/>
                <w:szCs w:val="16"/>
                <w:color w:val="auto"/>
              </w:rPr>
            </w:pPr>
          </w:p>
        </w:tc>
        <w:tc>
          <w:tcPr>
            <w:tcW w:w="20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7"/>
              </w:rPr>
              <w:t>GFS</w:t>
            </w:r>
          </w:p>
        </w:tc>
        <w:tc>
          <w:tcPr>
            <w:tcW w:w="80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30"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33" w:lineRule="exact"/>
        <w:rPr>
          <w:sz w:val="24"/>
          <w:szCs w:val="24"/>
          <w:color w:val="auto"/>
        </w:rPr>
      </w:pPr>
    </w:p>
    <w:p>
      <w:pPr>
        <w:ind w:left="4464"/>
        <w:spacing w:after="0"/>
        <w:rPr>
          <w:sz w:val="20"/>
          <w:szCs w:val="20"/>
          <w:color w:val="auto"/>
        </w:rPr>
      </w:pPr>
      <w:r>
        <w:rPr>
          <w:rFonts w:ascii="Arial" w:cs="Arial" w:eastAsia="Arial" w:hAnsi="Arial"/>
          <w:sz w:val="17"/>
          <w:szCs w:val="17"/>
          <w:color w:val="auto"/>
        </w:rPr>
        <w:t>_________________________</w:t>
      </w:r>
    </w:p>
    <w:p>
      <w:pPr>
        <w:spacing w:after="0" w:line="67"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None</w:t>
      </w:r>
    </w:p>
    <w:p>
      <w:pPr>
        <w:spacing w:after="0" w:line="94"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(Title of Class)</w:t>
      </w:r>
    </w:p>
    <w:p>
      <w:pPr>
        <w:spacing w:after="0" w:line="33" w:lineRule="exact"/>
        <w:rPr>
          <w:sz w:val="24"/>
          <w:szCs w:val="24"/>
          <w:color w:val="auto"/>
        </w:rPr>
      </w:pPr>
    </w:p>
    <w:p>
      <w:pPr>
        <w:ind w:left="4984"/>
        <w:spacing w:after="0"/>
        <w:rPr>
          <w:sz w:val="20"/>
          <w:szCs w:val="20"/>
          <w:color w:val="auto"/>
        </w:rPr>
      </w:pPr>
      <w:r>
        <w:rPr>
          <w:rFonts w:ascii="Arial" w:cs="Arial" w:eastAsia="Arial" w:hAnsi="Arial"/>
          <w:sz w:val="17"/>
          <w:szCs w:val="17"/>
          <w:color w:val="auto"/>
        </w:rPr>
        <w:t>______________</w:t>
      </w:r>
    </w:p>
    <w:p>
      <w:pPr>
        <w:spacing w:after="0" w:line="77"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 None</w:t>
      </w:r>
    </w:p>
    <w:p>
      <w:pPr>
        <w:spacing w:after="0" w:line="94"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(Title of Class)</w:t>
      </w:r>
    </w:p>
    <w:p>
      <w:pPr>
        <w:spacing w:after="0" w:line="33" w:lineRule="exact"/>
        <w:rPr>
          <w:sz w:val="24"/>
          <w:szCs w:val="24"/>
          <w:color w:val="auto"/>
        </w:rPr>
      </w:pPr>
    </w:p>
    <w:p>
      <w:pPr>
        <w:ind w:left="4984"/>
        <w:spacing w:after="0"/>
        <w:rPr>
          <w:sz w:val="20"/>
          <w:szCs w:val="20"/>
          <w:color w:val="auto"/>
        </w:rPr>
      </w:pPr>
      <w:r>
        <w:rPr>
          <w:rFonts w:ascii="Arial" w:cs="Arial" w:eastAsia="Arial" w:hAnsi="Arial"/>
          <w:sz w:val="17"/>
          <w:szCs w:val="17"/>
          <w:color w:val="auto"/>
        </w:rPr>
        <w:t>______________</w:t>
      </w:r>
    </w:p>
    <w:p>
      <w:pPr>
        <w:spacing w:after="0" w:line="87" w:lineRule="exact"/>
        <w:rPr>
          <w:sz w:val="24"/>
          <w:szCs w:val="24"/>
          <w:color w:val="auto"/>
        </w:rPr>
      </w:pPr>
    </w:p>
    <w:p>
      <w:pPr>
        <w:ind w:left="264"/>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spacing w:after="0" w:line="84" w:lineRule="exact"/>
        <w:rPr>
          <w:sz w:val="24"/>
          <w:szCs w:val="24"/>
          <w:color w:val="auto"/>
        </w:rPr>
      </w:pPr>
    </w:p>
    <w:p>
      <w:pPr>
        <w:ind w:left="264"/>
        <w:spacing w:after="0"/>
        <w:rPr>
          <w:sz w:val="20"/>
          <w:szCs w:val="20"/>
          <w:color w:val="auto"/>
        </w:rPr>
      </w:pPr>
      <w:r>
        <w:rPr>
          <w:rFonts w:ascii="Arial" w:cs="Arial" w:eastAsia="Arial" w:hAnsi="Arial"/>
          <w:sz w:val="13"/>
          <w:szCs w:val="13"/>
          <w:color w:val="auto"/>
        </w:rPr>
        <w:t>As of December 31, 2022, 547,754,986 ordinary shares, par value US$0.02 per share, were outstanding.</w:t>
      </w:r>
    </w:p>
    <w:p>
      <w:pPr>
        <w:spacing w:after="0" w:line="62" w:lineRule="exact"/>
        <w:rPr>
          <w:sz w:val="24"/>
          <w:szCs w:val="24"/>
          <w:color w:val="auto"/>
        </w:rPr>
      </w:pPr>
    </w:p>
    <w:p>
      <w:pPr>
        <w:ind w:left="264"/>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4" w:lineRule="exact"/>
        <w:rPr>
          <w:sz w:val="24"/>
          <w:szCs w:val="24"/>
          <w:color w:val="auto"/>
        </w:rPr>
      </w:pPr>
    </w:p>
    <w:p>
      <w:pPr>
        <w:ind w:left="4" w:right="160" w:firstLine="255"/>
        <w:spacing w:after="0" w:line="174" w:lineRule="exact"/>
        <w:rPr>
          <w:sz w:val="20"/>
          <w:szCs w:val="20"/>
          <w:color w:val="auto"/>
        </w:rPr>
      </w:pPr>
      <w:r>
        <w:rPr>
          <w:rFonts w:ascii="Arial" w:cs="Arial" w:eastAsia="Arial" w:hAnsi="Arial"/>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8" w:lineRule="exact"/>
        <w:rPr>
          <w:sz w:val="24"/>
          <w:szCs w:val="24"/>
          <w:color w:val="auto"/>
        </w:rPr>
      </w:pPr>
    </w:p>
    <w:p>
      <w:pPr>
        <w:ind w:left="4" w:firstLine="255"/>
        <w:spacing w:after="0" w:line="15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ind w:left="4" w:right="200" w:firstLine="255"/>
        <w:spacing w:after="0" w:line="16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ind w:left="4" w:right="300" w:firstLine="255"/>
        <w:spacing w:after="0" w:line="25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 w:lineRule="exact"/>
        <w:rPr>
          <w:sz w:val="24"/>
          <w:szCs w:val="24"/>
          <w:color w:val="auto"/>
        </w:rPr>
      </w:pPr>
    </w:p>
    <w:p>
      <w:pPr>
        <w:ind w:left="284"/>
        <w:spacing w:after="0" w:line="288" w:lineRule="exact"/>
        <w:tabs>
          <w:tab w:leader="none" w:pos="2524" w:val="left"/>
          <w:tab w:leader="none" w:pos="2884" w:val="left"/>
          <w:tab w:leader="none" w:pos="5104" w:val="left"/>
          <w:tab w:leader="none" w:pos="5484" w:val="left"/>
          <w:tab w:leader="none" w:pos="7704" w:val="left"/>
          <w:tab w:leader="none" w:pos="8044" w:val="left"/>
          <w:tab w:leader="none" w:pos="10984" w:val="left"/>
        </w:tabs>
        <w:rPr>
          <w:sz w:val="20"/>
          <w:szCs w:val="20"/>
          <w:color w:val="auto"/>
        </w:rPr>
      </w:pPr>
      <w:r>
        <w:rPr>
          <w:rFonts w:ascii="Arial" w:cs="Arial" w:eastAsia="Arial" w:hAnsi="Arial"/>
          <w:sz w:val="25"/>
          <w:szCs w:val="25"/>
          <w:color w:val="auto"/>
          <w:vertAlign w:val="subscript"/>
        </w:rPr>
        <w:t>Large Accelerated Filer</w:t>
      </w:r>
      <w:r>
        <w:rPr>
          <w:sz w:val="20"/>
          <w:szCs w:val="20"/>
          <w:color w:val="auto"/>
        </w:rPr>
        <w:tab/>
      </w:r>
      <w:r>
        <w:rPr>
          <w:rFonts w:ascii="MS PGothic" w:cs="MS PGothic" w:eastAsia="MS PGothic" w:hAnsi="MS PGothic"/>
          <w:sz w:val="25"/>
          <w:szCs w:val="25"/>
          <w:color w:val="auto"/>
          <w:vertAlign w:val="subscript"/>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28" w:lineRule="exact"/>
        <w:rPr>
          <w:sz w:val="24"/>
          <w:szCs w:val="24"/>
          <w:color w:val="auto"/>
        </w:rPr>
      </w:pPr>
    </w:p>
    <w:p>
      <w:pPr>
        <w:ind w:left="4" w:right="140" w:firstLine="255"/>
        <w:spacing w:after="0" w:line="158"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7" w:lineRule="exact"/>
        <w:rPr>
          <w:sz w:val="24"/>
          <w:szCs w:val="24"/>
          <w:color w:val="auto"/>
        </w:rPr>
      </w:pPr>
    </w:p>
    <w:p>
      <w:pPr>
        <w:ind w:left="264"/>
        <w:spacing w:after="0"/>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95" w:lineRule="exact"/>
        <w:rPr>
          <w:sz w:val="24"/>
          <w:szCs w:val="24"/>
          <w:color w:val="auto"/>
        </w:rPr>
      </w:pPr>
    </w:p>
    <w:p>
      <w:pPr>
        <w:ind w:left="4" w:right="80" w:firstLine="255"/>
        <w:spacing w:after="0" w:line="15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7" w:lineRule="exact"/>
        <w:rPr>
          <w:sz w:val="24"/>
          <w:szCs w:val="24"/>
          <w:color w:val="auto"/>
        </w:rPr>
      </w:pPr>
    </w:p>
    <w:p>
      <w:pPr>
        <w:ind w:left="4" w:right="260" w:firstLine="255"/>
        <w:spacing w:after="0" w:line="158"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7" w:lineRule="exact"/>
        <w:rPr>
          <w:sz w:val="24"/>
          <w:szCs w:val="24"/>
          <w:color w:val="auto"/>
        </w:rPr>
      </w:pPr>
    </w:p>
    <w:p>
      <w:pPr>
        <w:ind w:left="4" w:right="260" w:firstLine="255"/>
        <w:spacing w:after="0" w:line="163"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67" w:lineRule="exact"/>
        <w:rPr>
          <w:sz w:val="24"/>
          <w:szCs w:val="24"/>
          <w:color w:val="auto"/>
        </w:rPr>
      </w:pPr>
    </w:p>
    <w:p>
      <w:pPr>
        <w:ind w:left="264"/>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ectPr>
          <w:pgSz w:w="11900" w:h="16838" w:orient="portrait"/>
          <w:cols w:equalWidth="0" w:num="1">
            <w:col w:w="11284"/>
          </w:cols>
          <w:pgMar w:left="296" w:top="1044" w:right="319" w:bottom="0" w:gutter="0" w:footer="0" w:header="0"/>
          <w:type w:val="continuous"/>
        </w:sectPr>
      </w:pPr>
    </w:p>
    <w:bookmarkStart w:id="1" w:name="page2"/>
    <w:bookmarkEnd w:id="1"/>
    <w:p>
      <w:pPr>
        <w:spacing w:after="0" w:line="11" w:lineRule="exact"/>
        <w:rPr>
          <w:sz w:val="20"/>
          <w:szCs w:val="20"/>
          <w:color w:val="auto"/>
        </w:rPr>
      </w:pPr>
    </w:p>
    <w:p>
      <w:pPr>
        <w:ind w:left="1500"/>
        <w:spacing w:after="0" w:line="138" w:lineRule="exact"/>
        <w:rPr>
          <w:sz w:val="20"/>
          <w:szCs w:val="20"/>
          <w:color w:val="auto"/>
        </w:rPr>
      </w:pPr>
      <w:r>
        <w:rPr>
          <w:rFonts w:ascii="Arial" w:cs="Arial" w:eastAsia="Arial" w:hAnsi="Arial"/>
          <w:sz w:val="12"/>
          <w:szCs w:val="12"/>
          <w:color w:val="auto"/>
        </w:rPr>
        <w:t xml:space="preserve">U.S. GAAP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International Financial Reporting Standards as issued by the International Accounting</w:t>
      </w:r>
    </w:p>
    <w:p>
      <w:pPr>
        <w:jc w:val="center"/>
        <w:ind w:right="260"/>
        <w:spacing w:after="0" w:line="150" w:lineRule="exact"/>
        <w:rPr>
          <w:sz w:val="20"/>
          <w:szCs w:val="20"/>
          <w:color w:val="auto"/>
        </w:rPr>
      </w:pPr>
      <w:r>
        <w:rPr>
          <w:rFonts w:ascii="Arial" w:cs="Arial" w:eastAsia="Arial" w:hAnsi="Arial"/>
          <w:sz w:val="13"/>
          <w:szCs w:val="13"/>
          <w:color w:val="auto"/>
        </w:rPr>
        <w:t xml:space="preserve">Standards Board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Other </w:t>
      </w:r>
      <w:r>
        <w:rPr>
          <w:rFonts w:ascii="MS PGothic" w:cs="MS PGothic" w:eastAsia="MS PGothic" w:hAnsi="MS PGothic"/>
          <w:sz w:val="12"/>
          <w:szCs w:val="12"/>
          <w:color w:val="auto"/>
        </w:rPr>
        <w:t>☐</w:t>
      </w:r>
    </w:p>
    <w:p>
      <w:pPr>
        <w:spacing w:after="0" w:line="372" w:lineRule="exact"/>
        <w:rPr>
          <w:sz w:val="20"/>
          <w:szCs w:val="20"/>
          <w:color w:val="auto"/>
        </w:rPr>
      </w:pPr>
    </w:p>
    <w:p>
      <w:pPr>
        <w:sectPr>
          <w:pgSz w:w="11900" w:h="16838" w:orient="portrait"/>
          <w:cols w:equalWidth="0" w:num="3">
            <w:col w:w="2400" w:space="720"/>
            <w:col w:w="5060" w:space="720"/>
            <w:col w:w="999"/>
          </w:cols>
          <w:pgMar w:left="560" w:top="140" w:right="1440" w:bottom="1440" w:gutter="0" w:footer="0" w:header="0"/>
        </w:sectPr>
      </w:pPr>
    </w:p>
    <w:p>
      <w:pPr>
        <w:spacing w:after="0"/>
        <w:rPr>
          <w:sz w:val="20"/>
          <w:szCs w:val="20"/>
          <w:color w:val="auto"/>
        </w:rPr>
      </w:pPr>
      <w:r>
        <w:rPr>
          <w:rFonts w:ascii="Arial" w:cs="Arial" w:eastAsia="Arial" w:hAnsi="Arial"/>
          <w:sz w:val="12"/>
          <w:szCs w:val="12"/>
          <w:color w:val="auto"/>
        </w:rPr>
        <w:t>If “Other” has been checked in response to the previous question, indicate by check mark which financial statement item the registrant has elected to follow.</w:t>
      </w:r>
    </w:p>
    <w:p>
      <w:pPr>
        <w:spacing w:after="0" w:line="62"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Item 17 </w:t>
      </w:r>
      <w:r>
        <w:rPr>
          <w:rFonts w:ascii="MS PGothic" w:cs="MS PGothic" w:eastAsia="MS PGothic" w:hAnsi="MS PGothic"/>
          <w:sz w:val="13"/>
          <w:szCs w:val="13"/>
          <w:color w:val="auto"/>
        </w:rPr>
        <w:t>☐</w:t>
      </w:r>
      <w:r>
        <w:rPr>
          <w:rFonts w:ascii="Arial" w:cs="Arial" w:eastAsia="Arial" w:hAnsi="Arial"/>
          <w:sz w:val="13"/>
          <w:szCs w:val="13"/>
          <w:color w:val="auto"/>
        </w:rPr>
        <w:t xml:space="preserve"> Item 18 </w:t>
      </w:r>
      <w:r>
        <w:rPr>
          <w:rFonts w:ascii="MS PGothic" w:cs="MS PGothic" w:eastAsia="MS PGothic" w:hAnsi="MS PGothic"/>
          <w:sz w:val="13"/>
          <w:szCs w:val="13"/>
          <w:color w:val="auto"/>
        </w:rPr>
        <w:t>☐</w:t>
      </w:r>
    </w:p>
    <w:p>
      <w:pPr>
        <w:spacing w:after="0" w:line="84"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573405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60325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80645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899"/>
          </w:cols>
          <w:pgMar w:left="560" w:top="140" w:right="1440" w:bottom="1440" w:gutter="0" w:footer="0" w:header="0"/>
          <w:type w:val="continuous"/>
        </w:sectPr>
      </w:pPr>
    </w:p>
    <w:bookmarkStart w:id="2" w:name="page3"/>
    <w:bookmarkEnd w:id="2"/>
    <w:p>
      <w:pPr>
        <w:ind w:left="4860"/>
        <w:spacing w:after="0"/>
        <w:rPr>
          <w:sz w:val="20"/>
          <w:szCs w:val="20"/>
          <w:color w:val="auto"/>
        </w:rPr>
      </w:pPr>
      <w:r>
        <w:rPr>
          <w:rFonts w:ascii="Arial" w:cs="Arial" w:eastAsia="Arial" w:hAnsi="Arial"/>
          <w:sz w:val="14"/>
          <w:szCs w:val="14"/>
          <w:b w:val="1"/>
          <w:bCs w:val="1"/>
          <w:color w:val="auto"/>
        </w:rPr>
        <w:t>TABLE OF CONTENTS</w:t>
      </w:r>
    </w:p>
    <w:p>
      <w:pPr>
        <w:spacing w:after="0" w:line="6"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GlobalFoundries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112"/>
        </w:trPr>
        <w:tc>
          <w:tcPr>
            <w:tcW w:w="4660" w:type="dxa"/>
            <w:vAlign w:val="bottom"/>
            <w:tcBorders>
              <w:bottom w:val="single" w:sz="8" w:color="0000FF"/>
            </w:tcBorders>
            <w:gridSpan w:val="21"/>
          </w:tcPr>
          <w:p>
            <w:pPr>
              <w:spacing w:after="0" w:line="92" w:lineRule="exact"/>
              <w:rPr>
                <w:sz w:val="20"/>
                <w:szCs w:val="20"/>
                <w:color w:val="auto"/>
              </w:rPr>
            </w:pPr>
            <w:r>
              <w:rPr>
                <w:rFonts w:ascii="Arial" w:cs="Arial" w:eastAsia="Arial" w:hAnsi="Arial"/>
                <w:sz w:val="10"/>
                <w:szCs w:val="10"/>
                <w:color w:val="0000FF"/>
              </w:rPr>
              <w:t>CAUTIONARY STATEMENT REGARDING FORWARD-LOOKING INFORMATION</w:t>
            </w:r>
          </w:p>
        </w:tc>
        <w:tc>
          <w:tcPr>
            <w:tcW w:w="3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3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3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8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500" w:type="dxa"/>
            <w:vAlign w:val="bottom"/>
            <w:vMerge w:val="restart"/>
          </w:tcPr>
          <w:p>
            <w:pPr>
              <w:spacing w:after="0"/>
              <w:rPr>
                <w:sz w:val="9"/>
                <w:szCs w:val="9"/>
                <w:color w:val="auto"/>
              </w:rPr>
            </w:pPr>
          </w:p>
        </w:tc>
        <w:tc>
          <w:tcPr>
            <w:tcW w:w="3000" w:type="dxa"/>
            <w:vAlign w:val="bottom"/>
            <w:vMerge w:val="restart"/>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43"/>
        </w:trPr>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1580" w:type="dxa"/>
            <w:vAlign w:val="bottom"/>
            <w:gridSpan w:val="4"/>
          </w:tcPr>
          <w:p>
            <w:pPr>
              <w:spacing w:after="0" w:line="119" w:lineRule="exact"/>
              <w:rPr>
                <w:sz w:val="20"/>
                <w:szCs w:val="20"/>
                <w:color w:val="auto"/>
              </w:rPr>
            </w:pPr>
            <w:r>
              <w:rPr>
                <w:rFonts w:ascii="Arial" w:cs="Arial" w:eastAsia="Arial" w:hAnsi="Arial"/>
                <w:sz w:val="13"/>
                <w:szCs w:val="13"/>
                <w:color w:val="0000FF"/>
              </w:rPr>
              <w:t>PART I</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w:t>
            </w:r>
          </w:p>
        </w:tc>
        <w:tc>
          <w:tcPr>
            <w:tcW w:w="4080" w:type="dxa"/>
            <w:vAlign w:val="bottom"/>
            <w:tcBorders>
              <w:bottom w:val="single" w:sz="8" w:color="0000FF"/>
            </w:tcBorders>
            <w:gridSpan w:val="24"/>
          </w:tcPr>
          <w:p>
            <w:pPr>
              <w:spacing w:after="0"/>
              <w:rPr>
                <w:sz w:val="20"/>
                <w:szCs w:val="20"/>
                <w:color w:val="auto"/>
              </w:rPr>
            </w:pPr>
            <w:r>
              <w:rPr>
                <w:rFonts w:ascii="Arial" w:cs="Arial" w:eastAsia="Arial" w:hAnsi="Arial"/>
                <w:sz w:val="13"/>
                <w:szCs w:val="13"/>
                <w:color w:val="0000FF"/>
                <w:w w:val="97"/>
              </w:rPr>
              <w:t>IDENTITY OF DIRECTORS, SENIOR MANAGEMENT AND ADVISORS</w:t>
            </w:r>
          </w:p>
        </w:tc>
        <w:tc>
          <w:tcPr>
            <w:tcW w:w="4700" w:type="dxa"/>
            <w:vAlign w:val="bottom"/>
            <w:gridSpan w:val="6"/>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2.</w:t>
            </w:r>
          </w:p>
        </w:tc>
        <w:tc>
          <w:tcPr>
            <w:tcW w:w="8780" w:type="dxa"/>
            <w:vAlign w:val="bottom"/>
            <w:gridSpan w:val="30"/>
          </w:tcPr>
          <w:p>
            <w:pPr>
              <w:spacing w:after="0"/>
              <w:rPr>
                <w:sz w:val="20"/>
                <w:szCs w:val="20"/>
                <w:color w:val="auto"/>
              </w:rPr>
            </w:pPr>
            <w:r>
              <w:rPr>
                <w:rFonts w:ascii="Arial" w:cs="Arial" w:eastAsia="Arial" w:hAnsi="Arial"/>
                <w:sz w:val="13"/>
                <w:szCs w:val="13"/>
                <w:color w:val="0000FF"/>
              </w:rPr>
              <w:t>OFFER STATISTICS AND EXPECTED TIMETABLE</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3.</w:t>
            </w:r>
          </w:p>
        </w:tc>
        <w:tc>
          <w:tcPr>
            <w:tcW w:w="11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3"/>
                <w:szCs w:val="13"/>
                <w:color w:val="0000FF"/>
                <w:w w:val="96"/>
              </w:rPr>
              <w:t>KEY INFORMATION</w:t>
            </w:r>
          </w:p>
        </w:tc>
        <w:tc>
          <w:tcPr>
            <w:tcW w:w="1760" w:type="dxa"/>
            <w:vAlign w:val="bottom"/>
            <w:tcBorders>
              <w:top w:val="single" w:sz="8" w:color="0000FF"/>
            </w:tcBorders>
            <w:gridSpan w:val="13"/>
          </w:tcPr>
          <w:p>
            <w:pPr>
              <w:spacing w:after="0"/>
              <w:rPr>
                <w:sz w:val="13"/>
                <w:szCs w:val="13"/>
                <w:color w:val="auto"/>
              </w:rPr>
            </w:pPr>
          </w:p>
        </w:tc>
        <w:tc>
          <w:tcPr>
            <w:tcW w:w="5840" w:type="dxa"/>
            <w:vAlign w:val="bottom"/>
            <w:gridSpan w:val="14"/>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4.</w:t>
            </w:r>
          </w:p>
        </w:tc>
        <w:tc>
          <w:tcPr>
            <w:tcW w:w="8780" w:type="dxa"/>
            <w:vAlign w:val="bottom"/>
            <w:gridSpan w:val="30"/>
          </w:tcPr>
          <w:p>
            <w:pPr>
              <w:spacing w:after="0"/>
              <w:rPr>
                <w:sz w:val="20"/>
                <w:szCs w:val="20"/>
                <w:color w:val="auto"/>
              </w:rPr>
            </w:pPr>
            <w:r>
              <w:rPr>
                <w:rFonts w:ascii="Arial" w:cs="Arial" w:eastAsia="Arial" w:hAnsi="Arial"/>
                <w:sz w:val="13"/>
                <w:szCs w:val="13"/>
                <w:color w:val="0000FF"/>
              </w:rPr>
              <w:t>INFORMATION ON THE COMPANY</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4A.</w:t>
            </w:r>
          </w:p>
        </w:tc>
        <w:tc>
          <w:tcPr>
            <w:tcW w:w="2080" w:type="dxa"/>
            <w:vAlign w:val="bottom"/>
            <w:tcBorders>
              <w:bottom w:val="single" w:sz="8" w:color="0000FF"/>
            </w:tcBorders>
            <w:gridSpan w:val="13"/>
          </w:tcPr>
          <w:p>
            <w:pPr>
              <w:spacing w:after="0"/>
              <w:rPr>
                <w:sz w:val="20"/>
                <w:szCs w:val="20"/>
                <w:color w:val="auto"/>
              </w:rPr>
            </w:pPr>
            <w:r>
              <w:rPr>
                <w:rFonts w:ascii="Arial" w:cs="Arial" w:eastAsia="Arial" w:hAnsi="Arial"/>
                <w:sz w:val="13"/>
                <w:szCs w:val="13"/>
                <w:color w:val="0000FF"/>
                <w:w w:val="96"/>
              </w:rPr>
              <w:t>UNRESOLVED STAFF COMMENTS</w:t>
            </w:r>
          </w:p>
        </w:tc>
        <w:tc>
          <w:tcPr>
            <w:tcW w:w="6700" w:type="dxa"/>
            <w:vAlign w:val="bottom"/>
            <w:gridSpan w:val="17"/>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5.</w:t>
            </w:r>
          </w:p>
        </w:tc>
        <w:tc>
          <w:tcPr>
            <w:tcW w:w="3500" w:type="dxa"/>
            <w:vAlign w:val="bottom"/>
            <w:tcBorders>
              <w:bottom w:val="single" w:sz="8" w:color="0000FF"/>
            </w:tcBorders>
            <w:gridSpan w:val="20"/>
          </w:tcPr>
          <w:p>
            <w:pPr>
              <w:spacing w:after="0"/>
              <w:rPr>
                <w:sz w:val="20"/>
                <w:szCs w:val="20"/>
                <w:color w:val="auto"/>
              </w:rPr>
            </w:pPr>
            <w:r>
              <w:rPr>
                <w:rFonts w:ascii="Arial" w:cs="Arial" w:eastAsia="Arial" w:hAnsi="Arial"/>
                <w:sz w:val="13"/>
                <w:szCs w:val="13"/>
                <w:color w:val="0000FF"/>
                <w:w w:val="97"/>
              </w:rPr>
              <w:t>OPERATING AND FINANCIAL REVIEWS AND PROSPECTS</w:t>
            </w:r>
          </w:p>
        </w:tc>
        <w:tc>
          <w:tcPr>
            <w:tcW w:w="5280" w:type="dxa"/>
            <w:vAlign w:val="bottom"/>
            <w:gridSpan w:val="10"/>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6.</w:t>
            </w:r>
          </w:p>
        </w:tc>
        <w:tc>
          <w:tcPr>
            <w:tcW w:w="3380" w:type="dxa"/>
            <w:vAlign w:val="bottom"/>
            <w:tcBorders>
              <w:bottom w:val="single" w:sz="8" w:color="0000FF"/>
            </w:tcBorders>
            <w:gridSpan w:val="18"/>
          </w:tcPr>
          <w:p>
            <w:pPr>
              <w:spacing w:after="0"/>
              <w:rPr>
                <w:sz w:val="20"/>
                <w:szCs w:val="20"/>
                <w:color w:val="auto"/>
              </w:rPr>
            </w:pPr>
            <w:r>
              <w:rPr>
                <w:rFonts w:ascii="Arial" w:cs="Arial" w:eastAsia="Arial" w:hAnsi="Arial"/>
                <w:sz w:val="13"/>
                <w:szCs w:val="13"/>
                <w:color w:val="0000FF"/>
                <w:w w:val="97"/>
              </w:rPr>
              <w:t>DIRECTORS, SENIOR MANAGEMENT AND EMPLOYEES</w:t>
            </w:r>
          </w:p>
        </w:tc>
        <w:tc>
          <w:tcPr>
            <w:tcW w:w="5400" w:type="dxa"/>
            <w:vAlign w:val="bottom"/>
            <w:gridSpan w:val="12"/>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7.</w:t>
            </w:r>
          </w:p>
        </w:tc>
        <w:tc>
          <w:tcPr>
            <w:tcW w:w="3940" w:type="dxa"/>
            <w:vAlign w:val="bottom"/>
            <w:tcBorders>
              <w:bottom w:val="single" w:sz="8" w:color="0000FF"/>
            </w:tcBorders>
            <w:gridSpan w:val="22"/>
          </w:tcPr>
          <w:p>
            <w:pPr>
              <w:spacing w:after="0"/>
              <w:rPr>
                <w:sz w:val="20"/>
                <w:szCs w:val="20"/>
                <w:color w:val="auto"/>
              </w:rPr>
            </w:pPr>
            <w:r>
              <w:rPr>
                <w:rFonts w:ascii="Arial" w:cs="Arial" w:eastAsia="Arial" w:hAnsi="Arial"/>
                <w:sz w:val="13"/>
                <w:szCs w:val="13"/>
                <w:color w:val="0000FF"/>
                <w:w w:val="97"/>
              </w:rPr>
              <w:t>MAJOR SHAREHOLDERS AND RELATED PARTY TRANSACTIONS</w:t>
            </w:r>
          </w:p>
        </w:tc>
        <w:tc>
          <w:tcPr>
            <w:tcW w:w="4840" w:type="dxa"/>
            <w:vAlign w:val="bottom"/>
            <w:gridSpan w:val="8"/>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8.</w:t>
            </w:r>
          </w:p>
        </w:tc>
        <w:tc>
          <w:tcPr>
            <w:tcW w:w="160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w w:val="97"/>
              </w:rPr>
              <w:t>FINANCIAL INFORMATION</w:t>
            </w:r>
          </w:p>
        </w:tc>
        <w:tc>
          <w:tcPr>
            <w:tcW w:w="7180" w:type="dxa"/>
            <w:vAlign w:val="bottom"/>
            <w:gridSpan w:val="23"/>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9.</w:t>
            </w:r>
          </w:p>
        </w:tc>
        <w:tc>
          <w:tcPr>
            <w:tcW w:w="15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8"/>
              </w:rPr>
              <w:t>THE OFFER AND LISTING</w:t>
            </w:r>
          </w:p>
        </w:tc>
        <w:tc>
          <w:tcPr>
            <w:tcW w:w="7200" w:type="dxa"/>
            <w:vAlign w:val="bottom"/>
            <w:gridSpan w:val="24"/>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10.</w:t>
            </w:r>
          </w:p>
        </w:tc>
        <w:tc>
          <w:tcPr>
            <w:tcW w:w="8780" w:type="dxa"/>
            <w:vAlign w:val="bottom"/>
            <w:gridSpan w:val="30"/>
          </w:tcPr>
          <w:p>
            <w:pPr>
              <w:spacing w:after="0"/>
              <w:rPr>
                <w:sz w:val="20"/>
                <w:szCs w:val="20"/>
                <w:color w:val="auto"/>
              </w:rPr>
            </w:pPr>
            <w:r>
              <w:rPr>
                <w:rFonts w:ascii="Arial" w:cs="Arial" w:eastAsia="Arial" w:hAnsi="Arial"/>
                <w:sz w:val="13"/>
                <w:szCs w:val="13"/>
                <w:color w:val="0000FF"/>
              </w:rPr>
              <w:t>ADDITIONAL INFORMATION</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11.</w:t>
            </w:r>
          </w:p>
        </w:tc>
        <w:tc>
          <w:tcPr>
            <w:tcW w:w="4460" w:type="dxa"/>
            <w:vAlign w:val="bottom"/>
            <w:tcBorders>
              <w:bottom w:val="single" w:sz="8" w:color="0000FF"/>
            </w:tcBorders>
            <w:gridSpan w:val="25"/>
          </w:tcPr>
          <w:p>
            <w:pPr>
              <w:spacing w:after="0"/>
              <w:rPr>
                <w:sz w:val="20"/>
                <w:szCs w:val="20"/>
                <w:color w:val="auto"/>
              </w:rPr>
            </w:pPr>
            <w:r>
              <w:rPr>
                <w:rFonts w:ascii="Arial" w:cs="Arial" w:eastAsia="Arial" w:hAnsi="Arial"/>
                <w:sz w:val="13"/>
                <w:szCs w:val="13"/>
                <w:color w:val="0000FF"/>
                <w:w w:val="96"/>
              </w:rPr>
              <w:t>QUANTITATIVE AND QUALITATIVE DISCLOSURES ABOUT MARKET RISKS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12.</w:t>
            </w:r>
          </w:p>
        </w:tc>
        <w:tc>
          <w:tcPr>
            <w:tcW w:w="8780" w:type="dxa"/>
            <w:vAlign w:val="bottom"/>
            <w:gridSpan w:val="30"/>
          </w:tcPr>
          <w:p>
            <w:pPr>
              <w:spacing w:after="0"/>
              <w:rPr>
                <w:sz w:val="20"/>
                <w:szCs w:val="20"/>
                <w:color w:val="auto"/>
              </w:rPr>
            </w:pPr>
            <w:r>
              <w:rPr>
                <w:rFonts w:ascii="Arial" w:cs="Arial" w:eastAsia="Arial" w:hAnsi="Arial"/>
                <w:sz w:val="13"/>
                <w:szCs w:val="13"/>
                <w:color w:val="0000FF"/>
              </w:rPr>
              <w:t>DESCRIPTION OF SECURITIES OTHER THAN EQUITY SECURITIES</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0"/>
        </w:trPr>
        <w:tc>
          <w:tcPr>
            <w:tcW w:w="1580" w:type="dxa"/>
            <w:vAlign w:val="bottom"/>
            <w:gridSpan w:val="4"/>
          </w:tcPr>
          <w:p>
            <w:pPr>
              <w:spacing w:after="0" w:line="141" w:lineRule="exact"/>
              <w:rPr>
                <w:sz w:val="20"/>
                <w:szCs w:val="20"/>
                <w:color w:val="auto"/>
              </w:rPr>
            </w:pPr>
            <w:r>
              <w:rPr>
                <w:rFonts w:ascii="Arial" w:cs="Arial" w:eastAsia="Arial" w:hAnsi="Arial"/>
                <w:sz w:val="13"/>
                <w:szCs w:val="13"/>
                <w:color w:val="0000FF"/>
              </w:rPr>
              <w:t>PART II</w:t>
            </w:r>
          </w:p>
        </w:tc>
        <w:tc>
          <w:tcPr>
            <w:tcW w:w="5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13.</w:t>
            </w:r>
          </w:p>
        </w:tc>
        <w:tc>
          <w:tcPr>
            <w:tcW w:w="3620" w:type="dxa"/>
            <w:vAlign w:val="bottom"/>
            <w:tcBorders>
              <w:bottom w:val="single" w:sz="8" w:color="0000FF"/>
            </w:tcBorders>
            <w:gridSpan w:val="21"/>
          </w:tcPr>
          <w:p>
            <w:pPr>
              <w:spacing w:after="0"/>
              <w:rPr>
                <w:sz w:val="20"/>
                <w:szCs w:val="20"/>
                <w:color w:val="auto"/>
              </w:rPr>
            </w:pPr>
            <w:r>
              <w:rPr>
                <w:rFonts w:ascii="Arial" w:cs="Arial" w:eastAsia="Arial" w:hAnsi="Arial"/>
                <w:sz w:val="13"/>
                <w:szCs w:val="13"/>
                <w:color w:val="0000FF"/>
                <w:w w:val="96"/>
              </w:rPr>
              <w:t>DEFAULTS, DIVIDEND ARREARAGES AND DELINQUENCIES</w:t>
            </w:r>
          </w:p>
        </w:tc>
        <w:tc>
          <w:tcPr>
            <w:tcW w:w="86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14.</w:t>
            </w:r>
          </w:p>
        </w:tc>
        <w:tc>
          <w:tcPr>
            <w:tcW w:w="8780" w:type="dxa"/>
            <w:vAlign w:val="bottom"/>
            <w:gridSpan w:val="30"/>
          </w:tcPr>
          <w:p>
            <w:pPr>
              <w:spacing w:after="0"/>
              <w:rPr>
                <w:sz w:val="20"/>
                <w:szCs w:val="20"/>
                <w:color w:val="auto"/>
              </w:rPr>
            </w:pPr>
            <w:r>
              <w:rPr>
                <w:rFonts w:ascii="Arial" w:cs="Arial" w:eastAsia="Arial" w:hAnsi="Arial"/>
                <w:sz w:val="13"/>
                <w:szCs w:val="13"/>
                <w:color w:val="0000FF"/>
              </w:rPr>
              <w:t>MATERIAL MODIFICATIONS TO THE RIGHTS OF SECURITY HOLDERS AND USE OF PROCEEDS</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15.</w:t>
            </w:r>
          </w:p>
        </w:tc>
        <w:tc>
          <w:tcPr>
            <w:tcW w:w="5780" w:type="dxa"/>
            <w:vAlign w:val="bottom"/>
            <w:tcBorders>
              <w:top w:val="single" w:sz="8" w:color="0000FF"/>
            </w:tcBorders>
            <w:gridSpan w:val="29"/>
          </w:tcPr>
          <w:p>
            <w:pPr>
              <w:spacing w:after="0"/>
              <w:rPr>
                <w:sz w:val="20"/>
                <w:szCs w:val="20"/>
                <w:color w:val="auto"/>
              </w:rPr>
            </w:pPr>
            <w:r>
              <w:rPr>
                <w:rFonts w:ascii="Arial" w:cs="Arial" w:eastAsia="Arial" w:hAnsi="Arial"/>
                <w:sz w:val="13"/>
                <w:szCs w:val="13"/>
                <w:color w:val="0000FF"/>
              </w:rPr>
              <w:t>CONTROLS AND PROCEDURES</w:t>
            </w:r>
          </w:p>
        </w:tc>
        <w:tc>
          <w:tcPr>
            <w:tcW w:w="3000" w:type="dxa"/>
            <w:vAlign w:val="bottom"/>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16A.</w:t>
            </w:r>
          </w:p>
        </w:tc>
        <w:tc>
          <w:tcPr>
            <w:tcW w:w="8780" w:type="dxa"/>
            <w:vAlign w:val="bottom"/>
            <w:gridSpan w:val="30"/>
          </w:tcPr>
          <w:p>
            <w:pPr>
              <w:spacing w:after="0"/>
              <w:rPr>
                <w:sz w:val="20"/>
                <w:szCs w:val="20"/>
                <w:color w:val="auto"/>
              </w:rPr>
            </w:pPr>
            <w:r>
              <w:rPr>
                <w:rFonts w:ascii="Arial" w:cs="Arial" w:eastAsia="Arial" w:hAnsi="Arial"/>
                <w:sz w:val="13"/>
                <w:szCs w:val="13"/>
                <w:color w:val="0000FF"/>
              </w:rPr>
              <w:t>AUDIT COMMITTEE FINANCIAL EXPERT</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16B.</w:t>
            </w:r>
          </w:p>
        </w:tc>
        <w:tc>
          <w:tcPr>
            <w:tcW w:w="2420" w:type="dxa"/>
            <w:vAlign w:val="bottom"/>
            <w:tcBorders>
              <w:top w:val="single" w:sz="8" w:color="0000FF"/>
            </w:tcBorders>
            <w:gridSpan w:val="14"/>
          </w:tcPr>
          <w:p>
            <w:pPr>
              <w:spacing w:after="0"/>
              <w:rPr>
                <w:sz w:val="20"/>
                <w:szCs w:val="20"/>
                <w:color w:val="auto"/>
              </w:rPr>
            </w:pPr>
            <w:r>
              <w:rPr>
                <w:rFonts w:ascii="Arial" w:cs="Arial" w:eastAsia="Arial" w:hAnsi="Arial"/>
                <w:sz w:val="13"/>
                <w:szCs w:val="13"/>
                <w:color w:val="0000FF"/>
              </w:rPr>
              <w:t>CODE OF ETHICS</w:t>
            </w:r>
          </w:p>
        </w:tc>
        <w:tc>
          <w:tcPr>
            <w:tcW w:w="6360" w:type="dxa"/>
            <w:vAlign w:val="bottom"/>
            <w:gridSpan w:val="16"/>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16C.</w:t>
            </w:r>
          </w:p>
        </w:tc>
        <w:tc>
          <w:tcPr>
            <w:tcW w:w="8780" w:type="dxa"/>
            <w:vAlign w:val="bottom"/>
            <w:gridSpan w:val="30"/>
          </w:tcPr>
          <w:p>
            <w:pPr>
              <w:spacing w:after="0"/>
              <w:rPr>
                <w:sz w:val="20"/>
                <w:szCs w:val="20"/>
                <w:color w:val="auto"/>
              </w:rPr>
            </w:pPr>
            <w:r>
              <w:rPr>
                <w:rFonts w:ascii="Arial" w:cs="Arial" w:eastAsia="Arial" w:hAnsi="Arial"/>
                <w:sz w:val="13"/>
                <w:szCs w:val="13"/>
                <w:color w:val="0000FF"/>
              </w:rPr>
              <w:t>PRINCIPAL ACCOUNTANT FEES AND SERVICES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16D.</w:t>
            </w:r>
          </w:p>
        </w:tc>
        <w:tc>
          <w:tcPr>
            <w:tcW w:w="8780" w:type="dxa"/>
            <w:vAlign w:val="bottom"/>
            <w:gridSpan w:val="30"/>
          </w:tcPr>
          <w:p>
            <w:pPr>
              <w:spacing w:after="0"/>
              <w:rPr>
                <w:sz w:val="20"/>
                <w:szCs w:val="20"/>
                <w:color w:val="auto"/>
              </w:rPr>
            </w:pPr>
            <w:r>
              <w:rPr>
                <w:rFonts w:ascii="Arial" w:cs="Arial" w:eastAsia="Arial" w:hAnsi="Arial"/>
                <w:sz w:val="13"/>
                <w:szCs w:val="13"/>
                <w:color w:val="0000FF"/>
              </w:rPr>
              <w:t>EXEMPTIONS FROM THE LISTING STANDARDS FOR AUDIT COMMITTEES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line="20" w:lineRule="exact"/>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16E.</w:t>
            </w:r>
          </w:p>
        </w:tc>
        <w:tc>
          <w:tcPr>
            <w:tcW w:w="8780" w:type="dxa"/>
            <w:vAlign w:val="bottom"/>
            <w:gridSpan w:val="30"/>
          </w:tcPr>
          <w:p>
            <w:pPr>
              <w:spacing w:after="0"/>
              <w:rPr>
                <w:sz w:val="20"/>
                <w:szCs w:val="20"/>
                <w:color w:val="auto"/>
              </w:rPr>
            </w:pPr>
            <w:r>
              <w:rPr>
                <w:rFonts w:ascii="Arial" w:cs="Arial" w:eastAsia="Arial" w:hAnsi="Arial"/>
                <w:sz w:val="13"/>
                <w:szCs w:val="13"/>
                <w:color w:val="0000FF"/>
              </w:rPr>
              <w:t>PURCHASES OF EQUITY SECURITIES BY THE ISSUER AND AFFILIATED PURCHASERS</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16F.</w:t>
            </w:r>
          </w:p>
        </w:tc>
        <w:tc>
          <w:tcPr>
            <w:tcW w:w="340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3"/>
                <w:szCs w:val="13"/>
                <w:color w:val="0000FF"/>
                <w:w w:val="97"/>
              </w:rPr>
              <w:t>CHANGE IN REGISTRANT’S CERTIFYING ACCOUNTANT</w:t>
            </w:r>
          </w:p>
        </w:tc>
        <w:tc>
          <w:tcPr>
            <w:tcW w:w="1880" w:type="dxa"/>
            <w:vAlign w:val="bottom"/>
            <w:tcBorders>
              <w:top w:val="single" w:sz="8" w:color="0000FF"/>
            </w:tcBorders>
            <w:gridSpan w:val="9"/>
          </w:tcPr>
          <w:p>
            <w:pPr>
              <w:spacing w:after="0"/>
              <w:rPr>
                <w:sz w:val="13"/>
                <w:szCs w:val="13"/>
                <w:color w:val="auto"/>
              </w:rPr>
            </w:pPr>
          </w:p>
        </w:tc>
        <w:tc>
          <w:tcPr>
            <w:tcW w:w="3500" w:type="dxa"/>
            <w:vAlign w:val="bottom"/>
            <w:gridSpan w:val="2"/>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16G.</w:t>
            </w:r>
          </w:p>
        </w:tc>
        <w:tc>
          <w:tcPr>
            <w:tcW w:w="174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6"/>
              </w:rPr>
              <w:t>CORPORATE GOVERNANCE</w:t>
            </w:r>
          </w:p>
        </w:tc>
        <w:tc>
          <w:tcPr>
            <w:tcW w:w="7040" w:type="dxa"/>
            <w:vAlign w:val="bottom"/>
            <w:gridSpan w:val="20"/>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16H.</w:t>
            </w:r>
          </w:p>
        </w:tc>
        <w:tc>
          <w:tcPr>
            <w:tcW w:w="172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7"/>
              </w:rPr>
              <w:t>MINE SAFETY DISCLOSURE</w:t>
            </w:r>
          </w:p>
        </w:tc>
        <w:tc>
          <w:tcPr>
            <w:tcW w:w="7060" w:type="dxa"/>
            <w:vAlign w:val="bottom"/>
            <w:gridSpan w:val="21"/>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0"/>
        </w:trPr>
        <w:tc>
          <w:tcPr>
            <w:tcW w:w="1580" w:type="dxa"/>
            <w:vAlign w:val="bottom"/>
            <w:gridSpan w:val="4"/>
          </w:tcPr>
          <w:p>
            <w:pPr>
              <w:ind w:left="200"/>
              <w:spacing w:after="0"/>
              <w:rPr>
                <w:sz w:val="20"/>
                <w:szCs w:val="20"/>
                <w:color w:val="auto"/>
              </w:rPr>
            </w:pPr>
            <w:r>
              <w:rPr>
                <w:rFonts w:ascii="Arial" w:cs="Arial" w:eastAsia="Arial" w:hAnsi="Arial"/>
                <w:sz w:val="13"/>
                <w:szCs w:val="13"/>
                <w:color w:val="auto"/>
              </w:rPr>
              <w:t>ITEM 16I.</w:t>
            </w:r>
          </w:p>
        </w:tc>
        <w:tc>
          <w:tcPr>
            <w:tcW w:w="8780" w:type="dxa"/>
            <w:vAlign w:val="bottom"/>
            <w:gridSpan w:val="30"/>
          </w:tcPr>
          <w:p>
            <w:pPr>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0"/>
        </w:trPr>
        <w:tc>
          <w:tcPr>
            <w:tcW w:w="480" w:type="dxa"/>
            <w:vAlign w:val="bottom"/>
            <w:tcBorders>
              <w:bottom w:val="single" w:sz="8" w:color="0000FF"/>
            </w:tcBorders>
            <w:gridSpan w:val="3"/>
          </w:tcPr>
          <w:p>
            <w:pPr>
              <w:spacing w:after="0" w:line="141" w:lineRule="exact"/>
              <w:rPr>
                <w:sz w:val="20"/>
                <w:szCs w:val="20"/>
                <w:color w:val="auto"/>
              </w:rPr>
            </w:pPr>
            <w:r>
              <w:rPr>
                <w:rFonts w:ascii="Arial" w:cs="Arial" w:eastAsia="Arial" w:hAnsi="Arial"/>
                <w:sz w:val="13"/>
                <w:szCs w:val="13"/>
                <w:color w:val="0000FF"/>
                <w:w w:val="93"/>
              </w:rPr>
              <w:t>PART III</w:t>
            </w:r>
          </w:p>
        </w:tc>
        <w:tc>
          <w:tcPr>
            <w:tcW w:w="110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17.</w:t>
            </w:r>
          </w:p>
        </w:tc>
        <w:tc>
          <w:tcPr>
            <w:tcW w:w="156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6"/>
              </w:rPr>
              <w:t>FINANCIAL STATEMENTS</w:t>
            </w:r>
          </w:p>
        </w:tc>
        <w:tc>
          <w:tcPr>
            <w:tcW w:w="7220" w:type="dxa"/>
            <w:vAlign w:val="bottom"/>
            <w:gridSpan w:val="25"/>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18.</w:t>
            </w:r>
          </w:p>
        </w:tc>
        <w:tc>
          <w:tcPr>
            <w:tcW w:w="154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5"/>
              </w:rPr>
              <w:t>FINANCIAL STATEMENTS</w:t>
            </w:r>
          </w:p>
        </w:tc>
        <w:tc>
          <w:tcPr>
            <w:tcW w:w="7240" w:type="dxa"/>
            <w:vAlign w:val="bottom"/>
            <w:gridSpan w:val="26"/>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0"/>
        </w:trPr>
        <w:tc>
          <w:tcPr>
            <w:tcW w:w="1580" w:type="dxa"/>
            <w:vAlign w:val="bottom"/>
            <w:gridSpan w:val="4"/>
          </w:tcPr>
          <w:p>
            <w:pPr>
              <w:ind w:left="180"/>
              <w:spacing w:after="0"/>
              <w:rPr>
                <w:sz w:val="20"/>
                <w:szCs w:val="20"/>
                <w:color w:val="auto"/>
              </w:rPr>
            </w:pPr>
            <w:r>
              <w:rPr>
                <w:rFonts w:ascii="Arial" w:cs="Arial" w:eastAsia="Arial" w:hAnsi="Arial"/>
                <w:sz w:val="13"/>
                <w:szCs w:val="13"/>
                <w:color w:val="auto"/>
              </w:rPr>
              <w:t>ITEM 19.</w:t>
            </w:r>
          </w:p>
        </w:tc>
        <w:tc>
          <w:tcPr>
            <w:tcW w:w="58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4"/>
              </w:rPr>
              <w:t>EXHIBITS</w:t>
            </w:r>
          </w:p>
        </w:tc>
        <w:tc>
          <w:tcPr>
            <w:tcW w:w="8200" w:type="dxa"/>
            <w:vAlign w:val="bottom"/>
            <w:gridSpan w:val="29"/>
          </w:tcPr>
          <w:p>
            <w:pPr>
              <w:spacing w:after="0"/>
              <w:rPr>
                <w:sz w:val="13"/>
                <w:szCs w:val="13"/>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46990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CAUTIONARY STATEMENT REGARDING FORWARD-LOOKING INFORMATION</w:t>
      </w:r>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Certain statements in this Annual Report on Form 20-F (the “Annual Report”) are or may be deemed to be, “forward-looking statements” within the meaning of U.S. securities laws. These forward-looking statements are based on current expectations, estimates, forecasts, and projections. These forward-looking statements appear in a number of places throughout this Annual Report including, but not limited to “Risk Factors,” “Business Overview,” and “Results of Operations.” Words such as “expect,” “anticipate,” “should,” “believe,” “hope,” “target,” “project,” “goals,” “estimate,” “potential,” “predict,” “may,” “will,” “might,” “could,” “intend,” “shall” and variations of these terms and similar expressions are intended to identify these forward-looking statements, although not all forward-looking statements contain these identifying words. Forward-looking statements are based on our management’s beliefs and assumptions and on information currently available to our management.</w:t>
      </w:r>
    </w:p>
    <w:p>
      <w:pPr>
        <w:spacing w:after="0" w:line="14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industries in which we operate may differ materially from those made in or suggested by the forward-looking statements contained in this Annual Report. Important factors that could cause those differences include, but are not limited to:</w:t>
      </w:r>
    </w:p>
    <w:p>
      <w:pPr>
        <w:spacing w:after="0" w:line="86"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general global economic and geopolitical conditions;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meet production requirements under long-term supply agreements (“LTAs”);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business and operating strategies and plans for the development of existing and new businesses, ability to implement such strategies and plans and expected time;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reliance on a small number of customers;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future business development, financial condition, and results of operations;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seasonality, volatility and cyclical nature of the semiconductor and microelectronics industry;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expected changes in our revenue, costs or expenditures;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dividend policy;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assumptions and estimates regarding design wins;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expectations regarding demand for and market acceptance of our products and services;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expectations regarding our relationships with customers, contract manufacturers, component suppliers, third-party service providers, strategic partners and other stakeholders;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expectations regarding our capacity to develop, manufacture and deliver semiconductor products in fulfillment of our contractual commitments;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conduct our manufacturing operations without disruptions;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manage our capacity and production facilities effectively;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develop new technologies successfully and remain a technological leader;</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maintain control over expansion and facility modifications;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generate growth or profitable growth;</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maintain and protect our intellectual property;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hire and maintain qualified personnel;</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effective tax rate or tax liability;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acquire required equipment and supplies necessary to meet customer demand;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increased competition from other companies and our ability to retain and increase our market share;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potential business or economic disruptions caused by current and future pandemics, such as the ongoing COVID-19 pandemic;</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developments in, or changes to, laws, regulations, governmental policies, incentives and taxation affecting our operations relating to our industry;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assumptions underlying or related to any of the foregoing.</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We caution you that the foregoing list does not contain all of the forward-looking statements made in this Annual Report.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13"/>
          <w:szCs w:val="13"/>
          <w:color w:val="auto"/>
        </w:rPr>
        <w:t>Forward-looking statements include, but are not limited to, statements regarding our strategy and future plans, future business condition and financial results, our capital expenditure plans, our capacity management plans, expectations as to the commercial production using more advanced technologies, technological upgrades, investment in research and development, future market demand, future regulatory or other developments in our industry, business expansion plans or new investments as well as business acquisitions and financing plans. Please see “Item 3. Key Information—Risk Factors” for a further discussion of certain factors that may cause actual results to differ materially from those indicated by our forward-looking statements. Accordingly, you should not place undue reliance on these forward-looking statements. In any event, these statements speak only as of their dates, and we undertake no obligation to update or revise any of them, whether as a result of new information, future events or otherwise.</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As used in this Annual Report, all references to “we”, “us”, “our”, the “Company” and "GF” are to GlobalFoundries Inc. and its consolidated subsidiaries.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PART I</w:t>
      </w:r>
    </w:p>
    <w:p>
      <w:pPr>
        <w:spacing w:after="0" w:line="254"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IDENTITY OF DIRECTORS, SENIOR MANAGEMENT AND ADVISORS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 applicable.</w:t>
      </w:r>
    </w:p>
    <w:p>
      <w:pPr>
        <w:spacing w:after="0" w:line="238"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OFFER STATISTICS AND EXPECTED TIMETABLE</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 applicable.</w:t>
      </w:r>
    </w:p>
    <w:p>
      <w:pPr>
        <w:spacing w:after="0" w:line="238"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color w:val="auto"/>
        </w:rPr>
        <w:t>KEY INFORMATION</w:t>
      </w:r>
    </w:p>
    <w:p>
      <w:pPr>
        <w:spacing w:after="0" w:line="84" w:lineRule="exact"/>
        <w:rPr>
          <w:sz w:val="20"/>
          <w:szCs w:val="20"/>
          <w:color w:val="auto"/>
        </w:rPr>
      </w:pPr>
    </w:p>
    <w:p>
      <w:pPr>
        <w:ind w:left="260" w:hanging="255"/>
        <w:spacing w:after="0"/>
        <w:tabs>
          <w:tab w:leader="none" w:pos="26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Reserved.</w:t>
      </w:r>
    </w:p>
    <w:p>
      <w:pPr>
        <w:spacing w:after="0" w:line="264" w:lineRule="exact"/>
        <w:rPr>
          <w:rFonts w:ascii="Arial" w:cs="Arial" w:eastAsia="Arial" w:hAnsi="Arial"/>
          <w:sz w:val="13"/>
          <w:szCs w:val="13"/>
          <w:b w:val="1"/>
          <w:bCs w:val="1"/>
          <w:color w:val="auto"/>
        </w:rPr>
      </w:pPr>
    </w:p>
    <w:p>
      <w:pPr>
        <w:ind w:left="260" w:right="9080" w:hanging="255"/>
        <w:spacing w:after="0" w:line="406" w:lineRule="auto"/>
        <w:tabs>
          <w:tab w:leader="none" w:pos="26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Capitalization and Indebtedness </w:t>
      </w:r>
      <w:r>
        <w:rPr>
          <w:rFonts w:ascii="Arial" w:cs="Arial" w:eastAsia="Arial" w:hAnsi="Arial"/>
          <w:sz w:val="13"/>
          <w:szCs w:val="13"/>
          <w:color w:val="auto"/>
        </w:rPr>
        <w:t>Not applicable.</w:t>
      </w:r>
    </w:p>
    <w:p>
      <w:pPr>
        <w:spacing w:after="0" w:line="141" w:lineRule="exact"/>
        <w:rPr>
          <w:rFonts w:ascii="Arial" w:cs="Arial" w:eastAsia="Arial" w:hAnsi="Arial"/>
          <w:sz w:val="13"/>
          <w:szCs w:val="13"/>
          <w:b w:val="1"/>
          <w:bCs w:val="1"/>
          <w:color w:val="auto"/>
        </w:rPr>
      </w:pPr>
    </w:p>
    <w:p>
      <w:pPr>
        <w:ind w:left="260" w:right="8420" w:hanging="255"/>
        <w:spacing w:after="0" w:line="406" w:lineRule="auto"/>
        <w:tabs>
          <w:tab w:leader="none" w:pos="26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Reasons for the Offer and Use of Proceeds </w:t>
      </w:r>
      <w:r>
        <w:rPr>
          <w:rFonts w:ascii="Arial" w:cs="Arial" w:eastAsia="Arial" w:hAnsi="Arial"/>
          <w:sz w:val="13"/>
          <w:szCs w:val="13"/>
          <w:color w:val="auto"/>
        </w:rPr>
        <w:t>Not applicable.</w:t>
      </w:r>
    </w:p>
    <w:p>
      <w:pPr>
        <w:spacing w:after="0" w:line="130" w:lineRule="exact"/>
        <w:rPr>
          <w:rFonts w:ascii="Arial" w:cs="Arial" w:eastAsia="Arial" w:hAnsi="Arial"/>
          <w:sz w:val="13"/>
          <w:szCs w:val="13"/>
          <w:b w:val="1"/>
          <w:bCs w:val="1"/>
          <w:color w:val="auto"/>
        </w:rPr>
      </w:pPr>
    </w:p>
    <w:p>
      <w:pPr>
        <w:ind w:left="260" w:hanging="255"/>
        <w:spacing w:after="0"/>
        <w:tabs>
          <w:tab w:leader="none" w:pos="26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Risk Factors Summary</w:t>
      </w:r>
    </w:p>
    <w:p>
      <w:pPr>
        <w:spacing w:after="0" w:line="1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following important factors, and those factors described in other reports submitted to, or filed with, the SEC, among other factors, could affect our actual results and could cause our actual results to differ materially from those expressed in any forward-looking statements made by us or on our behalf, and such factors may adversely affect our business and financial status and therefore the value of your investment:</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Risks Related to our Business and Industry</w:t>
      </w:r>
    </w:p>
    <w:p>
      <w:pPr>
        <w:spacing w:after="0" w:line="96"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General global economic and geopolitical conditions could materially and adversely affect us.</w:t>
      </w:r>
    </w:p>
    <w:p>
      <w:pPr>
        <w:spacing w:after="0" w:line="94"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have LTAs with certain customers that obligate us to meet specific production requirements, which may expose us to liquidated and other damages, require us to return advanced payments, require us to provide products and services at reduced or negative margins and constrain our ability to reallocate our production capacity to serve new customers or otherwise.</w:t>
      </w:r>
    </w:p>
    <w:p>
      <w:pPr>
        <w:spacing w:after="0" w:line="77"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strategy of securing and maintaining LTAs and expanding our production capacity may not be successful.</w:t>
      </w:r>
    </w:p>
    <w:p>
      <w:pPr>
        <w:spacing w:after="0" w:line="94"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depend on a small number of customers for a significant portion of our revenue and any loss of this or our other key customers, including potentially through further customer consolidation, could result in significant declines in our revenue.</w:t>
      </w:r>
    </w:p>
    <w:p>
      <w:pPr>
        <w:spacing w:after="0" w:line="88"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rely on a complex silicon supply chain and breakdowns in that chain could affect our ability to produce our products.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Reductions in demand and average selling prices for our customers’ end products (e.g., consumer electronics) and increases in inflation may decrease demand for our products and services.</w:t>
      </w:r>
    </w:p>
    <w:p>
      <w:pPr>
        <w:spacing w:after="0" w:line="95" w:lineRule="exact"/>
        <w:rPr>
          <w:rFonts w:ascii="Arial" w:cs="Arial" w:eastAsia="Arial" w:hAnsi="Arial"/>
          <w:sz w:val="12"/>
          <w:szCs w:val="12"/>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seasonality and cyclical nature of the semiconductor industry and periodic overcapacity make us vulnerable to significant and sometimes prolonged economic downturns.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Overcapacity in the semiconductor industry may reduce our revenue, earnings and margins.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competitors have announced expansions and may continue to expand in the United States and Europe, which could materially and adversely affect our competitive position.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semiconductor industry is capital-intensive and, if we are unable to invest the necessary capital to operate and grow our business, we may not remain competitive.</w:t>
      </w:r>
    </w:p>
    <w:p>
      <w:pPr>
        <w:spacing w:after="0" w:line="83"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may not be able to implement our planned growth and development or maintain the differentiation of our solutions if we are unable to recruit and retain key executives, managers and skilled technical personnel.</w:t>
      </w:r>
    </w:p>
    <w:p>
      <w:pPr>
        <w:spacing w:after="0" w:line="88"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receive subsidies and grants in certain countries and regions in which we operate, and a reduction in the amount of governmental funding available to us or demands for repayment could increase our costs and affect our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6" w:name="page7"/>
    <w:bookmarkEnd w:id="6"/>
    <w:p>
      <w:pPr>
        <w:ind w:left="520" w:hanging="260"/>
        <w:spacing w:after="0" w:line="244"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Sales to government entities and highly regulated organizations are subject to a number of challenges and added risks, and we could fail to comply with these heightened compliance requirements, or effectively manage these challenges or risks.</w:t>
      </w:r>
    </w:p>
    <w:p>
      <w:pPr>
        <w:spacing w:after="0" w:line="88"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implementation of our restructuring plan is ongoing, and we may not achieve all of the plan’s expected benefits, which could have a material adverse effect on our business, operations, financial conditions and results of operation.</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Risks Related to Manufacturing, Operations and Expansion</w:t>
      </w:r>
    </w:p>
    <w:p>
      <w:pPr>
        <w:spacing w:after="0" w:line="96"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If we are unable to manage our capacity and production facilities effectively, our competitiveness may be weakened.</w:t>
      </w:r>
    </w:p>
    <w:p>
      <w:pPr>
        <w:spacing w:after="0" w:line="83" w:lineRule="exact"/>
        <w:rPr>
          <w:rFonts w:ascii="Arial" w:cs="Arial" w:eastAsia="Arial" w:hAnsi="Arial"/>
          <w:sz w:val="13"/>
          <w:szCs w:val="13"/>
          <w:color w:val="auto"/>
        </w:rPr>
      </w:pPr>
    </w:p>
    <w:p>
      <w:pPr>
        <w:ind w:left="520" w:hanging="260"/>
        <w:spacing w:after="0" w:line="261"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manufacturing processes are highly complex, costly and potentially vulnerable to impurities and other disruptions, and cost increases, which can significantly increase our costs and delay product shipments to our customers.</w:t>
      </w:r>
    </w:p>
    <w:p>
      <w:pPr>
        <w:spacing w:after="0" w:line="67" w:lineRule="exact"/>
        <w:rPr>
          <w:rFonts w:ascii="Arial" w:cs="Arial" w:eastAsia="Arial" w:hAnsi="Arial"/>
          <w:sz w:val="13"/>
          <w:szCs w:val="13"/>
          <w:color w:val="auto"/>
        </w:rPr>
      </w:pPr>
    </w:p>
    <w:p>
      <w:pPr>
        <w:ind w:left="520" w:hanging="260"/>
        <w:spacing w:after="0" w:line="261"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profit margin may substantially decline if we are unable to continually improve our manufacturing yields, maintain high shipment utilization or fail to optimize the process technology mix of our wafer production.</w:t>
      </w:r>
    </w:p>
    <w:p>
      <w:pPr>
        <w:spacing w:after="0" w:line="67"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may be unable to obtain manufacturing equipment in a timely manner and at a reasonable cost that is necessary for us to remain competitive. If we are unable to obtain adequate supplies of raw materials in a timely manner and at commercially reasonable prices, our revenue and profitability may decline.</w:t>
      </w:r>
    </w:p>
    <w:p>
      <w:pPr>
        <w:spacing w:after="0" w:line="88"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If we are unable to obtain adequate supplies of raw materials in a timely manner and at commercially reasonable prices, our revenue and profitability may decline.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Aging infrastructure, power grids and risks to the supply of natural gas, electricity or fresh water could interrupt production.</w:t>
      </w:r>
    </w:p>
    <w:p>
      <w:pPr>
        <w:spacing w:after="0" w:line="83" w:lineRule="exact"/>
        <w:rPr>
          <w:rFonts w:ascii="Arial" w:cs="Arial" w:eastAsia="Arial" w:hAnsi="Arial"/>
          <w:sz w:val="13"/>
          <w:szCs w:val="13"/>
          <w:color w:val="auto"/>
        </w:rPr>
      </w:pPr>
    </w:p>
    <w:p>
      <w:pPr>
        <w:ind w:left="520" w:hanging="260"/>
        <w:spacing w:after="0" w:line="261"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Failure to adjust our supply chain volume due to changing market conditions or failure to estimate our customers’ demand could adversely affect our sales and/or our gross margin and could result in additional charges for obsolete or excess inventories or non-cancelable purchase commitments.</w:t>
      </w:r>
    </w:p>
    <w:p>
      <w:pPr>
        <w:spacing w:after="0" w:line="67" w:lineRule="exact"/>
        <w:rPr>
          <w:rFonts w:ascii="Arial" w:cs="Arial" w:eastAsia="Arial" w:hAnsi="Arial"/>
          <w:sz w:val="13"/>
          <w:szCs w:val="13"/>
          <w:color w:val="auto"/>
        </w:rPr>
      </w:pPr>
    </w:p>
    <w:p>
      <w:pPr>
        <w:jc w:val="both"/>
        <w:ind w:left="520" w:hanging="260"/>
        <w:spacing w:after="0" w:line="249"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w:t>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Risks Related to Intellectual Property</w:t>
      </w:r>
    </w:p>
    <w:p>
      <w:pPr>
        <w:spacing w:after="0" w:line="107"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Any failure to obtain, maintain, protect or enforce our intellectual property and proprietary rights could impair our ability to protect our proprietary technology and our brand.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a risk that our trade secrets, know-how and other proprietary information will be stolen, used in an unauthorized manner, or compromised.</w:t>
      </w:r>
    </w:p>
    <w:p>
      <w:pPr>
        <w:spacing w:after="0" w:line="94"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laws of some foreign countries may not be as protective of intellectual property rights as those in the United States, and mechanisms for enforcement of intellectual property rights may be inadequate.</w:t>
      </w:r>
    </w:p>
    <w:p>
      <w:pPr>
        <w:spacing w:after="0" w:line="77"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have been, and may continue to be, subject to intellectual property disputes, which are costly and may subject us to significant liability and increased costs of doing business.</w:t>
      </w:r>
    </w:p>
    <w:p>
      <w:pPr>
        <w:spacing w:after="0" w:line="94"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88"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may be unable to provide technology to our customers if we lose the support of our technology partners.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Political, Regulatory and Legal Risks</w:t>
      </w:r>
    </w:p>
    <w:p>
      <w:pPr>
        <w:spacing w:after="0" w:line="96"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are subject to governmental export and customs compliance requirements that could impair our ability to compete in international markets or subject us to liability if we violate the controls.</w:t>
      </w:r>
    </w:p>
    <w:p>
      <w:pPr>
        <w:spacing w:after="0" w:line="106" w:lineRule="exact"/>
        <w:rPr>
          <w:rFonts w:ascii="Arial" w:cs="Arial" w:eastAsia="Arial" w:hAnsi="Arial"/>
          <w:sz w:val="12"/>
          <w:szCs w:val="12"/>
          <w:color w:val="auto"/>
        </w:rPr>
      </w:pPr>
    </w:p>
    <w:p>
      <w:pPr>
        <w:ind w:left="520" w:hanging="260"/>
        <w:spacing w:after="0" w:line="244"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are currently are, and may in the future continue to be, subject to litigation that could result in substantial costs, divert or continue to divert management’s attention and resources, and materially and adversely affect our results of operations, financial condition, business and prospects.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i w:val="1"/>
          <w:iCs w:val="1"/>
          <w:color w:val="auto"/>
        </w:rPr>
        <w:t>Risks Related to Our Status as a Controlled Company and Foreign Private Issuer</w:t>
      </w:r>
    </w:p>
    <w:p>
      <w:pPr>
        <w:spacing w:after="0" w:line="96" w:lineRule="exact"/>
        <w:rPr>
          <w:sz w:val="20"/>
          <w:szCs w:val="20"/>
          <w:color w:val="auto"/>
        </w:rPr>
      </w:pPr>
    </w:p>
    <w:p>
      <w:pPr>
        <w:ind w:left="520" w:hanging="260"/>
        <w:spacing w:after="0" w:line="261"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Mubadala will continue to have substantial control over the Company, which could limit our ability to influence the outcome of key transactions, including a change of control, and otherwise affect the prevailing market price of our ordinary shares.</w:t>
      </w:r>
    </w:p>
    <w:p>
      <w:pPr>
        <w:spacing w:after="0" w:line="67" w:lineRule="exact"/>
        <w:rPr>
          <w:rFonts w:ascii="Arial" w:cs="Arial" w:eastAsia="Arial" w:hAnsi="Arial"/>
          <w:sz w:val="13"/>
          <w:szCs w:val="13"/>
          <w:color w:val="auto"/>
        </w:rPr>
      </w:pPr>
    </w:p>
    <w:p>
      <w:pPr>
        <w:ind w:left="520" w:hanging="260"/>
        <w:spacing w:after="0" w:line="261"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are a foreign private issuer and, as a result, are not subject to U.S. proxy rules but are subject to reporting obligations that, to some extent, are more lenient and less frequent than those of a U.S. issuer.</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global economic and geopolitical conditions could materially and adversely affect our results of operations, financial condition, business and prospects.</w:t>
      </w:r>
    </w:p>
    <w:p>
      <w:pPr>
        <w:spacing w:after="0" w:line="98"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semiconductor industry relies on a global supply chain and is considered strategically important by major trading countries, including the United States, China, and countries in the European Union (“EU”). Political, economic and financial crises have in the past negatively affected and in the future could negatively affect the semiconductor industry and its end markets. Our business may also be materially affected by the impact of geopolitical tensions and related actions. Recently, there have been political and trade tensions among, and between, a number of the world’s major economies, most notably in our industry between the United States and China, with Hong Kong and Taiwan implicated in the tensions, and more recently between Russia and the member nations of the North American Treaty Organization (“NATO”) and others. These tensions have resulted in the implementation of trade barriers, including the use of economic sanctions and export control restrictions against certain countries and individual companies. For example, the U.S. Department of Commerce’s Bureau of Industry and Security (“BIS”) placed one of the largest mobile handset and 5G infrastructure providers in the world, Huawei, and China’s largest semiconductor foundry, Semiconductor Manufacturing International Corporation (“SMIC”), on the BIS Entity List. Moreover, on October 7, 2022, BIS vastly expanded export controls on advanced integrated circuits, supercomputers, advanced computing items and semiconductor production equipment to China and Macau with an intent to limit China’s ability to develop or produce such items.</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Violations of these economic sanctions and export control restrictions can result in significant civil and criminal penalties. These trade barriers have had a particular impact on the semiconductor industry and related markets. Prolonged or increased use of trade barriers may result in a decrease in the growth of the global economy and semiconductor industry and could cause turmoil in global markets, which in turn often results in declines in our customers’ electronic products sales and could decrease demand for our products and services. Also, any increase in the use of economic sanctions, export control restrictions or retaliatory state actions to target certain countries, industries and/or companies could impact our ability to continue supplying products and services to customers and our customers’ demand for our products and services, and could disrupt semiconductor supply chains. Finally, the recent conflict between Russia and Ukraine has created uncertainty regarding supply of materials needed for our operations (including natural gas), particularly in Europe where we have operations in both Germany and Bulgaria, as well as our customers’ potential sales of electronic products and components to customers in Russia. The conflict has also created uncertainty about broader impacts that economic sanctions, export control restrictions and continued geopolitical uncertainty may have on global supply chains and markets generally.</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Any current and future systemic political, economic or financial crisis or market volatility, including interest rate fluctuations, inflation or deflation, recession and changes in economic, trade, fiscal and monetary policies in major economies, could cause revenue or profits for us or the semiconductor industry as a whole to decline dramatically. If the economic conditions in the markets in which our customers operate or the financial condition of our customers were to deteriorate, the demand for our products and services may decrease and impairments, write-downs and other accounting charges may be required, which could reduce our operating income and net income. Further, in times of market instability, sufficient external financing, including equity capital, debt financing, customer prepayments and government subsides, may not be available to us on a timely basis, on commercially reasonable terms or at all. If sufficient external financing is not available when we need such financing to meet our demand-driven capital requirements, we may be forced to curtail expansion, modify plans and delay the deployment of new or differentiated technologies, products, or services until we obtain such financing. Further escalation of trade tensions, the increased use of economic sanctions or export control restrictions or any future global systemic crisis or economic downturn could materially and adversely affect our results of operations, financial condition, business and prospects.</w:t>
      </w:r>
    </w:p>
    <w:p>
      <w:pPr>
        <w:spacing w:after="0" w:line="3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We have LTAs with certain customers that obligate us to meet specific production requirements, which may expose us to liquidated and other damages, require us to return advanced payments, require us to provide products and services at reduced or negative margins and constrain our ability to reallocate our production capacity to serve new customers or otherwise.</w:t>
      </w:r>
    </w:p>
    <w:p>
      <w:pPr>
        <w:spacing w:after="0" w:line="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have entered into multiple LTAs that provide for significant customer commitments in return for capacity reservation commitments from us. In many cases, in connection with these arrangements we have received, or will receive, customer advanced payments and capacity reservation fees. If we are unable to satisfy our obligations under these contracts, we may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13"/>
          <w:szCs w:val="13"/>
          <w:color w:val="auto"/>
        </w:rPr>
        <w:t>be forced to return such payments which could result in significant cash expenditures. Under most of our LTAs, we must maintain sufficient capacity at our manufacturing facilities to meet anticipated customer demand for our proprietary products. From time to time, this requires us to invest in expansion or improvements of those facilities, which often involves substantial cost and other risks, such as delays in completion. Such expanded manufacturing capacity may still be insufficient, or may not come online soon enough, to meet customer demand and we may have to limit the amount of products we can supply to customers, forgo sales or lose customers as a result. Further, capacity reserved for certain customers could cause us to breach obligations to other customers due to capacity constraints or prevent us from serving new customers. If we are unable to satisfy our obligations under our customer agreements, we may be subject to significant liquidated damages or penalties, which could result in significant cash expenditures and require us to raise additional capital. Conversely, if we overestimate customer demand or a customer defaults on its purchase or payment obligations to us, we could experience underutilization of capacity at these facilities without a corresponding reduction in fixed costs. Our inability to maintain appropriate capacity could materially and adversely affect our results of operations, financial condition, business and prospects.</w:t>
      </w: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strategy of securing and maintaining LTAs and expanding our production capacity may not be successful.</w:t>
      </w:r>
    </w:p>
    <w:p>
      <w:pPr>
        <w:spacing w:after="0" w:line="10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have undertaken, and will continue to undertake, various business strategies to sell a significant portion of our production capacity through LTAs, grow our production capacity, and improve operating efficiencies and generate cost savings. We cannot assure you that we will successfully implement those business strategies or that implementing these strategies will sustain or improve and not harm our results of operations. In particular, our ability to implement our strategy to enter into LTAs successfully is subject to certain risks, including:</w:t>
      </w:r>
    </w:p>
    <w:p>
      <w:pPr>
        <w:spacing w:after="0" w:line="91"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customers defaulting on their obligations to us, which may include significant payment obligations;</w:t>
      </w:r>
    </w:p>
    <w:p>
      <w:pPr>
        <w:spacing w:after="0" w:line="83"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defaulting on our obligations to our customers (for example, due to raw materials shortages, production disruptions, or our subcontractors’ default on test or packaging obligations), which could result in us owing substantial penalties to our customers;</w:t>
      </w:r>
    </w:p>
    <w:p>
      <w:pPr>
        <w:spacing w:after="0" w:line="88"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customers seeking to renegotiate key terms of their contracts, such as pricing and specified volume commitments, in the event market conditions change during the contract term;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inability to extend contracts when they expire.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As a result, we cannot assure you that we will successfully implement this strategy or realize the anticipated benefits of these contracts.</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Against the backdrop of increasing macroeconomic and geopolitical uncertainty, some customers under LTAs have requested to adjust their 2023 demand outlook downward and seek renegotiation of their LTAs. If we are unsuccessful in preserving the economic benefits of our existing LTAs in negotiations with our customers, such renegotiations could lead to reduction of our revenue and long-term outlook.</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Additionally, the costs involved in implementing our strategies may be significantly greater than we currently anticipate. For example, our ability to complete production capacity expansions or make other operational improvements as planned may be delayed, interrupted or made more costly by the need to obtain environmental and other regulatory approvals, the availability of semiconductor manufacturing equipment, labor and materials, unforeseen hazards, such as weather conditions, and other risks customarily associated with construction projects. Moreover, the cost of expanding production capacity could have a negative impact on our financial results until shipment utilization is sufficient to absorb the incremental costs associated with the expansion.</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ability to successfully implement these strategies depends on a variety of factors, including, among other things, our ability to finance our operations, maintain high-quality and efficient manufacturing operations, respond to competitive and regulatory changes, access semiconductor manufacturing equipment or quality raw materials in a cost-effective and timely manner, and retain and attract highly skilled personnel. Further, some of our LTAs constrain our ability to change product mix within short time frames, given “end of life” provisions in our agreements that require substantial notice periods before we can cease production of existing products.</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We depend on a small number of customers for a significant portion of our revenue and any loss of this or our other key customers, including potentially through further customer consolidation, could result in significant declines in our revenue.</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have been largely dependent on a small number of customers for a substantial portion of our revenue. Our ten largest customers in 2022, 2021 and 2020 accounted for approximately 70%, 67% and 73% of our wafer shipment volume, respectively. We expect that a significant portion of our revenue will continue to come from a relatively limited number of customers. We cannot assure you that our revenue generated from these customers, individually or in the aggregate, will reach or exceed historical levels in any future period. Loss or cancellation of business from, significant changes in scheduled deliveries to, or a decrease of products and services sold to any of these customers could significantly reduce our revenue.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9" w:name="page10"/>
    <w:bookmarkEnd w:id="9"/>
    <w:p>
      <w:pPr>
        <w:jc w:val="both"/>
        <w:spacing w:after="0" w:line="266" w:lineRule="auto"/>
        <w:rPr>
          <w:sz w:val="20"/>
          <w:szCs w:val="20"/>
          <w:color w:val="auto"/>
        </w:rPr>
      </w:pPr>
      <w:r>
        <w:rPr>
          <w:rFonts w:ascii="Arial" w:cs="Arial" w:eastAsia="Arial" w:hAnsi="Arial"/>
          <w:sz w:val="13"/>
          <w:szCs w:val="13"/>
          <w:b w:val="1"/>
          <w:bCs w:val="1"/>
          <w:i w:val="1"/>
          <w:iCs w:val="1"/>
          <w:color w:val="auto"/>
        </w:rPr>
        <w:t>We rely on a complex silicon supply chain and breakdowns in that chain could affect our ability to produce our products and could materially and adversely affect our results of operations, financial condition, business and prospects.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rely on a small number of suppliers for wafers, which is a key input into our products. In particular, only a limited number of companies in the world are able to produce silicon-on-insulator (“SOI”) wafers. If there is an insufficient supply of wafers, particularly SOI wafers, to satisfy our requirements, we may need to limit or delay our production, which could materially and adversely affect our results of operations, financial condition, business and prospects. If our limited source suppliers and suppliers for wafer preparation were to experience difficulties that affected their manufacturing yields or the quality of the materials they supply to us, it could materially and adversely affect our results of operations, financial condition, business and prospects. In particular, we depend on Soitec S.A. (“Soitec”), our largest supplier of SOI wafers, for the timely provision of wafers in order to meet our production goals and obligations to customers. Soitec supplied 54% of our SOI wafers in 2022. Our supply agreements with Soitec impose mutual obligations, in the form of capacity requirements, minimum purchase requirements and supply share percentages. We may be subject to penalties if we fail to comply with such obligations. In November 2020, we agreed with Soitec on an addendum to our original materials supply agreement to secure supply for 300 millimeter (“mm”) RF SOI, partially depleted SOI and Silicon Photonics wafers. If we are unable to obtain 300mm SOI wafers from Soitec for any reason, we expect that it would take us an extended period to find a replacement supplier on commercially acceptable terms. While we are in the process of developing relationships with alternate suppliers, we do not expect to be able to acquire a significant amount of SOI wafers from those suppliers in the near term, and there is no assurance that we will ever be able to do so.</w:t>
      </w:r>
    </w:p>
    <w:p>
      <w:pPr>
        <w:spacing w:after="0" w:line="9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ability of our suppliers to meet our requirements could be impaired or interrupted by factors beyond their control, such as earthquakes or other natural phenomena, labor strikes or shortages, or political unrest or failure to obtain materials for their suppliers. For example, Soitec is reliant on third-party providers to obtain raw silicon wafers—difficulties in obtaining raw silicon wafers may result in Soitec’s inability to produce SOI wafers. In the event one of our suppliers is unable to deliver products to us or is unwilling to sell materials or components to us, our operations may be adversely affected. Further, financial or other difficulties faced by our suppliers, or significant changes in demand for the components or materials they use in the products they supply to us, could limit the availability of those products, components, or materials to us. Any breakdown of our wafer supply chain could materially and adversely affect our results of operations, financial condition, business and prospects.</w:t>
      </w:r>
    </w:p>
    <w:p>
      <w:pPr>
        <w:spacing w:after="0" w:line="3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Reductions in demand and average selling prices (“ASPs”) for our customers’ end products (e.g., consumer electronics) and increases in inflation may decrease demand for our products and services and could materially and adversely affect our results of operations, financial condition, business and prospects.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substantial majority of our revenue is derived from customers who use our products in intelligent and highly connected devices in markets such as Smart Mobile Devices, Home and Industrial internet of things (“IoT”), Communications Infrastructure &amp; Datacenter, Automotive and Personal Computing. A deterioration or a slowdown in the growth of such end markets, due to, among other things, a potential recession, resulting in a substantial decrease in the demand for overall global semiconductor foundry services, including our products and services, could adversely affect our revenue and profit margins. Semiconductor manufacturing facilities require substantial investment to construct and are largely fixed-cost assets once they are in operation. Because we own our manufacturing facilities, a significant portion of our operating costs are fixed. In general, these costs do not decline when customer demand or our shipment utilization rate drops, and thus declines in customer demand, among other factors, may significantly decrease our profit margins. Our costs may also increase as a result of, among other things, inflation, which may have a greater impact on our profit margins than ASPs. In the past, there have been periods of sustained decline in ASPs of our customers’ end products and applications, and such periods have sometimes coincided with periods of economic volatility, including recessions. A return to historical trends could place downward pressure on the prices of the components, including our products, that go into such end products and applications. If ASPs decline, potentially due to a recession, and our cost reduction programs and actions do not offset the decrease or our costs increase due to inflation or otherwise and are not offset by an increase in ASPs, our results of operations, financial condition, business and prospects may be materially and adversely affected.</w:t>
      </w: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seasonality and cyclical nature of the semiconductor industry and periodic overcapacity make us vulnerable to significant and sometimes prolonged economic downturns.</w:t>
      </w:r>
    </w:p>
    <w:p>
      <w:pPr>
        <w:spacing w:after="0" w:line="98"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semiconductor industry has exhibited cyclicality in the past and, at various times, has experienced downturns from time to time, as a result of global economic conditions as well as industry-specific factors, including inventory corrections, excess capacity, price volatility in raw materials and other inputs, and changes in end-customer preferences. Fluctuations in our customers’ demand drive significant variations in order levels for our products and services and can result in volatility in our revenue and earnings. Because our business is, and will continue to be, largely dependent on the requirements of both consumer and industrial high-end technology product suppliers for our services, downturns in this broad industry will likely lead to reduced demand for our products and services.</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Demand for our customers’ end products is affected by seasonal variations in market conditions that contribute to the fluctuations of demand and prices for semiconductor services and products. The seasonal sales trends for semiconductor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10" w:name="page11"/>
    <w:bookmarkEnd w:id="10"/>
    <w:p>
      <w:pPr>
        <w:jc w:val="both"/>
        <w:spacing w:after="0" w:line="244" w:lineRule="auto"/>
        <w:rPr>
          <w:sz w:val="20"/>
          <w:szCs w:val="20"/>
          <w:color w:val="auto"/>
        </w:rPr>
      </w:pPr>
      <w:r>
        <w:rPr>
          <w:rFonts w:ascii="Arial" w:cs="Arial" w:eastAsia="Arial" w:hAnsi="Arial"/>
          <w:sz w:val="13"/>
          <w:szCs w:val="13"/>
          <w:color w:val="auto"/>
        </w:rPr>
        <w:t>services and products closely mirror those for automotive, consumer electronics, communication and computer sales. These seasonal variations, and seasonal variation changes that we cannot anticipate, may result in increased volatility in our results of operation and could materially and adversely affect our results of operations, financial condition, business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Overcapacity in the semiconductor industry may reduce our revenue, earnings and margins.</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prices that we can charge our customers for manufacturing services are significantly related to the overall worldwide supply of integrated circuits (“ICs”) and semiconductor products. The overall supply of semiconductors is based in part on the capacity of other companies, which is outside of our control. For example, we and some other companies, including competitors with access to material government support, have announced plans to increase capacity expenditures significantly. Additionally, some nations, including China, are investing heavily in developing additional domestic capacity for semiconductor fabrication. We believe such plans, if carried out as planned, will increase the industry-wide capacity and could result in overcapacity in the future. In periods of overcapacity, if we are unable to offset the adverse effects of overcapacity through, among other things, our technology and product mix, we may have to lower the prices we charge our customers for our products and services and/or we may have to operate at significantly less than full capacity. Such actions could reduce our margin and profitability and weaken our financial condition and results of operations. We cannot give any assurance that an increase in the demand for foundry services in the immediate and short-term will not lead to overcapacity in the future, which could materially and adversely affect our results of operations, financial condition, business and prospects.</w:t>
      </w: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If we are unable to attract customers with our technology, respond to fast-changing semiconductor market dynamics or maintain our leadership in product quality, we will become less competitive.</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semiconductor industry and the technologies it brings to market are constantly being created and evolving. We compete by developing process technologies that incorporate increasingly higher performance and advanced features, offering increasing functionality depending upon the customer’s application requirements. If we do not anticipate these changes in technology requirements and fail to rapidly develop new and innovative solutions to meet these demands, we may not be able to provide foundry services on competitive terms with respect to cost, schedule or volume manufacturing capacity. There is a risk that our competitors may successfully adopt new or more differentiated technology before we do, resulting in us losing design wins (including in cases in which we have expended significant resources to pursue design wins) and market share. If we are unable to continue to offer differentiated services and processes on a competitive and timely basis, we may lose customers to competitors providing similar or better technologies.</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A key differentiator in the marketplace is to significantly reduce the time in which differentiated technology products or services are launched into the market. If we are unable to meet the shorter time-to-market requirements of our customers or fail to impress them with our newer feature sets or differentiated technology solutions or are unable to allocate or develop new production capacity to meet those customers’ demands in a timely manner, we risk losing their business and not generating the market adoption needed to pay for our development efforts. These factors have also been intensified by the shift of the global technology market to consumer-driven products and increasing concentration of customers and competition. Further, the increasing complexity of technology also imposes challenges for achieving expected product quality, cost and time-to-market expectations. If we fail to maintain quality, it may result in loss of revenue and additional cost, as well as loss of business or customer trust. If we are unable to meet the expected production yields of a new technology, we will not be able to meet the expected costs of that technology. In addition, the market prices for technology and services tend to fall over time, except in times of extreme supply shortage. As a result, if we are unable to offer new differentiated services and processes on a competitive and timely basis, we may need to decrease the prices that we set for our existing services and processes. If we are unable to innovate new and differentiated technologies and bring them to a cost-competitive volume manufacturing scale that meets the demand of our customers, we may become less competitive and our revenue and margins may decline significantly.</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External risks also exist that can impact our position as a technology leader. Differentiated technology offerings may rely upon unique or specialized materials as compared to our competitors, including specialized wafers upon which some of our technologies are currently manufactured, raw materials for wafer fabrication, and materials used in the packaging of ICs to enable them to be used in the end products. A disruption in the availability of or quality of these new or unique materials during technology development can impact time-to-market, or have impact on the quality or cost of finished goods in the marketplace. Similarly, our technology roadmap relies on externally sourced design tools and component circuit designs that allow our end customers to more readily realize their products in our technologies, and disruption or delays in our ability to obtain those resources may impair our ability to compete effectively and serve our customers.</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rapidly changing nature of advanced semiconductor technology can also culminate in the emergence of highly disruptive or unconventional technologies and new disruptive solutions using existing technologies, which can create a rapid inflection point leaving those on a conventional technology roadmap path at a significant disadvantage and unprepared to react in a timely manner.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11" w:name="page12"/>
    <w:bookmarkEnd w:id="11"/>
    <w:p>
      <w:pPr>
        <w:jc w:val="both"/>
        <w:spacing w:after="0" w:line="266" w:lineRule="auto"/>
        <w:rPr>
          <w:sz w:val="20"/>
          <w:szCs w:val="20"/>
          <w:color w:val="auto"/>
        </w:rPr>
      </w:pPr>
      <w:r>
        <w:rPr>
          <w:rFonts w:ascii="Arial" w:cs="Arial" w:eastAsia="Arial" w:hAnsi="Arial"/>
          <w:sz w:val="13"/>
          <w:szCs w:val="13"/>
          <w:b w:val="1"/>
          <w:bCs w:val="1"/>
          <w:i w:val="1"/>
          <w:iCs w:val="1"/>
          <w:color w:val="auto"/>
        </w:rPr>
        <w:t>If we are unable to compete effectively with other sophisticated players in the highly competitive foundry segment of the semiconductor industry, we may lose customers and our profit margins and earnings may decrease.</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We believe the foundry market is comprised of five major foundries (including four scaled pure-play foundries) that accounted for the vast majority of worldwide foundry revenue in 2021. We define a scaled pure-play foundry as a company that focuses on producing ICs for other companies, rather than those of its own design, with more than $2.5 billion of annual foundry revenue. Taiwan Semiconductor Manufacturing Company, Limited (“TSMC”) at $57.2 billion of revenue in 2021 accounted for more than 50% of the total market. Other key competitors include SMIC and United Microelectronics Corporation (“UMC”), as well as the foundry operation services of some integrated device manufacturers, such as Samsung and, more recently, Intel Corporation (“Intel”). Integrated Device Manufacturers (“IDMs”) principally manufacture and sell their own proprietary semiconductor products but may also offer foundry services. Other smaller dedicated foundry competitors include X-FAB Silicon Foundries, Tower Semiconductor Ltd., Vanguard International Semiconductor Corporation (“Vanguard”) and WIN Semiconductors Corp. Some of our competitors may offer more advanced or differentiated technologies than we do and some have greater access to capital and substantially greater production capacity, research and development (“R&amp;D”), marketing and other resources, including access to government subsidies and economic stimulus (including protective demand-side measures), than we do. As a result, these companies may be able to compete more aggressively over a longer period of time than we can.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The principal elements of competition in the wafer foundry market include:</w:t>
      </w:r>
    </w:p>
    <w:p>
      <w:pPr>
        <w:spacing w:after="0" w:line="95"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scale and the ability to access capital to fund future growth;</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capacity utilization;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technical competence, including internal and access to external design enablement capabilities;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technology leadership and differentiation;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price;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time-to-volume production and cycle time;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time-to-market;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investment in R&amp;D and related quality of results;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manufacturing yields;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optimization of the technology mix of wafer production at particular process technology nodes;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design/technology interaction and resulting chip reliability;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customer service and design support;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management expertise;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strategic alliances and geographic diversification.</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ability to compete successfully also depends on factors partially outside of our control, including component supply, intellectual property, including cell libraries that our customers embed in their product designs, and industry and general economic trends.</w:t>
      </w: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competitors have announced expansions and may continue to expand in the United States and Europe, which could materially and adversely affect our competitive position.</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TSMC, Samsung and Intel have announced plans to develop new fabrication facilities (“fabs”) and substantially increase their manufacturing capacity in the United States, and other competitors may seek to do likewise. Similarly, our competitors may seek to develop new fabs in Europe and substantially increase their manufacturing capacity. Such expansions may increase the attractiveness of our competitors to customers who wish to utilize fabs located in the United States or Europe, use geographically dispersed suppliers or mitigate risks posed by geopolitical tensions and export controls. Further, it may lead to increased competition for funding and talent in those jurisdictions. This increased competition could materially and adversely affect our results of operations, financial condition, business and prospects.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semiconductor industry is capital-intensive and, if we are unable to invest the necessary capital to operate and grow our business, we may not remain competitive.</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To remain competitive and comply with evolving regulatory requirements, we must constantly improve our facilities and process technologies and carry out extensive R&amp;D, each of which requires investment of significant amounts of capital. The costs of manufacturing facilities and semiconductor manufacturing equipment continue to rise. We expect to incur additional capital expenditures in connection with our revenue expansion plans to expand our fabs in Dresden, Germany; Malta, New York; and Singapore, and in connection with our planned expansion in Crolles, France. Our actual expenditures may exceed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2" w:name="page13"/>
    <w:bookmarkEnd w:id="12"/>
    <w:p>
      <w:pPr>
        <w:jc w:val="both"/>
        <w:spacing w:after="0" w:line="249" w:lineRule="auto"/>
        <w:rPr>
          <w:sz w:val="20"/>
          <w:szCs w:val="20"/>
          <w:color w:val="auto"/>
        </w:rPr>
      </w:pPr>
      <w:r>
        <w:rPr>
          <w:rFonts w:ascii="Arial" w:cs="Arial" w:eastAsia="Arial" w:hAnsi="Arial"/>
          <w:sz w:val="13"/>
          <w:szCs w:val="13"/>
          <w:color w:val="auto"/>
        </w:rPr>
        <w:t>our planned spend due to global economic and industry-wide equipment or material price increases during the long lead time to build capacity. Given the fixed-cost nature of our business, we have in the past incurred, and may in the future incur, operating losses if our revenue does not adequately offset the impact of our capital expenditures and the cost of financing these expenditures. Additionally, a significant portion of any operating income we do generate is needed to service our outstanding debt.</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invest significantly in R&amp;D, and to the extent our R&amp;D efforts are unsuccessful, our competitive position may be harmed and we may not be able to realize a return on our investments. To compete successfully, we must maintain a successful R&amp;D effort, develop new product technologies, features and manufacturing processes, and improve our existing products and services, technologies and processes. Our R&amp;D efforts may not deliver the benefits we anticipate. To the extent we do not timely introduce new technologies and features relative to competitors, we could face cost, product performance, and time-to-market disadvantages, which could materially and adversely affect our results of operations, financial condition, business and prospects.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Financing, including equity capital, debt financing, customer co-investments and government subsidies, may not be available on commercially acceptable terms or at all. Any additional debt financing we may undertake could require debt service and financial and operational requirements that could adversely affect our business. If we are unable to generate sufficient cash or raise sufficient capital to meet both our debt service and capital investment requirements, or if we are unable to raise required capital on favorable terms when needed, we may be forced to curtail revenue expansion plans or delay capital investment, which could materially and adversely affect our results of operations, financial condition, business and prospects.</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We may not be able to implement our planned growth and development or maintain the differentiation of our solutions if we are unable to recruit and retain key executives, managers and skilled technical personnel.</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rely on the continued services and contributions of our management team and skilled technical and professional personnel. In this industry, the competitive pressures to find and retain the most talented personnel are intense and constant. The sources for highly skilled talent in the industry are often well-known and pursued by competitors. In addition, with the speed of technological and business change, skills need to be constantly refreshed and built upon. Our business could suffer if we are unable to fulfill and sustain resource requirements with qualified individuals in required positions globally. Fulfilling new resource needs on a timely basis continues to be a challenge in this highly competitive market for semiconductor talent. Competition for talent exists in all of our operating regions, at all levels, emphasizing the importance of strong employee retention, and if we fail to attract and retain highly skilled talent, our business and results of operations could be materially adversely impacted.</w:t>
      </w:r>
    </w:p>
    <w:p>
      <w:pPr>
        <w:spacing w:after="0" w:line="23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We receive subsidies and grants in certain countries and regions in which we operate, and a reduction in the amount of governmental funding available to us or demands for repayment could increase our costs and affect our results of operations.</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As is the case with other large semiconductor companies, we receive subsidies and grants from governments in certain countries and regions in which we operate. In response to increased geopolitical tensions, national security and supply chain concerns, as well as recent supply shortages, the United States and the European Union are implementing new semiconductor industry incentive programs. For example, in August 2022, the United States enacted the Creating Helpful Incentives to Produce Semiconductors for America (“CHIPS”) and Science Act of 2022, which appropriates $52 billion in funding to the domestic semiconductor industry. Similarly, the European Commission proposed the European Chips Act. These programs represent potentially significant new sources of government funding for capital and R&amp;D investment for our industry. Historically, we have benefited from these kinds of government programs, and we intend to continue to benefit from government programs to help fund our expansion efforts. However, we may be unable to secure government funding at the levels we expect or at all, and the availability of government funding is outside our control. Moreover, should we terminate any activities or operations related to government funds that we receive or upon which government funds have been conditioned, we may face adverse consequences. In particular, government agencies could seek to recover subsidies or grants from us, seek repayment of loans, or could cancel, reduce or deny our requests for future subsidies or grants. This could materially and adversely affect our results of operations, financial condition, business and prospects.</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Strong government support in China for capacity expansion, combined with weaker demand from and strained economic relations with that country, could lead to underutilization or significant ASP erosion for our fabs.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China’s aggressive investment in its “buy from China” initiatives have inflated the capital available for technology development in China and resulted in an expansion of fabrication capacity for semiconductors. China’s decision to build capacity for China, to be sourced primarily from indigenous suppliers like SMIC, will have the effect of limiting the Chinese market for other global suppliers like us, particularly in more mature technology nodes. Increases in China’s fabrication capacity for semiconductors may also significantly increase the competition we face globally, which may make it more difficult for us to retain and obtain new customers and lead to material reductions in ASPs.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13" w:name="page14"/>
    <w:bookmarkEnd w:id="13"/>
    <w:p>
      <w:pPr>
        <w:jc w:val="both"/>
        <w:spacing w:after="0" w:line="266" w:lineRule="auto"/>
        <w:rPr>
          <w:sz w:val="20"/>
          <w:szCs w:val="20"/>
          <w:color w:val="auto"/>
        </w:rPr>
      </w:pPr>
      <w:r>
        <w:rPr>
          <w:rFonts w:ascii="Arial" w:cs="Arial" w:eastAsia="Arial" w:hAnsi="Arial"/>
          <w:sz w:val="13"/>
          <w:szCs w:val="13"/>
          <w:b w:val="1"/>
          <w:bCs w:val="1"/>
          <w:i w:val="1"/>
          <w:iCs w:val="1"/>
          <w:color w:val="auto"/>
        </w:rPr>
        <w:t>Any outbreak of contagious disease, such as the ongoing COVID-19 pandemic, could materially and adversely affect our results of operations, financial condition, business and prospects.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Any outbreak of contagious disease, including, but not limited to, COVID-19, Zika virus, Ebola virus, avian or swine influenza or severe acute respiratory syndrome, may disrupt our ability to adequately staff our business and may generally disrupt our operations. The ongoing COVID-19 pandemic has slowed economic growth, including in regions of the world where we, our customers and suppliers operate, and has negatively impacted the global supply chain, market and economies. We have significant operations in the United States, Europe, and Singapore, including supply chain and manufacturing facilities and sales and marketing channels and information technology (“IT”) design and other support services in these countries and regions as well as other countries such as Japan, India, Bulgaria, Taiwan and China.</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 the COVID-19 outbreak worsens or continues longer term, or new outbreaks of COVID-19 or other contagious diseases occur, we may experience material adverse effects on our business, including, among other things:</w:t>
      </w:r>
    </w:p>
    <w:p>
      <w:pPr>
        <w:spacing w:after="0" w:line="89" w:lineRule="exact"/>
        <w:rPr>
          <w:sz w:val="20"/>
          <w:szCs w:val="20"/>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declines in sales activities and customer orders;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significant fluctuations in demand for our products and services, which could in turn cause uncertainty for our capacity planning, production delays and reduced workforce availability;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difficulties in domestic and international travel and communications and interruption;</w:t>
      </w:r>
    </w:p>
    <w:p>
      <w:pPr>
        <w:spacing w:after="0" w:line="94"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delays in our planned expansion in Singapore, including from temporary governmental work stoppage orders to control COVID-19 infection rates or as a result of border closures with Malaysia, both of which have occurred;</w:t>
      </w:r>
    </w:p>
    <w:p>
      <w:pPr>
        <w:spacing w:after="0" w:line="77"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delays in other potential expansion plans; or</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slowdown of R&amp;D activities.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Likewise, such an outbreak of disease could slow or suspend the operations of our suppliers and cause them to be unable to deliver needed raw materials as required. Any of these factors could materially and adversely affect our results of operations, financial condition, business and prospects.</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Sales to government entities and highly regulated organizations are subject to a number of challenges and added risks, and our failure to comply with these heightened compliance requirements, or effectively manage these challenges or risks, could impact our operations and financial results.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currently sell to the U.S. federal government and to customers in highly regulated industries, and may sell to state and local governments and to foreign governmental agency customers in the future. Sales to such entities are subject to a number of compliance challenges and risks, including regarding access to and required protection of classified information. Failure to comply with Foreign Ownership, Control or Influence (“FOCI”) agreements could lead to a loss of our security clearance and certain government business and reputational harm. Selling to governmental and highly regulated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any revised necessary certification or authorization. Government demand and payment for our products and services are affected by public sector budgetary cycles and funding authorizations, with funding reductions or delays adversely affecting public sector demand for our products and services. Such sales are made more difficult by the fact that many of our product design and life cycles are very long, compared to public fiscal budget calendars.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Further, governmental and highly regulated entities may demand contract terms that differ from our standard commercial arrangements, and those contract terms may be in some respects less favorable than terms agreed to by private sector customers. Governments routinely retain certain rights to IP developed in connection with government contracts. Such entities may have statutory, contractual or other legal rights to terminate contracts with us or our partners for convenience or for other reasons that are out of our control or influence. Any such terminations, or other adverse actions, may materially adversely affect our ability to contract with other government customers, as well as our reputation, results of operations, financial condition, business and prospects. In addition, our U.S. government contracts obligate us to comply with various cybersecurity requirements. These requirements include ongoing investment in systems, policies and personnel, and we expect these requirements to continue to impact our business in the future by increasing our legal, operational and compliance costs.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Certain of our government contracts require us to notify the applicable governmental agency and discuss options with the governmental agency before making certain potential transfers of intellectual property developed under those contracts, and certain of our government contracts impose specific limitations on our use and licensing of certain of our intellectual property. Additionally, production of sensitive, export-controlled products for governmental and highly regulated entities requires adherence to strict export and security controls. In the event of a breach or other security event involving one of these products, we may be subject to investigations to determine the extent and impact to such products, regulatory proceedings, litigation, mitigation and other actions, as well as penalties, fines, increased insurance premiums,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4" w:name="page15"/>
    <w:bookmarkEnd w:id="14"/>
    <w:p>
      <w:pPr>
        <w:spacing w:after="0" w:line="244" w:lineRule="auto"/>
        <w:rPr>
          <w:sz w:val="20"/>
          <w:szCs w:val="20"/>
          <w:color w:val="auto"/>
        </w:rPr>
      </w:pPr>
      <w:r>
        <w:rPr>
          <w:rFonts w:ascii="Arial" w:cs="Arial" w:eastAsia="Arial" w:hAnsi="Arial"/>
          <w:sz w:val="13"/>
          <w:szCs w:val="13"/>
          <w:color w:val="auto"/>
        </w:rPr>
        <w:t>indemnification expenditures and administrative, civil and criminal liabilities and reputational harm, each of which could negatively impact operations for multiple products and future business, cause production and sales delays and materially and adversely affect our results of operations, financial condition, business and prospects.</w:t>
      </w:r>
    </w:p>
    <w:p>
      <w:pPr>
        <w:spacing w:after="0" w:line="244"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The implementation of our restructuring plan is ongoing, and it is possible that we may not achieve all of the plan’s expected benefits and, if we do not, the plan may have a material adverse effect on our business, operations, financial condition and results of operations.</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communicated and implemented a restructuring plan in order to realign our business and strategic priorities. This worldwide restructuring plan includes a reduction in the number of full time employees, as well as a reduction in leased workspaces and engagement of consultants for strategic support.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implementation of the restructuring plan is ongoing, and it is possible that we may not be able to maintain all the cost savings and benefits that are anticipated in connection with such plan.</w:t>
      </w:r>
    </w:p>
    <w:p>
      <w:pPr>
        <w:spacing w:after="0" w:line="201" w:lineRule="exact"/>
        <w:rPr>
          <w:sz w:val="20"/>
          <w:szCs w:val="20"/>
          <w:color w:val="auto"/>
        </w:rPr>
      </w:pPr>
    </w:p>
    <w:p>
      <w:pPr>
        <w:ind w:right="5420"/>
        <w:spacing w:after="0" w:line="244" w:lineRule="auto"/>
        <w:rPr>
          <w:sz w:val="20"/>
          <w:szCs w:val="20"/>
          <w:color w:val="auto"/>
        </w:rPr>
      </w:pPr>
      <w:r>
        <w:rPr>
          <w:rFonts w:ascii="Arial" w:cs="Arial" w:eastAsia="Arial" w:hAnsi="Arial"/>
          <w:sz w:val="13"/>
          <w:szCs w:val="13"/>
          <w:color w:val="auto"/>
        </w:rPr>
        <w:t>Our reduction in workforce, or similar restructuring program actions, may present a number of significant risks, including:</w:t>
      </w:r>
    </w:p>
    <w:p>
      <w:pPr>
        <w:spacing w:after="0" w:line="195"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actual or perceived disruption of our manufacturing and/or delivery processes;</w:t>
      </w:r>
    </w:p>
    <w:p>
      <w:pPr>
        <w:spacing w:after="0" w:line="190" w:lineRule="exact"/>
        <w:rPr>
          <w:rFonts w:ascii="Arial" w:cs="Arial" w:eastAsia="Arial" w:hAnsi="Arial"/>
          <w:sz w:val="13"/>
          <w:szCs w:val="13"/>
          <w:color w:val="auto"/>
        </w:rPr>
      </w:pPr>
    </w:p>
    <w:p>
      <w:pPr>
        <w:ind w:left="520" w:right="4460" w:hanging="260"/>
        <w:spacing w:after="0" w:line="249"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potential adverse effects on our internal control environment and inability to preserve adequate internal controls relating to our general and administrative functions in connection with the decision to outsource certain business service activities;</w:t>
      </w:r>
    </w:p>
    <w:p>
      <w:pPr>
        <w:spacing w:after="0" w:line="181" w:lineRule="exact"/>
        <w:rPr>
          <w:rFonts w:ascii="Arial" w:cs="Arial" w:eastAsia="Arial" w:hAnsi="Arial"/>
          <w:sz w:val="13"/>
          <w:szCs w:val="13"/>
          <w:color w:val="auto"/>
        </w:rPr>
      </w:pPr>
    </w:p>
    <w:p>
      <w:pPr>
        <w:ind w:left="520" w:right="4300" w:hanging="260"/>
        <w:spacing w:after="0" w:line="244"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actual or perceived disruption to distribution networks and other important operational relationships and the inability to resolve potential conflicts in a timely manner;</w:t>
      </w:r>
    </w:p>
    <w:p>
      <w:pPr>
        <w:spacing w:after="0" w:line="194"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potential difficulty in or failure of meeting our financial or production targets;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diversion of management attention from ongoing business activities and strategic objectives; and</w:t>
      </w:r>
    </w:p>
    <w:p>
      <w:pPr>
        <w:spacing w:after="0" w:line="200"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failure to maintain employee morale and retain key employees.</w:t>
      </w:r>
    </w:p>
    <w:p>
      <w:pPr>
        <w:spacing w:after="0" w:line="190" w:lineRule="exact"/>
        <w:rPr>
          <w:sz w:val="20"/>
          <w:szCs w:val="20"/>
          <w:color w:val="auto"/>
        </w:rPr>
      </w:pPr>
    </w:p>
    <w:p>
      <w:pPr>
        <w:ind w:right="4580"/>
        <w:spacing w:after="0" w:line="249" w:lineRule="auto"/>
        <w:rPr>
          <w:sz w:val="20"/>
          <w:szCs w:val="20"/>
          <w:color w:val="auto"/>
        </w:rPr>
      </w:pPr>
      <w:r>
        <w:rPr>
          <w:rFonts w:ascii="Arial" w:cs="Arial" w:eastAsia="Arial" w:hAnsi="Arial"/>
          <w:sz w:val="13"/>
          <w:szCs w:val="13"/>
          <w:color w:val="auto"/>
        </w:rPr>
        <w:t>Because of these and other factors, we may not fully realize the purpose and anticipated operational benefits or cost savings of any productivity actions and, if we do not, it may have a material adverse effect on our business, operations,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exposed to liabilities if it is determined that our compensation arrangements do not comply with, or are not exempt from, Section 409A of the Code.</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Section 409A (“Section 409A”) of the Internal Revenue Code of 1986, as amended (“the Code”), sets forth the rules governing non-qualified deferred compensation arrangements. Section 409A contains many technical, complicated and ambiguous rules and regulations, including proposed but not yet finalized regulations that do not currently have the force of law, making compliance with Section 409A difficult to assess and to ensure. While we have attempted to structure our compensation arrangements (including our equity incentive awards) so that they either comply with, or are exempt from, Section 409A, it is possible that some of these compensation arrangements are not so exempt or compliant. In some instances, we have determined that amendments to certain of our compensation arrangements were advisable in order to mitigate or eliminate potential Section 409A non-compliance risk, though there can be no assurance that such amendments will mitigate or eliminate any such risk. If it is determined that any of our compensation arrangements are neither compliant with, nor exempt from, Section 409A, we may be subject to significant liabilities and costs, including penalties for failing to properly report deferred compensation arrangements under Section 409A and to withhold taxes payable by our service providers, including our employees, and we may be required to pay to the applicable governmental authorities the amount of taxes we should have withheld and related interest and penalties. In addition, those of our service providers, including our employees, participating in such arrangements may experience significant adverse tax consequences under Section 409A, including a 20% federal penalty tax imposed on the amount of compensation involved (and, as applicable, similar excise taxes under state law or foreign law). These liabilities may be significant and the imposition of such liabilities may materially affect our employee relations. In addition, in the event any such liabilities were imposed on our service providers, including our employees, we could decide to take remedial action, including making cash payments to adversely affected service providers, including our employees. Any amounts so paid by us could materially and adversely affect our results of operations, financial condition, business and prospects.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i w:val="1"/>
          <w:iCs w:val="1"/>
          <w:color w:val="auto"/>
        </w:rPr>
        <w:t>Improper disclosure of confidential information could negatively impact our business.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the ordinary course of our business, we maintain sensitive data on our networks, including our intellectual property and proprietary or confidential business information relating to our business and that of our customers and business partners. In addition, we regularly enter into confidentiality obligations with our customers, suppliers and parties that we license intellectual property to or from. The secure maintenance of this information is critical to our business and reputation. We have put in place policies, procedures and technological safeguards designed to protect the security of this information. However, we cannot guarantee that this information will not be improperly disclosed or accessed. Disclosure of this information could harm our reputation, subject us to liability under our contracts and harm our relationships with key counterparties, which could materially and adversely affect our results of operations, financial condition, business and prospects.</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Manufacturing, Operations and Expansion</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manage our capacity and production facilities effectively, our competitiveness may be weakened.</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perform long-term market demand forecasts for our products to manage, and plan for, our overall capacity. Because market conditions are dynamic, our market demand forecasts may change significantly at any time. During periods of decreased demand, certain manufacturing lines or tools in some of our manufacturing facilities may be idled or shut down temporarily, to save costs while preserving capacity. However, if subsequent demand increases rapidly, we may not be able to restore the capacity in a timely manner to take advantage of the upturn. In light of long-term market demand forecasts, we have been adding capacity to meet market needs for our products. In some instances, we increase or otherwise manage capacity by transferring technologies from one location to another. Expansion of our capacity will increase our costs. For example, we will need to purchase additional equipment, and hire and train additional personnel to operate the new equipment. In case of a technology transfer, we may also need to source new tooling and materials, train personnel to learn and stabilize new processes and, depending on the technology, obtain government approval for such transfer. If demand does not increase as planned or expansion is delayed, we may not increase our net revenue accordingly, which could materially and adversely affect our results of operations, financial condition, business and prospects.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Because we own and operate high-tech manufacturing facilities, our operations have high costs that are fixed or difficult to reduce in the short term, including our costs related to utilization of existing facilities, facility construction and equipment, R&amp;D, and the employment and training of a highly skilled workforce. To the extent demand decreases, capacity does not increase in time to meet demand or we fail to forecast demand accurately, we could be required to write off inventory or record underutilization charges, which would lower our gross margin. To the extent any demand decrease is prolonged, our manufacturing capacity could be underutilized, and we may be required to write down our long-lived assets, which would increase our expenses. We may also be required to shorten the useful life of under-used facilities and equipment and accelerate depreciation.</w:t>
      </w:r>
    </w:p>
    <w:p>
      <w:pPr>
        <w:spacing w:after="0" w:line="23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Our manufacturing processes are highly complex, costly and potentially vulnerable to impurities and other disruptions, and cost increases, that can significantly increase our costs and delay product shipments to our customers.</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semiconductor manufacturing processes are highly complex, require advanced and costly equipment, are difficult to transfer and are continuously being modified to improve manufacturing yields and product performance intended to improve or protect our ability to achieve our revenue and profit plan. Disruptions in manufacturing operations could be caused by numerous issues including impurities in our raw materials (such as chemicals, gases and wafers), supply chain changes to support expansion plans, facilities issues (such as electrical power and water outages), equipment failures (such as performance issues or defects) or IT issues (such as down computer systems and viruses). Any of these issues, and others, could lower production yields or interrupt manufacturing, which could result in the loss of products in process that could cause delivery delays, reduced revenue, increased cost or reduced quality delivered to our customers. These factors could significantly affect our financial results as well as our ability to attract new and retain existing customers.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In the past, we have encountered, among other issues:</w:t>
      </w:r>
    </w:p>
    <w:p>
      <w:pPr>
        <w:spacing w:after="0" w:line="84"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capacity constraints due to changes in product mix or the delayed delivery of equipment critical to our production;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construction delays during expansions of our clean rooms and other facilities;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difficulties in upgrading or expanding existing facilities;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failure of manufacturing execution system or automatic transportation systems;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unexpected breakdowns in manufacturing equipment and/or related facilities;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disruptions in connection with changing, transferring or upgrading our process technologies;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electrical power outages;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6" w:name="page17"/>
    <w:bookmarkEnd w:id="16"/>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raw materials shortages and impurities;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delays in delivery or shortages of spare parts used in the maintenance of our equipment.</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If the above issues recur or we face similar challenges in the future, we may suffer delays in our ability to deliver our products, which could have a material and adverse effect on our results of operations, financial condition, business and prospects. In addition, we cannot guarantee that we will be able to increase our manufacturing capacity and efficiency in the future to the same extent as in the past. On June 22, 2021, we announced fab expansion plans in Singapore, with the addition of Module 7H, an extension of our existing 300mm Fab 7 operations. If the above issues recur or we face similar issues in the future related to the Module 7H expansion, the ramp of production in Module 7H could be delayed, which could have a material adverse effect on our operations, financial condition and business prospects. Additionally, increases in the costs of key inputs to fabs, including raw materials, electric power and water, could materially and adversely affect our results of operations, financial condition, business and prospects.</w:t>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risks associated with the development and implementation of new manufacturing technologies.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Production of ICs is a complex process. We are continually engaged in the development of new manufacturing process technologies and features. Forecasting our progress and schedule for developing new process technologies and features is challenging, and at times we encounter unexpected delays due to the complexity of interactions among steps in the manufacturing process, challenges in using new materials, and other issues. We may expend substantial resources on developing new technologies that are ultimately not successful, which may result in our recognizing significant impairment charges. Diagnosing defects in our manufacturing processes often takes a long time, as manufacturing throughput times can delay our receipt of data about defects and the effectiveness of fixes. We are not always successful or efficient in developing or implementing new technologies and manufacturing processes.</w:t>
      </w:r>
    </w:p>
    <w:p>
      <w:pPr>
        <w:spacing w:after="0" w:line="23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Our profit margin may substantially decline if we are unable to continually improve our manufacturing yields, maintain high shipment utilization or fail to optimize the process technology mix of our wafer production.</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Our ability to maintain our profit margin depends, in part, on our ability to:</w:t>
      </w:r>
    </w:p>
    <w:p>
      <w:pPr>
        <w:spacing w:after="0" w:line="95"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maintain high capacity utilization;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maintain or improve our production yields;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optimize the technology mix of our production by increasing the number of wafers manufactured by utilizing different processing technologies.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shipment utilization affects our operating results because a large percentage of our operating costs is fixed. Our manufacturing yields directly affect our ability to attract and retain customers, as well as the prices of our services. Different technologies load the available capacity differently, and an increase of lower margin product demand could lower the financial performance of a factory while still fully utilizing the available capacity. If we are unable to continuously maintain high capacity utilization, improve our manufacturing yields or optimize the technology mix of our wafer production, our profit margin may substantially decline.</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Our manufacturing processes are highly complex, require advanced and costly equipment and are continuously being modified in an effort to improve yields and product performance. Minute impurities or other difficulties in the manufacturing process can lower yields. Further, at the beginning of each semiconductor technological upgrade, the manufacturing yield utilizing the new technology may be lower than the yield under current technology. Our manufacturing efficiency is an important factor in our profitability, and we cannot assure you that we will be able to maintain our manufacturing efficiency or increase manufacturing efficiency to the same extent as our competitors.</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addition, as is common in the semiconductor industry, we have from time to time experienced difficulty in effecting transitions to new manufacturing processes. As a consequence, we may suffer delays in product deliveries or reduced yields. We may experience manufacturing problems in achieving acceptable yields or experience product delivery delays in the future as a result of, among other things, capacity constraints, upgrading or expanding our existing facilities or changing our process technologies, any of which could materially and adversely affect our results of operations, financial condition, business and prospects.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obtain manufacturing equipment in a timely manner and at a reasonable cost that is necessary for us to remain competitive.</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Our operations and ongoing revenue expansion plans depend on our ability to obtain complex and specialized manufacturing equipment and related services from a limited number of suppliers in a market that is characterized from time to time by limited supply and long delivery cycles. During such times, supplier-specific or industry-wide lead times for delivery can be as long as twelve months or more. Further, growing complexities of the most valuable equipment may delay the timely delivery of such equipment and parts needed to capitalize on time-sensitive and perishable business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17" w:name="page18"/>
    <w:bookmarkEnd w:id="17"/>
    <w:p>
      <w:pPr>
        <w:jc w:val="both"/>
        <w:spacing w:after="0" w:line="246" w:lineRule="auto"/>
        <w:rPr>
          <w:sz w:val="20"/>
          <w:szCs w:val="20"/>
          <w:color w:val="auto"/>
        </w:rPr>
      </w:pPr>
      <w:r>
        <w:rPr>
          <w:rFonts w:ascii="Arial" w:cs="Arial" w:eastAsia="Arial" w:hAnsi="Arial"/>
          <w:sz w:val="13"/>
          <w:szCs w:val="13"/>
          <w:color w:val="auto"/>
        </w:rPr>
        <w:t>opportunities. Industry-wide demand increases for this equipment could increase its market price as well as the market price of replacement parts and consumable materials needed to operate the equipment. Due in part to demand driven by significant new sources of funding in China as well as potentially other governments (such as Korea, the United States and Europe) and the bottleneck created by the most recent semiconductor supply shortage, the current demand for semiconductor manufacturing equipment and equipment supply constraints are resulting in longer than normal lead times for such equipment. If we are unable to obtain equipment in a timely manner to fulfill our customers’ demand on technology and production capacity, or at a reasonable cost, we may be unable to meet commitments under our contracts with customers, which could expose us to substantial liquidated damages and other claims and could materially and adversely affect our results of operations, financial condition, business and prospects.</w:t>
      </w: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obtain adequate supplies of raw materials in a timely manner and at commercially reasonable prices our revenue and profitability may decline.</w:t>
      </w:r>
    </w:p>
    <w:p>
      <w:pPr>
        <w:spacing w:after="0" w:line="10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Our production operations require that we obtain adequate supplies of raw materials, such as silicon wafers, gases, chemicals and photoresist, on a timely basis and at commercially reasonable prices, many of which are not commodities easily replaced with substitutions. In the past, shortages in the supply of some materials, whether by specific vendors or by the industry generally, have resulted in occasional industry-wide price adjustments and delivery delays. Moreover, major natural disasters, trade barriers and political or economic turmoil occurring within the country of origin of such raw materials may also significantly disrupt the availability of such raw materials or increase their prices. Further, since we procure some of our raw materials from sole-sourced suppliers, including raw materials that are significant to our production operations, there is a risk that our need for such raw materials may not be met or that back-up supplies may not be readily available. In addition, recent trade tensions between the United States and China, as well as the conflict in Ukraine, have resulted in substantial price volatility and reduced availability of raw materials, including rare earth metals and natural gas used in our products or in our production operations. Tariffs, sanctions, export controls, other non-tariff barriers, and other measures undertaken by state actors due to global or local economic conditions could also affect material cost and availability. If the availability of such raw materials is disrupted, manufacturing lines may be stopped or significantly disrupted, impacting our supply chain, which could materially and adversely affect our results of operations. From time to time, including recently, we are advised of shortages of raw materials that could impact our operations. We currently are seeking, and in the future will continue to seek, alternative suppliers and substitute materials and work closely with our existing vendors to support their efforts to provide us with uninterrupted supply.</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Certain raw materials and other inputs, such as energy (e.g., electricity, natural gas, petroleum) and water, necessary for our production operations have recently experienced and may continue to experience substantial price volatility, including related to shortages or political or economic instability, in regions where we operate our fabs. We have recently experienced and may continue to experience increases in electricity costs, particularly in Dresden, Germany and Singapore. Hedging transactions for many of those raw materials and other inputs are not available to us, or are not available on terms we believe are commercially acceptable. Hedges that we enter into with respect to certain inputs, such as electricity, or alternative energy supplies we may seek to secure, may not be effective to avoid disruptions to our manufacturing operations. Additionally, once our prices with a customer are negotiated, we are generally unable to revise pricing with that customer until our next regularly scheduled price adjustment. As a result, if market prices for essential components increase, we may be unable to pass the price increases through to our customers for products purchased under an existing agreement. Consequently, we are exposed to the risks associated with the volatility of prices for these components and our cost of revenue could increase and our gross margins could decrease in the event of price increases. Recently, as a result of demand driven by the semiconductor supply shortage, the costs of raw wafers as well as certain other raw materials were relatively high. Failure to obtain adequate supplies could result in our being unable to meet commitments under our contracts with customers, which could expose us to substantial liquidated damages and other claims, which could materially and adversely affect our results of operations, financial condition, business and prospects.</w:t>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Aging infrastructure, power grids and risks to the supply of natural gas, electricity or fresh water could interrupt production.</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semiconductor fabrication process requires extensive amounts of fresh water and a stable source of electricity and natural gas. In addition, it requires effective facilities to manage wastewater. As our production capabilities and our business grow, our requirements for these factors will grow substantially. Although we have not, to date, experienced any instances of lack of sufficient supplies of natural gas or water, or material disruptions in the electricity supply to, or wastewater processing capacity of, any of our fabs beyond temporary or short-term stoppages, the recent conflict between Russia and Ukraine has created a substantial risk of natural gas shortage in Europe, which may impact our manufacturing site in Dresden, Germany. Further, we may not have access to sufficient supplies of natural gas, electricity, water or wastewater processing capacity to accommodate our planned growth. Pipeline interruptions, power interruptions, electricity shortages, droughts, geopolitical tensions, or government intervention, particularly in the form of rationing, are factors that could restrict our access to these utilities in the areas in which our fabs are located. If there is an insufficient supply of fresh water, natural gas, electricity or wastewater processing capacity to satisfy our requirements, we may need to limit or delay our production. In addition, a power outage, even of very limited duration, could result in a loss of wafers in production and a deterioration in yield. Any of</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color w:val="auto"/>
        </w:rPr>
        <w:t>these occurrences could materially and adversely affect our results of operations, financial condition, business and prospects.</w:t>
      </w:r>
    </w:p>
    <w:p>
      <w:pPr>
        <w:spacing w:after="0" w:line="2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Failure to adjust our supply chain volume due to changing market conditions or failure to estimate our customers’ demand could adversely affect our sales and/or our gross margin and could result in additional charges for obsolete or excess inventories or non-cancelable purchase commitments.</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make significant decisions, including determining the levels of business that we will seek and accept, production schedules, personnel needs and other resource requirements, based on our estimates of customer requirements. The possibility of rapid changes in demand for our customers’ products reduces our ability to accurately estimate our customers’ future requirements for our products. On occasion, our customers may require rapid increases in production, which can challenge our resources. We may not have sufficient capacity at any given time to meet our customers’ demands. Conversely, downturns in the semiconductor industry have in the past caused and may in the future cause our customers to significantly reduce the amount of products ordered from us. Because many of our sales, R&amp;D, and manufacturing expenses are relatively fixed, a reduction in customer demand may decrease our gross margins and operating income, which could materially and adversely affect our results of operations, financial condition, business and prospects.</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addition, we base many of our operating decisions, and enter into purchase commitments, on the basis of anticipated sales, which are highly unpredictable. Some of our purchase commitments are non-cancelable, and in some cases we are required to recognize a charge representing the amount of material or capital equipment purchased or ordered that exceeds our actual requirements. For example, we have non-cancelable purchase commitments with vendors and LTAs with certain of our third-party wafer fabrication partners, under which we are required to purchase a minimum number of wafers per year or face financial penalties. These types of commitments and agreements could reduce our ability to adjust our inventory to address declining market demands. If demand for our products is less than we expect, we may experience additional excess and obsolete inventories and be forced to incur additional charges. If sales in future periods fall substantially below our expectations, or if we fail to accurately forecast changes in demand mix, we could again be required to record substantial charges for obsolete or excess inventories or non-cancelable purchase commitments.</w:t>
      </w:r>
    </w:p>
    <w:p>
      <w:pPr>
        <w:spacing w:after="0" w:line="162"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Moreover, during a market upturn, we may not be able to purchase sufficient supplies or components to meet increasing product demand, which could prevent us from taking advantage of opportunities and reduce our sales. In addition, a supplier could discontinue a component necessary for our design, extend lead times, limit supply or increase prices due to capacity constraints or other factors. Our failure to adjust our supply chain volume or estimate our customers’ demands could materially and adversely affect our results of operations, financial condition, business and prospects.</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Historically, we do not typically operate with any significant backlog, except in periods of capacity shortage. The historic lack of significant backlog and the unpredictable length and timing of semiconductor cycles makes it more difficult for us to accurately forecast revenue in future periods. Moreover, our expense levels are based in part on our expectations of future revenue, and we may be unable to fully adjust costs in a timely manner to compensate for revenue shortfalls.</w:t>
      </w:r>
    </w:p>
    <w:p>
      <w:pPr>
        <w:spacing w:after="0" w:line="34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Certain of our debt agreements contain covenants that may constrain the operation of our business, and our failure to comply with these covenants could materially and adversely affect our results of operations, financial condition, business and prospects.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Restrictive covenants in our credit facilities may prevent us from pursuing certain transactions or business strategies, including by limiting our ability to, in certain circumstances:</w:t>
      </w:r>
    </w:p>
    <w:p>
      <w:pPr>
        <w:spacing w:after="0" w:line="95"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incur additional indebtedness;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pay dividends or make distributions;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acquire assets or make investments outside of the ordinary course of business;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sell, lease, license, transfer or otherwise dispose of assets;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enter into transactions with our affiliates;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create or permit liens;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guarantee indebtedness;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engage in certain extraordinary transactions.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Failure to comply with any of the covenants in our debt agreements, including due to events beyond our control, could result in an event of default. The holders of the defaulted debt could terminate commitments to lend and accelerate amounts outstanding to be due and payable immediately. This could also result in cross-defaults under our other debt instruments, significantly impacting our liquidity and ability to fund our operations. Any of these occurrences could materially and adversely affect our results of operations, financial condition, business and prospects.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i w:val="1"/>
          <w:iCs w:val="1"/>
          <w:color w:val="auto"/>
        </w:rPr>
        <w:t>We may be subject to the risk of loss due to fire because the materials we use in our manufacturing processes are highly flammable.</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use highly flammable materials such as silane and hydrogen in our manufacturing processes and may therefore be subject to the risk of loss arising from fires. The risk of fire associated with these materials cannot be completely eliminated. We maintain insurance policies to reduce losses caused by fire, including business interruption insurance. However, our insurance coverage is subject to deductibles and self-insured retention and may not be sufficient to cover all of our potential losses. If any of our fabs were to be damaged or cease operations as a result of a fire, our manufacturing capacity would be reduced, which could materially and adversely affect our results of operations, financial condition, business and prospects.</w:t>
      </w: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operations are subject to the risks of earthquakes, fires, floods, severe weather incidents and other natural catastrophic events, and to interruption by man-made problems such as power disruptions, industrial accidents, or terrorism.</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Significant natural disasters such as earthquakes, fires, floods, severe weather incidents or acts of terrorism occurring in any of our manufacturing or office locations, or where a business partner, such as a customer or supplier, is located, could adversely affect our operational and financial performance. In addition, natural disasters, spills or hazardous exposure incidents, accidents and acts of terrorism could cause disruptions in our business or our suppliers’ or customers’ businesses, national economies or the global economy as a whole, and we may not have insurance coverage for these matters. Our operations, as well as our computing systems, are vulnerable to interference, or interruption from terrorist attacks, natural disasters or pandemics (including COVID-19), the effects of climate change (such as sea level rise, drought, flooding, wildfires, increased average temperatures and increased storm severity), power loss, telecommunications failures, criminal fraud or impersonation, inadvertent or intentional actions by our employees, or other attempts to harm or access our systems. In the event of a major disruption caused by a natural disaster or any of the foregoing, we may be unable to continue our operations and may endure system interruptions, reputational harm, delays in our development activities, lengthy interruptions in service, breaches of data security and loss of critical data or personal information, any of which could materially and adversely affect our results of operations, financial condition, business and prospects. We are also at risk of data breaches, as further described below.</w:t>
      </w: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The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rely on our IT systems and those of our service providers to conduct much of our business operations. Our and our service providers’ IT and computer systems store and transmit customer information, trade secrets, corporate data and personal information, and are otherwise essential to the operation of our production lines, which may make us a target for cyberattacks. In addition, our accreditation as a Trusted Foundry by the Defense Microelectronics Activity (“DMEA”) and our processing of sensitive information may make us an attractive target for attacks, including industrial or nation-state espionage, organized criminals, and terrorist cyberattacks. Hackers may seek to disrupt our operations, blackmail us to regain control of our systems, or spy on us for sensitive information. Further, we depend on our employees and the employees of our service providers to appropriately handle confidential and sensitive data and deploy our IT resources in a safe and secure manner that does not expose our network systems to security breaches or the loss of data. However, there is always a risk that inadvertent disclosure or actions or internal malfeasance by our employees or those of our service providers could result in a loss of data or a breach or interruption of our IT systems.</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are making significant investments in cybersecurity and data security, as well as other efforts to combat breach and misuse of our systems and unauthorized access to our and our customers’ data by third parties. While we seek to continuously review and assess our cybersecurity policies and procedures to ensure their adequacy and effectiveness, all IT and computer systems are vulnerable to attacks, especially via methods that have not been observed yet or quickly evolve. The risk of security breaches may be higher during times of a natural disaster or pandemic (including COVID-19) due to remote working arrangements. We cannot guarantee that our IT and computer systems which control or maintain vital corporate functions, such as our manufacturing operations and enterprise accounting, would be immune to cyberattacks. In the event of a serious cyberattack, our systems may lose important customer information, trade secrets, corporate data or personal information, or our production lines may be shut down pending the resolution of such an attack.</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we employ certain third-party service providers for us and our affiliates worldwide with whom we need to share highly sensitive and confidential information to enable them to provide the relevant services. While, to date, we have not been subject to cyberattacks which, individually or in the aggregate, have been material to our operations or financial conditions, some of our third-party service providers have experienced cyberattacks of which we have been made aware.</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Despite requiring certain third-party service providers to comply with the confidentiality and security requirements in our service agreements with them, there is no assurance that each of them will strictly fulfill any of their obligations or that they will be successful in preventing further cyberattacks. The on-site network systems and the off-site cloud computing networks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20" w:name="page21"/>
    <w:bookmarkEnd w:id="20"/>
    <w:p>
      <w:pPr>
        <w:jc w:val="both"/>
        <w:spacing w:after="0" w:line="249" w:lineRule="auto"/>
        <w:rPr>
          <w:sz w:val="20"/>
          <w:szCs w:val="20"/>
          <w:color w:val="auto"/>
        </w:rPr>
      </w:pPr>
      <w:r>
        <w:rPr>
          <w:rFonts w:ascii="Arial" w:cs="Arial" w:eastAsia="Arial" w:hAnsi="Arial"/>
          <w:sz w:val="13"/>
          <w:szCs w:val="13"/>
          <w:color w:val="auto"/>
        </w:rPr>
        <w:t>such as servers maintained by these service providers and/or their contractors are also subject to risks associated with cyberattacks. While we attempt to take prompt action once we are alerted to a cyberattack against one of our third-party service providers and implement steps designed to mitigate associated risks to our systems and data, we may in the future not be made aware of such events in a timely manner or may be unable to successfully sever network connectivity or otherwise limit the risk to our own systems.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we or our service providers are not able to timely contain, remediate and resolve the respective issues caused by cyberattacks and data breaches, or ensure the integrity and availability of our systems and data (or data belonging to our customers or other third parties) or control of our or our service providers’ IT or computer systems, then such attacks, breaches or failures could:</w:t>
      </w:r>
    </w:p>
    <w:p>
      <w:pPr>
        <w:spacing w:after="0" w:line="67"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disrupt the proper functioning of these networks and systems and, therefore, our operations and/or those of certain of our customers;</w:t>
      </w:r>
    </w:p>
    <w:p>
      <w:pPr>
        <w:spacing w:after="0" w:line="83" w:lineRule="exact"/>
        <w:rPr>
          <w:rFonts w:ascii="Arial" w:cs="Arial" w:eastAsia="Arial" w:hAnsi="Arial"/>
          <w:sz w:val="13"/>
          <w:szCs w:val="13"/>
          <w:color w:val="auto"/>
        </w:rPr>
      </w:pPr>
    </w:p>
    <w:p>
      <w:pPr>
        <w:ind w:left="520" w:hanging="260"/>
        <w:spacing w:after="0" w:line="261"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spacing w:after="0" w:line="67"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result in litigation and governmental investigation and proceedings that could expose us to civil or criminal liabilities;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compromise national security and other sensitive government functions;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require significant management attention and resources to remedy the damages that result;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result in our incurring significant expenses in implementing remedial and improvement measures to enhance our IT network or computer systems;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result in costs which exceed our insurance coverage and/or indemnification arrangements;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subject us to claims for contract breach, damages, credits, penalties or termination;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damage our reputation with our customers (including the U.S. government) and the general public.</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Further, remediation efforts may not be successful and could result in interruptions, delays or cessation of service, unfavorable publicity, damage to our reputation, customer allegations of breach-of-contract, possible litigation, and loss of existing or potential customers that may impede our sales or other critical functions. Additionally, any such attack or unauthorized access may require spending resources on correcting the breach and indemnifying the relevant parties and litigation, regulatory investigations, regulatory proceedings, increased insurance premiums, lost revenue, penalties fines and other potential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Any of the foregoing factors could materially and adversely affect our results of operations, financial condition, business and prospects</w:t>
      </w:r>
      <w:r>
        <w:rPr>
          <w:rFonts w:ascii="Arial" w:cs="Arial" w:eastAsia="Arial" w:hAnsi="Arial"/>
          <w:sz w:val="14"/>
          <w:szCs w:val="14"/>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Compliance with applicable data security and data privacy laws and regulations may be costly and, in the case of a breach of applicable law, could harm our reputation.</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the United States, federal and state laws impose limits on, or requirements regarding the collection, distribution, use, security and storage of personal information of individuals, and there has been increased regulation of data privacy and security particularly at the state level, including the California Consumer Privacy Act (effective on January 1, 2020), and the California Privacy Rights Act (effective on January 1, 2023). Currently, many states are actively considering or enacting similar laws and we operate in many of these jurisdictions. Outside the United States, the European Union and other countries in which we operate also have privacy and data protection laws, regulations and standards.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interpretation and application of many of these existing or recently enacted laws and regulations are increasingly complex, uncertain and fluid, and could be inconsistent with our existing data management practices. For example, recent developments in Europe have created complexity and uncertainty regarding transfers of personal data from the European Economic Area (“EEA”) and the United Kingdom (“UK”) to the United States and other jurisdictions. Furthermore, the long-term regulation of data transfers between the EEA and the UK is uncertain, as a relevant adequacy decision enabling such transfers is due to expire. These developments could lead to substantial costs, require significant changes, divert the attention of our technology personnel, adversely affect our margins, increase costs and subject us to additional liabilities. If we are unable to transfer personal data between and among countries and regions in which we operate, it could affect the geographical location or segregation of our relevant systems and operations, and could adversely affect our financial results. In addition, the existing EU and UK privacy laws on cookies and e-marketing are also in flux and are likely to be replaced by new regulations, which may introduce more stringent requirements for using cookies and similar technologies for direct marketing and significantly increase fines for non-compliance in-line with the General Data Protection Regulation (“GDPR”). Stricter enforcement of such laws could limit the effectiveness of our marketing activities, divert the attention of our technology personnel, increase costs and subject us to additional liabilities.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21" w:name="page22"/>
    <w:bookmarkEnd w:id="21"/>
    <w:p>
      <w:pPr>
        <w:jc w:val="both"/>
        <w:spacing w:after="0" w:line="246" w:lineRule="auto"/>
        <w:rPr>
          <w:sz w:val="20"/>
          <w:szCs w:val="20"/>
          <w:color w:val="auto"/>
        </w:rPr>
      </w:pPr>
      <w:r>
        <w:rPr>
          <w:rFonts w:ascii="Arial" w:cs="Arial" w:eastAsia="Arial" w:hAnsi="Arial"/>
          <w:sz w:val="13"/>
          <w:szCs w:val="13"/>
          <w:color w:val="auto"/>
        </w:rPr>
        <w:t>Inappropriate disclosure of personal and other sensitive data, even if inadvertent, or other actual or perceived violations of or noncompliance with such laws and regulations could expose us to significant administrative, civil or criminal liability as well as reputational harm. For example, a breach of the GDPR could result in fines of up to 20 million euros (“EUR”) under the European GDPR or British pound sterling (“GBP”) 17.5 million under the U.K. GDPR or up to 4% of the annual global revenue of the infringer, whichever is greater, as well as regulatory investigations, reputational damage, orders to cease or change our processing of personal data, enforcement notices and/or assessment notices (for a compulsory audit). Privacy-related claims or lawsuits initiated by governmental bodies, employees or other third parties, whether meritorious or not, could be time-consuming, result in costly regulatory proceedings, litigation, penalties and fines, or require us to change our business practices, sometimes in expensive ways, or other potential liabilities.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Additionally, a failure to comply with the National Institute of Standards and Technology Special Publication 800-171 or the Department of Defense (”DoD”)’s cybersecurity requirements, including the Cyber Security Material Model Certificate (“CMMC”), which will require all contractors to receive specific third-party cybersecurity certifications to be eligible for contract awards, could restrict our ability to bid for, be awarded and perform on DoD contracts. The DoD expects that all new contracts will be required to comply with the CMMC by 2026, and initial requests for information and for proposal have already begun. We are in the process of evaluating our readiness and preparing for the CMMC. To the extent we, or our subcontractors or other third parties on whom we rely are unable to achieve certification in advance of contract awards that specify the requirement, we may be unable to bid on contract awards or follow-on awards for existing work with the DoD, which could materially and adversely affect our results of operations, financial condition, business and prospects. We will also be required to go through a recertification process every two years. In addition, any obligations that may be imposed on us under the CMMC may be different from or in addition to those otherwise required by applicable laws and regulations, which may cause additional expense for compliance.</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products may contain defects that could harm our reputation, be costly to correct, delay revenue and expose us to litigation.</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products are highly complex and sophisticated and, from time to time, may contain defects, errors, hardware failures or other failures that are difficult to detect and correct. Errors, defects and other failures may be found in new solutions, products or services or improvements to existing solutions, products or services after delivery to our customers. If these defects, errors and failures are discovered, we may not be able to successfully correct them in a timely manner or otherwise mitigate or eliminate the impact of the error or failure. The occurrence of errors, defects and other failures in our products could result in the delay or the denial of market acceptance of our products and alleviating such errors, defects and other failures may require us to make significant expenditure of our resources. Our products are often used for critical business processes and as a result, any defect in or failure of our products may cause customers to reconsider renewing their contract with us, cause significant customer dissatisfaction and possibly giving rise to claims for indemnification or other monetary damages. The harm to our reputation resulting from errors, defects and other failures may be material. Any claims for actual or alleged losses to our customers’ businesses may require us to spend significant time and money in litigation or arbitration or to pay significant settlements or damages. Defending a lawsuit, regardless of merit, can be costly and divert management’s attention and resources. Accordingly, any such claim could materially and adversely affect our results of operations, financial condition, business and prospects.</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problem in the semiconductor outsourcing infrastructure could materially and adversely affect our results of operations, financial condition, business and prospects.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Many of our customers depend on third parties to provide assembly, testing and other related services. Many of these services are geographically concentrated primarily in Asia. If these customers cannot timely obtain those services on reasonable terms, they may not order foundry products and services from us, which could materially and adversely affect our results of operations, financial condition, business and prospects.</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failure to obtain, maintain, protect or enforce our intellectual property and proprietary rights could impair our ability to protect our proprietary technology and our brand.</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success depends to a significant degree on our ability to obtain, maintain, protect and enforce our intellectual property rights. We rely on a combination of patents, trade secrets, copyrights, trademarks, service marks, and other forms of intellectual property, contractual restrictions and confidentiality procedures to establish and protect our proprietary rights. However, the steps we take to obtain, maintain, protect and enforce our intellectual property rights may be inadequate. We may not be able to protect our technology, know-how, and/or brand if we are unable to enforce our rights for whatever reason or if we do not detect unauthorized use of our intellectual property rights. If we fail to protect our intellectual property rights adequately, our competitors may gain access to our proprietary technology and develop and commercialize substantially similar products, services or technologies, which could materially and adversely affect our results of operations, financial condition, business and prospects.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22" w:name="page23"/>
    <w:bookmarkEnd w:id="22"/>
    <w:p>
      <w:pPr>
        <w:jc w:val="both"/>
        <w:spacing w:after="0" w:line="245" w:lineRule="auto"/>
        <w:rPr>
          <w:sz w:val="20"/>
          <w:szCs w:val="20"/>
          <w:color w:val="auto"/>
        </w:rPr>
      </w:pPr>
      <w:r>
        <w:rPr>
          <w:rFonts w:ascii="Arial" w:cs="Arial" w:eastAsia="Arial" w:hAnsi="Arial"/>
          <w:sz w:val="13"/>
          <w:szCs w:val="13"/>
          <w:color w:val="auto"/>
        </w:rPr>
        <w:t>We have filed various applications for certain aspects of our intellectual property in the United States and other countries, and we have built a comprehensive patent portfolio of approximately 9,000 worldwide patents. In the future, we may acquire additional patents or patent portfolios, license patents from third parties or agree to license the technology of third parties, which could require significant cash expenditures. Our patents do not cover all of our technologies, systems, products and product components and our competitors or others may design around our patented technologies. Further, when we seek patent protection for a particular technology, there is no assurance that the applications we file will result in issued patents or that if patents do issue as a result that they will be found to be valid and enforceable or that they will effectively block competitors from creating competing technology. In addition, we may need to license technology from third parties to develop and market new products and we cannot be certain that we could license that technology on commercially reasonable terms or at all. Our inability to license this technology could harm our ability to compete and materially and adversely affect our results of operations, financial condition, business and prospects.</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Some of our know-how or technology is not patented or patentable and may constitute trade secrets. To protect our trade secrets, we have a policy of requiring our employees, consultants, advisors and other collaborators who contribute to our material intellectual property to enter into confidentiality agreements. We also rely on customary contractual protections with our suppliers and customers, and we implement security measures intended to protect our trade secrets, know-how and other proprietary information. However, no assurances can be given that those contracts will not be breached. Further, those contracts and arrangements may be ineffective in protecting our intellectual property and may not prevent unauthorized disclosure. See also “—There is a risk that our trade secrets, know-how and other proprietary information will be stolen, used in an unauthorized manner, or compromised, which could materially and adversely affect our results of operations, financial condition, business and prospects.” In addition, third parties may independently develop technologies that may be substantially equivalent or superior to our technology.</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There is a risk that our trade secrets, know-how and other proprietary information will be stolen, used in an unauthorized manner, or compromised, which could materially and adversely affect our results of operations, financial condition, business and prospects.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trade secrets, know-how and other proprietary information may be stolen, used in an unauthorized manner, or compromised through a direct intrusion by private parties or foreign actors, including those affiliated with or controlled by state actors, through cyber intrusions into our computer systems, physical theft through corporate espionage or other means, or through more indirect routes, including by joint venture partners, licensees that do not honor the terms of the license, potential licensees that were ultimately not licensed, or other parties reverse engineering our company’s solutions, products or components. Any of the foregoing factors could materially and adversely affect our results of operations, financial condition, business and prospects.</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The laws of some foreign countries may not be as protective of intellectual property rights as those in the United States, and mechanisms for enforcement of intellectual property rights may be inadequate.</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absence of internationally harmonized intellectual property laws and different enforcement regimes makes it more difficult to ensure consistent protection of our proprietary rights. Our strong international presence may lead to increased exposure to unauthorized copying and use of our manufacturing technologies and proprietary information.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 Our inability to secure or enforce our intellectual property rights could materially and adversely affect our results of operations, financial condition, business and prospects</w:t>
      </w:r>
      <w:r>
        <w:rPr>
          <w:rFonts w:ascii="Arial" w:cs="Arial" w:eastAsia="Arial" w:hAnsi="Arial"/>
          <w:sz w:val="14"/>
          <w:szCs w:val="14"/>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been, and may continue to be, subject to intellectual property disputes, which are costly and may subject us to significant liability and increased costs of doing business.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semiconductor industry is subject to claims of infringement by patent owners and is characterized by frequent litigation regarding patent rights. From time to time, we receive communications from third parties that allege that our products or technologies infringe their patent or other intellectual property rights and we have had patent infringement lawsuits filed against us claiming that certain of our products, services, or technologies infringe the intellectual property rights of others. We may continue to become subject to such intellectual property disputes in the future. Further, we have entered into licenses, including patent licenses with third parties in settlements of claims or in order to avoid intellectual property disputes and the loss of license rights, including as a result of a termination or expiration of such licenses, may limit our ability to use certain technologies in the future, which could cause us to incur significant costs, prevent us from commercializing certain of our products or otherwise have a material adverse effect on us. In addition, there may be issued patents held by third parties that, if found to be valid and enforceable, could be alleged to be infringed by our current or future technologies or products. There also may be pending patent applications of others that may result in issued patents, which could be alleged to be infringed by our current or future technologies or products.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23" w:name="page24"/>
    <w:bookmarkEnd w:id="23"/>
    <w:p>
      <w:pPr>
        <w:jc w:val="both"/>
        <w:spacing w:after="0" w:line="246" w:lineRule="auto"/>
        <w:rPr>
          <w:sz w:val="20"/>
          <w:szCs w:val="20"/>
          <w:color w:val="auto"/>
        </w:rPr>
      </w:pPr>
      <w:r>
        <w:rPr>
          <w:rFonts w:ascii="Arial" w:cs="Arial" w:eastAsia="Arial" w:hAnsi="Arial"/>
          <w:sz w:val="13"/>
          <w:szCs w:val="13"/>
          <w:color w:val="auto"/>
        </w:rPr>
        <w:t>In order to protect our intellectual property rights, we may be required to spend significant resources to monitor and protect those rights. Litigation brought to protect and enforce our intellectual property rights could be costly, time-consuming and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the implementation of our manufacturing technologies, delay introductions of new solutions or injure our reputation and could have a material and adverse effect on our results of operations, financial condition, business and prospects.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Further, many of our agreements with our customers and partners, the terms of which often survive termination or expiration of the applicable agreement, require us to defend such parties against certain intellectual property infringement claims and indemnify them for damages and losses arising from certain intellectual property infringement claims against them, which have in the past resulted, and could in the future result, in increased costs for defending such claims or significant damages if there is an adverse ruling in any such claims. These defense costs and indemnity payments could materially and adversely affect our results of operations, financial condition, business and prospects. Such customers and partners may also discontinue the use of our products, services, and solutions, as a result of injunctions or otherwise, which could result in loss of revenue and adversely affect our business. We may also have to seek a license for the technology, which may not be available on reasonable terms, if at all, and may significantly increase our operating expenses or may require us to restrict our business activities and limit our ability to develop and deliver our products. As a result, we may also be required to develop alternative non-infringing technology, which could require significant effort and expense or which may not be possible, which could negatively affect our business. Moreover, intellectual property indemnities provided to us by our suppliers, when obtainable, may not cover all damages and losses suffered by us and our customers arising from intellectual property infringement claims. Even if we were to prevail in such a dispute, any litigation regarding our intellectual property could be costly and time-consuming and divert the attention of our management and key personnel from our business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Any of the foregoing factors could materially and adversely affect our results of operations, financial condition, business and prospects.</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Third parties may bring claims alleging infringement, misappropriation or violation of intellectual property rights. We cannot guarantee that we have not, do not or will not infringe, misappropriate or otherwise violate the intellectual property rights of others. Our technologies may not be able to withstand any third-party claims against their use. In addition, some companies may have the capability to dedicate substantially greater resources to enforce their intellectual property rights and to defend claims that may be brought against them. Furthermore, third parties have and may continue to assert infringement claims against us in the future, including the sometimes aggressive and opportunistic actions of non-practicing entities whose business model is to obtain patent-licensing revenue from operating companies such as us. Regardless of the merit of such claims, any claim that we have violated intellectual property or other proprietary rights of third parties, whether or not it results in litigation, is settled out of court or is determined in our favor, could be expensive and time-consuming, and could divert the time and attention of management and technical personnel from our business. The litigation process is subject to inherent uncertainties, and we may not prevail in litigation matters regardless of the merits of our position. In some jurisdictions, plaintiffs can also seek injunctive relief that may limit the operation of our business or prevent the marketing and selling of our services that infringe or allegedly infringe on the plaintiff’s intellectual property rights. If a third party is able to obtain an injunction preventing us from using our technology, accessing third-party intellectual property rights, or if we cannot license or develop alternative technology for any infringing aspect of our business, we could be forced to limit or stop manufacturing activities or sales of our products or cease other business activities related to such intellectual property. To resolve these claims, we may enter into licensing agreements with restrictive terms or significant fees, stop selling our products or services or be required to implement costly or inferior redesigns to the affected products or services, or pay damages to satisfy contractual obligations to others. If we do not resolve these claims in advance of a trial, there is no guarantee that we will be successful in court. These outcomes could materially and adversely affect our results of operations, financial condition, business and prospects</w:t>
      </w:r>
      <w:r>
        <w:rPr>
          <w:rFonts w:ascii="Arial" w:cs="Arial" w:eastAsia="Arial" w:hAnsi="Arial"/>
          <w:sz w:val="14"/>
          <w:szCs w:val="14"/>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provide technology to our customers if we lose the support of our technology partners.</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Enhancing our manufacturing process technologies is critical to our ability to provide services for our customers. We intend to continue to advance our process technologies through internal R&amp;D and alliances with other companies. In addition to our internal R&amp;D focused on developing new and improved semiconductor manufacturing process technologies, our business involves collaboration, including customization and other development of technologies and intellectual property, with and for our customers, vendors and other third parties. We frequently enter into agreements with customers, vendors, equipment suppliers and others that involve customization and other development of technologies and intellectual property. As a result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24" w:name="page25"/>
    <w:bookmarkEnd w:id="24"/>
    <w:p>
      <w:pPr>
        <w:jc w:val="both"/>
        <w:spacing w:after="0" w:line="244" w:lineRule="auto"/>
        <w:rPr>
          <w:sz w:val="20"/>
          <w:szCs w:val="20"/>
          <w:color w:val="auto"/>
        </w:rPr>
      </w:pPr>
      <w:r>
        <w:rPr>
          <w:rFonts w:ascii="Arial" w:cs="Arial" w:eastAsia="Arial" w:hAnsi="Arial"/>
          <w:sz w:val="13"/>
          <w:szCs w:val="13"/>
          <w:color w:val="auto"/>
        </w:rPr>
        <w:t>of these agreements, we may be required to limit use of, or refrain from using, certain technologies and intellectual property rights in parts of our business. Determining inventorship and ownership of technologies and intellectual property rights resulting from development activities can be difficult and uncertain.</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Disputes may arise with customers, vendors and other third parties regarding ownership of and rights to use and enforce these technologies and intellectual property rights or regarding interpretation of our agreements with these third parties, and these disputes may result in claims against us or claims that intellectual property rights are not owned by us, are not enforceable, or are invalid. The cost and effort to resolve these types of disputes, or the loss of rights in technologies in intellectual property rights if we lose these types of disputes, could harm our business and financial condition. In addition, our customers, vendors and other third parties may suffer delays, quality issues, or other problems affecting their development activities and ability to supply us with certain technology and intellectual property, which could adversely affect our business and operating results. Further, if we are unable to continue any of our joint development arrangements or other agreements, on mutually beneficial terms, or if we cannot re-evaluate the technological and economic benefits of such relationships with these partners, vendors or suppliers in a timely manner sufficient to support our ongoing technology development, we may be unable to continue providing our customers with leading edge or differentiated mass-producible process technologies and may, as a result, lose important customers, which could have a materially adverse effect on our results of operations, financial condition, businesses and prospects.</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Strategic Transactions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in the process of implementing a strategic collaboration with ST Microelectronics (“ST”) pursuant to which ST and the Company are building out a new fab in Crolles, France.</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successfully implement and manage the strategic collaboration may adversely affect our results of operation, financial conditions, business and prospects.</w:t>
      </w:r>
    </w:p>
    <w:p>
      <w:pPr>
        <w:spacing w:after="0" w:line="270"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In August 2022, we entered into a Commercial and Cooperation Agreement with STMicroelectronics (Crolles 2) SAS, a French company, for the buildout and joint operation of a new 300mm semiconductor manufacturing facility. This facility is targeted to ramp to 620,000 300mm wafers per year production at full build-out. Implementing this strategic collaboration is a complex and lengthy process that requires, among other things, obtaining regulatory approvals, substantial government funding (which requires EU approval), paying their respective share of certain capital investments, and cooperating on the joint operation of the facility. We may not be successful in our efforts to build and operate this new facility, and we may not achieve the expected benefits that we expected to achieve.</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We may, at any time, have disagreements with ST or have interests or goals that are inconsistent with ST’s goals, which may result in conflicting views as to the buildout and operation of the facility, which disagreements or conflicts may not be resolved in our favor. Because ST will own the building for the manufacturing facility, we inherently have a lesser degree of control over business operations, thereby increasing the financial, legal, operational, and/or compliance risks to us. We may not be able to oversee all aspects of the buildout and operation, which may lead to a potential inability to implement adequate internal controls covering the collaboration. Additionally, we will depend on ST to commit sufficient resources to the project, over which we will have no control. The collaboration requires us to partially rely on the financial condition of ST and could be adversely affected by any significant change in its financial conditions.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collaboration is also subject to the risk that we or ST may not obtain the substantial government funding that is needed to make the project a success, which funding is subject to many practical, legal and political challenges that are outside of our control.</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 any of the above risks come to fruition, we may be delayed or may be unsuccessful in our efforts to implement this collaboration or jointly operate the facility, or we may incur losses on the project, all of which could have a material adverse effect on our results of operations and our financial condition.</w:t>
      </w:r>
    </w:p>
    <w:p>
      <w:pPr>
        <w:spacing w:after="0" w:line="23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We may make strategic acquisitions, and such acquisitions may introduce significant risks and uncertainties, including risks related to integrating the acquired companies, assets or businesses.</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have in the past sought, and may in the future seek, to acquire or invest in businesses, joint ventures and technologies that we believe could complement or expand our capacity, enhance our technology offerings or otherwise offer growth opportunities. These efforts may divert the attention of management and cause us to incur various expenses in identifying, investigating and pursuing suitable opportunities, whether or not the transactions are completed, and may result in unforeseen operating difficulties and expenditures. These transactions, particularly acquisitions, may be subject to regulatory approvals, including approval from the Committee on Foreign Investment in the United States (“CFIUS”) and approvals from antitrust authorities. With regard to CFIUS, our transactions may be more likely to require CFIUS review given the expansion of CFIUS jurisdiction to critical technologies. Failure to obtain CFIUS approval, as applicable, and other required regulatory approvals may delay or otherwise limit our ability to make strategic transactions. Our integration efforts may periodically expose deficiencies in the controls and procedures relating to cybersecurity and the compliance with data privacy and protection laws, regulations and standards of an acquired company or business that were not identified in our due diligence undertaken prior to consummating the acquisition. Additionally, we may encounter difficulties assimilating or integrating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25" w:name="page26"/>
    <w:bookmarkEnd w:id="25"/>
    <w:p>
      <w:pPr>
        <w:jc w:val="both"/>
        <w:spacing w:after="0" w:line="246" w:lineRule="auto"/>
        <w:rPr>
          <w:sz w:val="20"/>
          <w:szCs w:val="20"/>
          <w:color w:val="auto"/>
        </w:rPr>
      </w:pPr>
      <w:r>
        <w:rPr>
          <w:rFonts w:ascii="Arial" w:cs="Arial" w:eastAsia="Arial" w:hAnsi="Arial"/>
          <w:sz w:val="13"/>
          <w:szCs w:val="13"/>
          <w:color w:val="auto"/>
        </w:rPr>
        <w:t>businesses, technologies, products, personnel or operations of any acquired companies, particularly if the key personnel of an acquired company cannot be retained, or we have difficulty preserving the customers of any acquired business. Any such transactions that we are able to complete may not result in the synergies or other benefits we expected to achieve, which could result in substantial impairment charges. These transactions could also result in dilutive issuances of equity securities or the incurrence of debt, which could adversely affect our results of operations. Any of the foregoing factors could materially and adversely affect our results of operations, financial condition, business and prospects.</w:t>
      </w: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Political, Regulatory and Legal Risks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 health and safety laws and regulations expose us to liability and risk of non-compliance, and any such liability or non-compliance could adversely affect our business.</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In each jurisdiction in which we operate, our operations are subject to diverse environmental, health and safety laws and regulations that govern, among other things, emissions of pollutants into the air, wastewater discharges, the use and handling of hazardous substances, waste disposal, the investigation and remediation of soil and ground water contamination and the health and safety of our employees. Semiconductor manufacturing depends on a wide array of process materials, including hazardous materials that are subject to local, state, national or international regulations. These materials, our manufacturing operations and our products and services are subject to diverse environmental, health and safety laws, regulations and regulatory requirements. Sourcing of materials could also present reputational risks if our direct or indirect suppliers are found to be in violation of environmental health and safety regulations, or of ethical or human rights regulations or standards.</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Regulatory changes, including restrictions on new or existing materials critical to our manufacturing processes, such as per- and polyfluoroalkyl substances, increased restrictions related to wastewater, air emissions and hazardous substances, changes to necessary permitting requirements, or changes in interpretations, could cause disruptions to our operations or necessitate additional costs or capital expenditures, such as those associated with identifying and qualifying substitute materials or processes, or with installing additional controls related to wastewater, air emissions or waste management. Regulatory limitations or restrictive covenants at contaminated properties could affect our ability to expand manufacturing operations or capacities and may affect our ability to import materials or equipment.</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Industrial accidents or releases, including those associated with storage, use, transportation or disposal of hazardous materials or wastes, could expose us to liabilities or remediation obligations and we may not have insurance coverage for such matters. Non-compliance with environmental, health and safety regulations or associated permit requirements may result in liabilities or monetary penalties. Non-compliance with or public controversy regarding environmental, health and safety matters could result in reputational harm.</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Certain environmental laws, including the Comprehensive Environmental Response, Compensation and Liability Act, the Resource Conservation and Recovery Act and state equivalents, make us potentially liable on a strict, joint and several basis for the investigation and remediation of contamination at, or originating from, facilities that are currently or formerly owned or operated by us and third-party sites to which we send or have sent materials for disposal or materials for recycling, along with related natural resources damages. We could become subject to potential material liabilities for the investigation and cleanup of historic contamination on the U.S. properties where we operate should the currently responsible parties cease their ongoing remediation efforts notwithstanding their contractual obligations to us.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Regulations and customer-imposed requirements in response to climate change could result in additional costs related to changes in process materials, control of process emissions, “carbon taxes” or related fees, and sourcing of energy supplies. Increased frequency of extreme weather events, and chronic conditions like higher temperatures and droughts could cause disruptions to our manufacturing facilities, non-manufacturing operations and supply chain.</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have policies, controls, and procedures designed to help ensure compliance with applicable laws, including as part of our Environmental, Social and Governance (“ESG”) initiatives. However, there can be no assurance that our employees, contractors, suppliers or agents will not violate such laws or our policies. Violations of these laws and regulations can result in fines, criminal sanctions against us, our officers, or our employees, prohibitions on the conduct of our business, and damage to our reputation. Any of the foregoing factors could materially and adversely affect our results of operations, financial condition, business and prospects.</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We are subject to anti-corruption, anti-bribery, anti-money laundering, counter-terrorist financing laws and similar laws and regulations, and non-compliance with such laws, regulations and standards can subject us to administrative, criminal or civil liability and harm our business, financial condition, results of operations and reputation.</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subject to the U.S. Foreign Corrupt Practices Act of 1977, as amended, U.S. anti-bribery laws and other anti-corruption, anti-bribery, anti-money laundering and counter-terrorist financing laws and regulations in the countries in which we conduct business. Anti-corruption and anti-bribery laws have been enforced aggressively in recent years and are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26" w:name="page27"/>
    <w:bookmarkEnd w:id="26"/>
    <w:p>
      <w:pPr>
        <w:jc w:val="both"/>
        <w:spacing w:after="0" w:line="245" w:lineRule="auto"/>
        <w:rPr>
          <w:sz w:val="20"/>
          <w:szCs w:val="20"/>
          <w:color w:val="auto"/>
        </w:rPr>
      </w:pPr>
      <w:r>
        <w:rPr>
          <w:rFonts w:ascii="Arial" w:cs="Arial" w:eastAsia="Arial" w:hAnsi="Arial"/>
          <w:sz w:val="13"/>
          <w:szCs w:val="13"/>
          <w:color w:val="auto"/>
        </w:rPr>
        <w:t>interpreted broadly to generally prohibit companies, their employees and their third-party intermediaries from authorizing, offering or providing, directly or indirectly, improper payments or benefits to recipients in the public or private sectors. In connection with our international sales and business and sales to the public sector, we may engage with business partners and third-party intermediaries to market our products and services and to obtain necessary permits, licenses, and other regulatory approvals. In addition, our third-party intermediaries, or other business partners, may have direct or indirect interactions with officials and employees of government agencies or state-owned or affiliated entities. We can be held liable for corrupt or other illegal activities of these third-party intermediaries or other business partners, their employees, representatives, contractors, partners, and agents, even if we do not explicitly authorize such activities. Although we have policies and procedures to address compliance with such laws and regulations, there is a risk that our employees and agents will take actions in violation of our policies and applicable law, for which we may be ultimately held responsible.</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Detecting, investigating and resolving actual or alleged violations of anti-corruption laws can require a significant diversion of time, resources and attention from senior management. In addition, noncompliance with anti-corruption, anti-bribery, anti-money laundering or counter-terrorist financing laws and regulations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results of operations, financial condition, business and prospects could be materially and adversely affected. Even in the event of a positive outcome in such an investigation or proceeding, the cost of the investigation or defense could be significant and negatively affect our financial performance.</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These laws, regulations and standards are driving the review and updating of many corporate policies and systems, often at significant expense. Until there is a settling of a consistent and stable global approach, our company, with customers and employees around the world, will be exposed to financial risk in complying with these requirements. Any of the foregoing factors could materially and adversely affect our results of operations, financial condition, business and prospects.</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We are subject to governmental export and customs compliance requirements that could impair our ability to compete in international markets or subject us to liability if we violate the controls.</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Our products and technology are subject to export controls in the jurisdictions where we do business. For example, in the United States, we are subject to the Export Administration Regulations and the International Traffic in Arms Regulations (“ITAR”). Under these regulations, certain commodities, software and technology may be exported only with the required export authorizations. Some technology and software that we create or possess is controlled under these regulations, and in certain cases, we are required to maintain controls limiting the access to such technology and software, even among our own employees. Furthermore, our activities are subject to economic sanctions laws and regulations, including U.S. economic sanctions laws and regulations administered by the U.S. Department of the Treasury’s Office of Foreign Assets Control that prohibit or restrict dealings that are within U.S. jurisdiction with, in or involving certain jurisdictions subject to comprehensive U.S. sanctions and certain designated persons and entities. We have corporate policies and procedures in place reasonably designed to ensure compliance with all applicable export control and economic sanctions laws and regulations.</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some cases, our compliance obligations may result in the loss of sales opportunities. In other cases, we may experience delays in our ability to conduct business as we await government authorization. Violations of economic sanctions or export control regulations can result in significant administrative fines or penalties or even criminal prosecution.</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currently are, and may in the future continue to be, subject to litigation that could result in substantial costs, divert or continue to divert management’s attention and resources, and materially and adversely affect our results of operations, financial condition, business and prospects.</w:t>
      </w:r>
    </w:p>
    <w:p>
      <w:pPr>
        <w:spacing w:after="0" w:line="6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June 7, 2021 we filed a complaint in the Supreme Court of New York seeking declaratory judgment that we had not violated certain agreements entered into with International Business Machines Corporation (“IBM”) relating to our acquisition of IBM’s Microelectronics division in 2015, and subsequent development and research activities and sales of our products to IBM. On June 8, 2021, IBM filed a complaint in the Supreme Court of New York asserting intentional breach of contract and fraudulent misrepresentation claims under the same set of agreements. IBM argues that it is entitled to a return of its $1.5 billion payment to the company and at least $1 billion in damages. On September 14, 2021, the Court granted our motion to dismiss IBM’s claims of fraud, unjust enrichment and breach of the implied covenant of good faith and fair dealing. Our complaint seeking declaratory judgment was dismissed. On April 7, 2022, the Appellate Division reversed the lower court's dismissal of the fraud claim. The case is proceeding based on IBM’s breach of contract, promissory estoppel, and fraud claims. We believe, based on discussions with legal counsel, that we have meritorious defenses against IBM’s claims. We dispute IBM’s claims and intend to vigorously defend against them.</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we have been, and may continue to be, subject to legal proceedings and claims that arise in the ordinary course of business, such as claims brought by our customers in connection with commercial disputes, product liability claims,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employment claims made by our current or former employees or claims of infringement raised by intellectual property owners, in connection with the technology used in our manufacturing operations.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risk of such litigation may increase due to use of our products in safety-related systems of other advanced technologies, including automobiles.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Any existing or future disputes, claims or proceedings could result in substantial costs and may divert management’s attention and resources.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Any of the foregoing factors could materially and adversely affect our results of operations, financial condition, business and prospects. Further, negative publicity arising from disputes, claims or proceedings may damage our reputation and adversely affect the image of our brand and our products. In addition, if any verdict or award is rendered against us, we could be required to pay significant monetary damages, assume other liabilities and even to suspend or terminate related business ventures or projects.</w:t>
      </w:r>
    </w:p>
    <w:p>
      <w:pPr>
        <w:spacing w:after="0" w:line="23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If regular or statutory consultation processes with employee representatives such as works councils fail or are delayed, or if our employees were to engage in a strike or other work stoppage, our results of operations, financial condition, business and prospects could be materially and adversely affected.</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We may be required to consult with our employee representatives, such as works councils, on items such as work hours, restructurings, acquisitions and divestitures. Although we believe that our relations with our employees, employee representatives and works councils are satisfactory, no assurance can be given that we will be able to successfully extend or renegotiate these agreements as they expire from time to time or, in the case of transactions, to conclude potential consultation processes in a timely way. Also, if we fail to extend or renegotiate our labor agreements and social plans, if significant disputes with unions arise, or if our workers engage in a strike or other work stoppage, we could incur higher ongoing labor costs or experience a significant disruption of operations. We have experienced minor work stoppages involving a small number of employees at our Dresden, Germany manufacturing facility. Although those work stoppages did not materially impact production, future work stoppages, if more frequent or on a larger scale, could impact our production and our ability to timely provide products to our customers. Any of the foregoing factors could materially and adversely affect our results of operations, financial condition, business and prospects.</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Currency and Interest Rate Risks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exposed to foreign currency risk, which could materially adversely affect our expenses and profit margins and could result in exchange losses.</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majority of our sales are denominated in U.S. dollars, and therefore, our revenue is not subject to foreign currency risk. However, an increase in the value of the U.S. dollar can increase the real cost to our customers of our products and services in those markets outside of the United States where we sell in U.S. dollars. Conversely, a weakened U.S. dollar can increase the cost of expenses such as our direct labor, raw materials and overhead that are incurred outside of the United States. These operating expenses are denominated in foreign currencies and are subject to fluctuations due to changes in foreign currency exchange rates. Additionally, this could impact our capital expenditures with foreign suppliers we pay in non-U.S. dollar currencies. We also engage in financing activities in local currencies. Our hedging programs may not be able to effectively offset any, or more than a portion, of the impact of currency exchange rate movements. As a result, unfavorable changes in exchange rates could materially and adversely affect our results of operations, financial condition, business and prospects.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auto"/>
        </w:rPr>
        <w:t>LIBOR and certain other interest rate “benchmarks” may be subject to regulatory guidance and/or reform that could cause interest rates under our current or future debt agreements to perform differently than in the past or cause other unanticipated consequences.</w:t>
      </w:r>
    </w:p>
    <w:p>
      <w:pPr>
        <w:spacing w:after="0" w:line="72"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Because a majority of our debt is primarily based on floating interest rate benchmarks (including the London Interbank Offered Rate, or “LIBOR”),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80"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In addition, LIBOR and certain other interest rate “benchmarks” may be subject to regulatory guidance and/or reform that could cause interest rates under our current or future debt agreements to perform differently than in the past or cause other unanticipated consequences. Since December 31, 2021, the one week and two-month USD LIBOR tenors have permanently ceased to be determined or published. The United Kingdom’s Financial Conduct Authority (“FCA”), which regulates LIBOR, has announced that, after June 30, 2023, the overnight and twelve-month tenors of USD LIBOR will permanently cease to be determined or published and, while the remaining USD LIBOR tenors (that is, one, three and six months) will continue to be published, they will be calculated using an unrepresentative “synthetic” methodology with the relevant rates comprising (1) the relevant Term SOFR (as defined below) rate, plus (2) the relevant spread adjustment that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28" w:name="page29"/>
    <w:bookmarkEnd w:id="28"/>
    <w:p>
      <w:pPr>
        <w:jc w:val="both"/>
        <w:spacing w:after="0" w:line="235" w:lineRule="auto"/>
        <w:rPr>
          <w:sz w:val="20"/>
          <w:szCs w:val="20"/>
          <w:color w:val="auto"/>
        </w:rPr>
      </w:pPr>
      <w:r>
        <w:rPr>
          <w:rFonts w:ascii="Arial" w:cs="Arial" w:eastAsia="Arial" w:hAnsi="Arial"/>
          <w:sz w:val="13"/>
          <w:szCs w:val="13"/>
          <w:color w:val="auto"/>
        </w:rPr>
        <w:t>applies as part of the International Swap and Derivative Association (“ISDA”) IBOR fallback regime (as published for the purpose of the ISDA 2020 Fallbacks Protocol and ISDA IBOR Fallbacks Supplement). The FCA has prohibited use of the continuing USD LIBOR settings by UK-supervised entities in new regulated financial contracts, instruments and/or investment fund performance measurement, although there are some exceptions. Other regulatory authorities have imposed restrictions on new use of the continuing USD LIBOR settings.</w:t>
      </w:r>
    </w:p>
    <w:p>
      <w:pPr>
        <w:spacing w:after="0" w:line="7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 USD LIBOR ceases to exist or if the methods of calculating USD LIBOR change from their current form before the end of June 2023, interest rates on our current or future debt obligations may be adversely affected.</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If a published USD LIBOR rate is unavailable, we may be required to substitute an alternative reference rate, such as a different benchmark interest rate or the Secured Overnight Financing Rate ("SOFR"), in lieu of LIBOR. The Alternative Reference Rates Committee ("ARRC") proposed SOFR as its recommended alternative to LIBOR and the Federal Reserve Bank of New York began publishing SOFR rates in April 2018. SOFR is intended to be a broad measure of the cost of borrowing cash overnight that is collateralized by U.S. Treasury securities. However, because SOFR is a broad U.S. Treasury repo financing rate that represents overnight secured funding transactions, it differs fundamentally from LIBOR. For example, SOFR is a secured overnight rate, while LIBOR is an unsecured rate that represents interbank funding over different maturities. In addition, SOFR is a backward-looking rate, in that by the time it is published each day, all the transactions on which it is based will have matured, whereas LIBOR is forward-looking. In July 2021, ARRC formally recommended CME Group's forward-looking SOFR term rates ("Term SOFR"). Term SOFR also differs fundamentally from LIBOR as it represents market expectations (implied from the derivatives markets) of overnight SOFR over a forward-looking period. Because of these and other differences, there is no assurance that SOFR or Term SOFR will perform in the same way as LIBOR would have performed at any time, and there is no guarantee that any of these is a comparable substitute for LIBOR. A change from LIBOR to any of the proposed alternative reference rates could result in interest obligations that are more than or that do not otherwise correlate over time with the payments that would have been made on our debt if USD LIBOR were available in its current form. Any of these changes could have a material adverse effect on our financing costs. Moreover, the phase-out of LIBOR may adversely affect our assessment of effectiveness or measurement of ineffectiveness for accounting purposes of any interest rate hedging agreements indexed to LIBOR.</w:t>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Changes in Effective Tax Rate and Accounting Principles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our effective tax rate or tax liability may have an adverse effect on our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Our effective tax rate could increase due to several factors, including, but not limited to:</w:t>
      </w:r>
    </w:p>
    <w:p>
      <w:pPr>
        <w:spacing w:after="0" w:line="84"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changes in the relative amounts of income before taxes in the various jurisdictions in which we operate that have differing statutory tax rates;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changes in tax laws, tax treaties and regulations or the interpretation of them;</w:t>
      </w:r>
    </w:p>
    <w:p>
      <w:pPr>
        <w:spacing w:after="0" w:line="83"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88"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outcome of current and future tax audits, examinations or administrative appeals;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limitations or adverse findings regarding our ability to do business in some jurisdictions.</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Changes such as these that affect our effective tax rate could materially and adversely affect our results of operations and financial condition.</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subject us to potentially adverse tax consequences.</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We generally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There is also a high level of uncertainty in today’s tax environment stemming from both global initiatives put forth by the Organisation for Economic Co-operation and Development, or the “OECD”, and unilateral measures being implemented by various countries due to a historic lack of consensus on these global initiatives. As an example, the OECD has put forth two proposals—Pillar One and Pillar Two—that revise the existing profit allocation and nexus rules (profit allocation based on location of sales versus physical presence) and ensure a minimal level of taxation, respectively. Changes in multilateral agreements and the tax laws of foreign jurisdictions could arise as a result of the base erosion and profit shifting project undertaken by the OECD and could significantly increase our tax provision, cash taxes paid, and effective tax rate. A global minimum corporate tax rate and any other implemented changes could significantly increase tax uncertainty due to differing interpretations and increased audit scrutiny. We will continue to monitor and evaluate the impact of OECD policy changes. On August 16, 2022, the U.S. federal government enacted the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2" w:right="319" w:bottom="1440" w:gutter="0" w:footer="0" w:header="0"/>
        </w:sectPr>
      </w:pPr>
    </w:p>
    <w:bookmarkStart w:id="29" w:name="page30"/>
    <w:bookmarkEnd w:id="29"/>
    <w:p>
      <w:pPr>
        <w:jc w:val="both"/>
        <w:spacing w:after="0" w:line="244" w:lineRule="auto"/>
        <w:rPr>
          <w:sz w:val="20"/>
          <w:szCs w:val="20"/>
          <w:color w:val="auto"/>
        </w:rPr>
      </w:pPr>
      <w:r>
        <w:rPr>
          <w:rFonts w:ascii="Arial" w:cs="Arial" w:eastAsia="Arial" w:hAnsi="Arial"/>
          <w:sz w:val="13"/>
          <w:szCs w:val="13"/>
          <w:color w:val="auto"/>
        </w:rPr>
        <w:t>Inflation Reduction Act of 2022 (“IRA”) into law effective for tax years starting after December 31, 2022. The IRA includes a variety of incentives to promote clean energy but also adds a new corporate alternative minimum tax of 15% on adjusted financial statement income. We are in the process of assessing whether the book minimum tax would impact our effective tax rate.</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Status as a Controlled Company and Foreign Private Issuer</w:t>
      </w:r>
    </w:p>
    <w:p>
      <w:pPr>
        <w:spacing w:after="0" w:line="8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Our majority shareholder, Mubadala Investment Company PJSC (“Mubadala”) will continue to have substantial control of the business, which could limit your ability to influence the outcome of key transactions, including a change of control, and otherwise affect the prevailing market price of our ordinary shares.</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Mubadala beneficially owns, in the aggregate, approximately 85.7% of our outstanding ordinary shares. See “Item 7. Major Shareholder and Related Party Transactions.” In addition, we have entered into a shareholder’s agreement with Mubadala, which will entitle Mubadala, subject to the level of Mubadala’s beneficial ownership of our ordinary shares, to certain consent rights and director nomination rights. As a result, Mubadala will continue to have significant influence over the management and affairs of our company, as well as the ability to control the outcome of matters submitted to our shareholders for approval, including the election of directors and the approval of significant corporate transactions, including any merger, consolidation or sale of all or substantially all of our assets and the issuance or redemption of equity interests in certain circumstances. The interests of Mubadala may not always coincide with, and in some cases may conflict with, our interests and the interests of our other shareholders. For instance, Mubadala could attempt to delay or prevent a change in control of our company, even if such change in control would benefit our other shareholders, which could deprive our shareholders of an opportunity to receive a premium for their ordinary shares. This concentration of ownership may also affect the prevailing market price of our ordinary shares due to investors’ perceptions that conflicts of interest may exist or arise, and because Mubadala may sell, or investors may perceive that Mubadala is likely to sell, a significant amount of our ordinary shares.</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 a foreign private issuer and a controlled company, we are not subject to certain corporate governance rules applicable to U.S. listed companies.</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a foreign private issuer that has listed our ordinary shares on the Nasdaq, we rely on a provision in the Nasdaq corporate governance listing standards that allows us to follow Cayman Islands law with regard to certain aspects of corporate governance. This allows us to follow certain corporate governance practices that differ in significant respects from the corporate governance requirements applicable to U.S. companies listed on the Nasdaq.</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For example, we are exempt from Nasdaq regulations that require a listed U.S. company to:</w:t>
      </w:r>
    </w:p>
    <w:p>
      <w:pPr>
        <w:spacing w:after="0" w:line="84"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have a majority of the board of directors consist of independent directors;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require non-management directors to meet on a regular basis without management present;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have an independent compensation committee;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have an independent nominating committee;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seek shareholder approval for the implementation of certain equity compensation plans and issuances of ordinary shares.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a foreign private issuer, we are permitted to follow home country practice in lieu of the above requirements. Our audit, risk and compliance committee is required to comply with the provisions of Rule 10A-3 of the Securities Exchange Act of 1934, as amended (the “Exchange Act”), which is applicable to U.S. companies listed on the Nasdaq. Accordingly, we have a fully independent Audit, Risk and Compliance Committee.</w:t>
      </w:r>
    </w:p>
    <w:p>
      <w:pPr>
        <w:spacing w:after="0" w:line="24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are a foreign private issuer and, as a result, are not subject to U.S. proxy rules but are subject to reporting obligations that, to some extent, are more lenient and less frequent than those of a U.S. issuer.</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are a non-U.S. company with foreign private issuer status. Because we qualify as a foreign private issuer under the Exchange Act, and although we follow the laws and regulations of the Cayman Islands with regard to such matters, we are exempt from certain provisions of the Exchange Act that are applicable to U.S.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of quarterly reports on Form 10-Q containing unaudited financial and other specified information, or current reports on Form 8-K, upon the occurrence of specified significant events. Foreign private issuers are required to file their annual report on Form 20-F within four months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 This may be the case even though we intend to make interim reports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0" w:name="page31"/>
    <w:bookmarkEnd w:id="30"/>
    <w:p>
      <w:pPr>
        <w:jc w:val="both"/>
        <w:spacing w:after="0" w:line="244" w:lineRule="auto"/>
        <w:rPr>
          <w:sz w:val="20"/>
          <w:szCs w:val="20"/>
          <w:color w:val="auto"/>
        </w:rPr>
      </w:pPr>
      <w:r>
        <w:rPr>
          <w:rFonts w:ascii="Arial" w:cs="Arial" w:eastAsia="Arial" w:hAnsi="Arial"/>
          <w:sz w:val="13"/>
          <w:szCs w:val="13"/>
          <w:color w:val="auto"/>
        </w:rPr>
        <w:t>available to our shareholders, copies of which we are required to furnish to the SEC on a Form 6-K, and even though we are required to file reports on Form 6-K disclosing whatever information we have made or are required to make public pursuant to Cayman Islands law or distribute to our shareholders and that is material to us.</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are a Cayman Islands company and, because judicial precedent regarding the rights of shareholders is more limited under Cayman Islands law than that under U.S. law, you may have less protection for your shareholder rights than you would under U.S. law.</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Our corporate affairs are governed by our Amended and Restated Memorandum and Articles of Association (the “Memorandum and Articles of Association”), as amended and restated from time to time, the Cayman Islands Companies Act (as amended)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defined as they would be under statutes or judicial precedent in some jurisdictions in the United States. In particular, the Cayman Islands has a less prescriptive body of securities laws than the United States. In addition, some U.S. states, such as Delaware, have more fulsome and judicially interpreted bodies of corporate law than the Cayman Islands. As a result of all of the above, public shareholders may have more difficulty in protecting their interests in the face of actions taken by management, members of the board of directors or controlling shareholders than they would as shareholders of a corporation incorporated in a jurisdiction in the United States.</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directors and officers presently have, and any of them in the future may have, additional fiduciary or contractual obligations to other entities pursuant to which such officer or director is or will be required to present a business opportunity to such entity, subject to his or her fiduciary duties under Cayman Islands law. Accordingly, they may have conflicts of interest in determining to which entity a particular business opportunity should be presented. These conflicts may not be resolved in our favor and a potential business opportunity may be presented to another entity prior to its presentation to us, subject to their fiduciary duties under Cayman Islands law.</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(ii) we renounce any interest or expectancy in, or in being offered an opportunity to participate in, any potential transaction or matter which may be a corporate opportunity for any director or officer, on the one hand, and us, on the other; and (iii) no individual serving as a director or an officer shall have a duty to communicate or offer any such corporate opportunity to us, nor shall such individuals be liable to us for a breach of fiduciary duty solely by reason of the fact that such party pursues or acquires such corporate opportunity for himself or herself, directs such corporate opportunity to another person, or does not communicate information regarding such corporate opportunity to us.</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For a complete discussion of our executive officers’ and directors’ business affiliations and the potential conflicts of interest that you should be aware of, please see “Item 6. Directors, Senior Management and Employees” and “Item 7. Major Shareholders and Related Party Transactions.”</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Cayman Islands Economic Substance Act may affect our operations.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Cayman Islands has recently enacted the International Tax Co-operation (Economic Substance) Act, or the Cayman Economic Substance Act. The Cayman Economic Substance Act generally requires legal entities domiciled or registered in the Cayman Islands which conduct certain geographically mobile activities to have demonstrable substance in the Cayman Islands. The Cayman Economic Substance Act was introduced by the Cayman Islands to ensure that it meets its commitments to the European Union, as well as its obligations under the OECD’s global Base Erosion and Profit Shifting initiatives. We are required to comply with the Cayman Economic Substance Act.</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we are a Cayman Islands company, compliance obligations include filing annual notifications for us, which need to state whether we are carrying out any relevant activities and, if so, whether we have satisfied economic substance tests to the extent required under the Cayman Economic Substance Act. As it is a relatively new regime, it is anticipated that the Cayman Economic Substance Act will evolve and be subject to further clarification and amendments. We may need to allocate additional resources to keep updated with these developments, and may have to make changes to our operations in order to comply with all requirements under the Cayman Economic Substance Act. Failure to satisfy these requirements may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1" w:name="page32"/>
    <w:bookmarkEnd w:id="31"/>
    <w:p>
      <w:pPr>
        <w:jc w:val="both"/>
        <w:spacing w:after="0" w:line="247" w:lineRule="auto"/>
        <w:rPr>
          <w:sz w:val="20"/>
          <w:szCs w:val="20"/>
          <w:color w:val="auto"/>
        </w:rPr>
      </w:pPr>
      <w:r>
        <w:rPr>
          <w:rFonts w:ascii="Arial" w:cs="Arial" w:eastAsia="Arial" w:hAnsi="Arial"/>
          <w:sz w:val="13"/>
          <w:szCs w:val="13"/>
          <w:color w:val="auto"/>
        </w:rPr>
        <w:t>subject us to penalties under the Cayman Economic Substance Act. The Cayman Islands Tax Information Authority shall impose a penalty of CI$10,000 (or US$12,500) on a relevant entity for failing to satisfy the economic substance test or CI$100,000 (or US$125,000) if such failures are not remedied in the subsequent financial year after the initial notice of failure. Following failure after two consecutive years the Grand Court of the Cayman Islands may make an order requiring the relevant entity to take specified action to satisfy the economic substance test or ordering it that it is defunct or be struck off. Pursuant to the Companies Act, any property vested in or belonging to a company which has been struck off shall vest in the Cayman Islands government</w:t>
      </w:r>
      <w:r>
        <w:rPr>
          <w:rFonts w:ascii="Arial" w:cs="Arial" w:eastAsia="Arial" w:hAnsi="Arial"/>
          <w:sz w:val="14"/>
          <w:szCs w:val="14"/>
          <w:color w:val="auto"/>
        </w:rPr>
        <w:t>.</w:t>
      </w:r>
    </w:p>
    <w:p>
      <w:pPr>
        <w:spacing w:after="0" w:line="253"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During 2022, the Company received a notice of failure to satisfy the economic substance test for the 2020 financial year, and a penalty of CI$10,000 (or US$12,500). During 2023, the Company received a second notice of failure to satisfy the economic substance test for the 2020 financial year, and a further penalty of CI$10,000 (or US$12,500).The Company has taken appropriate remedial steps during 2022 and 2023 such that such failures have been or will be remedied in the subsequent financial years after the initial notice of failure, being the 2023 and 2024 financial years.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Operating as a Public Company</w:t>
      </w:r>
    </w:p>
    <w:p>
      <w:pPr>
        <w:spacing w:after="0" w:line="9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We are incurring increased costs and expenses as a result of operating as a public company and our management is required to devote substantial time to compliance with our public company responsibilities and corporate governance practices.</w:t>
      </w:r>
    </w:p>
    <w:p>
      <w:pPr>
        <w:spacing w:after="0" w:line="54"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As a public company, we are incurring greater legal, accounting and other expenses than we incurred as a private company. We are subject to the reporting requirements of the Exchange Act, the Sarbanes-Oxley Act of 2002 (“SOX”), the Dodd-Frank Wall Street Reform and Consumer Protection Act of 2010 (the “Dodd-Frank Act”), and the rules and regulations of the Nasdaq, which impose various requirements on public companies, including establishment and maintenance of effective disclosure and financial controls and corporate governance practices. These requirements increase our legal, accounting, and financial compliance costs and make some activities more difficult, time-consuming, and costly, and place significant strain on our personnel, systems and resources.</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continuing to evaluate these rules and regulations and cannot predict or estimate the amount of additional costs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98"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Beginning with our initial public offering (“IPO”), we continue the process of documenting, reviewing and improving our internal controls and procedures for compliance with Section 404 of SOX, which requires annual management assessment of the effectiveness of our internal control over financial reporting. 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the trading price of our ordinary shares and make it more difficult for us to effectively market and sell our service to new and existing customers.</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Ordinary Shares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sales or distributions of our shares by Mubadala could depress the price of our ordinary shares.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Sales by Mubadala in the public market or other distributions of substantial amounts of our ordinary shares, or the filing of a registration statement relating to a substantial amount of our ordinary shares, could depress our ordinary share price. In addition, in connection with our IPO, we have entered into agreements with Mubadala that provide a framework for our ongoing relationship, including a Shareholder’s Agreement and Registration Rights Agreement. Under the Registration Rights Agreement, Mubadala has the right, subject to certain conditions, to require us to file registration statements covering its shares or to include its shares in other registration statements that we may file. By exercising its registration rights and selling a large number of shares, Mubadala could cause the price of our ordinary shares to decline.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2"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i w:val="1"/>
          <w:iCs w:val="1"/>
          <w:color w:val="auto"/>
        </w:rPr>
        <w:t>We do not expect to declare or pay any dividends on our ordinary shares for the foreseeable future.</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do not intend to pay cash dividends on our ordinary shares for the foreseeable future. Consequently, investors must rely on sales of their shares of our ordinary shares after price appreciation, which may never occur, as the only way to realize any future gains on their investment. Investors seeking dividends should not purchase shares of our ordinary shares.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and any other factors or considerations our board of directors may regard as relevant. See “Item 8. Financial Information—Dividends and Dividend Policy.”</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Anti-takeover provisions in our organizational documents and Cayman Islands law may discourage or prevent a change of control, even if an acquisition would be beneficial to our shareholders, which could depress the price of our ordinary shares and prevent attempts by our shareholders to replace or remove our current management.</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Memorandum and Articles of Association contain provisions that may discourage unsolicited takeover proposals that shareholders may consider to be in their best interests. Our board of directors is divided into three classes with staggered, three-year terms. Our board of directors has the ability to designate the terms of and issue preferred shares without shareholder approval. We are also subject to certain provisions under Cayman Islands law that could delay or prevent a change of control. Together these provisions may make more difficult the removal of management and may discourage transactions that otherwise could involve payment of a premium over prevailing market prices for our ordinary shares.</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Memorandum and Articles of Association provide that the courts of the Cayman Islands will be the exclusive forum for certain disputes between us and our shareholders, which could limit our shareholders’ ability to obtain a favorable judicial forum for complaints against us or our directors, officers or employees.</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of 1933, as amended (“Securities Act”), or Exchange Act, including all causes of action asserted against any defendant named in such complaint.</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33" w:name="page34"/>
    <w:bookmarkEnd w:id="33"/>
    <w:p>
      <w:pPr>
        <w:jc w:val="both"/>
        <w:spacing w:after="0" w:line="266" w:lineRule="auto"/>
        <w:rPr>
          <w:sz w:val="20"/>
          <w:szCs w:val="20"/>
          <w:color w:val="auto"/>
        </w:rPr>
      </w:pPr>
      <w:r>
        <w:rPr>
          <w:rFonts w:ascii="Arial" w:cs="Arial" w:eastAsia="Arial" w:hAnsi="Arial"/>
          <w:sz w:val="13"/>
          <w:szCs w:val="13"/>
          <w:b w:val="1"/>
          <w:bCs w:val="1"/>
          <w:i w:val="1"/>
          <w:iCs w:val="1"/>
          <w:color w:val="auto"/>
        </w:rPr>
        <w:t>Our Memorandum and Articles of Association provide for indemnification of officers and directors at our expense, which may result in a major cost to us and hurt the interests of our shareholders because corporate resources may be expended for the benefit of officers and/or directors.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Memorandum and Articles of Association and applicable law of the Cayman Islands provide for the indemnification of our directors and officers, under certain circumstances, against any liability, action, proceeding, claim, demand, costs, damages or expenses, including legal expenses, whatsoever which they or any of them may incur as a result of any act or failure to act in carrying out their functions in connection with our company, other than such liability (if any) that they may incur by reason of their own actual fraud, dishonesty, willful neglect or willful default. We will also bear the expenses of such litigation for any of our directors or officers, upon such person’s undertaking to repay any amounts paid, advanced, or reimbursed by us if it is ultimately determined that any such person shall not have been entitled to indemnification. This indemnification policy could result in substantial expenditures by us that we will be unable to recoup.</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have been advised that, in the opinion of the SEC, indemnification for liabilities arising under federal securities laws is against public policy as expressed in the Securities Act, and is, therefore, unenforceable.</w:t>
      </w:r>
    </w:p>
    <w:p>
      <w:pPr>
        <w:spacing w:after="0" w:line="242"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color w:val="auto"/>
        </w:rPr>
        <w:t>INFORMATION ON THE COMPANY</w:t>
      </w:r>
    </w:p>
    <w:p>
      <w:pPr>
        <w:spacing w:after="0" w:line="84" w:lineRule="exact"/>
        <w:rPr>
          <w:sz w:val="20"/>
          <w:szCs w:val="20"/>
          <w:color w:val="auto"/>
        </w:rPr>
      </w:pPr>
    </w:p>
    <w:p>
      <w:pPr>
        <w:ind w:right="8480" w:firstLine="5"/>
        <w:spacing w:after="0" w:line="406" w:lineRule="auto"/>
        <w:tabs>
          <w:tab w:leader="none" w:pos="269"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History and Development of the Company Our History</w:t>
      </w:r>
    </w:p>
    <w:p>
      <w:pPr>
        <w:spacing w:after="0" w:line="7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were established in 2009 when a subsidiary of Mubadala acquired the manufacturing operations of Advanced Micro Devices, Inc. (“AMD”) in Dresden, Germany, and their fab project site in Malta, New York. Since our inception, we have grown through a combination of acquisitions, greenfield expansions and strategic partnerships. In 2010, we combined with Chartered Semiconductor Manufacturing, the third-largest foundry by revenue at the time, forming the basis for our Singapore manufacturing hub. In 2015, we acquired IBM’s Microelectronics division with manufacturing facilities in New York and Vermont, adding distinctive technology capabilities, including more than 2,000 IBM engineers. By 2017, we had successfully ramped our most advanced manufacturing site in Malta, New York.</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2018, we undertook a strategic pivot to focus on the pervasive foundry market opportunity and the growing demand for specialized process technologies. As part of this strategic pivot, we streamlined our manufacturing footprint by divesting three assets that were not aligned with our strategic priorities, including the sale of our East Fishkill (“EFK”) business to ON Semiconductor, which closed on December 31, 2022 for a gain of $403 million.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On November 1, 2021, we completed our initial public offering. Our ordinary shares have been listed on the Nasdaq under the symbol “GFS” since October 28, 2021.</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August 4, 2022, we entered into a Commercial and Cooperation agreement with ST to build a jointly-operated 300mm manufacturing facility in Crolles, France. This facility is targeted to ramp at full capacity by 2026, with up to 620,000 300mm wafers per year production at full build-out. The project remains subject to regulatory approvals.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Through our organic and strategic growth initiatives, we increased manufacturing capacity and now have a global footprint with four manufacturing sites on three continents with approximately 14,000 employees and approximately 9,000 worldwide patents. In 2022, we shipped approximately 2.5 million 300mm equivalent semiconductor wafers. With this level of market presence and capability, our technologies are found across most semiconductor end markets in devices used on a daily basis.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Today, we focus on feature-rich solutions for the pervasive semiconductor market, where we are trusted to reliably innovate and deliver premium performance, functionality, efficiency and quality, rather than focusing merely on transistor density and processing speed.</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For a description of our principal capital expenditures in the last three fiscal years and a discussion of our acquisitions and dispositions, see “Item 5. Operating and Financial Review and Prospects.”</w:t>
      </w: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Information</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legal and commercial name is GLOBALFOUNDRIES Inc. We are an exempted company incorporated in the Cayman Islands with limited liability on October 7, 2008. We have appointed Corporation Service Company as our agent to receive service of process with respect to any action brought against us in the United States under the federal securities laws of the United States or of any state in the United States. The address of Corporation Service Company is 251 Little Falls Drive, Wilmington, DE 19808. Our principal executive offices are located at 400 Stonebreak Road Extension, Malta, New York 12020, United States, and our telephone number is (518) 305-9013.</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34" w:name="page35"/>
    <w:bookmarkEnd w:id="34"/>
    <w:p>
      <w:pPr>
        <w:jc w:val="both"/>
        <w:spacing w:after="0" w:line="249" w:lineRule="auto"/>
        <w:rPr>
          <w:sz w:val="20"/>
          <w:szCs w:val="20"/>
          <w:color w:val="auto"/>
        </w:rPr>
      </w:pPr>
      <w:r>
        <w:rPr>
          <w:rFonts w:ascii="Arial" w:cs="Arial" w:eastAsia="Arial" w:hAnsi="Arial"/>
          <w:sz w:val="13"/>
          <w:szCs w:val="13"/>
          <w:color w:val="auto"/>
        </w:rPr>
        <w:t>Our website address is www.gf.com. Information contained on, or that can be accessed through, our website is not incorporated by reference into this Annual Report, and you should not consider information on our website to be part of this Annual Report. In addition, the SEC maintains an Internet website that contains reports and other information about issuers, like us, that file electronically with the SEC. The address of that website is www.sec.gov.</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GF design logo, “GF” and our other registered or common law trademarks, service marks, or trade names appearing in this Annual Report are the property of GLOBALFOUNDRIES Inc. Other trade names, trademarks and service marks used in this Annual Report are the property of their respective owners.</w:t>
      </w:r>
    </w:p>
    <w:p>
      <w:pPr>
        <w:spacing w:after="0" w:line="221" w:lineRule="exact"/>
        <w:rPr>
          <w:sz w:val="20"/>
          <w:szCs w:val="20"/>
          <w:color w:val="auto"/>
        </w:rPr>
      </w:pPr>
    </w:p>
    <w:p>
      <w:pPr>
        <w:ind w:left="300" w:hanging="295"/>
        <w:spacing w:after="0"/>
        <w:tabs>
          <w:tab w:leader="none" w:pos="30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Business Overview</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are one of the world’s leading semiconductor foundries. We manufacture complex, feature-rich ICs that enable billions of electronic devices that are pervasive throughout nearly every sector of the global economy. With our specialized foundry manufacturing processes, a library consisting of thousands of qualified circuit-building block designs (known as IP titles or IP blocks), and differentiated transistor and device technology, we serve a broad range of customers, including the global leaders in IC design, and provide optimized solutions for the function, performance and power requirements of critical applications driving key secular growth end markets. As the only scaled pure-play foundry with a global footprint that is not based in China or Taiwan, we help customers mitigate geopolitical risk and provide greater supply chain certainty. We define a scaled pure-play foundry as a company that focuses on producing ICs for other companies, rather than those of its own design, with more than $2.5 billion of annual foundry revenue.</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provide differentiated foundry solutions that enable the era of data-centric, connected, intelligent and secure technologies. We are redefining the foundry model with feature-rich solutions that enable our customers to develop innovative products for an increasingly wide variety of applications across broad and pervasive markets. We unlock value for our customers by helping drive technology in multiple dimensions, making their products more intelligent and intuitive, more connected and secure, and more powerful and energy-efficient. Our objective is to be the global leader in feature-rich semiconductor manufacturing—the foundry of choice for the pervasive semiconductor market.</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Since our founding in 2009, we have invested over $23 billion in our company to build a global manufacturing footprint with multiple state-of-the-art facilities across three continents, offering customers the flexibility and security their supply chains require. As semiconductor technologies become more complex with advanced integration requirements, we are also able to offer comprehensive, state-of-the-art design solutions and services that provide our customers with a high-quality, cost-effective and faster path to market. We continue to add new ecosystem partners spanning IP, electronic design automation, outsourced assembly and test and design services. Building on an existing library of more than 4,600 IP titles, we currently have more than 800 IP titles in active development across 30 process nodes and more than 30 IP partners.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We focus on feature-rich devices that include digital, analog, mixed-signal, radio frequency (“RF”), ultra-low power and embedded memory solutions that connect, secure and process data, and efficiently power the digital world around us. As the semiconductor and technology industries become more complex, we expect to become an even more vital partner to fabless semiconductor design companies, IDMs and original equipment manufacturers (“OEMs”), bringing their designs to life in physical hardware. Our core technology portfolio includes a range of differentiated technology platforms, including our industry-leading RF SOI solutions, advanced high-performance Fin Field-Effect Transistor (“FinFET”), feature-rich Complementary Metal-Oxide Semiconductor (“CMOS”), our proprietary FDX</w:t>
      </w:r>
      <w:r>
        <w:rPr>
          <w:rFonts w:ascii="Arial" w:cs="Arial" w:eastAsia="Arial" w:hAnsi="Arial"/>
          <w:sz w:val="16"/>
          <w:szCs w:val="16"/>
          <w:color w:val="auto"/>
          <w:vertAlign w:val="superscript"/>
        </w:rPr>
        <w:t>TM</w:t>
      </w:r>
      <w:r>
        <w:rPr>
          <w:rFonts w:ascii="Arial" w:cs="Arial" w:eastAsia="Arial" w:hAnsi="Arial"/>
          <w:sz w:val="13"/>
          <w:szCs w:val="13"/>
          <w:color w:val="auto"/>
        </w:rPr>
        <w:t>, high- performance Silicon Germanium (“SiGe”) and Gallium Nitride (“GaN”) products and Silicon Photonics (“SiPh”), all of which can be purposely engineered, innovated and designed for a broad set of demanding applications. Customers depend on us for feature-rich solutions based on these differentiated technologies in a growing number of applications that require low power, real-time connectivity and on-board intelligence.</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combination of our highly-differentiated technology and our scaled manufacturing footprint enables us to attract a large share of single-sourced products and LTAs, providing a high degree of revenue visibility and significant operating leverage, resulting in improved financial performance and bottom line growth. As of December 31, 2022, the aggregate remaining long term revenue commitment reflected by these agreements amounted to more than $22 billion, including more than $13 billion during the period from January 2023 through December 2024, and more than $5 billion in advanced payments commitments and capacity reservation fees.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250 customers as of December 31, 2022, many of whom are the global leaders in their field.</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For the year 2022, our top ten customers, based on wafer shipment volume, included some of the largest semiconductor companies in the world: Advanced Micro Devices, Inc. (“AMD”), Cirrus Logic, Inc. (“Cirrus Logic”), Infineon Technologies AG (“Infineon”), Marvell Technology Inc., MediaTek Inc. (“MediaTek”), NXP Semiconductors N.V. (“NXP”), Qorvo, Inc. (“Qorvo”), Qualcomm Inc. (“Qualcomm”), Samsung Electronics Co., Ltd. (“Samsung”), and Skyworks Solutions, Inc. (“Skyworks”). A key measure of our position as a strategic partner to our customers is the mix of our wafer shipment volume attributable to single-sourced business, which represented approximately 65% of wafer shipment volume in 2022, up from 62% in 2021.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We define single-sourced products as those that we believe can only be manufactured with our technology and cannot be manufactured elsewhere without significant customer redesigns.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addition to our highly-differentiated technology platforms, our capital-efficient, scaled manufacturing footprint gives us the flexibility and agility to meet the dynamic needs of our customers around the globe, help them mitigate geopolitical risk and provide greater supply chain certainty. We are also one of the most advanced accredited foundry providers to the U.S. DoD and have the ability to extend this high-assurance model to serve commercial customers and to enhance supply chain security and resilience at a time when they are becoming more critical to national and economic security. Since foundry production is concentrated in China and Taiwan, we believe our global manufacturing footprint is a key differentiator that makes us the ideal partner for local and regional government stakeholders at a time when many regions, in particular the United States and Europe, have passed legislation contemplating significant funding to secure and grow their respective domestic semiconductor manufacturing capabilities.</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currently operate four manufacturing sites in the following locations: Dresden, Germany; Singapore; Malta, New York; and Burlington, Vermont. On December 31, 2022 we completed the sale of our East Fishkill (“EFK”) business to ON Semiconductor. With four world-class manufacturing sites on three continents, we provide the scale, technology differentiation and geographic diversification that we believe are critically important to our customers’ success. In 2022, we shipped approximately 2.5 million 300 millimeter (“mm”) equivalent semiconductor wafers.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Technology Platforms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offer a wide range of feature-rich solutions that can address the needs of mission-critical applications in Smart Mobile Devices, Home and Industrial IoT, Communications Infrastructure &amp; Datacenter, Automotive and Personal Computing. To solve our customers’ most complex challenges, we have developed a broad range of sophisticated technology platforms that leverage our extensive patent portfolio and deep technical expertise in digital, analog, mixed-signal, RF and embedded memory.</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We devote the majority of our R&amp;D efforts to our seven primary differentiated technology platforms:</w:t>
      </w:r>
    </w:p>
    <w:p>
      <w:pPr>
        <w:spacing w:after="0" w:line="68" w:lineRule="exact"/>
        <w:rPr>
          <w:sz w:val="20"/>
          <w:szCs w:val="20"/>
          <w:color w:val="auto"/>
        </w:rPr>
      </w:pPr>
    </w:p>
    <w:p>
      <w:pPr>
        <w:jc w:val="both"/>
        <w:ind w:left="520" w:hanging="260"/>
        <w:spacing w:after="0" w:line="262"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RF SOI: </w:t>
      </w:r>
      <w:r>
        <w:rPr>
          <w:rFonts w:ascii="Arial" w:cs="Arial" w:eastAsia="Arial" w:hAnsi="Arial"/>
          <w:sz w:val="13"/>
          <w:szCs w:val="13"/>
          <w:color w:val="auto"/>
        </w:rPr>
        <w:t>Our industry-leading RF SOI technologies are utilized in high-growth, high-volume wireless and Wi-Fi markets and are optimized for low power, low noise and low latency/high</w:t>
      </w:r>
      <w:r>
        <w:rPr>
          <w:rFonts w:ascii="Arial" w:cs="Arial" w:eastAsia="Arial" w:hAnsi="Arial"/>
          <w:sz w:val="13"/>
          <w:szCs w:val="13"/>
          <w:b w:val="1"/>
          <w:bCs w:val="1"/>
          <w:color w:val="auto"/>
        </w:rPr>
        <w:t xml:space="preserve"> </w:t>
      </w:r>
      <w:r>
        <w:rPr>
          <w:rFonts w:ascii="Arial" w:cs="Arial" w:eastAsia="Arial" w:hAnsi="Arial"/>
          <w:sz w:val="13"/>
          <w:szCs w:val="13"/>
          <w:color w:val="auto"/>
        </w:rPr>
        <w:t>frequency applications that enable longer battery life for mobile applications and high cellular signal quality. Our RF SOI technologies are found in almost all cellular handsets from major manufacturers and in cellular ground station transceivers.</w:t>
      </w:r>
    </w:p>
    <w:p>
      <w:pPr>
        <w:spacing w:after="0" w:line="51" w:lineRule="exact"/>
        <w:rPr>
          <w:rFonts w:ascii="Arial" w:cs="Arial" w:eastAsia="Arial" w:hAnsi="Arial"/>
          <w:sz w:val="13"/>
          <w:szCs w:val="13"/>
          <w:color w:val="auto"/>
        </w:rPr>
      </w:pPr>
    </w:p>
    <w:p>
      <w:pPr>
        <w:jc w:val="both"/>
        <w:ind w:left="520" w:hanging="260"/>
        <w:spacing w:after="0" w:line="262"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FinFET: </w:t>
      </w:r>
      <w:r>
        <w:rPr>
          <w:rFonts w:ascii="Arial" w:cs="Arial" w:eastAsia="Arial" w:hAnsi="Arial"/>
          <w:sz w:val="13"/>
          <w:szCs w:val="13"/>
          <w:color w:val="auto"/>
        </w:rPr>
        <w:t>Our FinFET process technology is purpose-built for high-performance, power-efficient Systems-on-a-Chip (“SoCs”) in demanding, high-volume applications. Advanced features such</w:t>
      </w:r>
      <w:r>
        <w:rPr>
          <w:rFonts w:ascii="Arial" w:cs="Arial" w:eastAsia="Arial" w:hAnsi="Arial"/>
          <w:sz w:val="13"/>
          <w:szCs w:val="13"/>
          <w:b w:val="1"/>
          <w:bCs w:val="1"/>
          <w:color w:val="auto"/>
        </w:rPr>
        <w:t xml:space="preserve"> </w:t>
      </w:r>
      <w:r>
        <w:rPr>
          <w:rFonts w:ascii="Arial" w:cs="Arial" w:eastAsia="Arial" w:hAnsi="Arial"/>
          <w:sz w:val="13"/>
          <w:szCs w:val="13"/>
          <w:color w:val="auto"/>
        </w:rPr>
        <w:t>as RF, automotive, ultra-low power memory and logic provide a best-in-class (12 to 16 nanometer (“nm”)) combination of performance, power and area, and are well-suited for compute and AI, mobile/consumer and automotive processors, high-end IoT applications, high performance transceivers and wired/wireless networking applications.</w:t>
      </w:r>
    </w:p>
    <w:p>
      <w:pPr>
        <w:spacing w:after="0" w:line="51" w:lineRule="exact"/>
        <w:rPr>
          <w:rFonts w:ascii="Arial" w:cs="Arial" w:eastAsia="Arial" w:hAnsi="Arial"/>
          <w:sz w:val="13"/>
          <w:szCs w:val="13"/>
          <w:color w:val="auto"/>
        </w:rPr>
      </w:pPr>
    </w:p>
    <w:p>
      <w:pPr>
        <w:jc w:val="both"/>
        <w:ind w:left="520" w:hanging="260"/>
        <w:spacing w:after="0" w:line="262"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Feature-Rich CMOS: </w:t>
      </w:r>
      <w:r>
        <w:rPr>
          <w:rFonts w:ascii="Arial" w:cs="Arial" w:eastAsia="Arial" w:hAnsi="Arial"/>
          <w:sz w:val="13"/>
          <w:szCs w:val="13"/>
          <w:color w:val="auto"/>
        </w:rPr>
        <w:t>Our CMOS platforms combined with foundational and complex IP and design enablement offer mixed-technology solutions on volume production-proven processes and</w:t>
      </w:r>
      <w:r>
        <w:rPr>
          <w:rFonts w:ascii="Arial" w:cs="Arial" w:eastAsia="Arial" w:hAnsi="Arial"/>
          <w:sz w:val="13"/>
          <w:szCs w:val="13"/>
          <w:b w:val="1"/>
          <w:bCs w:val="1"/>
          <w:color w:val="auto"/>
        </w:rPr>
        <w:t xml:space="preserve"> </w:t>
      </w:r>
      <w:r>
        <w:rPr>
          <w:rFonts w:ascii="Arial" w:cs="Arial" w:eastAsia="Arial" w:hAnsi="Arial"/>
          <w:sz w:val="13"/>
          <w:szCs w:val="13"/>
          <w:color w:val="auto"/>
        </w:rPr>
        <w:t>are well-suited for a wide variety of applications. Technology features include Bipolar-CMOS-DMOS (“BCD”) for power management, high-voltage triple-gate oxide for display drivers, and embedded non-volatile memory for micro-controllers.</w:t>
      </w:r>
    </w:p>
    <w:p>
      <w:pPr>
        <w:spacing w:after="0" w:line="51" w:lineRule="exact"/>
        <w:rPr>
          <w:rFonts w:ascii="Arial" w:cs="Arial" w:eastAsia="Arial" w:hAnsi="Arial"/>
          <w:sz w:val="13"/>
          <w:szCs w:val="13"/>
          <w:color w:val="auto"/>
        </w:rPr>
      </w:pPr>
    </w:p>
    <w:p>
      <w:pPr>
        <w:jc w:val="both"/>
        <w:ind w:left="520" w:hanging="260"/>
        <w:spacing w:after="0" w:line="228"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FDX</w:t>
      </w:r>
      <w:r>
        <w:rPr>
          <w:rFonts w:ascii="Arial" w:cs="Arial" w:eastAsia="Arial" w:hAnsi="Arial"/>
          <w:sz w:val="16"/>
          <w:szCs w:val="16"/>
          <w:b w:val="1"/>
          <w:bCs w:val="1"/>
          <w:color w:val="auto"/>
          <w:vertAlign w:val="superscript"/>
        </w:rPr>
        <w:t>TM</w:t>
      </w:r>
      <w:r>
        <w:rPr>
          <w:rFonts w:ascii="Arial" w:cs="Arial" w:eastAsia="Arial" w:hAnsi="Arial"/>
          <w:sz w:val="13"/>
          <w:szCs w:val="13"/>
          <w:b w:val="1"/>
          <w:bCs w:val="1"/>
          <w:color w:val="auto"/>
        </w:rPr>
        <w:t xml:space="preserve">: </w:t>
      </w:r>
      <w:r>
        <w:rPr>
          <w:rFonts w:ascii="Arial" w:cs="Arial" w:eastAsia="Arial" w:hAnsi="Arial"/>
          <w:sz w:val="13"/>
          <w:szCs w:val="13"/>
          <w:color w:val="auto"/>
        </w:rPr>
        <w:t>Our proprietary FDX</w:t>
      </w:r>
      <w:r>
        <w:rPr>
          <w:rFonts w:ascii="Arial" w:cs="Arial" w:eastAsia="Arial" w:hAnsi="Arial"/>
          <w:sz w:val="16"/>
          <w:szCs w:val="16"/>
          <w:color w:val="auto"/>
          <w:vertAlign w:val="superscript"/>
        </w:rPr>
        <w:t>TM</w:t>
      </w:r>
      <w:r>
        <w:rPr>
          <w:rFonts w:ascii="Arial" w:cs="Arial" w:eastAsia="Arial" w:hAnsi="Arial"/>
          <w:sz w:val="13"/>
          <w:szCs w:val="13"/>
          <w:b w:val="1"/>
          <w:bCs w:val="1"/>
          <w:color w:val="auto"/>
        </w:rPr>
        <w:t xml:space="preserve"> </w:t>
      </w:r>
      <w:r>
        <w:rPr>
          <w:rFonts w:ascii="Arial" w:cs="Arial" w:eastAsia="Arial" w:hAnsi="Arial"/>
          <w:sz w:val="13"/>
          <w:szCs w:val="13"/>
          <w:color w:val="auto"/>
        </w:rPr>
        <w:t>process technology platform is especially well-suited for efficient single-chip integration of digital and analog signals delivering cost-effective performance for</w:t>
      </w:r>
      <w:r>
        <w:rPr>
          <w:rFonts w:ascii="Arial" w:cs="Arial" w:eastAsia="Arial" w:hAnsi="Arial"/>
          <w:sz w:val="13"/>
          <w:szCs w:val="13"/>
          <w:b w:val="1"/>
          <w:bCs w:val="1"/>
          <w:color w:val="auto"/>
        </w:rPr>
        <w:t xml:space="preserve"> </w:t>
      </w:r>
      <w:r>
        <w:rPr>
          <w:rFonts w:ascii="Arial" w:cs="Arial" w:eastAsia="Arial" w:hAnsi="Arial"/>
          <w:sz w:val="13"/>
          <w:szCs w:val="13"/>
          <w:color w:val="auto"/>
        </w:rPr>
        <w:t>connected and low-power embedded applications. A full range of features, such as Ultra-Low Power (“ULP”), Ultra-Low Leakage (“ULL”), RF and mmWave, embedded Magnetoresistive Random Access Memory (“MRAM”) and automotive, makes our FDX</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process technology platform especially well-matched for IoT/wireless, 5G (including mmWave), automotive radar, and satellite communications applications.</w:t>
      </w:r>
    </w:p>
    <w:p>
      <w:pPr>
        <w:spacing w:after="0" w:line="66" w:lineRule="exact"/>
        <w:rPr>
          <w:rFonts w:ascii="Arial" w:cs="Arial" w:eastAsia="Arial" w:hAnsi="Arial"/>
          <w:sz w:val="13"/>
          <w:szCs w:val="13"/>
          <w:color w:val="auto"/>
        </w:rPr>
      </w:pPr>
    </w:p>
    <w:p>
      <w:pPr>
        <w:jc w:val="both"/>
        <w:ind w:left="520" w:hanging="260"/>
        <w:spacing w:after="0" w:line="262"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SiGe: </w:t>
      </w:r>
      <w:r>
        <w:rPr>
          <w:rFonts w:ascii="Arial" w:cs="Arial" w:eastAsia="Arial" w:hAnsi="Arial"/>
          <w:sz w:val="13"/>
          <w:szCs w:val="13"/>
          <w:color w:val="auto"/>
        </w:rPr>
        <w:t>Our SiGe Bipolar CMOS (“BiCMOS”) technologies are uniquely optimized for either power amplifier applications or very-high-frequency applications for optical and wireless networking,</w:t>
      </w:r>
      <w:r>
        <w:rPr>
          <w:rFonts w:ascii="Arial" w:cs="Arial" w:eastAsia="Arial" w:hAnsi="Arial"/>
          <w:sz w:val="13"/>
          <w:szCs w:val="13"/>
          <w:b w:val="1"/>
          <w:bCs w:val="1"/>
          <w:color w:val="auto"/>
        </w:rPr>
        <w:t xml:space="preserve"> </w:t>
      </w:r>
      <w:r>
        <w:rPr>
          <w:rFonts w:ascii="Arial" w:cs="Arial" w:eastAsia="Arial" w:hAnsi="Arial"/>
          <w:sz w:val="13"/>
          <w:szCs w:val="13"/>
          <w:color w:val="auto"/>
        </w:rPr>
        <w:t>satellite communications and communications infrastructure. Our SiGe technologies are performance-competitive with more costly compound semiconductor technologies while taking full advantage of being integrated with conventional Silicon CMOS (“Si CMOS”).</w:t>
      </w:r>
    </w:p>
    <w:p>
      <w:pPr>
        <w:spacing w:after="0" w:line="51" w:lineRule="exact"/>
        <w:rPr>
          <w:rFonts w:ascii="Arial" w:cs="Arial" w:eastAsia="Arial" w:hAnsi="Arial"/>
          <w:sz w:val="13"/>
          <w:szCs w:val="13"/>
          <w:color w:val="auto"/>
        </w:rPr>
      </w:pPr>
    </w:p>
    <w:p>
      <w:pPr>
        <w:jc w:val="both"/>
        <w:ind w:left="520" w:hanging="260"/>
        <w:spacing w:after="0" w:line="262"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GaN</w:t>
      </w:r>
      <w:r>
        <w:rPr>
          <w:rFonts w:ascii="Arial" w:cs="Arial" w:eastAsia="Arial" w:hAnsi="Arial"/>
          <w:sz w:val="13"/>
          <w:szCs w:val="13"/>
          <w:color w:val="auto"/>
        </w:rPr>
        <w:t>: Our next-generation GaN on silicon technology will enable a wide range of future power conversion and RF applications. With their unique ability to handle significant heat and power</w:t>
      </w:r>
      <w:r>
        <w:rPr>
          <w:rFonts w:ascii="Arial" w:cs="Arial" w:eastAsia="Arial" w:hAnsi="Arial"/>
          <w:sz w:val="13"/>
          <w:szCs w:val="13"/>
          <w:b w:val="1"/>
          <w:bCs w:val="1"/>
          <w:color w:val="auto"/>
        </w:rPr>
        <w:t xml:space="preserve"> </w:t>
      </w:r>
      <w:r>
        <w:rPr>
          <w:rFonts w:ascii="Arial" w:cs="Arial" w:eastAsia="Arial" w:hAnsi="Arial"/>
          <w:sz w:val="13"/>
          <w:szCs w:val="13"/>
          <w:color w:val="auto"/>
        </w:rPr>
        <w:t>levels, GaN semiconductors are positioned to enable game-changing performance and efficiency in applications including 5G and 6G smartphones, RF wireless infrastructure, electric vehicles, power grids, solar energy, and other technologies.</w:t>
      </w:r>
    </w:p>
    <w:p>
      <w:pPr>
        <w:spacing w:after="0" w:line="51" w:lineRule="exact"/>
        <w:rPr>
          <w:rFonts w:ascii="Arial" w:cs="Arial" w:eastAsia="Arial" w:hAnsi="Arial"/>
          <w:sz w:val="13"/>
          <w:szCs w:val="13"/>
          <w:color w:val="auto"/>
        </w:rPr>
      </w:pPr>
    </w:p>
    <w:p>
      <w:pPr>
        <w:jc w:val="both"/>
        <w:ind w:left="520" w:hanging="260"/>
        <w:spacing w:after="0" w:line="262"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SiPh: </w:t>
      </w:r>
      <w:r>
        <w:rPr>
          <w:rFonts w:ascii="Arial" w:cs="Arial" w:eastAsia="Arial" w:hAnsi="Arial"/>
          <w:sz w:val="13"/>
          <w:szCs w:val="13"/>
          <w:color w:val="auto"/>
        </w:rPr>
        <w:t>Our SiPh platforms address the increasing need for data centers to handle ever higher data rates and volumes with greater power efficiency, as conventional copper wire connections</w:t>
      </w:r>
      <w:r>
        <w:rPr>
          <w:rFonts w:ascii="Arial" w:cs="Arial" w:eastAsia="Arial" w:hAnsi="Arial"/>
          <w:sz w:val="13"/>
          <w:szCs w:val="13"/>
          <w:b w:val="1"/>
          <w:bCs w:val="1"/>
          <w:color w:val="auto"/>
        </w:rPr>
        <w:t xml:space="preserve"> </w:t>
      </w:r>
      <w:r>
        <w:rPr>
          <w:rFonts w:ascii="Arial" w:cs="Arial" w:eastAsia="Arial" w:hAnsi="Arial"/>
          <w:sz w:val="13"/>
          <w:szCs w:val="13"/>
          <w:color w:val="auto"/>
        </w:rPr>
        <w:t>are becoming prohibitive from a power consumption perspective. Our SiPh platforms integrate photonics components with CMOS logic and RF to enable a fully integrated, monolithic electrical and optical computing and communications engine. Our SiPh</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36" w:name="page37"/>
    <w:bookmarkEnd w:id="36"/>
    <w:p>
      <w:pPr>
        <w:ind w:left="520"/>
        <w:spacing w:after="0"/>
        <w:rPr>
          <w:sz w:val="20"/>
          <w:szCs w:val="20"/>
          <w:color w:val="auto"/>
        </w:rPr>
      </w:pPr>
      <w:r>
        <w:rPr>
          <w:rFonts w:ascii="Arial" w:cs="Arial" w:eastAsia="Arial" w:hAnsi="Arial"/>
          <w:sz w:val="13"/>
          <w:szCs w:val="13"/>
          <w:color w:val="auto"/>
        </w:rPr>
        <w:t>technologies are also being extended to applications such as Light Detection and Ranging (“LiDAR”), quantum computing and consumer optical networks.</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Industry and Market Dynamics</w:t>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Semiconductor Industry Inventory Correction</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2022, the semiconductor industry began the year with continued shortages that impacted several end markets. Starting in the first half of 2022, the industry started to experience an excess of inventory across certain end-markets, induced by slowdowns largely driven by a slowing macro-economic environment. This inventory correction by our customers accelerated in the second half of 2022 and is expected to run through at least the first half of 2023.</w:t>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 Incentives to Secure Supply</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Governments have created bold new incentive programs to fund and secure their local semiconductor manufacturing industries. In the United States, the CHIPS and Science Act of 2022, which was signed into law by the President of the United States of America in August 2022, appropriates $52 billion in funding to the domestic semiconductor industry, with approximately two-thirds directed toward semiconductor manufacturing. The EU has proposed the European Chips Act, which is intended to provide significant funding to strengthen the EU’s semiconductor industry.</w:t>
      </w:r>
    </w:p>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Similarly, we believe that foundry customers are increasingly seeking to diversify and secure their semiconductor supply chains, and are looking for foundry partners with manufacturing footprints in Europe, the United States and Asia, outside of China and Taiwan. Fabless companies, IDMs and OEMs increasingly view their foundry relations as highly strategic and are looking to secure long-term capacity contracts by paying to access capacity expansions at their foundry partners. This trend has the potential to help balance the geographical distribution of manufacturing and drive increased long-term visibility and profitability of the foundry industry.</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Technology Megatrends</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Semiconductors are the core building blocks of electronic devices and systems, including those used in mobile devices, automobiles, consumer electronics, wearables, smart home devices, 5G wireless infrastructure, robotics, PCs, cloud computing, data networking and others. Historically, semiconductor innovation was driven by a few select compute-centric applications—initially PCs and later the internet and mobile phones. Mobile devices have evolved from a convenient communication appliance to a feature-rich, always-connected device, enabling users to do and control nearly everything in their lives. This has driven significant growth in semiconductor demand.</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Another significant driver of semiconductor demand has been, and we believe will continue to be, the tremendous growth in the deployment of intelligent software which is increasingly transforming a wide variety of business functions across all sectors. Semiconductors enable the functionality that software delivers. With wide-scale adoption of mobile devices and software solutions, society has grown to expect high-speed connectivity, convenience and security in all applications, providing a catalyst for increased semiconductor content in nearly every industry. These trends were accelerated by the COVID-19 pandemic, which emphasized the criticality of connectivity to allow the world to continue to work, communicate, educate, and deliver goods and services. We believe that accelerated adoption of technologies such as video conferencing, telemedicine, e-education and e-commerce will serve to drive increased requirements for these technologies going forward.</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Semiconductors are enabling the transformation of other sectors of the economy as well. In particular, the electrification of automobiles, including autonomous driving applications are driving a sharp increase in semiconductor sensors. Semiconductors are increasingly integral to the performance, safety and comfort of vehicles, and we believe the continued electrification of automobiles will only further accelerate this trend.</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Semiconductors have become mission-critical to the functionality, safety, transformation and success of many industries in addition to the automotive industry. As a result, the diversification of semiconductor demand across a wide range of industries has made the sector more foundational and central to the broader economy and in turn less vulnerable to cyclicality.</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Technology megatrends including IoT, 5G, cloud, artificial intelligence (“AI”) and next-generation automotive are reshaping the global economy and driving a new golden age for semiconductors. Semiconductors have become ubiquitous, powering a broad range of applications from consumer devices to enterprise and industrial applications. Semiconductor innovation is essential to the growth and development of many parts of the technology ecosystem. This includes the software and AI revolution and data collection, transmission and processing at an unprecedented scale, as well as increasing use of advanced driver-assistance systems (“ADAS”) and electrification of automobiles. Semiconductor innovation is also essential for many industrial applications. As the manufacturing backbone of the semiconductor industry, foundries are the bedrock of the global technology ecosystem, and, by extension, the world economy. Foundries such as GF drive innovation 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7" w:name="page38"/>
    <w:bookmarkEnd w:id="37"/>
    <w:p>
      <w:pPr>
        <w:spacing w:after="0" w:line="244" w:lineRule="auto"/>
        <w:rPr>
          <w:sz w:val="20"/>
          <w:szCs w:val="20"/>
          <w:color w:val="auto"/>
        </w:rPr>
      </w:pPr>
      <w:r>
        <w:rPr>
          <w:rFonts w:ascii="Arial" w:cs="Arial" w:eastAsia="Arial" w:hAnsi="Arial"/>
          <w:sz w:val="13"/>
          <w:szCs w:val="13"/>
          <w:color w:val="auto"/>
        </w:rPr>
        <w:t>providing advances in process technologies, materials science and IC design IP within the global supply chain to enable customers to develop ICs, accelerate time-to-market and offer value-added services.</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Impact of COVID-19</w:t>
      </w:r>
    </w:p>
    <w:p>
      <w:pPr>
        <w:spacing w:after="0" w:line="289"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The COVID-19 pandemic has had significant and unprecedented impacts around the world, including prompting governments and businesses to temporarily close businesses, impose quarantines and shelter-in-place orders and place restrictions on travel.</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Today, all of our manufacturing facilities continue to remain open and are operating at normal production levels. We have taken all appropriate measures to ensure a healthy and safe environment.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closely monitor the business environment for changes and are prepared to adjust capital and operational spending as appropriate.</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Strengths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We have several distinct advantages that we believe differentiate us from our peers:</w:t>
      </w:r>
    </w:p>
    <w:p>
      <w:pPr>
        <w:spacing w:after="0" w:line="79" w:lineRule="exact"/>
        <w:rPr>
          <w:sz w:val="20"/>
          <w:szCs w:val="20"/>
          <w:color w:val="auto"/>
        </w:rPr>
      </w:pPr>
    </w:p>
    <w:p>
      <w:pPr>
        <w:ind w:left="520" w:hanging="260"/>
        <w:spacing w:after="0" w:line="270"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 xml:space="preserve">Scaled manufacturing capabilities. </w:t>
      </w:r>
      <w:r>
        <w:rPr>
          <w:rFonts w:ascii="Arial" w:cs="Arial" w:eastAsia="Arial" w:hAnsi="Arial"/>
          <w:sz w:val="13"/>
          <w:szCs w:val="13"/>
          <w:color w:val="auto"/>
        </w:rPr>
        <w:t>In 2022, we shipped approximately 2.5 million 300mm equivalent semiconductor wafers. We believe that our scaled global manufacturing footprint</w:t>
      </w:r>
      <w:r>
        <w:rPr>
          <w:rFonts w:ascii="Arial" w:cs="Arial" w:eastAsia="Arial" w:hAnsi="Arial"/>
          <w:sz w:val="13"/>
          <w:szCs w:val="13"/>
          <w:b w:val="1"/>
          <w:bCs w:val="1"/>
          <w:color w:val="auto"/>
        </w:rPr>
        <w:t xml:space="preserve"> </w:t>
      </w:r>
      <w:r>
        <w:rPr>
          <w:rFonts w:ascii="Arial" w:cs="Arial" w:eastAsia="Arial" w:hAnsi="Arial"/>
          <w:sz w:val="13"/>
          <w:szCs w:val="13"/>
          <w:color w:val="auto"/>
        </w:rPr>
        <w:t>enables our customers to leverage the security of our fabs and ensure a trusted supply of critical semiconductors.</w:t>
      </w:r>
    </w:p>
    <w:p>
      <w:pPr>
        <w:spacing w:after="0" w:line="45" w:lineRule="exact"/>
        <w:rPr>
          <w:rFonts w:ascii="Arial" w:cs="Arial" w:eastAsia="Arial" w:hAnsi="Arial"/>
          <w:sz w:val="13"/>
          <w:szCs w:val="13"/>
          <w:color w:val="auto"/>
        </w:rPr>
      </w:pPr>
    </w:p>
    <w:p>
      <w:pPr>
        <w:ind w:left="520" w:hanging="260"/>
        <w:spacing w:after="0" w:line="287"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 xml:space="preserve">Differentiated technology platforms and ecosystem. </w:t>
      </w:r>
      <w:r>
        <w:rPr>
          <w:rFonts w:ascii="Arial" w:cs="Arial" w:eastAsia="Arial" w:hAnsi="Arial"/>
          <w:sz w:val="13"/>
          <w:szCs w:val="13"/>
          <w:color w:val="auto"/>
        </w:rPr>
        <w:t>We deliver highly-differentiated solutions to meet customer demand for superior performance, lower power consumption and better</w:t>
      </w:r>
      <w:r>
        <w:rPr>
          <w:rFonts w:ascii="Arial" w:cs="Arial" w:eastAsia="Arial" w:hAnsi="Arial"/>
          <w:sz w:val="13"/>
          <w:szCs w:val="13"/>
          <w:b w:val="1"/>
          <w:bCs w:val="1"/>
          <w:color w:val="auto"/>
        </w:rPr>
        <w:t xml:space="preserve"> </w:t>
      </w:r>
      <w:r>
        <w:rPr>
          <w:rFonts w:ascii="Arial" w:cs="Arial" w:eastAsia="Arial" w:hAnsi="Arial"/>
          <w:sz w:val="13"/>
          <w:szCs w:val="13"/>
          <w:color w:val="auto"/>
        </w:rPr>
        <w:t>thermal efficiency for mission-critical applications across IoT, 5G, cloud, AI, next-generation automotive and other secular growth markets that are driving the economy of the future.</w:t>
      </w:r>
    </w:p>
    <w:p>
      <w:pPr>
        <w:spacing w:after="0" w:line="35" w:lineRule="exact"/>
        <w:rPr>
          <w:rFonts w:ascii="Arial" w:cs="Arial" w:eastAsia="Arial" w:hAnsi="Arial"/>
          <w:sz w:val="13"/>
          <w:szCs w:val="13"/>
          <w:color w:val="auto"/>
        </w:rPr>
      </w:pPr>
    </w:p>
    <w:p>
      <w:pPr>
        <w:jc w:val="both"/>
        <w:ind w:left="520" w:hanging="260"/>
        <w:spacing w:after="0" w:line="254"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 xml:space="preserve">Diversified and secure geographic footprint. </w:t>
      </w:r>
      <w:r>
        <w:rPr>
          <w:rFonts w:ascii="Arial" w:cs="Arial" w:eastAsia="Arial" w:hAnsi="Arial"/>
          <w:sz w:val="13"/>
          <w:szCs w:val="13"/>
          <w:color w:val="auto"/>
        </w:rPr>
        <w:t>Our scaled global manufacturing footprint helps mitigate geopolitical, natural disaster and competitive risks. We are the only U.S.-based scaled</w:t>
      </w:r>
      <w:r>
        <w:rPr>
          <w:rFonts w:ascii="Arial" w:cs="Arial" w:eastAsia="Arial" w:hAnsi="Arial"/>
          <w:sz w:val="13"/>
          <w:szCs w:val="13"/>
          <w:b w:val="1"/>
          <w:bCs w:val="1"/>
          <w:color w:val="auto"/>
        </w:rPr>
        <w:t xml:space="preserve"> </w:t>
      </w:r>
      <w:r>
        <w:rPr>
          <w:rFonts w:ascii="Arial" w:cs="Arial" w:eastAsia="Arial" w:hAnsi="Arial"/>
          <w:sz w:val="13"/>
          <w:szCs w:val="13"/>
          <w:color w:val="auto"/>
        </w:rPr>
        <w:t>semiconductor foundry with a global footprint. We believe that this geographic diversification is critical to our customers as well as governments around the world as they look to secure semiconductor supply. Furthermore, a significant number of our technology platforms are qualified across our manufacturing footprint, providing our customers with a geographically diverse one-stop supply chain solution.</w:t>
      </w:r>
    </w:p>
    <w:p>
      <w:pPr>
        <w:spacing w:after="0" w:line="67" w:lineRule="exact"/>
        <w:rPr>
          <w:rFonts w:ascii="Arial" w:cs="Arial" w:eastAsia="Arial" w:hAnsi="Arial"/>
          <w:sz w:val="13"/>
          <w:szCs w:val="13"/>
          <w:color w:val="auto"/>
        </w:rPr>
      </w:pPr>
    </w:p>
    <w:p>
      <w:pPr>
        <w:jc w:val="both"/>
        <w:ind w:left="520" w:hanging="260"/>
        <w:spacing w:after="0" w:line="254"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 xml:space="preserve">Market-centric solutions driving deep customer relationships. </w:t>
      </w:r>
      <w:r>
        <w:rPr>
          <w:rFonts w:ascii="Arial" w:cs="Arial" w:eastAsia="Arial" w:hAnsi="Arial"/>
          <w:sz w:val="13"/>
          <w:szCs w:val="13"/>
          <w:color w:val="auto"/>
        </w:rPr>
        <w:t>We are pioneering a new sustainable foundry relationship with fabless companies, IDMs and OEMs by partnering with</w:t>
      </w:r>
      <w:r>
        <w:rPr>
          <w:rFonts w:ascii="Arial" w:cs="Arial" w:eastAsia="Arial" w:hAnsi="Arial"/>
          <w:sz w:val="13"/>
          <w:szCs w:val="13"/>
          <w:b w:val="1"/>
          <w:bCs w:val="1"/>
          <w:color w:val="auto"/>
        </w:rPr>
        <w:t xml:space="preserve"> </w:t>
      </w:r>
      <w:r>
        <w:rPr>
          <w:rFonts w:ascii="Arial" w:cs="Arial" w:eastAsia="Arial" w:hAnsi="Arial"/>
          <w:sz w:val="13"/>
          <w:szCs w:val="13"/>
          <w:color w:val="auto"/>
        </w:rPr>
        <w:t>customers to redefine the supply chain and economics for the entire value chain. The insights we gain through our market-centric approach enable us to focus on and invest in the markets and applications in which we believe we can achieve a clear leadership position.</w:t>
      </w:r>
    </w:p>
    <w:p>
      <w:pPr>
        <w:spacing w:after="0" w:line="66" w:lineRule="exact"/>
        <w:rPr>
          <w:rFonts w:ascii="Arial" w:cs="Arial" w:eastAsia="Arial" w:hAnsi="Arial"/>
          <w:sz w:val="13"/>
          <w:szCs w:val="13"/>
          <w:color w:val="auto"/>
        </w:rPr>
      </w:pPr>
    </w:p>
    <w:p>
      <w:pPr>
        <w:jc w:val="both"/>
        <w:ind w:left="520" w:hanging="260"/>
        <w:spacing w:after="0" w:line="254"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 xml:space="preserve">Capital-efficient model. </w:t>
      </w:r>
      <w:r>
        <w:rPr>
          <w:rFonts w:ascii="Arial" w:cs="Arial" w:eastAsia="Arial" w:hAnsi="Arial"/>
          <w:sz w:val="13"/>
          <w:szCs w:val="13"/>
          <w:color w:val="auto"/>
        </w:rPr>
        <w:t>Our focus on the pervasive semiconductor market results in lower capital requirements compared to foundries that focus on processor-centric compute</w:t>
      </w:r>
      <w:r>
        <w:rPr>
          <w:rFonts w:ascii="Arial" w:cs="Arial" w:eastAsia="Arial" w:hAnsi="Arial"/>
          <w:sz w:val="13"/>
          <w:szCs w:val="13"/>
          <w:b w:val="1"/>
          <w:bCs w:val="1"/>
          <w:color w:val="auto"/>
        </w:rPr>
        <w:t xml:space="preserve"> </w:t>
      </w:r>
      <w:r>
        <w:rPr>
          <w:rFonts w:ascii="Arial" w:cs="Arial" w:eastAsia="Arial" w:hAnsi="Arial"/>
          <w:sz w:val="13"/>
          <w:szCs w:val="13"/>
          <w:color w:val="auto"/>
        </w:rPr>
        <w:t>semiconductors and are therefore obligated to invest significant capital to transition from node to node. Additionally, as the only scaled pure-play foundry with existing manufacturing capacity in the United States and Europe, we are well-positioned to benefit from government support, as governments around the world implement or contemplate large aid packages to encourage manufacturers such as us to increase their local capacities in these regions.</w:t>
      </w:r>
    </w:p>
    <w:p>
      <w:pPr>
        <w:spacing w:after="0" w:line="56" w:lineRule="exact"/>
        <w:rPr>
          <w:rFonts w:ascii="Arial" w:cs="Arial" w:eastAsia="Arial" w:hAnsi="Arial"/>
          <w:sz w:val="13"/>
          <w:szCs w:val="13"/>
          <w:color w:val="auto"/>
        </w:rPr>
      </w:pPr>
    </w:p>
    <w:p>
      <w:pPr>
        <w:jc w:val="both"/>
        <w:ind w:left="520" w:hanging="260"/>
        <w:spacing w:after="0" w:line="260"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 xml:space="preserve">World-class team and focus on sustainability. </w:t>
      </w:r>
      <w:r>
        <w:rPr>
          <w:rFonts w:ascii="Arial" w:cs="Arial" w:eastAsia="Arial" w:hAnsi="Arial"/>
          <w:sz w:val="13"/>
          <w:szCs w:val="13"/>
          <w:color w:val="auto"/>
        </w:rPr>
        <w:t>We have a highly technically proficient, talented and experienced management team of executive officers and key employees with average</w:t>
      </w:r>
      <w:r>
        <w:rPr>
          <w:rFonts w:ascii="Arial" w:cs="Arial" w:eastAsia="Arial" w:hAnsi="Arial"/>
          <w:sz w:val="13"/>
          <w:szCs w:val="13"/>
          <w:b w:val="1"/>
          <w:bCs w:val="1"/>
          <w:color w:val="auto"/>
        </w:rPr>
        <w:t xml:space="preserve"> </w:t>
      </w:r>
      <w:r>
        <w:rPr>
          <w:rFonts w:ascii="Arial" w:cs="Arial" w:eastAsia="Arial" w:hAnsi="Arial"/>
          <w:sz w:val="13"/>
          <w:szCs w:val="13"/>
          <w:color w:val="auto"/>
        </w:rPr>
        <w:t>industry experience of 20 years. We are dedicated to ethical and responsible business practices, the personal and social well-being of our diverse and highly-skilled employee base, and supply chain and environmental stewardship. As of December 31, 2022, we employed approximately 14,000 employees, and approximately 70% of our employees were engineers or technicians.</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Growth Strategies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Key elements of our growth strategies include:</w:t>
      </w:r>
    </w:p>
    <w:p>
      <w:pPr>
        <w:spacing w:after="0" w:line="79" w:lineRule="exact"/>
        <w:rPr>
          <w:sz w:val="20"/>
          <w:szCs w:val="20"/>
          <w:color w:val="auto"/>
        </w:rPr>
      </w:pPr>
    </w:p>
    <w:p>
      <w:pPr>
        <w:jc w:val="both"/>
        <w:ind w:left="520" w:hanging="260"/>
        <w:spacing w:after="0" w:line="262"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 xml:space="preserve">Deepen relationships with key customers. </w:t>
      </w:r>
      <w:r>
        <w:rPr>
          <w:rFonts w:ascii="Arial" w:cs="Arial" w:eastAsia="Arial" w:hAnsi="Arial"/>
          <w:sz w:val="13"/>
          <w:szCs w:val="13"/>
          <w:color w:val="auto"/>
        </w:rPr>
        <w:t>We operate a customer-focused partnership model in which we work closely with our customers to better understand their requirements in order</w:t>
      </w:r>
      <w:r>
        <w:rPr>
          <w:rFonts w:ascii="Arial" w:cs="Arial" w:eastAsia="Arial" w:hAnsi="Arial"/>
          <w:sz w:val="13"/>
          <w:szCs w:val="13"/>
          <w:b w:val="1"/>
          <w:bCs w:val="1"/>
          <w:color w:val="auto"/>
        </w:rPr>
        <w:t xml:space="preserve"> </w:t>
      </w:r>
      <w:r>
        <w:rPr>
          <w:rFonts w:ascii="Arial" w:cs="Arial" w:eastAsia="Arial" w:hAnsi="Arial"/>
          <w:sz w:val="13"/>
          <w:szCs w:val="13"/>
          <w:color w:val="auto"/>
        </w:rPr>
        <w:t>to invest in and develop tailored solutions to suit their specific needs. We intend to expand our customer base and increase market share by leveraging our core IP, comprehensive portfolio, scale and flexibility to redefine the fabless-foundry model.</w:t>
      </w:r>
    </w:p>
    <w:p>
      <w:pPr>
        <w:spacing w:after="0" w:line="51" w:lineRule="exact"/>
        <w:rPr>
          <w:rFonts w:ascii="Arial" w:cs="Arial" w:eastAsia="Arial" w:hAnsi="Arial"/>
          <w:sz w:val="13"/>
          <w:szCs w:val="13"/>
          <w:color w:val="auto"/>
        </w:rPr>
      </w:pPr>
    </w:p>
    <w:p>
      <w:pPr>
        <w:ind w:left="520" w:hanging="260"/>
        <w:spacing w:after="0" w:line="270"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 xml:space="preserve">Expand portfolio of differentiated, feature-rich technologies. </w:t>
      </w:r>
      <w:r>
        <w:rPr>
          <w:rFonts w:ascii="Arial" w:cs="Arial" w:eastAsia="Arial" w:hAnsi="Arial"/>
          <w:sz w:val="13"/>
          <w:szCs w:val="13"/>
          <w:color w:val="auto"/>
        </w:rPr>
        <w:t>We believe that maintaining and enhancing our leadership position in differentiated technologies is critical to attracting and</w:t>
      </w:r>
      <w:r>
        <w:rPr>
          <w:rFonts w:ascii="Arial" w:cs="Arial" w:eastAsia="Arial" w:hAnsi="Arial"/>
          <w:sz w:val="13"/>
          <w:szCs w:val="13"/>
          <w:b w:val="1"/>
          <w:bCs w:val="1"/>
          <w:color w:val="auto"/>
        </w:rPr>
        <w:t xml:space="preserve"> </w:t>
      </w:r>
      <w:r>
        <w:rPr>
          <w:rFonts w:ascii="Arial" w:cs="Arial" w:eastAsia="Arial" w:hAnsi="Arial"/>
          <w:sz w:val="13"/>
          <w:szCs w:val="13"/>
          <w:color w:val="auto"/>
        </w:rPr>
        <w:t>retaining customers, which increasingly rely on specific silicon features to differentiate their products. We will continue to invest in R&amp;D across our seven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8" w:name="page39"/>
    <w:bookmarkEnd w:id="38"/>
    <w:p>
      <w:pPr>
        <w:ind w:left="520"/>
        <w:spacing w:after="0"/>
        <w:rPr>
          <w:sz w:val="20"/>
          <w:szCs w:val="20"/>
          <w:color w:val="auto"/>
        </w:rPr>
      </w:pPr>
      <w:r>
        <w:rPr>
          <w:rFonts w:ascii="Arial" w:cs="Arial" w:eastAsia="Arial" w:hAnsi="Arial"/>
          <w:sz w:val="13"/>
          <w:szCs w:val="13"/>
          <w:color w:val="auto"/>
        </w:rPr>
        <w:t>key technology platforms, which we believe will lead to continued innovation and growth within our addressable market for the foreseeable future.</w:t>
      </w:r>
    </w:p>
    <w:p>
      <w:pPr>
        <w:spacing w:after="0" w:line="68" w:lineRule="exact"/>
        <w:rPr>
          <w:sz w:val="20"/>
          <w:szCs w:val="20"/>
          <w:color w:val="auto"/>
        </w:rPr>
      </w:pPr>
    </w:p>
    <w:p>
      <w:pPr>
        <w:ind w:left="520" w:hanging="260"/>
        <w:spacing w:after="0" w:line="287" w:lineRule="auto"/>
        <w:tabs>
          <w:tab w:leader="none" w:pos="511"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Disciplined capacity expansion. </w:t>
      </w:r>
      <w:r>
        <w:rPr>
          <w:rFonts w:ascii="Arial" w:cs="Arial" w:eastAsia="Arial" w:hAnsi="Arial"/>
          <w:sz w:val="13"/>
          <w:szCs w:val="13"/>
          <w:color w:val="auto"/>
        </w:rPr>
        <w:t>We believe that we have a capital-efficient model that allows us to expand capacity in a disciplined and economically attractive manner. Our focus on the</w:t>
      </w:r>
      <w:r>
        <w:rPr>
          <w:rFonts w:ascii="Arial" w:cs="Arial" w:eastAsia="Arial" w:hAnsi="Arial"/>
          <w:sz w:val="13"/>
          <w:szCs w:val="13"/>
          <w:b w:val="1"/>
          <w:bCs w:val="1"/>
          <w:color w:val="auto"/>
        </w:rPr>
        <w:t xml:space="preserve"> </w:t>
      </w:r>
      <w:r>
        <w:rPr>
          <w:rFonts w:ascii="Arial" w:cs="Arial" w:eastAsia="Arial" w:hAnsi="Arial"/>
          <w:sz w:val="13"/>
          <w:szCs w:val="13"/>
          <w:color w:val="auto"/>
        </w:rPr>
        <w:t>pervasive semiconductor market requires lower capital intensity than that of the compute-focused foundries to drive revenue growth.</w:t>
      </w:r>
    </w:p>
    <w:p>
      <w:pPr>
        <w:spacing w:after="0" w:line="35" w:lineRule="exact"/>
        <w:rPr>
          <w:rFonts w:ascii="Arial" w:cs="Arial" w:eastAsia="Arial" w:hAnsi="Arial"/>
          <w:sz w:val="13"/>
          <w:szCs w:val="13"/>
          <w:color w:val="auto"/>
        </w:rPr>
      </w:pPr>
    </w:p>
    <w:p>
      <w:pPr>
        <w:ind w:left="520" w:hanging="260"/>
        <w:spacing w:after="0" w:line="287" w:lineRule="auto"/>
        <w:tabs>
          <w:tab w:leader="none" w:pos="511"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Strengthen government partnerships. </w:t>
      </w:r>
      <w:r>
        <w:rPr>
          <w:rFonts w:ascii="Arial" w:cs="Arial" w:eastAsia="Arial" w:hAnsi="Arial"/>
          <w:sz w:val="13"/>
          <w:szCs w:val="13"/>
          <w:color w:val="auto"/>
        </w:rPr>
        <w:t>We intend to continue expanding our existing footprint by building on the strength of our public/private investment partnerships. As regions around the</w:t>
      </w:r>
      <w:r>
        <w:rPr>
          <w:rFonts w:ascii="Arial" w:cs="Arial" w:eastAsia="Arial" w:hAnsi="Arial"/>
          <w:sz w:val="13"/>
          <w:szCs w:val="13"/>
          <w:b w:val="1"/>
          <w:bCs w:val="1"/>
          <w:color w:val="auto"/>
        </w:rPr>
        <w:t xml:space="preserve"> </w:t>
      </w:r>
      <w:r>
        <w:rPr>
          <w:rFonts w:ascii="Arial" w:cs="Arial" w:eastAsia="Arial" w:hAnsi="Arial"/>
          <w:sz w:val="13"/>
          <w:szCs w:val="13"/>
          <w:color w:val="auto"/>
        </w:rPr>
        <w:t>world work to establish domestic semiconductor supply, we believe governmental funding to secure local manufacturing will continue.</w:t>
      </w:r>
    </w:p>
    <w:p>
      <w:pPr>
        <w:spacing w:after="0" w:line="35" w:lineRule="exact"/>
        <w:rPr>
          <w:rFonts w:ascii="Arial" w:cs="Arial" w:eastAsia="Arial" w:hAnsi="Arial"/>
          <w:sz w:val="13"/>
          <w:szCs w:val="13"/>
          <w:color w:val="auto"/>
        </w:rPr>
      </w:pPr>
    </w:p>
    <w:p>
      <w:pPr>
        <w:jc w:val="both"/>
        <w:ind w:left="520" w:hanging="260"/>
        <w:spacing w:after="0" w:line="262" w:lineRule="auto"/>
        <w:tabs>
          <w:tab w:leader="none" w:pos="511"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Continued operational excellence. </w:t>
      </w:r>
      <w:r>
        <w:rPr>
          <w:rFonts w:ascii="Arial" w:cs="Arial" w:eastAsia="Arial" w:hAnsi="Arial"/>
          <w:sz w:val="13"/>
          <w:szCs w:val="13"/>
          <w:color w:val="auto"/>
        </w:rPr>
        <w:t>Through intensive management focus on operational efficiency, we will continue to implement efficiency measures aimed at expanding margins,</w:t>
      </w:r>
      <w:r>
        <w:rPr>
          <w:rFonts w:ascii="Arial" w:cs="Arial" w:eastAsia="Arial" w:hAnsi="Arial"/>
          <w:sz w:val="13"/>
          <w:szCs w:val="13"/>
          <w:b w:val="1"/>
          <w:bCs w:val="1"/>
          <w:color w:val="auto"/>
        </w:rPr>
        <w:t xml:space="preserve"> </w:t>
      </w:r>
      <w:r>
        <w:rPr>
          <w:rFonts w:ascii="Arial" w:cs="Arial" w:eastAsia="Arial" w:hAnsi="Arial"/>
          <w:sz w:val="13"/>
          <w:szCs w:val="13"/>
          <w:color w:val="auto"/>
        </w:rPr>
        <w:t>improving our bottom line, and generating higher returns on investment. We expect our business model to provide significant bottom line benefits as revenue scales at each of our existing locations.</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Raw Materials</w:t>
      </w:r>
    </w:p>
    <w:p>
      <w:pPr>
        <w:spacing w:after="0" w:line="111"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One of the most important raw materials used in our production processes is silicon wafers, which is the basic raw material from which integrated circuits are made. In recent years, the silicon substrate market has experienced price volatility and supply shortages. The principal suppliers for our wafers are GlobalWafers Singapore Pte. Ltd. (“GlobalWafers”), Shin-Etsu Handotai (“S.E.H.”), Siltronic AG, SK Siltron, Inc., Soitec and Sumco Corporation. In order to secure a reliable and flexible supply of high-quality wafers, we have entered into multiple long-term agreements with the majority of our principal suppliers, the largest of which is Soitec. We have entered into multiple long-term agreements with Soitec across a wide spectrum of SOI products. See also “Item 3. Risk Factors—We rely on a complex silicon supply chain and breakdowns in that chain could affect our ability to produce our products and could materially and adversely affect our results of operations, financial condition, business and prospects.”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We have a strong heritage of innovation, stemming from our roots at AMD, Chartered Semiconductor and IBM, and have built a comprehensive technology portfolio supported by approximately 9,000 worldwide patents. As of December 31, 2022, we had approximately 1,500 employees dedicated to R&amp;D. We have a strong commitment to R&amp;D, and, since our strategic repositioning in 2018, have been able to invest more efficiently, focusing our R&amp;D efforts primarily on delivering a comprehensive and expanded portfolio of highly-differentiated, feature-rich solutions for our customers, including RF, FinFET, feature-rich CMOS, FDX</w:t>
      </w:r>
      <w:r>
        <w:rPr>
          <w:rFonts w:ascii="Arial" w:cs="Arial" w:eastAsia="Arial" w:hAnsi="Arial"/>
          <w:sz w:val="15"/>
          <w:szCs w:val="15"/>
          <w:color w:val="auto"/>
          <w:vertAlign w:val="superscript"/>
        </w:rPr>
        <w:t>TM</w:t>
      </w:r>
      <w:r>
        <w:rPr>
          <w:rFonts w:ascii="Arial" w:cs="Arial" w:eastAsia="Arial" w:hAnsi="Arial"/>
          <w:sz w:val="12"/>
          <w:szCs w:val="12"/>
          <w:color w:val="auto"/>
        </w:rPr>
        <w:t>, SiGe, GaN and SiPh. Our investments cover a broad range of innovation vectors, including materials and substrates, architecture, integration, services, including packaging, and the development of our ecosystem. We have developed and continue to develop resources that allow our customers to develop innovative products to fuel the global economy. In 2022, 2021 and 2020, we spent $482 million, $478 million and $476 million, respectively, on R&amp;D, which represented 6%, 7% and 10% of our net revenue in each respective year.</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We rely on IP rights, particularly patents and trade secrets, as well as contractual arrangements, to protect our core process and design enablement technologies and provide our customers with protected technology to enable their mission-critical offerings. On average, we file hundreds of new patent applications annually, and approximately 90% of our filed patent applications have successfully been issued as patents (based on U.S. patent applications filed between 2017 and 2021), which reflects the innovation of our engineers. Following our 2018 pivot to focus on differentiated technologies, our recent patent applications have closely tracked our areas of focus, including RF, FDX</w:t>
      </w:r>
      <w:r>
        <w:rPr>
          <w:rFonts w:ascii="Arial" w:cs="Arial" w:eastAsia="Arial" w:hAnsi="Arial"/>
          <w:sz w:val="16"/>
          <w:szCs w:val="16"/>
          <w:color w:val="auto"/>
          <w:vertAlign w:val="superscript"/>
        </w:rPr>
        <w:t>TM</w:t>
      </w:r>
      <w:r>
        <w:rPr>
          <w:rFonts w:ascii="Arial" w:cs="Arial" w:eastAsia="Arial" w:hAnsi="Arial"/>
          <w:sz w:val="13"/>
          <w:szCs w:val="13"/>
          <w:color w:val="auto"/>
        </w:rPr>
        <w:t>, SiGe, GaN and SiPh. We file our patent applications in the United States and in key countries such as Taiwan, Korea, China and Germany based on the location of other semiconductor manufacturers or major markets. In addition to patents invented by our engineers, we have also acquired thousands of patents from other leading semiconductor manufacturers, including AMD, Chartered Semiconductor and IBM. We periodically conduct in-depth reviews of our patents and the industry’s manufacturing technologies, and we cull patents having limited or no value, yielding both savings in patent office maintenance fees and a strong, active patent portfolio.</w:t>
      </w:r>
    </w:p>
    <w:p>
      <w:pPr>
        <w:spacing w:after="0" w:line="9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 xml:space="preserve">Over the years, we have used our patent portfolio to successfully fend off operating companies seeking to extract patent license fees from us. We have also entered into patent cross-licenses with a number of other leading advanced semiconductor companies, including AMD, Samsung and IBM. These cross-licenses provide us with valuable freedom of operation under patents owned or subsequently divested by such companies. As is the case with many companies in the semiconductor industry, we have from time to time received communications from third parties, in particular, so-called non-practicing entities, asserting patents that allegedly cover certain of our technologies, and we expect to receive similar communications in the future. Some of the patents that others have chosen to assert against us are not valid based on pre-existing prior art, and we have successfully defended ourselves using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(“IPR”) and other procedures in the U.S. Patent and Trademark Office. Regardless of the validity or the successful assertion of such claims, we could incur significant costs and devote significant management resources to the defense of these claims, which could seriously harm</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9" w:name="page40"/>
    <w:bookmarkEnd w:id="39"/>
    <w:p>
      <w:pPr>
        <w:jc w:val="both"/>
        <w:spacing w:after="0" w:line="249" w:lineRule="auto"/>
        <w:rPr>
          <w:sz w:val="20"/>
          <w:szCs w:val="20"/>
          <w:color w:val="auto"/>
        </w:rPr>
      </w:pPr>
      <w:r>
        <w:rPr>
          <w:rFonts w:ascii="Arial" w:cs="Arial" w:eastAsia="Arial" w:hAnsi="Arial"/>
          <w:sz w:val="13"/>
          <w:szCs w:val="13"/>
          <w:color w:val="auto"/>
        </w:rPr>
        <w:t>our company. Additionally, many of our agreements with our customers and partners require us to defend such parties against certain IP infringement claims and indemnify them for damages and losses arising from certain intellectual property infringement claims against them. See “Item 3. Key Information—Risk Factors—Intellectual Property—We have been, and may continue to be, subject to intellectual property disputes, which are costly and may subject us to significant liability and increased costs of doing business.”</w:t>
      </w: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Social and Governance (ESG) Initiatives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dedicated to ethical and responsible business practices, the personal and social well-being of our employees, and supply chain and environmental stewardship. ESG is fundamental to our culture and our value proposition to our customers, the communities in which we live and do business, and our full range of global stakeholders.</w:t>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Safety, Health and Well-being</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Journey to Zero commitment is the leading theme of our Global Environmental Health and Safety (“EHS”) Policy and Standards, which serves as the foundation of health and safety programs at each of our manufacturing locations. We strive to continuously reduce occupational injuries and illnesses in all of our operations, and aspire to achieve the goal of zero annual incidents. In November 2020, we received the America’s Safest Companies award from EHS Today. Our enterprise-wide health and safety management system is certified to the ISO 45001:2018 standard.</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Environmentally Sustainable Manufacturing and Operations</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Semiconductor manufacturing is generally resource-intensive. Therefore, our Journey to Zero commitment also represents our pursuit of sustainable and environmentally efficient manufacturing operations, seeking to minimize environmental- and climate-related impacts from our operations through pollution prevention and resource conservation. Our Global EHS Policy and Standards establish a continual improvement process and performance requirements that apply throughout the company. Our enterprise-wide environmental management system is certified to the ISO 14001:2015 standard. In August 2021, we launched our Journey to Zero Carbon commitment that aims to reduce greenhouse gas emissions by 25% by 2030, compared to a 2020 baseline.</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Responsible Sourcing</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a member of the Responsible Business Alliance (“RBA”), we are committed to responsible sourcing practices. We progressively apply the RBA Code of Conduct to our major suppliers and monitor its application. We encourage and support our suppliers to do the same in our continuous pursuit of excellence in corporate responsibility and extension of responsible practices throughout the supply chain.</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Technology Solutions for Humanity</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focused on creating innovations in the largest and most pervasive segments of the semiconductor industry. As power efficiency has become a critical success factor for our industry, we strive to develop solutions that can lower the power consumption of digital technology.</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Human Capital: Diversity &amp; Inclusion and Talent Development</w:t>
      </w:r>
    </w:p>
    <w:p>
      <w:pPr>
        <w:spacing w:after="0" w:line="98"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We believe that our success rests on empowering employees to bring their whole selves to the company and that building a culture of inclusion drives better business outcomes. As a global company, we recognize and value the wide variety of cultural values, traditions, experiences, education and perspectives of our team and communities. We previously established a Diversity &amp; Inclusion office and as of December 31, 2022, we employed a multicultural workforce across three continents, representing more than 83 nationalities across 13 countries. We believe that our culture of inclusion leads to higher levels of belonging, engagement and ultimately, higher-performing teams. We strive to focus on all aspects of the employee lifecycle, including recruitment, retention, professional development, and advancement of diverse talent. As part of this effort, we established our first employee resource group, GLOBALWOMEN, in 2013 to have a positive impact on our business through the enrichment of our female employees. Since then, we have established the Black Resource Affinity Group (“B.R.A.G.”), Globalfamilies, the United States Veteran’s Resource Group (“VRG”), Early Career and Tenure Resource Group, Asian Society for Inclusion and Awareness, Unidos, Pride and Remote Group. Employee driven, our employee resource groups support our diversity and inclusion strategy. We use an annual engagement survey process to help measure employee engagement and our diversity and inclusion strategy progress.</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Community Support and Engagement</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have a long history of community involvement, with well-established programs and global and local teams dedicated to enriching the lives of the people in our communities around the world. Through our worldwide GlobalGives program, we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auto"/>
        </w:rPr>
        <w:t>provide employees with the opportunity to make a positive impact in their local communities through personal donations, company-matched donations as well as through volunteering their time.</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Stakeholder Engagement</w:t>
      </w:r>
    </w:p>
    <w:p>
      <w:pPr>
        <w:spacing w:after="0" w:line="10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Our key stakeholders have a significant interest in our business and help shape our company and the products and services we provide. We regularly engage with our employees, customers, communities, suppliers, and industry peers, sharing perspectives and gaining valuable insight relevant to our business and operations.</w:t>
      </w:r>
    </w:p>
    <w:p>
      <w:pPr>
        <w:spacing w:after="0" w:line="242" w:lineRule="exact"/>
        <w:rPr>
          <w:sz w:val="20"/>
          <w:szCs w:val="20"/>
          <w:color w:val="auto"/>
        </w:rPr>
      </w:pPr>
    </w:p>
    <w:p>
      <w:pPr>
        <w:ind w:left="280" w:hanging="275"/>
        <w:spacing w:after="0"/>
        <w:tabs>
          <w:tab w:leader="none" w:pos="28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Organizational Structure</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chart of our current corporate structure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4446270" cy="4109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46270" cy="410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80"/>
        <w:spacing w:after="0"/>
        <w:tabs>
          <w:tab w:leader="none" w:pos="3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Please refer to Note 28 to our Annual Consolidated Financial Statements for more information on our subsidiaries.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56"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41" w:name="page42"/>
    <w:bookmarkEnd w:id="41"/>
    <w:p>
      <w:pPr>
        <w:ind w:right="9160" w:firstLine="5"/>
        <w:spacing w:after="0" w:line="396" w:lineRule="auto"/>
        <w:tabs>
          <w:tab w:leader="none" w:pos="269"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 and Equipment Fab Facilities</w:t>
      </w:r>
    </w:p>
    <w:p>
      <w:pPr>
        <w:jc w:val="both"/>
        <w:spacing w:after="0" w:line="244" w:lineRule="auto"/>
        <w:rPr>
          <w:sz w:val="20"/>
          <w:szCs w:val="20"/>
          <w:color w:val="auto"/>
        </w:rPr>
      </w:pPr>
      <w:r>
        <w:rPr>
          <w:rFonts w:ascii="Arial" w:cs="Arial" w:eastAsia="Arial" w:hAnsi="Arial"/>
          <w:sz w:val="13"/>
          <w:szCs w:val="13"/>
          <w:color w:val="auto"/>
        </w:rPr>
        <w:t>In 2022, we shipped approximately 2.5 million 300mm equivalent semiconductor wafers. We currently operate four manufacturing sites in the following locations: Dresden, Germany; Singapore; Malta, New York; and Burlington, Vermont.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Global Footprint</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 xml:space="preserve">Our focus on highly-differentiated solutions, quality, security and reliability requires world-class manufacturing capabilities. Since our strategic repositioning in 2018, we have shifted focus to digital, analog, mixed-signal and RF technologies, where we believe we can add significant value. We are streamlining and aligning our manufacturing footprint with this priority. Subsequent to the sale of the EFK business, we have four world-class manufacturing sites on three continents, providing the scale, technology differentiation and geographic diversification that we believe are critically important to our customers’ success. </w:t>
      </w:r>
      <w:r>
        <w:rPr>
          <w:rFonts w:ascii="Arial" w:cs="Arial" w:eastAsia="Arial" w:hAnsi="Arial"/>
          <w:sz w:val="13"/>
          <w:szCs w:val="13"/>
          <w:color w:val="201F1E"/>
        </w:rPr>
        <w:t>On August 4, 2022, we agreed on a Commercial and Cooperation agreement with ST to build</w:t>
      </w:r>
      <w:r>
        <w:rPr>
          <w:rFonts w:ascii="Arial" w:cs="Arial" w:eastAsia="Arial" w:hAnsi="Arial"/>
          <w:sz w:val="13"/>
          <w:szCs w:val="13"/>
          <w:color w:val="auto"/>
        </w:rPr>
        <w:t xml:space="preserve"> a jointly-operated 300mm manufacturing facility in Crolles, France. This facility is targeted to ramp at full capacity by 2026, with up to 620,000 300mm wafers per year production at full build-out. The project is subject to regulatory approvals.</w:t>
      </w:r>
    </w:p>
    <w:p>
      <w:pPr>
        <w:spacing w:after="0" w:line="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At the end of 2022, excluding the sale of the EFK business, our manufacturing sites currently occupy an aggregate area of approximately 4.3 million square meters. The total clean room space is approximately 199,000 square meters spread across four manufacturing sites.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57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Site area (sqm)</w:t>
            </w:r>
          </w:p>
        </w:tc>
      </w:tr>
      <w:tr>
        <w:trPr>
          <w:trHeight w:val="163"/>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Malta, New York</w:t>
            </w:r>
          </w:p>
        </w:tc>
        <w:tc>
          <w:tcPr>
            <w:tcW w:w="5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976,000</w:t>
            </w: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Burlington, Vermont</w:t>
            </w:r>
          </w:p>
        </w:tc>
        <w:tc>
          <w:tcPr>
            <w:tcW w:w="5740" w:type="dxa"/>
            <w:vAlign w:val="bottom"/>
          </w:tcPr>
          <w:p>
            <w:pPr>
              <w:jc w:val="right"/>
              <w:spacing w:after="0"/>
              <w:rPr>
                <w:sz w:val="20"/>
                <w:szCs w:val="20"/>
                <w:color w:val="auto"/>
              </w:rPr>
            </w:pPr>
            <w:r>
              <w:rPr>
                <w:rFonts w:ascii="Arial" w:cs="Arial" w:eastAsia="Arial" w:hAnsi="Arial"/>
                <w:sz w:val="13"/>
                <w:szCs w:val="13"/>
                <w:color w:val="auto"/>
              </w:rPr>
              <w:t>2,700,000</w:t>
            </w: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Dresden, Germany</w:t>
            </w:r>
          </w:p>
        </w:tc>
        <w:tc>
          <w:tcPr>
            <w:tcW w:w="5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407,000</w:t>
            </w:r>
          </w:p>
        </w:tc>
      </w:tr>
      <w:tr>
        <w:trPr>
          <w:trHeight w:val="168"/>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Singapore</w:t>
            </w:r>
          </w:p>
        </w:tc>
        <w:tc>
          <w:tcPr>
            <w:tcW w:w="5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189,000</w:t>
            </w:r>
          </w:p>
        </w:tc>
      </w:tr>
      <w:tr>
        <w:trPr>
          <w:trHeight w:val="162"/>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5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4,272,000</w:t>
            </w:r>
          </w:p>
        </w:tc>
      </w:tr>
    </w:tbl>
    <w:p>
      <w:pPr>
        <w:spacing w:after="0" w:line="3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Each site is equipped with thousands of highly sophisticated manufacturing equipment and tools. We currently have more than 7,500 tools across all of our fabs. Each site has dedicated power, water, gas and chemical distribution systems.</w:t>
      </w:r>
    </w:p>
    <w:p>
      <w:pPr>
        <w:spacing w:after="0" w:line="67"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Our products have applications that span the global markets from mobility to wireless, wired and satellite communication, to automotive, industrial, consumer electronics, to personal computing, data center, to power, power management, photonics and more, with sizes that range from just a few millimeters square to 400 millimeters square, across our seven differentiated technology platforms.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i w:val="1"/>
          <w:iCs w:val="1"/>
          <w:color w:val="auto"/>
        </w:rPr>
        <w:t>Dresden Facility</w:t>
      </w:r>
    </w:p>
    <w:p>
      <w:pPr>
        <w:spacing w:after="0" w:line="98"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Our Dresden facility is one of the largest semiconductor manufacturing sites in Europe, with approximately 650,000 300mm equivalent semiconductor wafers shipped in 2022. The facility occupies an area of approximately 407,000 square meters, with clean room extending over an area of approximately 52,000 square meters, which is home to our CMOS and FDX</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process technologies from 55nm down to the 28/22nm node.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in Germany and the rest of Europe, we employed approximately 3,500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106045</wp:posOffset>
            </wp:positionV>
            <wp:extent cx="4163695" cy="3004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63695" cy="300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i w:val="1"/>
          <w:iCs w:val="1"/>
          <w:color w:val="auto"/>
        </w:rPr>
        <w:t>Singapore Facility</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Singapore facility is one of the largest semiconductor foundry manufacturing sites in South-east Asia, with approximately 1,060,000 300mm equivalent semiconductor wafers shipped in 2022. The facility occupies an area of approximately 189,000 square meters, with clean room extending over an area of approximately 60,000 square meters, which is home to process technology of 40nm to 0.6 micrometer (“µm”).</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of December 31, 2022, we employed approximately 3,900 people in Singapore, which we believe makes us one of the largest semiconductor-related employer and the largest foundry employer 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102235</wp:posOffset>
            </wp:positionV>
            <wp:extent cx="3893820" cy="2338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93820" cy="2338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i w:val="1"/>
          <w:iCs w:val="1"/>
          <w:color w:val="auto"/>
        </w:rPr>
        <w:t>Malta, New York Facility</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Malta, New York facility is the largest and most advanced 300mm pure-play foundry site in the United States, with approximately 390,000 300mm equivalent semiconductor wafers shipped in 2022. The facility occupies an area of approximately 976,000 square meters, with clean room extending over an area of approximately 42,600 square meters, which is home to our FinFET process technology at the 14nm and 12nm nodes. We believe that our Malta facility is the most advanced ITAR-compliant semiconductor manufacturing facility of its kind in the world.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we employed approximately 2,500 people in Malta, which we believe makes the facility one of the largest manufacturing employers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106045</wp:posOffset>
            </wp:positionV>
            <wp:extent cx="3874135" cy="31261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4135" cy="312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i w:val="1"/>
          <w:iCs w:val="1"/>
          <w:color w:val="auto"/>
        </w:rPr>
        <w:t>Burlington, Vermont Facility</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Burlington, Vermont facility is the largest 200mm pure-play foundry site in the United States with approximately 231,000 300mm equivalent semiconductor wafers shipped in 2022. The facility occupies an area of approximately 2.7 million square meters, with clean room extending over an area of approximately 44,000 square meters, which is home to most of our RF process technologies from 180nm and 90nm node. Our Burlington facility is an accredited member of the DoD’s Trusted Foundry Program.</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we employed approximately 2,000 people in the State of Vermont, which makes us one of the largest private-sector employers in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106045</wp:posOffset>
            </wp:positionV>
            <wp:extent cx="4150360" cy="2755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50360" cy="275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color w:val="auto"/>
        </w:rPr>
        <w:t>The following table describes each of our core manufacturing facilities as of December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6480" w:type="dxa"/>
            <w:vAlign w:val="bottom"/>
            <w:gridSpan w:val="3"/>
          </w:tcPr>
          <w:p>
            <w:pPr>
              <w:ind w:left="1520"/>
              <w:spacing w:after="0"/>
              <w:rPr>
                <w:sz w:val="20"/>
                <w:szCs w:val="20"/>
                <w:color w:val="auto"/>
              </w:rPr>
            </w:pPr>
            <w:r>
              <w:rPr>
                <w:rFonts w:ascii="Arial" w:cs="Arial" w:eastAsia="Arial" w:hAnsi="Arial"/>
                <w:sz w:val="13"/>
                <w:szCs w:val="13"/>
                <w:b w:val="1"/>
                <w:bCs w:val="1"/>
                <w:color w:val="auto"/>
              </w:rPr>
              <w:t>Our Global Manufacturing Footprint</w:t>
            </w: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30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Wafer Size</w:t>
            </w:r>
          </w:p>
        </w:tc>
        <w:tc>
          <w:tcPr>
            <w:tcW w:w="1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2022 Shipments</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76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8"/>
              </w:rPr>
              <w:t>(kwpa, 300mm</w:t>
            </w:r>
          </w:p>
        </w:tc>
        <w:tc>
          <w:tcPr>
            <w:tcW w:w="0" w:type="dxa"/>
            <w:vAlign w:val="bottom"/>
          </w:tcPr>
          <w:p>
            <w:pPr>
              <w:spacing w:after="0"/>
              <w:rPr>
                <w:sz w:val="1"/>
                <w:szCs w:val="1"/>
                <w:color w:val="auto"/>
              </w:rPr>
            </w:pPr>
          </w:p>
        </w:tc>
      </w:tr>
      <w:tr>
        <w:trPr>
          <w:trHeight w:val="177"/>
        </w:trPr>
        <w:tc>
          <w:tcPr>
            <w:tcW w:w="3040" w:type="dxa"/>
            <w:vAlign w:val="bottom"/>
            <w:tcBorders>
              <w:bottom w:val="single" w:sz="8" w:color="D2EDFD"/>
            </w:tcBorders>
          </w:tcPr>
          <w:p>
            <w:pPr>
              <w:spacing w:after="0"/>
              <w:rPr>
                <w:sz w:val="15"/>
                <w:szCs w:val="15"/>
                <w:color w:val="auto"/>
              </w:rPr>
            </w:pPr>
          </w:p>
        </w:tc>
        <w:tc>
          <w:tcPr>
            <w:tcW w:w="4900" w:type="dxa"/>
            <w:vAlign w:val="bottom"/>
            <w:tcBorders>
              <w:bottom w:val="single" w:sz="8" w:color="D2EDFD"/>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(mm)</w:t>
            </w:r>
          </w:p>
        </w:tc>
        <w:tc>
          <w:tcPr>
            <w:tcW w:w="100" w:type="dxa"/>
            <w:vAlign w:val="bottom"/>
            <w:tcBorders>
              <w:bottom w:val="single" w:sz="8" w:color="D2EDFD"/>
            </w:tcBorders>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equivalent)</w:t>
            </w:r>
          </w:p>
        </w:tc>
        <w:tc>
          <w:tcPr>
            <w:tcW w:w="80" w:type="dxa"/>
            <w:vAlign w:val="bottom"/>
            <w:tcBorders>
              <w:bottom w:val="single" w:sz="8" w:color="D2EDFD"/>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40" w:type="dxa"/>
            <w:vAlign w:val="bottom"/>
            <w:shd w:val="clear" w:color="auto" w:fill="D2EDFD"/>
          </w:tcPr>
          <w:p>
            <w:pPr>
              <w:ind w:left="20"/>
              <w:spacing w:after="0"/>
              <w:rPr>
                <w:sz w:val="20"/>
                <w:szCs w:val="20"/>
                <w:color w:val="auto"/>
              </w:rPr>
            </w:pPr>
            <w:r>
              <w:rPr>
                <w:rFonts w:ascii="Arial" w:cs="Arial" w:eastAsia="Arial" w:hAnsi="Arial"/>
                <w:sz w:val="13"/>
                <w:szCs w:val="13"/>
                <w:b w:val="1"/>
                <w:bCs w:val="1"/>
                <w:color w:val="auto"/>
              </w:rPr>
              <w:t>Malta, New York</w:t>
            </w:r>
          </w:p>
        </w:tc>
        <w:tc>
          <w:tcPr>
            <w:tcW w:w="6380" w:type="dxa"/>
            <w:vAlign w:val="bottom"/>
            <w:gridSpan w:val="2"/>
            <w:shd w:val="clear" w:color="auto" w:fill="D2EDFD"/>
          </w:tcPr>
          <w:p>
            <w:pPr>
              <w:jc w:val="center"/>
              <w:ind w:left="4836"/>
              <w:spacing w:after="0"/>
              <w:rPr>
                <w:sz w:val="20"/>
                <w:szCs w:val="20"/>
                <w:color w:val="auto"/>
              </w:rPr>
            </w:pPr>
            <w:r>
              <w:rPr>
                <w:rFonts w:ascii="Arial" w:cs="Arial" w:eastAsia="Arial" w:hAnsi="Arial"/>
                <w:sz w:val="13"/>
                <w:szCs w:val="13"/>
                <w:color w:val="auto"/>
                <w:w w:val="92"/>
              </w:rPr>
              <w:t>300</w:t>
            </w:r>
          </w:p>
        </w:tc>
        <w:tc>
          <w:tcPr>
            <w:tcW w:w="100" w:type="dxa"/>
            <w:vAlign w:val="bottom"/>
            <w:shd w:val="clear" w:color="auto" w:fill="D2EDFD"/>
          </w:tcPr>
          <w:p>
            <w:pPr>
              <w:spacing w:after="0"/>
              <w:rPr>
                <w:sz w:val="15"/>
                <w:szCs w:val="15"/>
                <w:color w:val="auto"/>
              </w:rPr>
            </w:pPr>
          </w:p>
        </w:tc>
        <w:tc>
          <w:tcPr>
            <w:tcW w:w="1680" w:type="dxa"/>
            <w:vAlign w:val="bottom"/>
            <w:shd w:val="clear" w:color="auto" w:fill="D2EDFD"/>
          </w:tcPr>
          <w:p>
            <w:pPr>
              <w:jc w:val="center"/>
              <w:spacing w:after="0"/>
              <w:rPr>
                <w:sz w:val="20"/>
                <w:szCs w:val="20"/>
                <w:color w:val="auto"/>
              </w:rPr>
            </w:pPr>
            <w:r>
              <w:rPr>
                <w:rFonts w:ascii="Arial" w:cs="Arial" w:eastAsia="Arial" w:hAnsi="Arial"/>
                <w:sz w:val="13"/>
                <w:szCs w:val="13"/>
                <w:color w:val="auto"/>
                <w:w w:val="95"/>
              </w:rPr>
              <w:t>~390</w:t>
            </w:r>
          </w:p>
        </w:tc>
        <w:tc>
          <w:tcPr>
            <w:tcW w:w="80" w:type="dxa"/>
            <w:vAlign w:val="bottom"/>
            <w:shd w:val="clear" w:color="auto" w:fill="D2EDF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Arial" w:cs="Arial" w:eastAsia="Arial" w:hAnsi="Arial"/>
                <w:sz w:val="13"/>
                <w:szCs w:val="13"/>
                <w:b w:val="1"/>
                <w:bCs w:val="1"/>
                <w:color w:val="auto"/>
              </w:rPr>
              <w:t>Burlington, Vermont</w:t>
            </w:r>
          </w:p>
        </w:tc>
        <w:tc>
          <w:tcPr>
            <w:tcW w:w="6380" w:type="dxa"/>
            <w:vAlign w:val="bottom"/>
            <w:gridSpan w:val="2"/>
          </w:tcPr>
          <w:p>
            <w:pPr>
              <w:jc w:val="center"/>
              <w:ind w:left="4836"/>
              <w:spacing w:after="0"/>
              <w:rPr>
                <w:sz w:val="20"/>
                <w:szCs w:val="20"/>
                <w:color w:val="auto"/>
              </w:rPr>
            </w:pPr>
            <w:r>
              <w:rPr>
                <w:rFonts w:ascii="Arial" w:cs="Arial" w:eastAsia="Arial" w:hAnsi="Arial"/>
                <w:sz w:val="13"/>
                <w:szCs w:val="13"/>
                <w:color w:val="auto"/>
                <w:w w:val="92"/>
              </w:rPr>
              <w:t>200</w:t>
            </w: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95"/>
              </w:rPr>
              <w:t>~231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40" w:type="dxa"/>
            <w:vAlign w:val="bottom"/>
            <w:shd w:val="clear" w:color="auto" w:fill="D2EDFD"/>
          </w:tcPr>
          <w:p>
            <w:pPr>
              <w:ind w:left="20"/>
              <w:spacing w:after="0"/>
              <w:rPr>
                <w:sz w:val="20"/>
                <w:szCs w:val="20"/>
                <w:color w:val="auto"/>
              </w:rPr>
            </w:pPr>
            <w:r>
              <w:rPr>
                <w:rFonts w:ascii="Arial" w:cs="Arial" w:eastAsia="Arial" w:hAnsi="Arial"/>
                <w:sz w:val="13"/>
                <w:szCs w:val="13"/>
                <w:b w:val="1"/>
                <w:bCs w:val="1"/>
                <w:color w:val="auto"/>
              </w:rPr>
              <w:t>Dresden, Germany</w:t>
            </w:r>
          </w:p>
        </w:tc>
        <w:tc>
          <w:tcPr>
            <w:tcW w:w="6380" w:type="dxa"/>
            <w:vAlign w:val="bottom"/>
            <w:gridSpan w:val="2"/>
            <w:shd w:val="clear" w:color="auto" w:fill="D2EDFD"/>
          </w:tcPr>
          <w:p>
            <w:pPr>
              <w:jc w:val="center"/>
              <w:ind w:left="4836"/>
              <w:spacing w:after="0"/>
              <w:rPr>
                <w:sz w:val="20"/>
                <w:szCs w:val="20"/>
                <w:color w:val="auto"/>
              </w:rPr>
            </w:pPr>
            <w:r>
              <w:rPr>
                <w:rFonts w:ascii="Arial" w:cs="Arial" w:eastAsia="Arial" w:hAnsi="Arial"/>
                <w:sz w:val="13"/>
                <w:szCs w:val="13"/>
                <w:color w:val="auto"/>
                <w:w w:val="92"/>
              </w:rPr>
              <w:t>300</w:t>
            </w:r>
          </w:p>
        </w:tc>
        <w:tc>
          <w:tcPr>
            <w:tcW w:w="100" w:type="dxa"/>
            <w:vAlign w:val="bottom"/>
            <w:shd w:val="clear" w:color="auto" w:fill="D2EDFD"/>
          </w:tcPr>
          <w:p>
            <w:pPr>
              <w:spacing w:after="0"/>
              <w:rPr>
                <w:sz w:val="16"/>
                <w:szCs w:val="16"/>
                <w:color w:val="auto"/>
              </w:rPr>
            </w:pPr>
          </w:p>
        </w:tc>
        <w:tc>
          <w:tcPr>
            <w:tcW w:w="1680" w:type="dxa"/>
            <w:vAlign w:val="bottom"/>
            <w:shd w:val="clear" w:color="auto" w:fill="D2EDFD"/>
          </w:tcPr>
          <w:p>
            <w:pPr>
              <w:jc w:val="center"/>
              <w:spacing w:after="0"/>
              <w:rPr>
                <w:sz w:val="20"/>
                <w:szCs w:val="20"/>
                <w:color w:val="auto"/>
              </w:rPr>
            </w:pPr>
            <w:r>
              <w:rPr>
                <w:rFonts w:ascii="Arial" w:cs="Arial" w:eastAsia="Arial" w:hAnsi="Arial"/>
                <w:sz w:val="13"/>
                <w:szCs w:val="13"/>
                <w:color w:val="auto"/>
                <w:w w:val="95"/>
              </w:rPr>
              <w:t>~650</w:t>
            </w:r>
          </w:p>
        </w:tc>
        <w:tc>
          <w:tcPr>
            <w:tcW w:w="80" w:type="dxa"/>
            <w:vAlign w:val="bottom"/>
            <w:shd w:val="clear" w:color="auto" w:fill="D2EDFD"/>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line="181" w:lineRule="exact"/>
              <w:rPr>
                <w:sz w:val="20"/>
                <w:szCs w:val="20"/>
                <w:color w:val="auto"/>
              </w:rPr>
            </w:pPr>
            <w:r>
              <w:rPr>
                <w:rFonts w:ascii="Arial" w:cs="Arial" w:eastAsia="Arial" w:hAnsi="Arial"/>
                <w:sz w:val="13"/>
                <w:szCs w:val="13"/>
                <w:b w:val="1"/>
                <w:bCs w:val="1"/>
                <w:color w:val="auto"/>
              </w:rPr>
              <w:t>East Fishkill, New York</w:t>
            </w:r>
            <w:r>
              <w:rPr>
                <w:rFonts w:ascii="Arial" w:cs="Arial" w:eastAsia="Arial" w:hAnsi="Arial"/>
                <w:sz w:val="16"/>
                <w:szCs w:val="16"/>
                <w:b w:val="1"/>
                <w:bCs w:val="1"/>
                <w:color w:val="auto"/>
                <w:vertAlign w:val="superscript"/>
              </w:rPr>
              <w:t>(1)</w:t>
            </w:r>
          </w:p>
        </w:tc>
        <w:tc>
          <w:tcPr>
            <w:tcW w:w="6380" w:type="dxa"/>
            <w:vAlign w:val="bottom"/>
            <w:gridSpan w:val="2"/>
          </w:tcPr>
          <w:p>
            <w:pPr>
              <w:jc w:val="center"/>
              <w:ind w:left="4836"/>
              <w:spacing w:after="0"/>
              <w:rPr>
                <w:sz w:val="20"/>
                <w:szCs w:val="20"/>
                <w:color w:val="auto"/>
              </w:rPr>
            </w:pPr>
            <w:r>
              <w:rPr>
                <w:rFonts w:ascii="Arial" w:cs="Arial" w:eastAsia="Arial" w:hAnsi="Arial"/>
                <w:sz w:val="13"/>
                <w:szCs w:val="13"/>
                <w:color w:val="auto"/>
                <w:w w:val="92"/>
              </w:rPr>
              <w:t>300</w:t>
            </w: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95"/>
              </w:rPr>
              <w:t>~140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D2EDFD"/>
          </w:tcPr>
          <w:p>
            <w:pPr>
              <w:ind w:left="20"/>
              <w:spacing w:after="0" w:line="181" w:lineRule="exact"/>
              <w:rPr>
                <w:sz w:val="20"/>
                <w:szCs w:val="20"/>
                <w:color w:val="auto"/>
              </w:rPr>
            </w:pPr>
            <w:r>
              <w:rPr>
                <w:rFonts w:ascii="Arial" w:cs="Arial" w:eastAsia="Arial" w:hAnsi="Arial"/>
                <w:sz w:val="13"/>
                <w:szCs w:val="13"/>
                <w:b w:val="1"/>
                <w:bCs w:val="1"/>
                <w:color w:val="auto"/>
              </w:rPr>
              <w:t>Singapore</w:t>
            </w:r>
            <w:r>
              <w:rPr>
                <w:rFonts w:ascii="Arial" w:cs="Arial" w:eastAsia="Arial" w:hAnsi="Arial"/>
                <w:sz w:val="16"/>
                <w:szCs w:val="16"/>
                <w:b w:val="1"/>
                <w:bCs w:val="1"/>
                <w:color w:val="auto"/>
                <w:vertAlign w:val="superscript"/>
              </w:rPr>
              <w:t>(2)</w:t>
            </w:r>
          </w:p>
        </w:tc>
        <w:tc>
          <w:tcPr>
            <w:tcW w:w="6380" w:type="dxa"/>
            <w:vAlign w:val="bottom"/>
            <w:gridSpan w:val="2"/>
            <w:shd w:val="clear" w:color="auto" w:fill="D2EDFD"/>
          </w:tcPr>
          <w:p>
            <w:pPr>
              <w:jc w:val="center"/>
              <w:ind w:left="4856"/>
              <w:spacing w:after="0"/>
              <w:rPr>
                <w:sz w:val="20"/>
                <w:szCs w:val="20"/>
                <w:color w:val="auto"/>
              </w:rPr>
            </w:pPr>
            <w:r>
              <w:rPr>
                <w:rFonts w:ascii="Arial" w:cs="Arial" w:eastAsia="Arial" w:hAnsi="Arial"/>
                <w:sz w:val="13"/>
                <w:szCs w:val="13"/>
                <w:color w:val="auto"/>
                <w:w w:val="98"/>
              </w:rPr>
              <w:t>300, 200</w:t>
            </w:r>
          </w:p>
        </w:tc>
        <w:tc>
          <w:tcPr>
            <w:tcW w:w="100" w:type="dxa"/>
            <w:vAlign w:val="bottom"/>
            <w:shd w:val="clear" w:color="auto" w:fill="D2EDFD"/>
          </w:tcPr>
          <w:p>
            <w:pPr>
              <w:spacing w:after="0"/>
              <w:rPr>
                <w:sz w:val="15"/>
                <w:szCs w:val="15"/>
                <w:color w:val="auto"/>
              </w:rPr>
            </w:pPr>
          </w:p>
        </w:tc>
        <w:tc>
          <w:tcPr>
            <w:tcW w:w="1680" w:type="dxa"/>
            <w:vAlign w:val="bottom"/>
            <w:shd w:val="clear" w:color="auto" w:fill="D2EDFD"/>
          </w:tcPr>
          <w:p>
            <w:pPr>
              <w:jc w:val="center"/>
              <w:spacing w:after="0"/>
              <w:rPr>
                <w:sz w:val="20"/>
                <w:szCs w:val="20"/>
                <w:color w:val="auto"/>
              </w:rPr>
            </w:pPr>
            <w:r>
              <w:rPr>
                <w:rFonts w:ascii="Arial" w:cs="Arial" w:eastAsia="Arial" w:hAnsi="Arial"/>
                <w:sz w:val="13"/>
                <w:szCs w:val="13"/>
                <w:color w:val="auto"/>
                <w:w w:val="98"/>
              </w:rPr>
              <w:t>~1060</w:t>
            </w:r>
          </w:p>
        </w:tc>
        <w:tc>
          <w:tcPr>
            <w:tcW w:w="80" w:type="dxa"/>
            <w:vAlign w:val="bottom"/>
            <w:shd w:val="clear" w:color="auto" w:fill="D2EDFD"/>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 w:lineRule="exact"/>
        <w:rPr>
          <w:sz w:val="20"/>
          <w:szCs w:val="20"/>
          <w:color w:val="auto"/>
        </w:rPr>
      </w:pPr>
    </w:p>
    <w:p>
      <w:pPr>
        <w:ind w:left="260" w:hanging="255"/>
        <w:spacing w:after="0"/>
        <w:tabs>
          <w:tab w:leader="none" w:pos="260" w:val="left"/>
        </w:tabs>
        <w:numPr>
          <w:ilvl w:val="0"/>
          <w:numId w:val="35"/>
        </w:numPr>
        <w:rPr>
          <w:rFonts w:ascii="Arial" w:cs="Arial" w:eastAsia="Arial" w:hAnsi="Arial"/>
          <w:sz w:val="7"/>
          <w:szCs w:val="7"/>
          <w:color w:val="auto"/>
        </w:rPr>
      </w:pPr>
      <w:r>
        <w:rPr>
          <w:rFonts w:ascii="Arial" w:cs="Arial" w:eastAsia="Arial" w:hAnsi="Arial"/>
          <w:sz w:val="11"/>
          <w:szCs w:val="11"/>
          <w:color w:val="auto"/>
        </w:rPr>
        <w:t>On December 31, 2022, we completed the sale of the EFK business.</w:t>
      </w:r>
    </w:p>
    <w:p>
      <w:pPr>
        <w:spacing w:after="0" w:line="11" w:lineRule="exact"/>
        <w:rPr>
          <w:rFonts w:ascii="Arial" w:cs="Arial" w:eastAsia="Arial" w:hAnsi="Arial"/>
          <w:sz w:val="7"/>
          <w:szCs w:val="7"/>
          <w:color w:val="auto"/>
        </w:rPr>
      </w:pPr>
    </w:p>
    <w:p>
      <w:pPr>
        <w:ind w:left="260" w:hanging="255"/>
        <w:spacing w:after="0"/>
        <w:tabs>
          <w:tab w:leader="none" w:pos="260" w:val="left"/>
        </w:tabs>
        <w:numPr>
          <w:ilvl w:val="0"/>
          <w:numId w:val="35"/>
        </w:numPr>
        <w:rPr>
          <w:rFonts w:ascii="Arial" w:cs="Arial" w:eastAsia="Arial" w:hAnsi="Arial"/>
          <w:sz w:val="7"/>
          <w:szCs w:val="7"/>
          <w:color w:val="auto"/>
        </w:rPr>
      </w:pPr>
      <w:r>
        <w:rPr>
          <w:rFonts w:ascii="Arial" w:cs="Arial" w:eastAsia="Arial" w:hAnsi="Arial"/>
          <w:sz w:val="11"/>
          <w:szCs w:val="11"/>
          <w:color w:val="auto"/>
        </w:rPr>
        <w:t>Excludes Fab 7 Module 7H 450 kwpa.</w:t>
      </w:r>
    </w:p>
    <w:p>
      <w:pPr>
        <w:spacing w:after="0" w:line="28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early 2021, we announced plans to accelerate the buildout of capacity within our existing fabs to meet committed customer demand. For new fab expansions that require additional construction beyond our existing clean rooms, our strategy is to continue to build scale in each of our locations through public/private partnerships, coupled where possible with deep customer commitments, as well as advanced payments and capacity reservation fees to secure supply for our customers.</w:t>
      </w:r>
    </w:p>
    <w:p>
      <w:pPr>
        <w:spacing w:after="0" w:line="76"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On June 22, 2021, we announced fab expansion plans in Singapore, with the addition of Module 7H, an extension of our existing 300mm Fab 7 operations. In 2022, we made significant progress towards the completion of Module 7H, investing approximately $4 billion to build and fit out the new module. We expect to begin production in 2023. This expansion is funded in part by the Singapore Economic Development Board (“EDB”) in the form of long-term developmental loans and grants. Once fully ramped, we anticipate having an additional 450,000 wafers of 300mm capacity.</w:t>
      </w:r>
    </w:p>
    <w:p>
      <w:pPr>
        <w:spacing w:after="0" w:line="5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July 19, 2021, we announced fab expansion plans in Malta, New York, including the construction of a new fab on the same campus. We expect to invest approximately $1.0 billion in capital investments to expand the capacity of the existing fab by approximately 150,000 wafers per year, to be followed by the construction of an additional fab that we expect to double existing capacity. We are planning to fund the expansion through private/public partnerships in the United States.</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w:t>
      </w:r>
      <w:r>
        <w:rPr>
          <w:rFonts w:ascii="Arial" w:cs="Arial" w:eastAsia="Arial" w:hAnsi="Arial"/>
          <w:sz w:val="13"/>
          <w:szCs w:val="13"/>
          <w:color w:val="201F1E"/>
        </w:rPr>
        <w:t>n August 4, 2022, we agreed on a Commercial and Cooperation agreement with ST to build</w:t>
      </w:r>
      <w:r>
        <w:rPr>
          <w:rFonts w:ascii="Arial" w:cs="Arial" w:eastAsia="Arial" w:hAnsi="Arial"/>
          <w:sz w:val="13"/>
          <w:szCs w:val="13"/>
          <w:color w:val="auto"/>
        </w:rPr>
        <w:t xml:space="preserve"> a jointly-operated 300mm manufacturing facility adjacent to ST’s existing 300mm facility in Crolles, France. This facility is targeted to ramp to 620,000 300mm wafers per year production at full build-out. The project remains subject to regulatory approvals.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ITEM 4A.</w:t>
      </w:r>
      <w:r>
        <w:rPr>
          <w:sz w:val="20"/>
          <w:szCs w:val="20"/>
          <w:color w:val="auto"/>
        </w:rPr>
        <w:tab/>
      </w:r>
      <w:r>
        <w:rPr>
          <w:rFonts w:ascii="Arial" w:cs="Arial" w:eastAsia="Arial" w:hAnsi="Arial"/>
          <w:sz w:val="12"/>
          <w:szCs w:val="12"/>
          <w:b w:val="1"/>
          <w:bCs w:val="1"/>
          <w:color w:val="auto"/>
        </w:rPr>
        <w:t>UNRESOLVED STAFF COMMENTS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47" w:name="page48"/>
    <w:bookmarkEnd w:id="47"/>
    <w:p>
      <w:pPr>
        <w:spacing w:after="0"/>
        <w:tabs>
          <w:tab w:leader="none" w:pos="5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OPERATING AND FINANCIAL REVIEWS AND PROSPECTS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You should read the following discussion and analysis together with our consolidated financial statements, including the related notes, set forth beginning on page F-1.</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 discussion of the changes in our results between the years ended December 31, 2020 and 2021, has been omitted from this GlobalFoundries 2022 Form 20-F (see “Item 5: "Operating and Financial Review and Prospects—A. Operating Results” and “Item 5. Operating and Financial Reviews and Prospects—B. Liquidity and Capital Resources”), of the GlobalFoundries 2021 Form 20-F for the year ended December 31, 2021, filed with the SEC on March 31, 2022, which is available on the SEC’s website at www.sec.gov and our website at https://gf.com/.</w:t>
      </w: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Overview and Other Recent Events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GlobalFoundries is one of the world’s leading semiconductor foundries. We manufacture complex, feature-rich integrated circuits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combination of our highly-differentiated technology and our scaled manufacturing footprint enables us to attract a large share of single-sourced products and LTAs, providing improved revenue visibility and significant operating leverage, resulting in improved financial performance. As of December 31, 2022, the aggregate remaining long term revenue commitment reflected by these agreements amounted to more than $22 billion, including approximately $13 billion during the period from January 2023 through December 2024, and more than $5 billion in advanced payments and capacity reservation fees,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250 customers as of December 31, 2022, many of whom are the global leaders in their field.</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principal source of our revenue is wafer fabrication and sales of finished semiconductor wafers, which accounted for approximately 94% of our net revenue in 2022. The rest of our net revenue was mainly derived from photomask manufacturing, sourcing services and pre-fab manufacturing services.</w:t>
      </w:r>
    </w:p>
    <w:p>
      <w:pPr>
        <w:spacing w:after="0" w:line="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semiconductor industry is susceptible to uncertain economic conditions that could impact demand. We remain cautious regarding the macroeconomic headwinds facing our industry in the first half of 2023. We continue to implement a long-term partnership-driven model with our industry, which is driving improved visibility for our business through this period of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Revenue</w:t>
      </w:r>
    </w:p>
    <w:p>
      <w:pPr>
        <w:spacing w:after="0" w:line="10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generate the majority of our revenue from volume production and sales of finished semiconductor wafers, which are priced on a per-wafer basis for the applicable design. We also generate revenue from pre-fabrication services such as rendering of non-recurring engineering (“NRE”) services, mask production and pre-fabrication services such as bump, test, and packaging. Pricing is typically agreed prior to production and then updated based on subsequent period negotiations.</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recognize the vast majority of our revenue upon shipment of finished wafers to our customers. Prior to 2020, we recognized wafer revenue primarily on a Percentage-of-Completion basis. In 2020, the majority of our customers contractual terms were amended in a manner that resulted in moving to recognizing revenue on a Wafer Shipment basis. This resulted in a one-time, non-recurring reduction in net revenue recognized in 2020.</w:t>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inflationary-headwinds we are facing within our business, we have experienced an increase in costs for materials and energy in the current period, and we expect these increases to continue to have an adverse impact on our financial results of operations, while these economic conditions persist.</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Depreciation and amortization charges primarily include the depreciation of clean room production equipment. Employee-related expenses primarily include employee wages and salaries, social security contributions and benefit costs for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8" w:name="page49"/>
    <w:bookmarkEnd w:id="48"/>
    <w:p>
      <w:pPr>
        <w:jc w:val="both"/>
        <w:spacing w:after="0" w:line="244" w:lineRule="auto"/>
        <w:rPr>
          <w:sz w:val="20"/>
          <w:szCs w:val="20"/>
          <w:color w:val="auto"/>
        </w:rPr>
      </w:pPr>
      <w:r>
        <w:rPr>
          <w:rFonts w:ascii="Arial" w:cs="Arial" w:eastAsia="Arial" w:hAnsi="Arial"/>
          <w:sz w:val="13"/>
          <w:szCs w:val="13"/>
          <w:color w:val="auto"/>
        </w:rPr>
        <w:t>operators, maintenance technicians, process engineers, supply chain, IT production, yield improvement and health and safety roles. Facility costs primarily consist of the costs of electricity, water and other utilities and services.</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operating expenses consist of R&amp;D, selling, general and administrative expenses, and restructuring charges. Personnel costs are the most significant component of our operating expenses and consist of salaries, benefits, bonuses, share-based compensation, and commissions.</w:t>
      </w: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Research and Development (“R&amp;D”)</w:t>
      </w:r>
    </w:p>
    <w:p>
      <w:pPr>
        <w:spacing w:after="0" w:line="96"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Our R&amp;D efforts are focused on developing highly-differentiated process technologies and solutions. As part of our strategic repositioning, we shifted our R&amp;D efforts to focus on technologies where we can deliver highly-differentiated solutions and discontinued our R&amp;D-intensive single-digit node program.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expense as a percentage of revenue to moderately decline over time as revenue increases.</w:t>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(“SG&amp;A”)</w:t>
      </w:r>
    </w:p>
    <w:p>
      <w:pPr>
        <w:spacing w:after="0" w:line="10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 We expect our SG&amp;A expenses to decrease as a percentage of net revenue.</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Since we became a publicly-traded company in October 2021, we have and will continue to incur increased audit, accounting, legal, information technology, regulatory, compliance, director and officer insurance costs as well as investor and public relations expenses associated with operating as a public company.</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Restructuring Charges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We incur restructuring charges related to a reduction in our global workforce, reduction in leased workspace and engaging consultants for strategic support.</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Charges</w:t>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Finance Income</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Finance income consists primarily of income related to investing activities.</w:t>
      </w: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Finance Expenses</w:t>
      </w:r>
    </w:p>
    <w:p>
      <w:pPr>
        <w:spacing w:after="0" w:line="9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Finance expenses consists primarily of interest on borrowings, amortization of debt issuance costs under our term loans, revolving credit facility, finance leases and the other credit facilities we maintain with various financial institutions.</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Gain on Sale of a Business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Gain on sale of a business relates to the sale of the EFK business in December 2022.</w:t>
      </w: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Income (Expense), net</w:t>
      </w:r>
    </w:p>
    <w:p>
      <w:pPr>
        <w:spacing w:after="0" w:line="9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Other income (expense), net consists of one-time gains and losses and other miscellaneous income and expense items unrelated to our core operations. Included are tool sales to third party, as well as gains and losses relating to hedging activities.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i w:val="1"/>
          <w:iCs w:val="1"/>
          <w:color w:val="auto"/>
        </w:rPr>
        <w:t>Income Tax Expense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Income tax expense consists primarily of income taxes in certain foreign jurisdictions in which we conduct business, which mainly include Germany, Singapore and U.S. federal and state income taxes.</w:t>
      </w: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discussion covers items for and a comparison between the years ended December 31, 2022 and 2021.</w:t>
      </w:r>
    </w:p>
    <w:p>
      <w:pPr>
        <w:spacing w:after="0" w:line="23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A.</w:t>
      </w:r>
      <w:r>
        <w:rPr>
          <w:sz w:val="20"/>
          <w:szCs w:val="20"/>
          <w:color w:val="auto"/>
        </w:rPr>
        <w:tab/>
      </w:r>
      <w:r>
        <w:rPr>
          <w:rFonts w:ascii="Arial" w:cs="Arial" w:eastAsia="Arial" w:hAnsi="Arial"/>
          <w:sz w:val="12"/>
          <w:szCs w:val="12"/>
          <w:b w:val="1"/>
          <w:bCs w:val="1"/>
          <w:color w:val="auto"/>
        </w:rPr>
        <w:t>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our consolidated statements of operations data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3"/>
                <w:szCs w:val="13"/>
                <w:b w:val="1"/>
                <w:bCs w:val="1"/>
                <w:color w:val="auto"/>
              </w:rPr>
              <w:t>For the year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20" w:type="dxa"/>
            <w:vAlign w:val="bottom"/>
            <w:gridSpan w:val="5"/>
          </w:tcPr>
          <w:p>
            <w:pPr>
              <w:jc w:val="right"/>
              <w:ind w:right="1080"/>
              <w:spacing w:after="0"/>
              <w:rPr>
                <w:sz w:val="20"/>
                <w:szCs w:val="20"/>
                <w:color w:val="auto"/>
              </w:rPr>
            </w:pPr>
            <w:r>
              <w:rPr>
                <w:rFonts w:ascii="Arial" w:cs="Arial" w:eastAsia="Arial" w:hAnsi="Arial"/>
                <w:sz w:val="13"/>
                <w:szCs w:val="13"/>
                <w:b w:val="1"/>
                <w:bCs w:val="1"/>
                <w:color w:val="auto"/>
              </w:rPr>
              <w:t>(in millions)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1440" w:type="dxa"/>
            <w:vAlign w:val="bottom"/>
            <w:gridSpan w:val="2"/>
            <w:shd w:val="clear" w:color="auto" w:fill="CCEEFF"/>
          </w:tcPr>
          <w:p>
            <w:pPr>
              <w:jc w:val="right"/>
              <w:ind w:right="129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3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tcBorders>
              <w:bottom w:val="single" w:sz="8" w:color="CCEEFF"/>
            </w:tcBorders>
            <w:gridSpan w:val="2"/>
          </w:tcPr>
          <w:p>
            <w:pPr>
              <w:ind w:left="20"/>
              <w:spacing w:after="0" w:line="170" w:lineRule="exact"/>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(1)</w:t>
            </w: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5,869</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Gross profit</w:t>
            </w:r>
          </w:p>
        </w:tc>
        <w:tc>
          <w:tcPr>
            <w:tcW w:w="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2,239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Operating expenses</w:t>
            </w: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6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3"/>
                <w:szCs w:val="13"/>
                <w:color w:val="auto"/>
              </w:rPr>
              <w:t>Research and development</w:t>
            </w:r>
            <w:r>
              <w:rPr>
                <w:rFonts w:ascii="Arial" w:cs="Arial" w:eastAsia="Arial" w:hAnsi="Arial"/>
                <w:sz w:val="16"/>
                <w:szCs w:val="16"/>
                <w:color w:val="auto"/>
                <w:vertAlign w:val="superscript"/>
              </w:rPr>
              <w:t>(1)</w:t>
            </w:r>
          </w:p>
        </w:tc>
        <w:tc>
          <w:tcPr>
            <w:tcW w:w="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60" w:type="dxa"/>
            <w:vAlign w:val="bottom"/>
            <w:gridSpan w:val="2"/>
          </w:tcPr>
          <w:p>
            <w:pPr>
              <w:ind w:left="20"/>
              <w:spacing w:after="0" w:line="181" w:lineRule="exact"/>
              <w:rPr>
                <w:sz w:val="20"/>
                <w:szCs w:val="20"/>
                <w:color w:val="auto"/>
              </w:rPr>
            </w:pPr>
            <w:r>
              <w:rPr>
                <w:rFonts w:ascii="Arial" w:cs="Arial" w:eastAsia="Arial" w:hAnsi="Arial"/>
                <w:sz w:val="13"/>
                <w:szCs w:val="13"/>
                <w:color w:val="auto"/>
              </w:rPr>
              <w:t>Selling, general and administrative</w:t>
            </w:r>
            <w:r>
              <w:rPr>
                <w:rFonts w:ascii="Arial" w:cs="Arial" w:eastAsia="Arial" w:hAnsi="Arial"/>
                <w:sz w:val="16"/>
                <w:szCs w:val="16"/>
                <w:color w:val="auto"/>
                <w:vertAlign w:val="superscript"/>
              </w:rPr>
              <w:t>(1)</w:t>
            </w:r>
          </w:p>
        </w:tc>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Operating expenses</w:t>
            </w: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1,072</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1,073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from operations</w:t>
            </w: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1,167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Finance income</w:t>
            </w: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Finance expenses</w:t>
            </w:r>
          </w:p>
        </w:tc>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Gain on sale of the EFK business</w:t>
            </w: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6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1,532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66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income (loss)</w:t>
            </w: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1,446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520" w:type="dxa"/>
            <w:vAlign w:val="bottom"/>
            <w:vMerge w:val="restart"/>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1"/>
                <w:szCs w:val="11"/>
                <w:color w:val="auto"/>
              </w:rPr>
              <w:t>Includes share-based compensation expense as follows:</w:t>
            </w: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14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3"/>
                <w:szCs w:val="13"/>
                <w:b w:val="1"/>
                <w:bCs w:val="1"/>
                <w:color w:val="auto"/>
              </w:rPr>
              <w:t>For the year ended December 31,</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 w:type="dxa"/>
            <w:vAlign w:val="bottom"/>
          </w:tcPr>
          <w:p>
            <w:pPr>
              <w:spacing w:after="0"/>
              <w:rPr>
                <w:sz w:val="14"/>
                <w:szCs w:val="14"/>
                <w:color w:val="auto"/>
              </w:rPr>
            </w:pPr>
          </w:p>
        </w:tc>
        <w:tc>
          <w:tcPr>
            <w:tcW w:w="1400" w:type="dxa"/>
            <w:vAlign w:val="bottom"/>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1440" w:type="dxa"/>
            <w:vAlign w:val="bottom"/>
            <w:gridSpan w:val="2"/>
            <w:shd w:val="clear" w:color="auto" w:fill="CCEEFF"/>
          </w:tcPr>
          <w:p>
            <w:pPr>
              <w:jc w:val="right"/>
              <w:ind w:right="125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3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440" w:type="dxa"/>
            <w:vAlign w:val="bottom"/>
            <w:gridSpan w:val="2"/>
          </w:tcPr>
          <w:p>
            <w:pPr>
              <w:jc w:val="right"/>
              <w:ind w:right="125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13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440" w:type="dxa"/>
            <w:vAlign w:val="bottom"/>
            <w:gridSpan w:val="2"/>
            <w:shd w:val="clear" w:color="auto" w:fill="CCEEFF"/>
          </w:tcPr>
          <w:p>
            <w:pPr>
              <w:jc w:val="right"/>
              <w:ind w:right="125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3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gridSpan w:val="2"/>
          </w:tcPr>
          <w:p>
            <w:pPr>
              <w:spacing w:after="0"/>
              <w:rPr>
                <w:sz w:val="20"/>
                <w:szCs w:val="20"/>
                <w:color w:val="auto"/>
              </w:rPr>
            </w:pPr>
            <w:r>
              <w:rPr>
                <w:rFonts w:ascii="Arial" w:cs="Arial" w:eastAsia="Arial" w:hAnsi="Arial"/>
                <w:sz w:val="13"/>
                <w:szCs w:val="13"/>
                <w:b w:val="1"/>
                <w:bCs w:val="1"/>
                <w:color w:val="auto"/>
              </w:rPr>
              <w:t>Comparison of Years Ended December 31, 2022 and December 31, 2021</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47"/>
        </w:trPr>
        <w:tc>
          <w:tcPr>
            <w:tcW w:w="43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i w:val="1"/>
                <w:iCs w:val="1"/>
                <w:color w:val="auto"/>
              </w:rPr>
              <w:t>Net Revenue</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5"/>
        </w:trPr>
        <w:tc>
          <w:tcPr>
            <w:tcW w:w="62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24"/>
                <w:szCs w:val="24"/>
                <w:color w:val="auto"/>
              </w:rPr>
            </w:pPr>
          </w:p>
        </w:tc>
        <w:tc>
          <w:tcPr>
            <w:tcW w:w="2040" w:type="dxa"/>
            <w:vAlign w:val="bottom"/>
            <w:gridSpan w:val="5"/>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2022 vs 2021</w:t>
            </w:r>
          </w:p>
        </w:tc>
        <w:tc>
          <w:tcPr>
            <w:tcW w:w="1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2022 vs 2021</w:t>
            </w:r>
          </w:p>
        </w:tc>
      </w:tr>
      <w:tr>
        <w:trPr>
          <w:trHeight w:val="168"/>
        </w:trPr>
        <w:tc>
          <w:tcPr>
            <w:tcW w:w="4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Change</w:t>
            </w:r>
          </w:p>
        </w:tc>
        <w:tc>
          <w:tcPr>
            <w:tcW w:w="8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80" w:type="dxa"/>
            <w:vAlign w:val="bottom"/>
          </w:tcPr>
          <w:p>
            <w:pPr>
              <w:spacing w:after="0"/>
              <w:rPr>
                <w:sz w:val="14"/>
                <w:szCs w:val="14"/>
                <w:color w:val="auto"/>
              </w:rPr>
            </w:pPr>
          </w:p>
        </w:tc>
      </w:tr>
      <w:tr>
        <w:trPr>
          <w:trHeight w:val="240"/>
        </w:trPr>
        <w:tc>
          <w:tcPr>
            <w:tcW w:w="4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23.1 %</w:t>
            </w:r>
          </w:p>
        </w:tc>
        <w:tc>
          <w:tcPr>
            <w:tcW w:w="80" w:type="dxa"/>
            <w:vAlign w:val="bottom"/>
            <w:shd w:val="clear" w:color="auto" w:fill="CCEEFF"/>
          </w:tcPr>
          <w:p>
            <w:pPr>
              <w:spacing w:after="0"/>
              <w:rPr>
                <w:sz w:val="15"/>
                <w:szCs w:val="15"/>
                <w:color w:val="auto"/>
              </w:rPr>
            </w:pPr>
          </w:p>
        </w:tc>
      </w:tr>
    </w:tbl>
    <w:p>
      <w:pPr>
        <w:spacing w:after="0" w:line="35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Net revenue increased by $1,523 million, or 23.1%, for the year ended December 31, 2022, compared to the year ended December 31, 2021. The increase was primarily a result of higher wafer shipment volumes and ASPs. For the year ended December 31, 2022, wafer shipments were approximately 2.5 million (300mm equivalent), a 4.1% increase from the prior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color w:val="auto"/>
        </w:rPr>
        <w:t>year. ASP per wafer increased 17% year over year, driven by ramping long-term customer agreements with better pricing, and continued improvement in product mix.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40" w:type="dxa"/>
            <w:vAlign w:val="bottom"/>
          </w:tcPr>
          <w:p>
            <w:pPr>
              <w:spacing w:after="0"/>
              <w:rPr>
                <w:sz w:val="20"/>
                <w:szCs w:val="20"/>
                <w:color w:val="auto"/>
              </w:rPr>
            </w:pPr>
            <w:r>
              <w:rPr>
                <w:rFonts w:ascii="Arial" w:cs="Arial" w:eastAsia="Arial" w:hAnsi="Arial"/>
                <w:sz w:val="13"/>
                <w:szCs w:val="13"/>
                <w:b w:val="1"/>
                <w:bCs w:val="1"/>
                <w:i w:val="1"/>
                <w:iCs w:val="1"/>
                <w:color w:val="auto"/>
              </w:rPr>
              <w:t>Cost of Revenue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84"/>
        </w:trPr>
        <w:tc>
          <w:tcPr>
            <w:tcW w:w="634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4"/>
                <w:szCs w:val="24"/>
                <w:color w:val="auto"/>
              </w:rPr>
            </w:pPr>
          </w:p>
        </w:tc>
        <w:tc>
          <w:tcPr>
            <w:tcW w:w="2180" w:type="dxa"/>
            <w:vAlign w:val="bottom"/>
            <w:gridSpan w:val="5"/>
          </w:tcPr>
          <w:p>
            <w:pPr>
              <w:ind w:left="16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2022 vs 2021</w:t>
            </w:r>
          </w:p>
        </w:tc>
        <w:tc>
          <w:tcPr>
            <w:tcW w:w="1400" w:type="dxa"/>
            <w:vAlign w:val="bottom"/>
          </w:tcPr>
          <w:p>
            <w:pPr>
              <w:jc w:val="right"/>
              <w:ind w:right="256"/>
              <w:spacing w:after="0"/>
              <w:rPr>
                <w:sz w:val="20"/>
                <w:szCs w:val="20"/>
                <w:color w:val="auto"/>
              </w:rPr>
            </w:pPr>
            <w:r>
              <w:rPr>
                <w:rFonts w:ascii="Arial" w:cs="Arial" w:eastAsia="Arial" w:hAnsi="Arial"/>
                <w:sz w:val="13"/>
                <w:szCs w:val="13"/>
                <w:b w:val="1"/>
                <w:bCs w:val="1"/>
                <w:color w:val="auto"/>
              </w:rPr>
              <w:t>2022 vs 2021</w:t>
            </w:r>
          </w:p>
        </w:tc>
      </w:tr>
      <w:tr>
        <w:trPr>
          <w:trHeight w:val="168"/>
        </w:trPr>
        <w:tc>
          <w:tcPr>
            <w:tcW w:w="63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 Change</w:t>
            </w:r>
          </w:p>
        </w:tc>
      </w:tr>
      <w:tr>
        <w:trPr>
          <w:trHeight w:val="240"/>
        </w:trPr>
        <w:tc>
          <w:tcPr>
            <w:tcW w:w="6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80"/>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5,869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5,572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r>
      <w:tr>
        <w:trPr>
          <w:trHeight w:val="176"/>
        </w:trPr>
        <w:tc>
          <w:tcPr>
            <w:tcW w:w="6340" w:type="dxa"/>
            <w:vAlign w:val="bottom"/>
          </w:tcPr>
          <w:p>
            <w:pPr>
              <w:ind w:left="20"/>
              <w:spacing w:after="0"/>
              <w:rPr>
                <w:sz w:val="20"/>
                <w:szCs w:val="20"/>
                <w:color w:val="auto"/>
              </w:rPr>
            </w:pPr>
            <w:r>
              <w:rPr>
                <w:rFonts w:ascii="Arial" w:cs="Arial" w:eastAsia="Arial" w:hAnsi="Arial"/>
                <w:sz w:val="13"/>
                <w:szCs w:val="13"/>
                <w:color w:val="auto"/>
              </w:rPr>
              <w:t>Gross margin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i w:val="1"/>
                <w:iCs w:val="1"/>
                <w:color w:val="auto"/>
              </w:rPr>
              <w:t>27.6 %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i w:val="1"/>
                <w:iCs w:val="1"/>
                <w:color w:val="auto"/>
              </w:rPr>
              <w:t>15.4 %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i w:val="1"/>
                <w:iCs w:val="1"/>
                <w:color w:val="auto"/>
              </w:rPr>
              <w:t>+1,220bps</w:t>
            </w:r>
          </w:p>
        </w:tc>
      </w:tr>
    </w:tbl>
    <w:p>
      <w:pPr>
        <w:spacing w:after="0" w:line="3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Cost of revenue increased by $297 million, or 5.3%, for the year ended December 31, 2022, compared to the year ended December 31, 2021. The year-over-year change was driven by $9 million increase in share-based compensation, 4.1% increase in wafer shipments partially offset by increased fixed cost absorption from higher factory utilization.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Our improvement in gross margin to 27.6% for the year ended December 31, 2022 from 15.4% for the year ended December 31, 2021 was largely attributable to higher ASPs and a better product mix.</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20" w:type="dxa"/>
            <w:vAlign w:val="bottom"/>
          </w:tcPr>
          <w:p>
            <w:pPr>
              <w:spacing w:after="0"/>
              <w:rPr>
                <w:sz w:val="20"/>
                <w:szCs w:val="20"/>
                <w:color w:val="auto"/>
              </w:rPr>
            </w:pPr>
            <w:r>
              <w:rPr>
                <w:rFonts w:ascii="Arial" w:cs="Arial" w:eastAsia="Arial" w:hAnsi="Arial"/>
                <w:sz w:val="13"/>
                <w:szCs w:val="13"/>
                <w:b w:val="1"/>
                <w:bCs w:val="1"/>
                <w:i w:val="1"/>
                <w:iCs w:val="1"/>
                <w:color w:val="auto"/>
              </w:rPr>
              <w:t>Research and Development Expenses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575"/>
        </w:trPr>
        <w:tc>
          <w:tcPr>
            <w:tcW w:w="60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92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2022 vs 2021</w:t>
            </w:r>
          </w:p>
        </w:tc>
        <w:tc>
          <w:tcPr>
            <w:tcW w:w="1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2022 vs 2021</w:t>
            </w:r>
          </w:p>
        </w:tc>
      </w:tr>
      <w:tr>
        <w:trPr>
          <w:trHeight w:val="168"/>
        </w:trPr>
        <w:tc>
          <w:tcPr>
            <w:tcW w:w="60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160" w:type="dxa"/>
            <w:vAlign w:val="bottom"/>
          </w:tcPr>
          <w:p>
            <w:pPr>
              <w:spacing w:after="0"/>
              <w:rPr>
                <w:sz w:val="14"/>
                <w:szCs w:val="14"/>
                <w:color w:val="auto"/>
              </w:rPr>
            </w:pPr>
          </w:p>
        </w:tc>
      </w:tr>
      <w:tr>
        <w:trPr>
          <w:trHeight w:val="240"/>
        </w:trPr>
        <w:tc>
          <w:tcPr>
            <w:tcW w:w="6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80"/>
        </w:trPr>
        <w:tc>
          <w:tcPr>
            <w:tcW w:w="6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 expenses</w:t>
            </w: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482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2"/>
              </w:rPr>
              <w:t>478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0.8 %</w:t>
            </w:r>
          </w:p>
        </w:tc>
        <w:tc>
          <w:tcPr>
            <w:tcW w:w="160" w:type="dxa"/>
            <w:vAlign w:val="bottom"/>
            <w:shd w:val="clear" w:color="auto" w:fill="CCEEFF"/>
          </w:tcPr>
          <w:p>
            <w:pPr>
              <w:spacing w:after="0"/>
              <w:rPr>
                <w:sz w:val="15"/>
                <w:szCs w:val="15"/>
                <w:color w:val="auto"/>
              </w:rPr>
            </w:pPr>
          </w:p>
        </w:tc>
      </w:tr>
      <w:tr>
        <w:trPr>
          <w:trHeight w:val="165"/>
        </w:trPr>
        <w:tc>
          <w:tcPr>
            <w:tcW w:w="6020" w:type="dxa"/>
            <w:vAlign w:val="bottom"/>
          </w:tcPr>
          <w:p>
            <w:pPr>
              <w:ind w:left="20"/>
              <w:spacing w:after="0"/>
              <w:rPr>
                <w:sz w:val="20"/>
                <w:szCs w:val="20"/>
                <w:color w:val="auto"/>
              </w:rPr>
            </w:pPr>
            <w:r>
              <w:rPr>
                <w:rFonts w:ascii="Arial" w:cs="Arial" w:eastAsia="Arial" w:hAnsi="Arial"/>
                <w:sz w:val="13"/>
                <w:szCs w:val="13"/>
                <w:color w:val="auto"/>
              </w:rPr>
              <w:t>As a % of revenue</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i w:val="1"/>
                <w:iCs w:val="1"/>
                <w:color w:val="auto"/>
              </w:rPr>
              <w:t>5.9 %</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i w:val="1"/>
                <w:iCs w:val="1"/>
                <w:color w:val="auto"/>
              </w:rPr>
              <w:t>7.3 %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Research and development expenses increased by $4 million, or 0.8%, for the year ended December 31, 2022, compared to the year ended December 31, 2021. The year-over-year change was primarily driven by a $14 million increase in R&amp;D technology portfolio investments, $5 million increase in share-based compensation and employee-related expenses, partially offset by $14 million reduction in R&amp;D pre-production costs.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40" w:type="dxa"/>
            <w:vAlign w:val="bottom"/>
          </w:tcPr>
          <w:p>
            <w:pPr>
              <w:spacing w:after="0"/>
              <w:rPr>
                <w:sz w:val="20"/>
                <w:szCs w:val="20"/>
                <w:color w:val="auto"/>
              </w:rPr>
            </w:pPr>
            <w:r>
              <w:rPr>
                <w:rFonts w:ascii="Arial" w:cs="Arial" w:eastAsia="Arial" w:hAnsi="Arial"/>
                <w:sz w:val="13"/>
                <w:szCs w:val="13"/>
                <w:b w:val="1"/>
                <w:bCs w:val="1"/>
                <w:i w:val="1"/>
                <w:iCs w:val="1"/>
                <w:color w:val="auto"/>
              </w:rPr>
              <w:t>Selling, General and Administrative Expenses</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95"/>
        </w:trPr>
        <w:tc>
          <w:tcPr>
            <w:tcW w:w="634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96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2022 vs 2021</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2022 vs 2021</w:t>
            </w:r>
          </w:p>
        </w:tc>
      </w:tr>
      <w:tr>
        <w:trPr>
          <w:trHeight w:val="168"/>
        </w:trPr>
        <w:tc>
          <w:tcPr>
            <w:tcW w:w="63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Change</w:t>
            </w:r>
          </w:p>
        </w:tc>
        <w:tc>
          <w:tcPr>
            <w:tcW w:w="8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80" w:type="dxa"/>
            <w:vAlign w:val="bottom"/>
          </w:tcPr>
          <w:p>
            <w:pPr>
              <w:spacing w:after="0"/>
              <w:rPr>
                <w:sz w:val="14"/>
                <w:szCs w:val="14"/>
                <w:color w:val="auto"/>
              </w:rPr>
            </w:pPr>
          </w:p>
        </w:tc>
      </w:tr>
      <w:tr>
        <w:trPr>
          <w:trHeight w:val="240"/>
        </w:trPr>
        <w:tc>
          <w:tcPr>
            <w:tcW w:w="6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7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496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2"/>
              </w:rPr>
              <w:t>595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80" w:type="dxa"/>
            <w:vAlign w:val="bottom"/>
            <w:shd w:val="clear" w:color="auto" w:fill="CCEEFF"/>
          </w:tcPr>
          <w:p>
            <w:pPr>
              <w:spacing w:after="0"/>
              <w:rPr>
                <w:sz w:val="15"/>
                <w:szCs w:val="15"/>
                <w:color w:val="auto"/>
              </w:rPr>
            </w:pPr>
          </w:p>
        </w:tc>
      </w:tr>
      <w:tr>
        <w:trPr>
          <w:trHeight w:val="165"/>
        </w:trPr>
        <w:tc>
          <w:tcPr>
            <w:tcW w:w="6340" w:type="dxa"/>
            <w:vAlign w:val="bottom"/>
          </w:tcPr>
          <w:p>
            <w:pPr>
              <w:ind w:left="20"/>
              <w:spacing w:after="0"/>
              <w:rPr>
                <w:sz w:val="20"/>
                <w:szCs w:val="20"/>
                <w:color w:val="auto"/>
              </w:rPr>
            </w:pPr>
            <w:r>
              <w:rPr>
                <w:rFonts w:ascii="Arial" w:cs="Arial" w:eastAsia="Arial" w:hAnsi="Arial"/>
                <w:sz w:val="13"/>
                <w:szCs w:val="13"/>
                <w:color w:val="auto"/>
              </w:rPr>
              <w:t>As a % of revenue</w:t>
            </w: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i w:val="1"/>
                <w:iCs w:val="1"/>
                <w:color w:val="auto"/>
              </w:rPr>
              <w:t>6.1 %</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i w:val="1"/>
                <w:iCs w:val="1"/>
                <w:color w:val="auto"/>
              </w:rPr>
              <w:t>9.0 %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Selling, general and administrative expenses decreased by $99 million, or 16.6%, for the year ended December 31, 2022, compared to the year ended December 31, 2021. The decrease was primarily driven by a $73 million reduction in employee-related expenses, which was impacted by restructuring activities and lower share-based compensation of $59 million. This was offset by a $38 million increase in professional services associated with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20"/>
                <w:szCs w:val="20"/>
                <w:color w:val="auto"/>
              </w:rPr>
            </w:pPr>
            <w:r>
              <w:rPr>
                <w:rFonts w:ascii="Arial" w:cs="Arial" w:eastAsia="Arial" w:hAnsi="Arial"/>
                <w:sz w:val="13"/>
                <w:szCs w:val="13"/>
                <w:b w:val="1"/>
                <w:bCs w:val="1"/>
                <w:i w:val="1"/>
                <w:iCs w:val="1"/>
                <w:color w:val="auto"/>
              </w:rPr>
              <w:t>Restructuring Charges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95"/>
        </w:trPr>
        <w:tc>
          <w:tcPr>
            <w:tcW w:w="65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92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2022 vs 2021</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2022 vs 2021</w:t>
            </w:r>
          </w:p>
        </w:tc>
      </w:tr>
      <w:tr>
        <w:trPr>
          <w:trHeight w:val="168"/>
        </w:trPr>
        <w:tc>
          <w:tcPr>
            <w:tcW w:w="65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2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Change</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80" w:type="dxa"/>
            <w:vAlign w:val="bottom"/>
          </w:tcPr>
          <w:p>
            <w:pPr>
              <w:spacing w:after="0"/>
              <w:rPr>
                <w:sz w:val="14"/>
                <w:szCs w:val="14"/>
                <w:color w:val="auto"/>
              </w:rPr>
            </w:pPr>
          </w:p>
        </w:tc>
      </w:tr>
      <w:tr>
        <w:trPr>
          <w:trHeight w:val="240"/>
        </w:trPr>
        <w:tc>
          <w:tcPr>
            <w:tcW w:w="6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NM</w:t>
            </w:r>
          </w:p>
        </w:tc>
      </w:tr>
    </w:tbl>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Restructuring charges were $94 million for the year ended December 31, 2022. In the fourth quarter 2022, the Company communicated and implemented a restructuring plan, which included charges related to a reduction in our global workforce, reduction in leased workspace and engaging consultants for strategic support.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20" w:type="dxa"/>
            <w:vAlign w:val="bottom"/>
          </w:tcPr>
          <w:p>
            <w:pPr>
              <w:spacing w:after="0"/>
              <w:rPr>
                <w:sz w:val="20"/>
                <w:szCs w:val="20"/>
                <w:color w:val="auto"/>
              </w:rPr>
            </w:pPr>
            <w:r>
              <w:rPr>
                <w:rFonts w:ascii="Arial" w:cs="Arial" w:eastAsia="Arial" w:hAnsi="Arial"/>
                <w:sz w:val="13"/>
                <w:szCs w:val="13"/>
                <w:b w:val="1"/>
                <w:bCs w:val="1"/>
                <w:i w:val="1"/>
                <w:iCs w:val="1"/>
                <w:color w:val="auto"/>
              </w:rPr>
              <w:t>Finance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7"/>
        </w:trPr>
        <w:tc>
          <w:tcPr>
            <w:tcW w:w="6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 vs 2021</w:t>
            </w:r>
          </w:p>
        </w:tc>
        <w:tc>
          <w:tcPr>
            <w:tcW w:w="200" w:type="dxa"/>
            <w:vAlign w:val="bottom"/>
          </w:tcPr>
          <w:p>
            <w:pPr>
              <w:spacing w:after="0"/>
              <w:rPr>
                <w:sz w:val="17"/>
                <w:szCs w:val="17"/>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2022 vs 2021</w:t>
            </w:r>
          </w:p>
        </w:tc>
      </w:tr>
      <w:tr>
        <w:trPr>
          <w:trHeight w:val="168"/>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2022</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9"/>
              </w:rPr>
              <w:t>2021</w:t>
            </w:r>
          </w:p>
        </w:tc>
        <w:tc>
          <w:tcPr>
            <w:tcW w:w="8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color w:val="auto"/>
              </w:rPr>
              <w:t>Change</w:t>
            </w:r>
          </w:p>
        </w:tc>
        <w:tc>
          <w:tcPr>
            <w:tcW w:w="1280" w:type="dxa"/>
            <w:vAlign w:val="bottom"/>
          </w:tcPr>
          <w:p>
            <w:pPr>
              <w:ind w:left="20"/>
              <w:spacing w:after="0"/>
              <w:rPr>
                <w:sz w:val="20"/>
                <w:szCs w:val="20"/>
                <w:color w:val="auto"/>
              </w:rPr>
            </w:pPr>
            <w:r>
              <w:rPr>
                <w:rFonts w:ascii="Arial" w:cs="Arial" w:eastAsia="Arial" w:hAnsi="Arial"/>
                <w:sz w:val="13"/>
                <w:szCs w:val="13"/>
                <w:color w:val="auto"/>
              </w:rPr>
              <w:t>% Change</w:t>
            </w:r>
          </w:p>
        </w:tc>
      </w:tr>
      <w:tr>
        <w:trPr>
          <w:trHeight w:val="194"/>
        </w:trPr>
        <w:tc>
          <w:tcPr>
            <w:tcW w:w="6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170"/>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Income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ind w:left="1080"/>
              <w:spacing w:after="0"/>
              <w:rPr>
                <w:sz w:val="20"/>
                <w:szCs w:val="20"/>
                <w:color w:val="auto"/>
              </w:rPr>
            </w:pPr>
            <w:r>
              <w:rPr>
                <w:rFonts w:ascii="Arial" w:cs="Arial" w:eastAsia="Arial" w:hAnsi="Arial"/>
                <w:sz w:val="13"/>
                <w:szCs w:val="13"/>
                <w:color w:val="auto"/>
                <w:w w:val="88"/>
              </w:rPr>
              <w:t>NM</w:t>
            </w:r>
          </w:p>
        </w:tc>
      </w:tr>
    </w:tbl>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Finance income increased by $45 million for the year ended December 31, 2022, compared to the year ended December 31, 2021. The increase was primarily driven by higher interest income generated from money market funds and investments in marketable securities.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20" w:type="dxa"/>
            <w:vAlign w:val="bottom"/>
          </w:tcPr>
          <w:p>
            <w:pPr>
              <w:spacing w:after="0"/>
              <w:rPr>
                <w:sz w:val="20"/>
                <w:szCs w:val="20"/>
                <w:color w:val="auto"/>
              </w:rPr>
            </w:pPr>
            <w:r>
              <w:rPr>
                <w:rFonts w:ascii="Arial" w:cs="Arial" w:eastAsia="Arial" w:hAnsi="Arial"/>
                <w:sz w:val="13"/>
                <w:szCs w:val="13"/>
                <w:b w:val="1"/>
                <w:bCs w:val="1"/>
                <w:i w:val="1"/>
                <w:iCs w:val="1"/>
                <w:color w:val="auto"/>
              </w:rPr>
              <w:t>Finance expense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4"/>
        </w:trPr>
        <w:tc>
          <w:tcPr>
            <w:tcW w:w="62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17"/>
                <w:szCs w:val="17"/>
                <w:color w:val="auto"/>
              </w:rPr>
            </w:pPr>
          </w:p>
        </w:tc>
        <w:tc>
          <w:tcPr>
            <w:tcW w:w="2040" w:type="dxa"/>
            <w:vAlign w:val="bottom"/>
            <w:gridSpan w:val="5"/>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2022 vs 2021</w:t>
            </w:r>
          </w:p>
        </w:tc>
        <w:tc>
          <w:tcPr>
            <w:tcW w:w="1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2022 vs 2021</w:t>
            </w:r>
          </w:p>
        </w:tc>
      </w:tr>
      <w:tr>
        <w:trPr>
          <w:trHeight w:val="168"/>
        </w:trPr>
        <w:tc>
          <w:tcPr>
            <w:tcW w:w="6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Change</w:t>
            </w:r>
          </w:p>
        </w:tc>
        <w:tc>
          <w:tcPr>
            <w:tcW w:w="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Change</w:t>
            </w:r>
          </w:p>
        </w:tc>
        <w:tc>
          <w:tcPr>
            <w:tcW w:w="160" w:type="dxa"/>
            <w:vAlign w:val="bottom"/>
          </w:tcPr>
          <w:p>
            <w:pPr>
              <w:spacing w:after="0"/>
              <w:rPr>
                <w:sz w:val="14"/>
                <w:szCs w:val="14"/>
                <w:color w:val="auto"/>
              </w:rPr>
            </w:pPr>
          </w:p>
        </w:tc>
      </w:tr>
      <w:tr>
        <w:trPr>
          <w:trHeight w:val="240"/>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80"/>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expenses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5"/>
                <w:szCs w:val="15"/>
                <w:color w:val="auto"/>
              </w:rPr>
            </w:pPr>
          </w:p>
        </w:tc>
      </w:tr>
    </w:tbl>
    <w:p>
      <w:pPr>
        <w:spacing w:after="0" w:line="35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Finance expenses decreased by $3 million, or 2.6%, for the year ended December 31, 2022, compared to the year ended December 31, 2021. This decrease was primarily a result of lower interest expense driven by the maturity of higher interest rate loans over the course of the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20"/>
                <w:szCs w:val="20"/>
                <w:color w:val="auto"/>
              </w:rPr>
            </w:pPr>
            <w:r>
              <w:rPr>
                <w:rFonts w:ascii="Arial" w:cs="Arial" w:eastAsia="Arial" w:hAnsi="Arial"/>
                <w:sz w:val="13"/>
                <w:szCs w:val="13"/>
                <w:b w:val="1"/>
                <w:bCs w:val="1"/>
                <w:i w:val="1"/>
                <w:iCs w:val="1"/>
                <w:color w:val="auto"/>
              </w:rPr>
              <w:t>Gain on the sale of a business</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95"/>
        </w:trPr>
        <w:tc>
          <w:tcPr>
            <w:tcW w:w="65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92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2022 vs 2021</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2022 vs 2021</w:t>
            </w:r>
          </w:p>
        </w:tc>
      </w:tr>
      <w:tr>
        <w:trPr>
          <w:trHeight w:val="168"/>
        </w:trPr>
        <w:tc>
          <w:tcPr>
            <w:tcW w:w="65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Change</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80" w:type="dxa"/>
            <w:vAlign w:val="bottom"/>
          </w:tcPr>
          <w:p>
            <w:pPr>
              <w:spacing w:after="0"/>
              <w:rPr>
                <w:sz w:val="14"/>
                <w:szCs w:val="14"/>
                <w:color w:val="auto"/>
              </w:rPr>
            </w:pPr>
          </w:p>
        </w:tc>
      </w:tr>
      <w:tr>
        <w:trPr>
          <w:trHeight w:val="240"/>
        </w:trPr>
        <w:tc>
          <w:tcPr>
            <w:tcW w:w="6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sale of a business</w:t>
            </w: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w:t>
            </w: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NM</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Gain on the sale of a business was $403 million for the year ended December 31, 2022, as we completed the sale of the EFK business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20"/>
                <w:szCs w:val="20"/>
                <w:color w:val="auto"/>
              </w:rPr>
            </w:pPr>
            <w:r>
              <w:rPr>
                <w:rFonts w:ascii="Arial" w:cs="Arial" w:eastAsia="Arial" w:hAnsi="Arial"/>
                <w:sz w:val="13"/>
                <w:szCs w:val="13"/>
                <w:b w:val="1"/>
                <w:bCs w:val="1"/>
                <w:i w:val="1"/>
                <w:iCs w:val="1"/>
                <w:color w:val="auto"/>
              </w:rPr>
              <w:t>Other Income (expense), net</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4"/>
        </w:trPr>
        <w:tc>
          <w:tcPr>
            <w:tcW w:w="65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92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2022 vs 2021</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2022 vs 2021</w:t>
            </w:r>
          </w:p>
        </w:tc>
      </w:tr>
      <w:tr>
        <w:trPr>
          <w:trHeight w:val="168"/>
        </w:trPr>
        <w:tc>
          <w:tcPr>
            <w:tcW w:w="65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2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Change</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80" w:type="dxa"/>
            <w:vAlign w:val="bottom"/>
          </w:tcPr>
          <w:p>
            <w:pPr>
              <w:spacing w:after="0"/>
              <w:rPr>
                <w:sz w:val="14"/>
                <w:szCs w:val="14"/>
                <w:color w:val="auto"/>
              </w:rPr>
            </w:pPr>
          </w:p>
        </w:tc>
      </w:tr>
      <w:tr>
        <w:trPr>
          <w:trHeight w:val="240"/>
        </w:trPr>
        <w:tc>
          <w:tcPr>
            <w:tcW w:w="6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NM</w:t>
            </w:r>
          </w:p>
        </w:tc>
      </w:tr>
    </w:tbl>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Other income (expense), net increased by $30 million for the year ended December 31, 2022, compared to the year ended December 31, 2021. The year-over-year change is primarily attributable to a $34 million provision for settlement with our previous joint venture in China in 2021, approximately $38 million due to hedging activities in 2022, offset by $40 million increase in tool sales to third parties.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spacing w:after="0"/>
              <w:rPr>
                <w:sz w:val="20"/>
                <w:szCs w:val="20"/>
                <w:color w:val="auto"/>
              </w:rPr>
            </w:pPr>
            <w:r>
              <w:rPr>
                <w:rFonts w:ascii="Arial" w:cs="Arial" w:eastAsia="Arial" w:hAnsi="Arial"/>
                <w:sz w:val="13"/>
                <w:szCs w:val="13"/>
                <w:b w:val="1"/>
                <w:bCs w:val="1"/>
                <w:i w:val="1"/>
                <w:iCs w:val="1"/>
                <w:color w:val="auto"/>
              </w:rPr>
              <w:t>Income tax expense</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84"/>
        </w:trPr>
        <w:tc>
          <w:tcPr>
            <w:tcW w:w="65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86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2022 vs 2021</w:t>
            </w:r>
          </w:p>
        </w:tc>
        <w:tc>
          <w:tcPr>
            <w:tcW w:w="1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2022 vs 2021</w:t>
            </w:r>
          </w:p>
        </w:tc>
      </w:tr>
      <w:tr>
        <w:trPr>
          <w:trHeight w:val="168"/>
        </w:trPr>
        <w:tc>
          <w:tcPr>
            <w:tcW w:w="65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rPr>
              <w:t>Change</w:t>
            </w:r>
          </w:p>
        </w:tc>
        <w:tc>
          <w:tcPr>
            <w:tcW w:w="8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80" w:type="dxa"/>
            <w:vAlign w:val="bottom"/>
          </w:tcPr>
          <w:p>
            <w:pPr>
              <w:spacing w:after="0"/>
              <w:rPr>
                <w:sz w:val="14"/>
                <w:szCs w:val="14"/>
                <w:color w:val="auto"/>
              </w:rPr>
            </w:pPr>
          </w:p>
        </w:tc>
      </w:tr>
      <w:tr>
        <w:trPr>
          <w:trHeight w:val="240"/>
        </w:trPr>
        <w:tc>
          <w:tcPr>
            <w:tcW w:w="6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0"/>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10.3 %</w:t>
            </w:r>
          </w:p>
        </w:tc>
        <w:tc>
          <w:tcPr>
            <w:tcW w:w="80" w:type="dxa"/>
            <w:vAlign w:val="bottom"/>
            <w:shd w:val="clear" w:color="auto" w:fill="CCEEFF"/>
          </w:tcPr>
          <w:p>
            <w:pPr>
              <w:spacing w:after="0"/>
              <w:rPr>
                <w:sz w:val="15"/>
                <w:szCs w:val="15"/>
                <w:color w:val="auto"/>
              </w:rPr>
            </w:pPr>
          </w:p>
        </w:tc>
      </w:tr>
    </w:tbl>
    <w:p>
      <w:pPr>
        <w:spacing w:after="0" w:line="35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Income tax expense increased by $8 million, or 10.3% for the year ended December 31, 2022, compared to the year ended December 31, 2021. The increase is primarily the result of $16 million in additional withholding tax, offset by an $8 million reduction in tax expense due to a change in the mix of taxable income in jurisdictions with lower tax rates.</w:t>
      </w:r>
    </w:p>
    <w:p>
      <w:pPr>
        <w:spacing w:after="0" w:line="232"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13"/>
          <w:szCs w:val="13"/>
          <w:b w:val="1"/>
          <w:bCs w:val="1"/>
          <w:i w:val="1"/>
          <w:iCs w:val="1"/>
          <w:color w:val="auto"/>
        </w:rPr>
      </w:pPr>
      <w:r>
        <w:rPr>
          <w:rFonts w:ascii="Arial" w:cs="Arial" w:eastAsia="Arial" w:hAnsi="Arial"/>
          <w:sz w:val="13"/>
          <w:szCs w:val="13"/>
          <w:b w:val="1"/>
          <w:bCs w:val="1"/>
          <w:color w:val="auto"/>
        </w:rPr>
        <w:t>Liquidity and Capital Resources</w:t>
      </w:r>
    </w:p>
    <w:p>
      <w:pPr>
        <w:spacing w:after="0" w:line="30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financed operations primarily through cash and cash equivalents, marketable securities, as well as cash generated from our business operations, including prepayments under LTAs, debt and government funding. As of December 31, 2022, our cash and cash equivalents and marketable securities balances of $3,346 million included $2,352 million of cash and cash equivalents and $994 million of marketable securities. As of December 31, 2021, our principal source of liquidity was our cash balance of $2,939 million.</w:t>
      </w:r>
    </w:p>
    <w:p>
      <w:pPr>
        <w:spacing w:after="0" w:line="76"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As of December 31, 2022 and 2021, we had an undrawn revolving credit facility of $1,000 million. In addition to our available revolvers, we had $2,511 million and $2,013 million of debt outstanding as of December 31, 2022, and 2021, respectively, which was primarily comprised of multiple term loans in various currencies. Our future capital requirements will depend on many factors, including our revenue growth rate, the timing and the amount we receive from customers, the timing and extent of spending to support development efforts, the introduction of new and enhanced products and solutions, and the continuing market adoption of our platform. We may from time to time seek to raise additional capital to support our growth. As of December 31, 2022, we believe that our existing cash, cash equivalents, investment in marketable securities, credit under our revolving credit facility, and expected cash generated from operations are sufficient to meet our capital requirements.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a summary of our term loan facilities, other debt facilities, which consist primarily of equipment financing and our committed undrawn revolvers.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9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For the year ended December 31,</w:t>
            </w:r>
          </w:p>
        </w:tc>
        <w:tc>
          <w:tcPr>
            <w:tcW w:w="620" w:type="dxa"/>
            <w:vAlign w:val="bottom"/>
            <w:tcBorders>
              <w:bottom w:val="single" w:sz="8" w:color="auto"/>
            </w:tcBorders>
          </w:tcPr>
          <w:p>
            <w:pPr>
              <w:spacing w:after="0"/>
              <w:rPr>
                <w:sz w:val="14"/>
                <w:szCs w:val="14"/>
                <w:color w:val="auto"/>
              </w:rPr>
            </w:pPr>
          </w:p>
        </w:tc>
      </w:tr>
      <w:tr>
        <w:trPr>
          <w:trHeight w:val="162"/>
        </w:trPr>
        <w:tc>
          <w:tcPr>
            <w:tcW w:w="7700" w:type="dxa"/>
            <w:vAlign w:val="bottom"/>
          </w:tcPr>
          <w:p>
            <w:pPr>
              <w:spacing w:after="0"/>
              <w:rPr>
                <w:sz w:val="14"/>
                <w:szCs w:val="14"/>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4"/>
                <w:szCs w:val="14"/>
                <w:color w:val="auto"/>
              </w:rPr>
            </w:pPr>
          </w:p>
        </w:tc>
      </w:tr>
      <w:tr>
        <w:trPr>
          <w:trHeight w:val="160"/>
        </w:trPr>
        <w:tc>
          <w:tcPr>
            <w:tcW w:w="7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gridSpan w:val="2"/>
          </w:tcPr>
          <w:p>
            <w:pPr>
              <w:jc w:val="right"/>
              <w:ind w:right="756"/>
              <w:spacing w:after="0"/>
              <w:rPr>
                <w:sz w:val="20"/>
                <w:szCs w:val="20"/>
                <w:color w:val="auto"/>
              </w:rPr>
            </w:pPr>
            <w:r>
              <w:rPr>
                <w:rFonts w:ascii="Arial" w:cs="Arial" w:eastAsia="Arial" w:hAnsi="Arial"/>
                <w:sz w:val="13"/>
                <w:szCs w:val="13"/>
                <w:b w:val="1"/>
                <w:bCs w:val="1"/>
                <w:color w:val="auto"/>
              </w:rPr>
              <w:t>(in millions)</w:t>
            </w:r>
          </w:p>
        </w:tc>
        <w:tc>
          <w:tcPr>
            <w:tcW w:w="620" w:type="dxa"/>
            <w:vAlign w:val="bottom"/>
          </w:tcPr>
          <w:p>
            <w:pPr>
              <w:spacing w:after="0"/>
              <w:rPr>
                <w:sz w:val="13"/>
                <w:szCs w:val="13"/>
                <w:color w:val="auto"/>
              </w:rPr>
            </w:pP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 facilities</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1,456</w:t>
            </w:r>
          </w:p>
        </w:tc>
        <w:tc>
          <w:tcPr>
            <w:tcW w:w="124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1,603</w:t>
            </w: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Other debt facilities</w:t>
            </w:r>
          </w:p>
        </w:tc>
        <w:tc>
          <w:tcPr>
            <w:tcW w:w="116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1,055</w:t>
            </w:r>
          </w:p>
        </w:tc>
        <w:tc>
          <w:tcPr>
            <w:tcW w:w="1240" w:type="dxa"/>
            <w:vAlign w:val="bottom"/>
          </w:tcPr>
          <w:p>
            <w:pPr>
              <w:spacing w:after="0"/>
              <w:rPr>
                <w:sz w:val="14"/>
                <w:szCs w:val="14"/>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410</w:t>
            </w:r>
          </w:p>
        </w:tc>
      </w:tr>
      <w:tr>
        <w:trPr>
          <w:trHeight w:val="172"/>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Revolvers and letters of credit</w:t>
            </w:r>
          </w:p>
        </w:tc>
        <w:tc>
          <w:tcPr>
            <w:tcW w:w="1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1,012</w:t>
            </w:r>
          </w:p>
        </w:tc>
        <w:tc>
          <w:tcPr>
            <w:tcW w:w="12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1,009</w:t>
            </w:r>
          </w:p>
        </w:tc>
      </w:tr>
    </w:tbl>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entered into loan facilities with Mubadala during the period 2012 to 2016 (collectively, the “Shareholder Loans”). The Shareholder Loans were non-interest bearing and principal repayment, in whole or in part, was entirely at our discretion. The Shareholder Loans had no maturity date. Further, there were no contingent settlements in the agreements. Since the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53" w:name="page54"/>
    <w:bookmarkEnd w:id="53"/>
    <w:p>
      <w:pPr>
        <w:jc w:val="both"/>
        <w:spacing w:after="0" w:line="246" w:lineRule="auto"/>
        <w:rPr>
          <w:sz w:val="20"/>
          <w:szCs w:val="20"/>
          <w:color w:val="auto"/>
        </w:rPr>
      </w:pPr>
      <w:r>
        <w:rPr>
          <w:rFonts w:ascii="Arial" w:cs="Arial" w:eastAsia="Arial" w:hAnsi="Arial"/>
          <w:sz w:val="13"/>
          <w:szCs w:val="13"/>
          <w:color w:val="auto"/>
        </w:rPr>
        <w:t>Shareholder Loans did not contain any contractual obligations to deliver cash, but rather allowed us to make repayment at our absolute discretion and further prohibited Mubadala from demanding repayment, we classified the Shareholder Loans as equity within the consolidated financial statements. On October 1, 2021, our board approved an agreement with Mubadala to convert the previously outstanding $10.1 billion of the Shareholder Loan balance into additional paid-in-capital (the “Conversion”). The Conversion did not have an impact on shares outstanding or have any dilutive effects, as no additional shares were issued.</w:t>
      </w:r>
    </w:p>
    <w:p>
      <w:pPr>
        <w:spacing w:after="0" w:line="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Government grants are also a source of capital. Those grants are primarily provided in connection with construction and operation of our wafer manufacturing facilities, employment and R&amp;D. For the years ended December 31, 2022, 2021 and 2020, we received $93 million, $83 million and $312 million, respectively, in proceeds from government grants. The change in grants relates primarily to the wind down of historical grant programs in New York and Dresden.</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monitor capital using a gearing ratio, which is net debt divided by total capital plus net debt. Our policy is to keep the gearing ratio within a range to meet our business needs. Our future capital requirements will depend on many factors, including our revenue growth rate, the timing and the amount of cash received from customers, the timing and extent of spending to support development efforts, the introduction of new and enhanced products and solutions, and the continuing market adoption of our platform. We may from time to time seek to raise additional capital to support our growth. Any equity financing we may undertake could be dilutive to our shareholders, and any additional debt financing we may undertake could require debt services and financial and operational requirements that could adversely affect our business. We cannot provide any assurance that we would be able to obtain future financing on favorable terms or at all.</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a summary of our cash flows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5"/>
              </w:rPr>
              <w:t>Years Ended December 31,</w:t>
            </w:r>
          </w:p>
        </w:tc>
        <w:tc>
          <w:tcPr>
            <w:tcW w:w="1060" w:type="dxa"/>
            <w:vAlign w:val="bottom"/>
            <w:tcBorders>
              <w:bottom w:val="single" w:sz="8" w:color="auto"/>
            </w:tcBorders>
          </w:tcPr>
          <w:p>
            <w:pPr>
              <w:spacing w:after="0"/>
              <w:rPr>
                <w:sz w:val="14"/>
                <w:szCs w:val="14"/>
                <w:color w:val="auto"/>
              </w:rPr>
            </w:pPr>
          </w:p>
        </w:tc>
      </w:tr>
      <w:tr>
        <w:trPr>
          <w:trHeight w:val="162"/>
        </w:trPr>
        <w:tc>
          <w:tcPr>
            <w:tcW w:w="66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w w:val="96"/>
              </w:rPr>
              <w:t>2021</w:t>
            </w:r>
          </w:p>
        </w:tc>
      </w:tr>
      <w:tr>
        <w:trPr>
          <w:trHeight w:val="160"/>
        </w:trPr>
        <w:tc>
          <w:tcPr>
            <w:tcW w:w="6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20" w:type="dxa"/>
            <w:vAlign w:val="bottom"/>
            <w:gridSpan w:val="3"/>
          </w:tcPr>
          <w:p>
            <w:pPr>
              <w:jc w:val="right"/>
              <w:ind w:right="376"/>
              <w:spacing w:after="0"/>
              <w:rPr>
                <w:sz w:val="20"/>
                <w:szCs w:val="20"/>
                <w:color w:val="auto"/>
              </w:rPr>
            </w:pPr>
            <w:r>
              <w:rPr>
                <w:rFonts w:ascii="Arial" w:cs="Arial" w:eastAsia="Arial" w:hAnsi="Arial"/>
                <w:sz w:val="13"/>
                <w:szCs w:val="13"/>
                <w:b w:val="1"/>
                <w:bCs w:val="1"/>
                <w:color w:val="auto"/>
              </w:rPr>
              <w:t>(in millions)</w:t>
            </w:r>
          </w:p>
        </w:tc>
        <w:tc>
          <w:tcPr>
            <w:tcW w:w="1060" w:type="dxa"/>
            <w:vAlign w:val="bottom"/>
          </w:tcPr>
          <w:p>
            <w:pPr>
              <w:spacing w:after="0"/>
              <w:rPr>
                <w:sz w:val="13"/>
                <w:szCs w:val="13"/>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provided by operating activities</w:t>
            </w: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2,624</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Cash used in investing activities</w:t>
            </w:r>
          </w:p>
        </w:tc>
        <w:tc>
          <w:tcPr>
            <w:tcW w:w="1060" w:type="dxa"/>
            <w:vAlign w:val="bottom"/>
          </w:tcPr>
          <w:p>
            <w:pPr>
              <w:jc w:val="right"/>
              <w:ind w:right="89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(4,058)</w:t>
            </w:r>
          </w:p>
        </w:tc>
        <w:tc>
          <w:tcPr>
            <w:tcW w:w="80" w:type="dxa"/>
            <w:vAlign w:val="bottom"/>
          </w:tcPr>
          <w:p>
            <w:pPr>
              <w:spacing w:after="0"/>
              <w:rPr>
                <w:sz w:val="14"/>
                <w:szCs w:val="14"/>
                <w:color w:val="auto"/>
              </w:rPr>
            </w:pPr>
          </w:p>
        </w:tc>
        <w:tc>
          <w:tcPr>
            <w:tcW w:w="760" w:type="dxa"/>
            <w:vAlign w:val="bottom"/>
          </w:tcPr>
          <w:p>
            <w:pPr>
              <w:jc w:val="right"/>
              <w:ind w:right="61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(1,450)</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provided by financing activities</w:t>
            </w:r>
          </w:p>
        </w:tc>
        <w:tc>
          <w:tcPr>
            <w:tcW w:w="106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w:t>
            </w:r>
          </w:p>
        </w:tc>
      </w:tr>
      <w:tr>
        <w:trPr>
          <w:trHeight w:val="158"/>
        </w:trPr>
        <w:tc>
          <w:tcPr>
            <w:tcW w:w="6660" w:type="dxa"/>
            <w:vAlign w:val="bottom"/>
            <w:tcBorders>
              <w:bottom w:val="single" w:sz="8" w:color="CCEEFF"/>
            </w:tcBorders>
          </w:tcPr>
          <w:p>
            <w:pPr>
              <w:ind w:left="440"/>
              <w:spacing w:after="0" w:line="146" w:lineRule="exact"/>
              <w:rPr>
                <w:sz w:val="20"/>
                <w:szCs w:val="20"/>
                <w:color w:val="auto"/>
              </w:rPr>
            </w:pPr>
            <w:r>
              <w:rPr>
                <w:rFonts w:ascii="Arial" w:cs="Arial" w:eastAsia="Arial" w:hAnsi="Arial"/>
                <w:sz w:val="13"/>
                <w:szCs w:val="13"/>
                <w:color w:val="auto"/>
              </w:rPr>
              <w:t>Effect of exchange rate changes on cash and cash equivalents</w:t>
            </w:r>
          </w:p>
        </w:tc>
        <w:tc>
          <w:tcPr>
            <w:tcW w:w="1060" w:type="dxa"/>
            <w:vAlign w:val="bottom"/>
            <w:tcBorders>
              <w:bottom w:val="single" w:sz="8" w:color="auto"/>
            </w:tcBorders>
          </w:tcPr>
          <w:p>
            <w:pPr>
              <w:jc w:val="right"/>
              <w:ind w:right="89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106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(587)</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2,031</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Cash provided by operating activities for the year ended December 31, 2022 of $2,624 million was primarily related to a higher net income of $1,446 million, adjusted primarily for $1,623 million of depreciation and amortization of intangible assets. Other significant adjustments for the period include $181 million of share-based compensation expense as well as $403 million gain from the sale of EFK. Unfavorable changes in working capital of $166 million included an increase in inventory of $261 million offset by an increase in trade and other payables of $60 million and a decrease in receivables and other assets of $35 million.</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Cash used in investing activities was $4,058 million for the year ended December 31, 2022, compared to cash used in investing activities of $1,450 million for the year ended December 31, 2021, reflecting a $2,608 million increase. The year-over-year change was primarily attributable to an increase in purchases of property, plant, equipment and intangibles of $1,292 million, principally associated with activities to expand capacity within certain of our fabrication facilities and net purchases of marketable securities of $996 million and reduced proceeds from the sale of property, plant, equipment and intangible assets of $283 million.</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Cash provided by financing activities were $842 million for the year ended December 31, 2022, compared to $650 million for the year ended December 31, 2021 reflecting a $192 million increase. The year-over-year changes were primarily due to shareholder loan repayments in 2021 which did not happen in 2022, debt and finance lease obligations of $1,138 million and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color w:val="auto"/>
        </w:rPr>
        <w:t>increased proceeds from borrowings of $354 million, partially offset by reduced proceeds for the issuance of equity of $1,276 million.</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of December 31, 2022, we had $6,361 million of unconditional purchase commitments, $2,774 million of which related to contracts for capital expenditures, and $3,587 million of contracts related to operating expenditures. Of the total balance as of December 31, 2022, $2,732 million is due within the next 12 months. See Note 26 to our Annual Consolidated Financial Statements for additional details.</w:t>
      </w:r>
    </w:p>
    <w:p>
      <w:pPr>
        <w:spacing w:after="0" w:line="230"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Research and Development, Patents and Licenses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Refer to “Item 4. Information on the Company”, for discussion on our research and development, and intellectual property.</w:t>
      </w:r>
    </w:p>
    <w:p>
      <w:pPr>
        <w:spacing w:after="0" w:line="248"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Trend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Our financial condition and results of operations have been, and will continue to be, affected by numerous factors and trends, including the following:</w:t>
      </w: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Global Demand for Semiconductor Products</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Demand for our products is dependent on market conditions in the end markets in which our customers operate, which are generally subject to seasonality, as well as cyclical and competitive conditions. Additionally, we derive a portion of our net revenue from sales to customers that purchase large volumes of our products. Customers generally provide periodic forecasts of their requirements, but these forecasts do not commit such customers to minimum purchases except when long-term contracts are in place.</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semiconductor industry is susceptible to uncertain economic conditions that could impact demand. We remain cautious regarding the macroeconomic headwinds facing our industry in the first half of 2023. We continue to implement a long-term partnership-driven model with our industry, which is driving improved visibility for our business through this period of uncertainty.</w:t>
      </w: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Increasing Design Wins with New and Existing Customers</w:t>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believe that we provide highly-differentiated solutions that enable our customers to innovate and deliver exceptional products to the marketplace. A key measure of our success is customer design wins, and as our number of design wins has increased, our customer base has become larger and more diverse, having grown from only one customer, AMD, in 2009, to a global base of more than 250 customers as of December 31, 2022. As design wins for our highly-differentiated solutions are put into production we expect to obtain premium ASP for those solutions. We define a design win as the successful completion of the evaluation stage, where a customer has assessed our technology solution, verified that it meets its requirements, qualified it for their products and confirmed to us their selection.</w:t>
      </w: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Increasing Single-sourced Revenue Mix</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manufacture products based on a combination of our own technologies and our customers’ IP, resulting in a significant number of products that can only be sourced from us. Our sales and marketing strategy centers on deepening relationships with top customers and investing in technologies to become their single-source supplier for mission-critical applications. We believe a key measure of our success as a differentiated technology partner to our customers is the mix of our wafer shipment volume attributable to single-sourced business, which represented approximately 65% of wafer shipment volume in 2022, up from 62% in 2021. We define single-sourced products as those that we believe can only be manufactured with our technology and cannot be manufactured elsewhere without significant customer redesigns.</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Technology Solution Mix and Pricing</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Product mix is among the most important factors affecting revenue and margins, as our wafer price varies significantly across technology platforms. The value of a wafer is determined principally by the uniqueness and complexity of the technology, performance characteristics, yield and defect density. Devices with richer feature sets, higher performance, better yields and greater system-level integration require more substantial R&amp;D investments and more complex manufacturing expertise and equipment, and thus generally command higher wafer prices.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Pricing and margins depend on the volumes and features of the solutions we deliver. We continually monitor and work to reduce the cost of our products and improve the potential value that our solutions deliver to our customers as we target new</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5" w:name="page56"/>
    <w:bookmarkEnd w:id="55"/>
    <w:p>
      <w:pPr>
        <w:jc w:val="both"/>
        <w:spacing w:after="0" w:line="249" w:lineRule="auto"/>
        <w:rPr>
          <w:sz w:val="20"/>
          <w:szCs w:val="20"/>
          <w:color w:val="auto"/>
        </w:rPr>
      </w:pPr>
      <w:r>
        <w:rPr>
          <w:rFonts w:ascii="Arial" w:cs="Arial" w:eastAsia="Arial" w:hAnsi="Arial"/>
          <w:sz w:val="13"/>
          <w:szCs w:val="13"/>
          <w:color w:val="auto"/>
        </w:rPr>
        <w:t>design win opportunities. While individual product prices may decline, we believe our R&amp;D investments, differentiated product and single-sourced strategy should lead to improvements in pricing mix and overall ASPs if we compete effectively. We establish pricing levels for specific periods of time with our customers, some of which are subject to adjustment during the course of that period to take into account market conditions and other factors. We believe our efforts to provide a wide range of highly-differentiated solutions support our premium position in the marketplace.</w:t>
      </w: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Long Term Agreements.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We have entered into multiple LTAs with leading companies in the industry. Many of these contracts include customer advanced payments and capacity reservation fees in order to secure future supply.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We have approximately $22 billion in aggregate lifetime revenue commitment, as of December 31, 2022. These revenue commitments provide significant visibility for us with regard to future revenue.</w:t>
      </w: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Government Policy and Grants</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received investment grants from the Federal Republic of Germany, the State of Saxony, various agencies of the Government of Singapore and the Empire State Development Corporation in New York. These grants are primarily provided in connection with construction and operation of our wafer manufacturing facilities, employment and R&amp;D. We incorporate committed government grants into our planning process for future expansions.</w:t>
      </w: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Shipment Utilization</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define shipment utilization as the ratio of wafer shipment volume divided by our estimated total capacity for wafer manufacturing in a specified period. Shipment utilization remains a very important factor in driving our financial performance, as we incur significant costs regardless of the number of wafers we actually produce. These fixed costs include staffing, electricity, infrastructure, depreciation and maintenance costs at each fab.</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average shipment utilization rate across our 300mm fabs was 103% and 106% for the years ended December 31, 2022 and 2021, respectively. Factors affecting shipment utilization rates include efficiency in production facilities, complexity and mix of wafer types ordered by customers, including the impact of export controls and other regulatory changes affecting customers and competitors. Our production capacity is determined based on the capacity ratings of the equipment in the fab, adjusted for expected down time due to set up for production runs and maintenance and R&amp;D. In 2022, we exceeded our production capacity in order to meet customer demand; this was largely achieved through a continuous improvement focus on the overall efficiency and productivity of our manufacturing operations.</w:t>
      </w:r>
    </w:p>
    <w:p>
      <w:pPr>
        <w:spacing w:after="0" w:line="33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E.</w:t>
      </w:r>
      <w:r>
        <w:rPr>
          <w:sz w:val="20"/>
          <w:szCs w:val="20"/>
          <w:color w:val="auto"/>
        </w:rPr>
        <w:tab/>
      </w:r>
      <w:r>
        <w:rPr>
          <w:rFonts w:ascii="Arial" w:cs="Arial" w:eastAsia="Arial" w:hAnsi="Arial"/>
          <w:sz w:val="12"/>
          <w:szCs w:val="12"/>
          <w:b w:val="1"/>
          <w:bCs w:val="1"/>
          <w:color w:val="auto"/>
        </w:rPr>
        <w:t>Critical Accounting Policies and Estimates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Annual Consolidated Financial Statements and the related notes included elsewhere in this Annual Report are prepared in accordance with IFRS. The preparation of our Annual Consolidated Financial Statements requires us to make estimates and assumptions that affect the reported amounts of assets, liabilities, revenue, costs and expenses, and related disclosures. We base our estimates on historical experience and on various other assumptions that are available to us at the time, which we believe to be reasonable under the circumstances. Actual results could differ significantly from the estimates made by management. To the extent there are differences between our estimates and actual results, our future financial statement presentation, financial condition, results of operations and cash flows will be affected.</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recognize revenue when control of the promised goods or services is transferred to customers for an amount that reflects the consideration that we expect to receive in exchange for those goods or services. Generally, our customers obtain control at the point of shipment from our facilities for wafers, and over time for pre-fabrication services such as non-recurring engineering services and mask production based on a percentage of costs incurred over total expected costs. Sales taxes collected from customers and remitted to governmental authorities are accounted for on a net basis and therefore excluded from revenue in the consolidated statements of operations and comprehensive income (loss). We recognized the costs and revenue when we satisfy our performance obligations to customers upon transfer of control of promised goods and services.</w:t>
      </w:r>
    </w:p>
    <w:p>
      <w:pPr>
        <w:spacing w:after="0" w:line="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Revenue is reduced for estimated sales returns and allowances based on historical experience having determined that a significant reversal in the amount of cumulative revenue recognized is not probable to occur. We recognize refund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auto"/>
        </w:rPr>
        <w:t>for estimated sales returns and allowances based on the customer complaints, historical experience and other known factors.</w:t>
      </w:r>
    </w:p>
    <w:p>
      <w:pPr>
        <w:spacing w:after="0" w:line="84"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We recognize accounts receivable when we transfer control of the goods or services to customers and have a right to an amount of consideration that is unconditional. Such accounts receivable are short term and do not contain a significant financing component. For certain contracts that do not provide us unconditional rights to the consideration, and the transfer of controls of the goods or services has been satisfied, we recognize contract assets and revenue. We account for consideration received from customers prior to having satisfied our performance obligations as contract liabilities which are transferred to revenue after the performance obligations are satisfied. This includes upfront non-refundable capacity access fees under certain long-term supply agreements with customers which are accounted for as additional wafer price considerations and recognized as revenue upon satisfaction of performance obligations for wafers over the expected term of the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a build-to-order foundry, we procure raw materials based on forecasted demand and produce work-in-progress and finished goods inventory against specific customer purchase orders. We state inventories at the lower of cost or net realizable value for finished goods, work-in-progress, raw materials, and spare parts. The cost of supplies is determined based on a weighted-average cost formula. We make inventory write-downs on an item-by-item basis, except where it may be appropriate to group similar or related items.</w:t>
      </w:r>
    </w:p>
    <w:p>
      <w:pPr>
        <w:spacing w:after="0" w:line="76"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A significant amount of our manufacturing cost is fixed because our global footprint of manufacturing facilities that are the source of our production capacity require substantial investment for construction and fit up. These are largely fixed-cost assets once they become operational. Utilization of these assets can have a material impact on product cost of revenue and inventory valuations. Our objectives for inventory are to maintain high levels of customer service, maintain stable and competitive lead times, minimize inventory obsolescence and optimize manufacturing asset utilization.</w:t>
      </w:r>
    </w:p>
    <w:p>
      <w:pPr>
        <w:spacing w:after="0" w:line="5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value work-in-process and finished goods product cost based on a standard costing approach. We base standard cost on the planned utilization of installed factory capacity and adjust it annually as factory capacity conditions change and cost efficiencies are realized. We make allowances for saleability quarterly based on the aging characteristics of our inventory. Additionally, we make allowances where necessary to ensure saleable inventory is valued at a realizable value based on customer pricing agreements.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Realization of Deferred Income Tax Assets</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When we have temporary differences in the amount of tax expenses recorded for tax purposes and financial reporting purposes, we may be able to reduce the amount of tax that we would otherwise be required to pay in future periods. We generally recognize deferred tax assets to the extent that it is probable that sufficient taxable income will be available in the future to utilize such assets. We record the income tax benefit or expense when there is a net change in our total deferred tax assets and liabilities in a period. The ultimate realization of the deferred tax assets depends upon the generation of future taxable income during the periods in which the temporary differences may be utilized. Specifically, the realization of deferred income tax assets is impacted by our expected future revenue growth and profitability, tax holidays and the amount of tax credits that can be utilized within the statutory period. In determining the amount of deferred tax assets as of December 31, 2022 and 2021, we considered past performance, the general outlook of the semiconductor industry, business conditions, future taxable income and prudent and feasible tax planning strategies.</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Because the determination of the amount of deferred tax assets that can be realized is based, in part, on our forecast of future profitability, it is inherently uncertain and subjective. Changes in market conditions and our assumptions may cause the actual future profitability to differ materially from our current expectation, which may require us to increase or decrease the deferred tax assets that we have recorded. As of December 31, 2022 and 2021, deferred tax assets were $292 million and $353 million, respectively. The deferred tax assets recorded are primarily in Singapore, with significant unrecognized deferred tax assets in the United States and Germany.</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make estimates and assumptions when accounting for property, plant and equipment. We compute depreciation using the straight-line method over the estimated useful life of the assets, and our depreciation expense is highly dependent on the assumptions we make about the estimated useful life of our assets. We estimate the useful life of our property, plant and equipment based on our experience with similar assets and our estimate of the usage of the asset. Whenever events or circumstances occur that change the estimated useful life of an asset, we account for the change prospectively. We must also make judgments about the capitalization of costs. We capitalize costs of major improvements, while we charge costs of normal repairs and maintenance to expense as incurred. If an asset or asset group is disposed of or retired before the end of its previously estimated useful life, we may be required to accelerate our depreciation expense or recognize a loss on disposal.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7" w:name="page58"/>
    <w:bookmarkEnd w:id="57"/>
    <w:p>
      <w:pPr>
        <w:jc w:val="both"/>
        <w:spacing w:after="0" w:line="248" w:lineRule="auto"/>
        <w:rPr>
          <w:sz w:val="20"/>
          <w:szCs w:val="20"/>
          <w:color w:val="auto"/>
        </w:rPr>
      </w:pPr>
      <w:r>
        <w:rPr>
          <w:rFonts w:ascii="Arial" w:cs="Arial" w:eastAsia="Arial" w:hAnsi="Arial"/>
          <w:sz w:val="13"/>
          <w:szCs w:val="13"/>
          <w:color w:val="auto"/>
        </w:rPr>
        <w:t>During the first quarter of 2021, we revised the estimated useful life of certain production equipment and machinery from a range of five to eight years, to ten years. We made this change to better reflect the expected pattern of economic benefits from the use of the equipment and machinery over time, based on an analysis of production equipment’s current use, historical age patterns, and future plans and technology roadmaps, as well as an analysis of industry trends and practices. The analysis concluded that an increase in useful lives was warranted, and consistent with the Company’s continuing portfolio shift from leading-edge to feature-rich trailing edge technologies. The change in estimated useful life is a change in accounting estimate that was applied prospectively from January 1, 2021. Refer to Note 3 to our Annual Consolidated Financial Statements included elsewhere in this Annual Report for additional details.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Share-Based Compensation</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measure and recognize share-based compensation expense based on the fair value of stock options and other equity awards on the date of the grant. We estimate the options’ fair value at the date of grant using the Black-Scholes option pricing model and Monte Carlo simulation model for Performance Share Units (“PSUs”). Both models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at the time of valuation. The risk-free rate used for the option awards is based on the rate at grant date of zero-coupon U.S. Treasury notes with a term comparable to the expected term of the options. For PSUs, the risk-free rate is based on the continuous U.S. Treasury rate, commensurate with the remaining term of the PSUs. We estimate expected volatility based on the historical volatility of comparable public entities’ share price from the same industry. We base our dividend yield on forecasted expected payments, which we expect to be zero for the immediate future. We recognize compensation expense over the vesting period of the options and performance period of the PSUs on a graded attribution basis, and we estimate forfeitures.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will continue to use judgment in evaluating the assumptions related to our share-based compensation on a prospective basis. As we continue to accumulate additional data related to our ordinary shares, we may have refinements to our estimates, which could materially impact our future share-based compensation expense.</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See Note 29 to our Annual Consolidated Financial Statements for more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 Balance Sheet Arrangements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See “Cautionary Statement Regarding Forward-Looking Information”.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8" w:name="page59"/>
    <w:bookmarkEnd w:id="58"/>
    <w:p>
      <w:pPr>
        <w:spacing w:after="0"/>
        <w:tabs>
          <w:tab w:leader="none" w:pos="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DIRECTORS, SENIOR MANAGEMENT AND EMPLOYEES</w:t>
      </w:r>
    </w:p>
    <w:p>
      <w:pPr>
        <w:spacing w:after="0" w:line="84"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Directors and Senior Management</w:t>
      </w:r>
    </w:p>
    <w:p>
      <w:pPr>
        <w:spacing w:after="0" w:line="195" w:lineRule="exact"/>
        <w:rPr>
          <w:rFonts w:ascii="Arial" w:cs="Arial" w:eastAsia="Arial" w:hAnsi="Arial"/>
          <w:sz w:val="13"/>
          <w:szCs w:val="13"/>
          <w:b w:val="1"/>
          <w:bCs w:val="1"/>
          <w:color w:val="auto"/>
        </w:rPr>
      </w:pPr>
    </w:p>
    <w:p>
      <w:pPr>
        <w:ind w:left="26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sets forth information for our executive officers and directors as of the date of this Annual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2160" w:type="dxa"/>
            <w:vAlign w:val="bottom"/>
          </w:tcPr>
          <w:p>
            <w:pPr>
              <w:jc w:val="right"/>
              <w:ind w:right="356"/>
              <w:spacing w:after="0"/>
              <w:rPr>
                <w:sz w:val="20"/>
                <w:szCs w:val="20"/>
                <w:color w:val="auto"/>
              </w:rPr>
            </w:pPr>
            <w:r>
              <w:rPr>
                <w:rFonts w:ascii="Arial" w:cs="Arial" w:eastAsia="Arial" w:hAnsi="Arial"/>
                <w:sz w:val="13"/>
                <w:szCs w:val="13"/>
                <w:b w:val="1"/>
                <w:bCs w:val="1"/>
                <w:color w:val="auto"/>
              </w:rPr>
              <w:t>Age</w:t>
            </w:r>
          </w:p>
        </w:tc>
        <w:tc>
          <w:tcPr>
            <w:tcW w:w="6160" w:type="dxa"/>
            <w:vAlign w:val="bottom"/>
          </w:tcPr>
          <w:p>
            <w:pPr>
              <w:ind w:left="220"/>
              <w:spacing w:after="0"/>
              <w:rPr>
                <w:sz w:val="20"/>
                <w:szCs w:val="20"/>
                <w:color w:val="auto"/>
              </w:rPr>
            </w:pPr>
            <w:r>
              <w:rPr>
                <w:rFonts w:ascii="Arial" w:cs="Arial" w:eastAsia="Arial" w:hAnsi="Arial"/>
                <w:sz w:val="13"/>
                <w:szCs w:val="13"/>
                <w:b w:val="1"/>
                <w:bCs w:val="1"/>
                <w:color w:val="auto"/>
              </w:rPr>
              <w:t>Title</w:t>
            </w:r>
          </w:p>
        </w:tc>
      </w:tr>
      <w:tr>
        <w:trPr>
          <w:trHeight w:val="248"/>
        </w:trPr>
        <w:tc>
          <w:tcPr>
            <w:tcW w:w="29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160" w:type="dxa"/>
            <w:vAlign w:val="bottom"/>
          </w:tcPr>
          <w:p>
            <w:pPr>
              <w:spacing w:after="0"/>
              <w:rPr>
                <w:sz w:val="21"/>
                <w:szCs w:val="21"/>
                <w:color w:val="auto"/>
              </w:rPr>
            </w:pPr>
          </w:p>
        </w:tc>
      </w:tr>
      <w:tr>
        <w:trPr>
          <w:trHeight w:val="170"/>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b w:val="1"/>
                <w:bCs w:val="1"/>
                <w:i w:val="1"/>
                <w:iCs w:val="1"/>
                <w:color w:val="auto"/>
              </w:rPr>
              <w:t>Executive Officers</w:t>
            </w:r>
          </w:p>
        </w:tc>
        <w:tc>
          <w:tcPr>
            <w:tcW w:w="2160" w:type="dxa"/>
            <w:vAlign w:val="bottom"/>
            <w:shd w:val="clear" w:color="auto" w:fill="D2EDFD"/>
          </w:tcPr>
          <w:p>
            <w:pPr>
              <w:spacing w:after="0"/>
              <w:rPr>
                <w:sz w:val="14"/>
                <w:szCs w:val="14"/>
                <w:color w:val="auto"/>
              </w:rPr>
            </w:pPr>
          </w:p>
        </w:tc>
        <w:tc>
          <w:tcPr>
            <w:tcW w:w="6160" w:type="dxa"/>
            <w:vAlign w:val="bottom"/>
            <w:shd w:val="clear" w:color="auto" w:fill="D2EDFD"/>
          </w:tcPr>
          <w:p>
            <w:pPr>
              <w:spacing w:after="0"/>
              <w:rPr>
                <w:sz w:val="14"/>
                <w:szCs w:val="14"/>
                <w:color w:val="auto"/>
              </w:rPr>
            </w:pPr>
          </w:p>
        </w:tc>
      </w:tr>
      <w:tr>
        <w:trPr>
          <w:trHeight w:val="168"/>
        </w:trPr>
        <w:tc>
          <w:tcPr>
            <w:tcW w:w="2960" w:type="dxa"/>
            <w:vAlign w:val="bottom"/>
          </w:tcPr>
          <w:p>
            <w:pPr>
              <w:ind w:left="140"/>
              <w:spacing w:after="0"/>
              <w:rPr>
                <w:sz w:val="20"/>
                <w:szCs w:val="20"/>
                <w:color w:val="auto"/>
              </w:rPr>
            </w:pPr>
            <w:r>
              <w:rPr>
                <w:rFonts w:ascii="Arial" w:cs="Arial" w:eastAsia="Arial" w:hAnsi="Arial"/>
                <w:sz w:val="13"/>
                <w:szCs w:val="13"/>
                <w:color w:val="auto"/>
              </w:rPr>
              <w:t>Dr. Thomas Caulfield</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64</w:t>
            </w:r>
          </w:p>
        </w:tc>
        <w:tc>
          <w:tcPr>
            <w:tcW w:w="6160" w:type="dxa"/>
            <w:vAlign w:val="bottom"/>
          </w:tcPr>
          <w:p>
            <w:pPr>
              <w:ind w:left="220"/>
              <w:spacing w:after="0"/>
              <w:rPr>
                <w:sz w:val="20"/>
                <w:szCs w:val="20"/>
                <w:color w:val="auto"/>
              </w:rPr>
            </w:pPr>
            <w:r>
              <w:rPr>
                <w:rFonts w:ascii="Arial" w:cs="Arial" w:eastAsia="Arial" w:hAnsi="Arial"/>
                <w:sz w:val="13"/>
                <w:szCs w:val="13"/>
                <w:color w:val="auto"/>
              </w:rPr>
              <w:t>President and Chief Executive Officer, Board Director</w:t>
            </w:r>
          </w:p>
        </w:tc>
      </w:tr>
      <w:tr>
        <w:trPr>
          <w:trHeight w:val="172"/>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color w:val="auto"/>
              </w:rPr>
              <w:t>David Reeder</w:t>
            </w:r>
          </w:p>
        </w:tc>
        <w:tc>
          <w:tcPr>
            <w:tcW w:w="216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48</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Chief Financial Officer</w:t>
            </w:r>
          </w:p>
        </w:tc>
      </w:tr>
      <w:tr>
        <w:trPr>
          <w:trHeight w:val="168"/>
        </w:trPr>
        <w:tc>
          <w:tcPr>
            <w:tcW w:w="2960" w:type="dxa"/>
            <w:vAlign w:val="bottom"/>
          </w:tcPr>
          <w:p>
            <w:pPr>
              <w:ind w:left="140"/>
              <w:spacing w:after="0"/>
              <w:rPr>
                <w:sz w:val="20"/>
                <w:szCs w:val="20"/>
                <w:color w:val="auto"/>
              </w:rPr>
            </w:pPr>
            <w:r>
              <w:rPr>
                <w:rFonts w:ascii="Arial" w:cs="Arial" w:eastAsia="Arial" w:hAnsi="Arial"/>
                <w:sz w:val="13"/>
                <w:szCs w:val="13"/>
                <w:color w:val="auto"/>
              </w:rPr>
              <w:t>Kay Chai (KC) Ang</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64</w:t>
            </w:r>
          </w:p>
        </w:tc>
        <w:tc>
          <w:tcPr>
            <w:tcW w:w="6160" w:type="dxa"/>
            <w:vAlign w:val="bottom"/>
          </w:tcPr>
          <w:p>
            <w:pPr>
              <w:ind w:left="220"/>
              <w:spacing w:after="0"/>
              <w:rPr>
                <w:sz w:val="20"/>
                <w:szCs w:val="20"/>
                <w:color w:val="auto"/>
              </w:rPr>
            </w:pPr>
            <w:r>
              <w:rPr>
                <w:rFonts w:ascii="Arial" w:cs="Arial" w:eastAsia="Arial" w:hAnsi="Arial"/>
                <w:sz w:val="13"/>
                <w:szCs w:val="13"/>
                <w:color w:val="auto"/>
              </w:rPr>
              <w:t>Chief Manufacturing Officer</w:t>
            </w:r>
          </w:p>
        </w:tc>
      </w:tr>
      <w:tr>
        <w:trPr>
          <w:trHeight w:val="172"/>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color w:val="auto"/>
              </w:rPr>
              <w:t>Saam Azar</w:t>
            </w:r>
          </w:p>
        </w:tc>
        <w:tc>
          <w:tcPr>
            <w:tcW w:w="216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46</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General Counsel</w:t>
            </w:r>
          </w:p>
        </w:tc>
      </w:tr>
      <w:tr>
        <w:trPr>
          <w:trHeight w:val="168"/>
        </w:trPr>
        <w:tc>
          <w:tcPr>
            <w:tcW w:w="2960" w:type="dxa"/>
            <w:vAlign w:val="bottom"/>
          </w:tcPr>
          <w:p>
            <w:pPr>
              <w:ind w:left="140"/>
              <w:spacing w:after="0"/>
              <w:rPr>
                <w:sz w:val="20"/>
                <w:szCs w:val="20"/>
                <w:color w:val="auto"/>
              </w:rPr>
            </w:pPr>
            <w:r>
              <w:rPr>
                <w:rFonts w:ascii="Arial" w:cs="Arial" w:eastAsia="Arial" w:hAnsi="Arial"/>
                <w:sz w:val="13"/>
                <w:szCs w:val="13"/>
                <w:color w:val="auto"/>
              </w:rPr>
              <w:t>Juan Cordovez</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44</w:t>
            </w:r>
          </w:p>
        </w:tc>
        <w:tc>
          <w:tcPr>
            <w:tcW w:w="6160" w:type="dxa"/>
            <w:vAlign w:val="bottom"/>
          </w:tcPr>
          <w:p>
            <w:pPr>
              <w:ind w:left="220"/>
              <w:spacing w:after="0"/>
              <w:rPr>
                <w:sz w:val="20"/>
                <w:szCs w:val="20"/>
                <w:color w:val="auto"/>
              </w:rPr>
            </w:pPr>
            <w:r>
              <w:rPr>
                <w:rFonts w:ascii="Arial" w:cs="Arial" w:eastAsia="Arial" w:hAnsi="Arial"/>
                <w:sz w:val="13"/>
                <w:szCs w:val="13"/>
                <w:color w:val="auto"/>
              </w:rPr>
              <w:t>Chief Commercial Officer</w:t>
            </w:r>
          </w:p>
        </w:tc>
      </w:tr>
      <w:tr>
        <w:trPr>
          <w:trHeight w:val="172"/>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color w:val="auto"/>
              </w:rPr>
              <w:t>Pradheepa Raman</w:t>
            </w:r>
          </w:p>
        </w:tc>
        <w:tc>
          <w:tcPr>
            <w:tcW w:w="216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42</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Chief People Officer</w:t>
            </w:r>
          </w:p>
        </w:tc>
      </w:tr>
      <w:tr>
        <w:trPr>
          <w:trHeight w:val="168"/>
        </w:trPr>
        <w:tc>
          <w:tcPr>
            <w:tcW w:w="2960" w:type="dxa"/>
            <w:vAlign w:val="bottom"/>
          </w:tcPr>
          <w:p>
            <w:pPr>
              <w:ind w:left="140"/>
              <w:spacing w:after="0"/>
              <w:rPr>
                <w:sz w:val="20"/>
                <w:szCs w:val="20"/>
                <w:color w:val="auto"/>
              </w:rPr>
            </w:pPr>
            <w:r>
              <w:rPr>
                <w:rFonts w:ascii="Arial" w:cs="Arial" w:eastAsia="Arial" w:hAnsi="Arial"/>
                <w:sz w:val="13"/>
                <w:szCs w:val="13"/>
                <w:b w:val="1"/>
                <w:bCs w:val="1"/>
                <w:i w:val="1"/>
                <w:iCs w:val="1"/>
                <w:color w:val="auto"/>
              </w:rPr>
              <w:t>Board of Directors</w:t>
            </w:r>
          </w:p>
        </w:tc>
        <w:tc>
          <w:tcPr>
            <w:tcW w:w="2160" w:type="dxa"/>
            <w:vAlign w:val="bottom"/>
          </w:tcPr>
          <w:p>
            <w:pPr>
              <w:spacing w:after="0"/>
              <w:rPr>
                <w:sz w:val="14"/>
                <w:szCs w:val="14"/>
                <w:color w:val="auto"/>
              </w:rPr>
            </w:pPr>
          </w:p>
        </w:tc>
        <w:tc>
          <w:tcPr>
            <w:tcW w:w="6160" w:type="dxa"/>
            <w:vAlign w:val="bottom"/>
          </w:tcPr>
          <w:p>
            <w:pPr>
              <w:spacing w:after="0"/>
              <w:rPr>
                <w:sz w:val="14"/>
                <w:szCs w:val="14"/>
                <w:color w:val="auto"/>
              </w:rPr>
            </w:pPr>
          </w:p>
        </w:tc>
      </w:tr>
      <w:tr>
        <w:trPr>
          <w:trHeight w:val="171"/>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color w:val="auto"/>
              </w:rPr>
              <w:t>Ahmed Yahia</w:t>
            </w:r>
          </w:p>
        </w:tc>
        <w:tc>
          <w:tcPr>
            <w:tcW w:w="216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50</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Chairman</w:t>
            </w:r>
          </w:p>
        </w:tc>
      </w:tr>
      <w:tr>
        <w:trPr>
          <w:trHeight w:val="168"/>
        </w:trPr>
        <w:tc>
          <w:tcPr>
            <w:tcW w:w="2960" w:type="dxa"/>
            <w:vAlign w:val="bottom"/>
          </w:tcPr>
          <w:p>
            <w:pPr>
              <w:ind w:left="140"/>
              <w:spacing w:after="0"/>
              <w:rPr>
                <w:sz w:val="20"/>
                <w:szCs w:val="20"/>
                <w:color w:val="auto"/>
              </w:rPr>
            </w:pPr>
            <w:r>
              <w:rPr>
                <w:rFonts w:ascii="Arial" w:cs="Arial" w:eastAsia="Arial" w:hAnsi="Arial"/>
                <w:sz w:val="13"/>
                <w:szCs w:val="13"/>
                <w:color w:val="auto"/>
              </w:rPr>
              <w:t>Dr. Thomas Caulfield</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64</w:t>
            </w:r>
          </w:p>
        </w:tc>
        <w:tc>
          <w:tcPr>
            <w:tcW w:w="6160" w:type="dxa"/>
            <w:vAlign w:val="bottom"/>
          </w:tcPr>
          <w:p>
            <w:pPr>
              <w:ind w:left="220"/>
              <w:spacing w:after="0"/>
              <w:rPr>
                <w:sz w:val="20"/>
                <w:szCs w:val="20"/>
                <w:color w:val="auto"/>
              </w:rPr>
            </w:pPr>
            <w:r>
              <w:rPr>
                <w:rFonts w:ascii="Arial" w:cs="Arial" w:eastAsia="Arial" w:hAnsi="Arial"/>
                <w:sz w:val="13"/>
                <w:szCs w:val="13"/>
                <w:color w:val="auto"/>
              </w:rPr>
              <w:t>President and Chief Executive Officer, Board Director</w:t>
            </w:r>
          </w:p>
        </w:tc>
      </w:tr>
      <w:tr>
        <w:trPr>
          <w:trHeight w:val="172"/>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color w:val="auto"/>
              </w:rPr>
              <w:t>Ahmed Saeed Al Calily</w:t>
            </w:r>
          </w:p>
        </w:tc>
        <w:tc>
          <w:tcPr>
            <w:tcW w:w="216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49</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Board Director</w:t>
            </w:r>
          </w:p>
        </w:tc>
      </w:tr>
      <w:tr>
        <w:trPr>
          <w:trHeight w:val="168"/>
        </w:trPr>
        <w:tc>
          <w:tcPr>
            <w:tcW w:w="2960" w:type="dxa"/>
            <w:vAlign w:val="bottom"/>
          </w:tcPr>
          <w:p>
            <w:pPr>
              <w:ind w:left="140"/>
              <w:spacing w:after="0"/>
              <w:rPr>
                <w:sz w:val="20"/>
                <w:szCs w:val="20"/>
                <w:color w:val="auto"/>
              </w:rPr>
            </w:pPr>
            <w:r>
              <w:rPr>
                <w:rFonts w:ascii="Arial" w:cs="Arial" w:eastAsia="Arial" w:hAnsi="Arial"/>
                <w:sz w:val="13"/>
                <w:szCs w:val="13"/>
                <w:color w:val="auto"/>
              </w:rPr>
              <w:t>Tim Breen</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45</w:t>
            </w:r>
          </w:p>
        </w:tc>
        <w:tc>
          <w:tcPr>
            <w:tcW w:w="6160" w:type="dxa"/>
            <w:vAlign w:val="bottom"/>
          </w:tcPr>
          <w:p>
            <w:pPr>
              <w:ind w:left="220"/>
              <w:spacing w:after="0"/>
              <w:rPr>
                <w:sz w:val="20"/>
                <w:szCs w:val="20"/>
                <w:color w:val="auto"/>
              </w:rPr>
            </w:pPr>
            <w:r>
              <w:rPr>
                <w:rFonts w:ascii="Arial" w:cs="Arial" w:eastAsia="Arial" w:hAnsi="Arial"/>
                <w:sz w:val="13"/>
                <w:szCs w:val="13"/>
                <w:color w:val="auto"/>
              </w:rPr>
              <w:t>Board Director</w:t>
            </w:r>
          </w:p>
        </w:tc>
      </w:tr>
      <w:tr>
        <w:trPr>
          <w:trHeight w:val="172"/>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color w:val="auto"/>
              </w:rPr>
              <w:t>Glenda Dorchak</w:t>
            </w:r>
          </w:p>
        </w:tc>
        <w:tc>
          <w:tcPr>
            <w:tcW w:w="216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68</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Board Director</w:t>
            </w:r>
          </w:p>
        </w:tc>
      </w:tr>
      <w:tr>
        <w:trPr>
          <w:trHeight w:val="168"/>
        </w:trPr>
        <w:tc>
          <w:tcPr>
            <w:tcW w:w="2960" w:type="dxa"/>
            <w:vAlign w:val="bottom"/>
          </w:tcPr>
          <w:p>
            <w:pPr>
              <w:ind w:left="140"/>
              <w:spacing w:after="0"/>
              <w:rPr>
                <w:sz w:val="20"/>
                <w:szCs w:val="20"/>
                <w:color w:val="auto"/>
              </w:rPr>
            </w:pPr>
            <w:r>
              <w:rPr>
                <w:rFonts w:ascii="Arial" w:cs="Arial" w:eastAsia="Arial" w:hAnsi="Arial"/>
                <w:sz w:val="13"/>
                <w:szCs w:val="13"/>
                <w:color w:val="auto"/>
              </w:rPr>
              <w:t>Martin L. Edelman</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81</w:t>
            </w:r>
          </w:p>
        </w:tc>
        <w:tc>
          <w:tcPr>
            <w:tcW w:w="6160" w:type="dxa"/>
            <w:vAlign w:val="bottom"/>
          </w:tcPr>
          <w:p>
            <w:pPr>
              <w:ind w:left="220"/>
              <w:spacing w:after="0"/>
              <w:rPr>
                <w:sz w:val="20"/>
                <w:szCs w:val="20"/>
                <w:color w:val="auto"/>
              </w:rPr>
            </w:pPr>
            <w:r>
              <w:rPr>
                <w:rFonts w:ascii="Arial" w:cs="Arial" w:eastAsia="Arial" w:hAnsi="Arial"/>
                <w:sz w:val="13"/>
                <w:szCs w:val="13"/>
                <w:color w:val="auto"/>
              </w:rPr>
              <w:t>Board Director</w:t>
            </w:r>
          </w:p>
        </w:tc>
      </w:tr>
      <w:tr>
        <w:trPr>
          <w:trHeight w:val="172"/>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color w:val="auto"/>
              </w:rPr>
              <w:t>David Kerko</w:t>
            </w:r>
          </w:p>
        </w:tc>
        <w:tc>
          <w:tcPr>
            <w:tcW w:w="216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50</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Lead Independent Director</w:t>
            </w:r>
          </w:p>
        </w:tc>
      </w:tr>
      <w:tr>
        <w:trPr>
          <w:trHeight w:val="168"/>
        </w:trPr>
        <w:tc>
          <w:tcPr>
            <w:tcW w:w="2960" w:type="dxa"/>
            <w:vAlign w:val="bottom"/>
          </w:tcPr>
          <w:p>
            <w:pPr>
              <w:ind w:left="140"/>
              <w:spacing w:after="0"/>
              <w:rPr>
                <w:sz w:val="20"/>
                <w:szCs w:val="20"/>
                <w:color w:val="auto"/>
              </w:rPr>
            </w:pPr>
            <w:r>
              <w:rPr>
                <w:rFonts w:ascii="Arial" w:cs="Arial" w:eastAsia="Arial" w:hAnsi="Arial"/>
                <w:sz w:val="13"/>
                <w:szCs w:val="13"/>
                <w:color w:val="auto"/>
              </w:rPr>
              <w:t>Jack Lazar</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57</w:t>
            </w:r>
          </w:p>
        </w:tc>
        <w:tc>
          <w:tcPr>
            <w:tcW w:w="6160" w:type="dxa"/>
            <w:vAlign w:val="bottom"/>
          </w:tcPr>
          <w:p>
            <w:pPr>
              <w:ind w:left="220"/>
              <w:spacing w:after="0"/>
              <w:rPr>
                <w:sz w:val="20"/>
                <w:szCs w:val="20"/>
                <w:color w:val="auto"/>
              </w:rPr>
            </w:pPr>
            <w:r>
              <w:rPr>
                <w:rFonts w:ascii="Arial" w:cs="Arial" w:eastAsia="Arial" w:hAnsi="Arial"/>
                <w:sz w:val="13"/>
                <w:szCs w:val="13"/>
                <w:color w:val="auto"/>
              </w:rPr>
              <w:t>Board Director</w:t>
            </w:r>
          </w:p>
        </w:tc>
      </w:tr>
      <w:tr>
        <w:trPr>
          <w:trHeight w:val="172"/>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color w:val="auto"/>
              </w:rPr>
              <w:t>Elissa E. Murphy</w:t>
            </w:r>
          </w:p>
        </w:tc>
        <w:tc>
          <w:tcPr>
            <w:tcW w:w="216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54</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Board Director</w:t>
            </w:r>
          </w:p>
        </w:tc>
      </w:tr>
      <w:tr>
        <w:trPr>
          <w:trHeight w:val="168"/>
        </w:trPr>
        <w:tc>
          <w:tcPr>
            <w:tcW w:w="2960" w:type="dxa"/>
            <w:vAlign w:val="bottom"/>
          </w:tcPr>
          <w:p>
            <w:pPr>
              <w:ind w:left="140"/>
              <w:spacing w:after="0"/>
              <w:rPr>
                <w:sz w:val="20"/>
                <w:szCs w:val="20"/>
                <w:color w:val="auto"/>
              </w:rPr>
            </w:pPr>
            <w:r>
              <w:rPr>
                <w:rFonts w:ascii="Arial" w:cs="Arial" w:eastAsia="Arial" w:hAnsi="Arial"/>
                <w:sz w:val="13"/>
                <w:szCs w:val="13"/>
                <w:color w:val="auto"/>
              </w:rPr>
              <w:t>Carlos Obeid</w:t>
            </w:r>
          </w:p>
        </w:tc>
        <w:tc>
          <w:tcPr>
            <w:tcW w:w="2160" w:type="dxa"/>
            <w:vAlign w:val="bottom"/>
          </w:tcPr>
          <w:p>
            <w:pPr>
              <w:jc w:val="right"/>
              <w:ind w:right="136"/>
              <w:spacing w:after="0"/>
              <w:rPr>
                <w:sz w:val="20"/>
                <w:szCs w:val="20"/>
                <w:color w:val="auto"/>
              </w:rPr>
            </w:pPr>
            <w:r>
              <w:rPr>
                <w:rFonts w:ascii="Arial" w:cs="Arial" w:eastAsia="Arial" w:hAnsi="Arial"/>
                <w:sz w:val="13"/>
                <w:szCs w:val="13"/>
                <w:color w:val="auto"/>
              </w:rPr>
              <w:t>58</w:t>
            </w:r>
          </w:p>
        </w:tc>
        <w:tc>
          <w:tcPr>
            <w:tcW w:w="6160" w:type="dxa"/>
            <w:vAlign w:val="bottom"/>
          </w:tcPr>
          <w:p>
            <w:pPr>
              <w:ind w:left="220"/>
              <w:spacing w:after="0"/>
              <w:rPr>
                <w:sz w:val="20"/>
                <w:szCs w:val="20"/>
                <w:color w:val="auto"/>
              </w:rPr>
            </w:pPr>
            <w:r>
              <w:rPr>
                <w:rFonts w:ascii="Arial" w:cs="Arial" w:eastAsia="Arial" w:hAnsi="Arial"/>
                <w:sz w:val="13"/>
                <w:szCs w:val="13"/>
                <w:color w:val="auto"/>
              </w:rPr>
              <w:t>Board Director</w:t>
            </w:r>
          </w:p>
        </w:tc>
      </w:tr>
      <w:tr>
        <w:trPr>
          <w:trHeight w:val="172"/>
        </w:trPr>
        <w:tc>
          <w:tcPr>
            <w:tcW w:w="2960" w:type="dxa"/>
            <w:vAlign w:val="bottom"/>
            <w:shd w:val="clear" w:color="auto" w:fill="D2EDFD"/>
          </w:tcPr>
          <w:p>
            <w:pPr>
              <w:ind w:left="140"/>
              <w:spacing w:after="0"/>
              <w:rPr>
                <w:sz w:val="20"/>
                <w:szCs w:val="20"/>
                <w:color w:val="auto"/>
              </w:rPr>
            </w:pPr>
            <w:r>
              <w:rPr>
                <w:rFonts w:ascii="Arial" w:cs="Arial" w:eastAsia="Arial" w:hAnsi="Arial"/>
                <w:sz w:val="13"/>
                <w:szCs w:val="13"/>
                <w:color w:val="auto"/>
              </w:rPr>
              <w:t>Bobby Yerramilli-Rao</w:t>
            </w:r>
          </w:p>
        </w:tc>
        <w:tc>
          <w:tcPr>
            <w:tcW w:w="2160" w:type="dxa"/>
            <w:vAlign w:val="bottom"/>
            <w:shd w:val="clear" w:color="auto" w:fill="D2EDFD"/>
          </w:tcPr>
          <w:p>
            <w:pPr>
              <w:jc w:val="right"/>
              <w:ind w:right="136"/>
              <w:spacing w:after="0"/>
              <w:rPr>
                <w:sz w:val="20"/>
                <w:szCs w:val="20"/>
                <w:color w:val="auto"/>
              </w:rPr>
            </w:pPr>
            <w:r>
              <w:rPr>
                <w:rFonts w:ascii="Arial" w:cs="Arial" w:eastAsia="Arial" w:hAnsi="Arial"/>
                <w:sz w:val="13"/>
                <w:szCs w:val="13"/>
                <w:color w:val="auto"/>
              </w:rPr>
              <w:t>56</w:t>
            </w:r>
          </w:p>
        </w:tc>
        <w:tc>
          <w:tcPr>
            <w:tcW w:w="6160" w:type="dxa"/>
            <w:vAlign w:val="bottom"/>
            <w:shd w:val="clear" w:color="auto" w:fill="D2EDFD"/>
          </w:tcPr>
          <w:p>
            <w:pPr>
              <w:ind w:left="220"/>
              <w:spacing w:after="0"/>
              <w:rPr>
                <w:sz w:val="20"/>
                <w:szCs w:val="20"/>
                <w:color w:val="auto"/>
              </w:rPr>
            </w:pPr>
            <w:r>
              <w:rPr>
                <w:rFonts w:ascii="Arial" w:cs="Arial" w:eastAsia="Arial" w:hAnsi="Arial"/>
                <w:sz w:val="13"/>
                <w:szCs w:val="13"/>
                <w:color w:val="auto"/>
              </w:rPr>
              <w:t>Board Director</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Officers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3"/>
          <w:szCs w:val="13"/>
          <w:b w:val="1"/>
          <w:bCs w:val="1"/>
          <w:i w:val="1"/>
          <w:iCs w:val="1"/>
          <w:color w:val="auto"/>
        </w:rPr>
        <w:t xml:space="preserve">Dr. Thomas Caulfield </w:t>
      </w:r>
      <w:r>
        <w:rPr>
          <w:rFonts w:ascii="Arial" w:cs="Arial" w:eastAsia="Arial" w:hAnsi="Arial"/>
          <w:sz w:val="13"/>
          <w:szCs w:val="13"/>
          <w:color w:val="auto"/>
        </w:rPr>
        <w:t>is the President and Chief Executive Officer (“CEO”) of GF and was elected to the board of directors in March 2018. Dr. Caulfield joined the Company in May 2014 as Senior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Vice President and General Manager of the Company’s Fab 8 semiconductor wafer manufacturing facility in Malta, NY, where he led operations, expansion and the ramp-up of semiconductor manufacturing production, and the process development organization. Dr. Caulfield has an extensive career spanning engineering, executive management and global operational leadership with leading technology companies. Prior to joining GF, Dr. Caulfield served as President and Chief Operations Officer (“COO”) at Soraa from May 2012 to May 2014, the world’s leading developer of GaN on GaN</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(gallium nitride on gallium nitride) solid-state lighting technology. Before Soraa, Dr. Caulfield served as President and COO of Ausra from 2009 to 2010, a leading provider of large-scale concentrated solar power solutions for electrical power generation and industrial steam production. Prior to leading at Ausra, Dr. Caulfield served as Executive Vice President of Sales, Marketing and Customer Service at Novellus Systems, Inc. Before that, Dr. Caulfield spent 17 years at IBM in a variety of senior leadership roles, ultimately serving as Vice President of 300mm semiconductor operations for IBM’s Microelectronics division, leading its wafer fabrication and R&amp;D operations in East Fishkill, NY. He currently serves as a member of the board of directors for Western Digital Corporation. Dr. Caulfield earned a Bachelor of Science in Physics from St. Lawrence University before entering Columbia University’s Fu Foundation School of Engineering and Applied Science, where he earned both his Bachelor and Master of Science in Materials Science and Engineering as well as a Doctorate in Materials Science and Engineering. Dr. Caulfield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was also a postdoctoral fellow at Columbia’s Engineering Center for Strategic Materials.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David Reeder </w:t>
      </w:r>
      <w:r>
        <w:rPr>
          <w:rFonts w:ascii="Arial" w:cs="Arial" w:eastAsia="Arial" w:hAnsi="Arial"/>
          <w:sz w:val="13"/>
          <w:szCs w:val="13"/>
          <w:color w:val="auto"/>
        </w:rPr>
        <w:t>is Chief Financial Officer (“CFO”) of GF, responsible for the Company’s financial strategy and leading the global financial, information technology, supply chain and procurement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organizations. He joined GF in August 2020 and has extensive experience in the semiconductor industry and other fields. Previously, he was Chief Executive Officer for Tower Hill Insurance Group from 2017 to 2020. Prior to that, he was President and CEO for Lexmark International, Inc. from 2015 to 2017. Earlier in his career, Mr. Reeder was CFO at Electronics for Imaging from 2014 to 2015 and Cisco’s Enterprise Networking Division from 2012 to 2014, and held executive positions at Broadcom and Texas Instruments. Mr. Reeder currently serves as a member of the board of directors of the National Action Council for Minorities in Engineering and previously served as a member of the Audit Committee for Milacron Holdings Corp. He holds a Bachelor of Science degree in Chemical Engineering from University of Arkansas and a Master of Business Administration degree from Southern Methodist University.</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Kay Chai (KC) Ang </w:t>
      </w:r>
      <w:r>
        <w:rPr>
          <w:rFonts w:ascii="Arial" w:cs="Arial" w:eastAsia="Arial" w:hAnsi="Arial"/>
          <w:sz w:val="13"/>
          <w:szCs w:val="13"/>
          <w:color w:val="auto"/>
        </w:rPr>
        <w:t>is Chief Manufacturing Officer for GF, a position he was appointed to in 2022. Mr. Ang joined GF in July 2009 and has served in a variety of senior leadership roles for the Company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head of all of our Singapore operations from 2012 to 2020 and as head of the Fab 1 manufacturing facility, customer engineering and corporate quality organizations. Mr. Ang has more than 30 years of foundry industry experience with a proven track record in manufacturing operations, fab start-up, and technology transfer. Prior to joining the company, he held senior leadership positions at Chartered Semiconductor Manufacturing from 1988 to 2009, including Senior Vice President of Sales and Marketing with responsibility for global sales, marketing, services, customer support and regional business operations, and Senior Vice President of Fab Operations, with responsibility for manufacturing strategy and operational excellence. He is also the SEMI Southeast Asia Regional Advisory Chairman and the Board Advisor to Singapore Semiconductor Industry Association. Mr. Ang holds a bachelor’s degree in Mechanical Engineering from National Taiwan University and a master’s degree in Engineering from University of Texas.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Saam Azar </w:t>
      </w:r>
      <w:r>
        <w:rPr>
          <w:rFonts w:ascii="Arial" w:cs="Arial" w:eastAsia="Arial" w:hAnsi="Arial"/>
          <w:sz w:val="13"/>
          <w:szCs w:val="13"/>
          <w:color w:val="auto"/>
        </w:rPr>
        <w:t>is General Counsel for GF since January 2017. He oversees all legal, compliance, government relations, environmental health security and safety matters worldwide, including GF’s ESG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program. Mr. Azar also serves as Secretary to the GF board of directors and has been involved with the Company since its founding in 2009. From 2006 to 2017, Mr. Azar has also served in various roles for GF’s majority shareholder, Mubadala Investment Company, as a senior member of the Legal &amp; Compliance Unit, working primarily on complex, cross border partnerships. Prior to Mubadala, he worked as a corporate associate at the international law firm of Cleary Gottlieb in New York, where he supported numerous corporate transactions with an emphasis on debt and equity capital markets. Mr. Azar holds a J.D. from New York University School of Law and a Bachelor of Science degree in Civil and Environmental Engineering from Duke University.</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Juan Cordovez </w:t>
      </w:r>
      <w:r>
        <w:rPr>
          <w:rFonts w:ascii="Arial" w:cs="Arial" w:eastAsia="Arial" w:hAnsi="Arial"/>
          <w:sz w:val="13"/>
          <w:szCs w:val="13"/>
          <w:color w:val="auto"/>
        </w:rPr>
        <w:t>is Chief Commercial Officer at GF since 2022, responsible for the end-to-end customer journey across business development, customer technical delivery and management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strategic partnerships. Mr. Cordovez also oversees customer solutions, tape operations, commercial strategy, and commercial operations. Prior to his current role, Mr. Cordovez was Senior Vice President of Global Sales. Before being appointed to that position, he led GF’s EMEA and later APAC sales from 2016 to 2019. Prior to that, Mr. Cordovez led GF’s Customer Design Enablement Team including the PDK, device modeling and field applications engineering teams from 2013 to 2016. Prior to joining GF, Mr. Cordovez was founder and Vice President of Sentinel IC Technologies from 2008 to 2013 and Manager of Design Enablement at Jazz Semiconductor from 2002 to 2008. He holds a Master of Science degree in Electrical and Computer Engineering from the University of California, Irvine</w:t>
      </w:r>
      <w:r>
        <w:rPr>
          <w:rFonts w:ascii="Arial" w:cs="Arial" w:eastAsia="Arial" w:hAnsi="Arial"/>
          <w:sz w:val="13"/>
          <w:szCs w:val="13"/>
          <w:b w:val="1"/>
          <w:bCs w:val="1"/>
          <w:color w:val="auto"/>
        </w:rPr>
        <w:t>.</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i w:val="1"/>
          <w:iCs w:val="1"/>
          <w:color w:val="auto"/>
        </w:rPr>
        <w:t xml:space="preserve">Pradheepa Raman </w:t>
      </w:r>
      <w:r>
        <w:rPr>
          <w:rFonts w:ascii="Arial" w:cs="Arial" w:eastAsia="Arial" w:hAnsi="Arial"/>
          <w:sz w:val="12"/>
          <w:szCs w:val="12"/>
          <w:color w:val="auto"/>
        </w:rPr>
        <w:t>is Chief People Officer at GF since September 2022 and has global responsibility for GF’s human resources practice areas including talent acquisition, development and retention,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creation and delivery of people solutions, total rewards, organizational development and expanding on GF’s culture of innovation, diversity, inclusion and safety. Prior to joining GF, Ms. Raman was Global Head of Human Resources and Chief Transformation Officer for the Global Tools &amp; Storage business unit of Stanley Black &amp; Decker, where she led a comprehensive effort to deliver a best-in-class employee experience, built organizational resiliency through skills and leadership development, and helped enable business growth and innovation across the business unit. Before holding that position, she was the Chief Talent Officer for Stanley Black &amp; Decker and held senior human resource positions at Samsung Electronics America and Avaya. Ms. Raman holds a bachelor’s degree in Electronics and Communication Engineering from Anna University in Tamil Nadu, India, and a master’s degree in Human Resources Management from Rutgers in New Jersey.</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of Directors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Ahmed Yahia </w:t>
      </w:r>
      <w:r>
        <w:rPr>
          <w:rFonts w:ascii="Arial" w:cs="Arial" w:eastAsia="Arial" w:hAnsi="Arial"/>
          <w:sz w:val="13"/>
          <w:szCs w:val="13"/>
          <w:color w:val="auto"/>
        </w:rPr>
        <w:t>was elected to the board of directors as Chairman in December 2013. Mr. Yahia is currently the Chief Executive Officer, Direct Investments at Mubadala Investment Company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oversight of the Energy, Technology, Life Sciences, Consumer, Industrial &amp; Business Services and Financial Services portfolios. Mr. Yahia is also a member of Mubadala's Investment Committee, which develops Mubadala's investment policies and reviews proposed projects. He is also a member of Mubadala's Investment &amp; Business Planning Committee, which approves transactions within certain financial thresholds in addition to overseeing Mubadala’s consolidated business planning and performance monitoring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60" w:name="page61"/>
    <w:bookmarkEnd w:id="60"/>
    <w:p>
      <w:pPr>
        <w:jc w:val="both"/>
        <w:spacing w:after="0" w:line="248" w:lineRule="auto"/>
        <w:rPr>
          <w:sz w:val="20"/>
          <w:szCs w:val="20"/>
          <w:color w:val="auto"/>
        </w:rPr>
      </w:pPr>
      <w:r>
        <w:rPr>
          <w:rFonts w:ascii="Arial" w:cs="Arial" w:eastAsia="Arial" w:hAnsi="Arial"/>
          <w:sz w:val="13"/>
          <w:szCs w:val="13"/>
          <w:color w:val="auto"/>
        </w:rPr>
        <w:t>processes. Prior to joining Mubadala, Mr. Yahia was a Partner at McKinsey &amp; Company, where he co-led the Principal Investor practice and was also the Managing Partner of the Abu Dhabi practice. He was formerly a Marketing Manager at Procter &amp; Gamble, where he led several flagship brands. He also serves as the Chairman of the board of directors of Compañía Española de Petróleos (“Cepsa”), and of NOVA Chemicals, and is a member of the board of directors of Abu Dhabi Investment Council (“ADIC”), Mubadala Capital, PCI Pharma Services and Emirates Global Aluminium. Previously, Mr. Yahia served as a board member for AMD from 2012 to 2019. He holds a Bachelor of Science in Industrial Engineering from École Centrale Paris and a Master of Science in Mechanical Engineering/Product Strategy from the Massachusetts Institute of Technology. Mr. Yahia is an independent, non-executive director pursuant to applicable Nasdaq rules.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Dr. Thomas Caulfield </w:t>
      </w:r>
      <w:r>
        <w:rPr>
          <w:rFonts w:ascii="Arial" w:cs="Arial" w:eastAsia="Arial" w:hAnsi="Arial"/>
          <w:sz w:val="13"/>
          <w:szCs w:val="13"/>
          <w:color w:val="auto"/>
        </w:rPr>
        <w:t>is the President and Chief Executive Officer (CEO) of GF and was elected to the board of directors in March 2018. Please see above under “Executive Officers” for a description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the business experience of Dr. Caulfield.</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Ahmed Saeed Al Calily </w:t>
      </w:r>
      <w:r>
        <w:rPr>
          <w:rFonts w:ascii="Arial" w:cs="Arial" w:eastAsia="Arial" w:hAnsi="Arial"/>
          <w:sz w:val="13"/>
          <w:szCs w:val="13"/>
          <w:color w:val="auto"/>
        </w:rPr>
        <w:t>was elected to the board of directors in March 2018. Mr. Al Calily is the Chief Strategy &amp; Risk Officer for Mubadala Investment Company “(Mubadala”) with oversight over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portfolio strategy, enterprise risk management, and responsible investing. Prior to that, Mr. Al Calily was the Chief Executive Officer of Energy at Mubadala, where he oversaw the company’s energy assets. Prior to re-joining Mubadala, Mr. Al Calily was director general of the Abu Dhabi Technology Development Committee and Chief Executive Officer and managing director of the Abu Dhabi Ports Company. Mr. Al Calily also served as deputy director of the infrastructure and services unit at Mubadala. He currently serves as a member of the board of directors at Abu Dhabi Future Energy Company (“Masdar”), Abu Dhabi Investment Council (“ADIC”), Cleveland Clinic Abu Dhabi LLC (“CCAD”), Mubadala Capital and Emirates Global Aluminum (“EGA”). Mr. Al Calily holds a bachelor’s degree in Economics and Political Science from Boston University. Mr. Al Calily is an independent, non-executive director pursuant to applicable Nasdaq rules.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Tim Breen </w:t>
      </w:r>
      <w:r>
        <w:rPr>
          <w:rFonts w:ascii="Arial" w:cs="Arial" w:eastAsia="Arial" w:hAnsi="Arial"/>
          <w:sz w:val="13"/>
          <w:szCs w:val="13"/>
          <w:color w:val="auto"/>
        </w:rPr>
        <w:t>was elected to the board of directors in January 2018. Mr. Breen also currently serves as senior advisor to the CEO of GF. In 2020, he served as Executive Vice President of Strategy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Business Performance and as senior counselor to the Chief Executive Officer. Prior to that, he served as the Executive Vice President of Strategy and Business Transformation from 2018 to August 2020. He is currently a member of the senior leadership team of Mubadala Investment Company and head of its New York Office, responsible for the firm’s direct investments in the technology and consumer sectors and serves on the board of directors of a number of Mubadala’s North American investments, including NOVA Chemicals. Prior to joining Mubadala, Mr. Breen was a Partner with McKinsey in Abu Dhabi. He holds a Master of Business Administration degree from London Business School.</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Glenda Dorchak </w:t>
      </w:r>
      <w:r>
        <w:rPr>
          <w:rFonts w:ascii="Arial" w:cs="Arial" w:eastAsia="Arial" w:hAnsi="Arial"/>
          <w:sz w:val="13"/>
          <w:szCs w:val="13"/>
          <w:color w:val="auto"/>
        </w:rPr>
        <w:t>was elected to the board of directors in June 2019. Ms. Dorchak spent over thirty years in operational leadership roles in the technology industry, most recently as Executive Vice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President and General Manager of Global Business with Spansion, Inc., a flash memory manufacturer. She started her career with 20 years at IBM where she held a range of operating roles including General Manager PC Direct. She eventually moved to e-retail startup Value America where she was part of the IPO team eventually becoming Chairman and CEO. She subsequently joined Intel Corp. as Vice President and COO of Intel Communications Group, then went on to serve as Vice President and General Manager, Broadband Products Group and later, Vice President and General Manager, Consumer Electronics Group. After Intel, Ms. Dorchak was Chairperson and Chief Executive Officer of Intrinsyc Software and Vice Chairman and Chief Executive Officer of VirtualLogix. Ms. Dorchak currently does advisory and board work and serves as a member of the board of directors at ANSYS, Inc. and Wolfspeed Inc. Ms. Dorchak is an independent, non-executive director pursuant to applicable Nasdaq rules.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Martin L. Edelman </w:t>
      </w:r>
      <w:r>
        <w:rPr>
          <w:rFonts w:ascii="Arial" w:cs="Arial" w:eastAsia="Arial" w:hAnsi="Arial"/>
          <w:sz w:val="13"/>
          <w:szCs w:val="13"/>
          <w:color w:val="auto"/>
        </w:rPr>
        <w:t>was elected to the board of directors in February 2017 and is a Mubadala designee. Mr. Edelman serves as “Of Counsel” in the real estate practice of Paul Hastings LLP. He has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been an advisor to Grove Investors and is a partner at Fisher Brothers, a real estate partnership. Mr. Edelman is a Director of Equity Commonwealth and Aldar Properties and currently serves on the boards of various nongovernmental organizations. Previously, Mr. Edelman served as a board member for AMD from 2013 to 2017. He has more than 40 years of experience and concentrates his practice on real estate and corporate mergers and acquisitions transactions. Mr. Edelman holds a Bachelor of Arts degree from Princeton University and a law degree from Columbia Law School. Mr. Edelman is an independent, non-executive director pursuant to applicable Nasdaq rules.</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David Kerko </w:t>
      </w:r>
      <w:r>
        <w:rPr>
          <w:rFonts w:ascii="Arial" w:cs="Arial" w:eastAsia="Arial" w:hAnsi="Arial"/>
          <w:sz w:val="13"/>
          <w:szCs w:val="13"/>
          <w:color w:val="auto"/>
        </w:rPr>
        <w:t>was elected to the board of directors in January 2018. Mr. Kerko is Head of North America Private Equity at Elliott Investment Management L.P. Prior to joining Elliott, Mr. Kerko was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advisor, member and co-head of the Technology Group at Kohlberg Kravis Roberts &amp; Co. Inc. (“KKR”). Prior to joining KKR, he worked for Gleacher NatWest Inc. on mergers and acquisition transactions and financing. Mr. Kerko is a member of the board of directors of Cubic Corporation, Nielsen and Cloud Software Group (“CSG”). Mr. Kerko holds a Bachelor of Science degree and a Bachelor of Science in Engineering degree, summa cum laude, from the University of Pennsylvania. Mr. Kerko is an independent, non-executive director pursuant to applicable Nasdaq rules and serves as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61" w:name="page62"/>
    <w:bookmarkEnd w:id="61"/>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Jack Lazar </w:t>
      </w:r>
      <w:r>
        <w:rPr>
          <w:rFonts w:ascii="Arial" w:cs="Arial" w:eastAsia="Arial" w:hAnsi="Arial"/>
          <w:sz w:val="13"/>
          <w:szCs w:val="13"/>
          <w:color w:val="auto"/>
        </w:rPr>
        <w:t>was elected to the board of directors in July 2021. Mr. Lazar has spent over thirty years in operational and finance leadership roles at technology companies across multiple industries, most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recently as Chief Financial Officer of GoPro, Inc., which he helped to take public in 2014. Prior to GoPro, Mr. Lazar served as Senior Vice President of Corporate Development and General Manager of Qualcomm Atheros, Inc. From 2003 until the time in which it was acquired by Qualcomm in 2011, he served in a variety of leadership roles at Atheros Communications, Inc. most recently as Chief Financial Officer and Senior Vice President of Corporate Development. In 2004, Mr. Lazar was part of the team that took Atheros public. He also served in leadership roles at NetRatings, Apptitude, and Electronics for Imaging, Inc. Mr. Lazar currently serves as a member of the board of directors of several publicly traded companies including Box, Inc., Resideo Technologies Inc., and thredUP Inc. He holds a Bachelor of Science in Commerce degree with an emphasis in Accounting from Santa Clara University and is a certified public accountant (inactive). Mr. Lazar is an independent, non-executive director pursuant to applicable Nasdaq rules.</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2"/>
          <w:szCs w:val="12"/>
          <w:b w:val="1"/>
          <w:bCs w:val="1"/>
          <w:i w:val="1"/>
          <w:iCs w:val="1"/>
          <w:color w:val="auto"/>
        </w:rPr>
        <w:t xml:space="preserve">Elissa E. Murphy </w:t>
      </w:r>
      <w:r>
        <w:rPr>
          <w:rFonts w:ascii="Arial" w:cs="Arial" w:eastAsia="Arial" w:hAnsi="Arial"/>
          <w:sz w:val="12"/>
          <w:szCs w:val="12"/>
          <w:color w:val="auto"/>
        </w:rPr>
        <w:t>was elected to the board of directors in September 2021. Ms. Murphy is Senior Vice President at Cisco Systems, Inc. Prior to Cisco, she served as a Vice President of Engineering at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Google, Inc. from 2016 to early 2023. Before Google, she was the Chief Technology Officer and Executive Vice President of Cloud Platforms at GoDaddy from 2013 to 2016. Ms. Murphy previously served as Vice President of Engineering at Yahoo! from late 2010 to 2013, where she oversaw the world’s largest private Hadoop cluster, a technology essential to massive-scale computing that is the basis of big data today. Prior to her time at Yahoo!, Ms. Murphy spent 13 years at Microsoft in various engineering positions including part of the original team responsible for Microsoft’s shift to the cloud, which led to the creation of Azure, and as a member of the High Performance Computing team. Ms. Murphy began her technology career designing and building many of the best-selling computer security and system utilities with 5th Generation Systems, Quarterdeck and the Norton Group, a division at Symantec responsible for Norton Antivirus and other Norton products. Previously, Ms. Murphy served on the board of directors of Inphi. Ms. Murphy brings expertise in global-scale platforms, big data and predictive analytics to our Board. She currently has over 30 patents issued with several more pending in the areas of distributed systems, cloud, machine learning and security. Ms. Murphy is an independent, non-executive director pursuant to applicable Nasdaq rules.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Carlos Obeid </w:t>
      </w:r>
      <w:r>
        <w:rPr>
          <w:rFonts w:ascii="Arial" w:cs="Arial" w:eastAsia="Arial" w:hAnsi="Arial"/>
          <w:sz w:val="13"/>
          <w:szCs w:val="13"/>
          <w:color w:val="auto"/>
        </w:rPr>
        <w:t>was elected to the board of directors in January 2012. Mr. Obeid is currently the Chief Financial Officer of Mubadala Investment Company, with oversight of its commercial functions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treasury, investor relations, financial planning, business performance, financial governance and reporting. Before joining Mubadala, Carlos worked with the United Arab Emirates Offset Program Bureau where he led a wide range of initiatives including privatization, utilities and financial services. He serves as the chairman of the board of directors of Mubadala Infrastructure Partners Ltd. and is a member of the board of directors of Cleveland Clinic Abu Dhabi LLC, Mubadala Capital LLC and Abu Dhabi Commercial Bank PJSC. Carlos holds a Bachelor of Science in Electrical Engineering degree from American University of Beirut, Lebanon, and a Master of Business Administration degree from INSEAD in Fontainebleau, France. Mr. Obeid is an independent, non-executive director pursuant to applicable Nasdaq rules.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Bobby Yerramilli-Rao </w:t>
      </w:r>
      <w:r>
        <w:rPr>
          <w:rFonts w:ascii="Arial" w:cs="Arial" w:eastAsia="Arial" w:hAnsi="Arial"/>
          <w:sz w:val="13"/>
          <w:szCs w:val="13"/>
          <w:color w:val="auto"/>
        </w:rPr>
        <w:t>was elected to the board of directors in March 2022. Dr. Yerramilli-Rao has served as Chief Strategy Officer and Corporate Vice President, Corporate Strategy at Microsoft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Corporation since 2020. Prior to Microsoft, he was Co-founder and Managing Partner of Fusion Global Capital, from 2011 to 2020. Dr. Yerramilli-Rao previously served as Corporate Strategy Director and Internet Services Director of Vodafone, from, 2006 to 2010, where he was responsible for strategy and acquisitions related to digital services, serving on the company’s investment committee. Prior to his time at Vodafone, Dr. Yerramilli-Rao spent more than a decade at McKinsey, having been elected partner in 2000. He helped co-lead the telecom, media and technology practice. Dr. Yerramilli-Rao previously served as a member of the board of directors of Cambridge Epigenetix. He holds a Master of Arts degree in Electrical Engineering from the University of Cambridge and a Doctorate in Robotics from the University of Oxford. Mr. Yerramilli-Rao is an independent, non-executive director pursuant to applicable Nasdaq rules.</w:t>
      </w:r>
    </w:p>
    <w:p>
      <w:pPr>
        <w:spacing w:after="0" w:line="200" w:lineRule="exact"/>
        <w:rPr>
          <w:sz w:val="20"/>
          <w:szCs w:val="20"/>
          <w:color w:val="auto"/>
        </w:rPr>
      </w:pPr>
    </w:p>
    <w:p>
      <w:pPr>
        <w:spacing w:after="0" w:line="232" w:lineRule="exact"/>
        <w:rPr>
          <w:sz w:val="20"/>
          <w:szCs w:val="20"/>
          <w:color w:val="auto"/>
        </w:rPr>
      </w:pPr>
    </w:p>
    <w:p>
      <w:pPr>
        <w:ind w:left="260" w:hanging="255"/>
        <w:spacing w:after="0"/>
        <w:tabs>
          <w:tab w:leader="none" w:pos="26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Compensation</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Under Cayman Islands law, we are not required to disclose compensation paid to our directors and executive officers on an individual basis and we have not otherwise publicly disclosed this information elsewhere.</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Compensation Philosophy</w:t>
      </w:r>
    </w:p>
    <w:p>
      <w:pPr>
        <w:spacing w:after="0" w:line="100"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Our executive compensation programs are designed to attract, motivate, reward and retain the high-caliber executives necessary to accomplish our strategy. GF’s compensation philosophy includes the following key design principles:</w:t>
      </w:r>
    </w:p>
    <w:p>
      <w:pPr>
        <w:spacing w:after="0" w:line="67" w:lineRule="exact"/>
        <w:rPr>
          <w:sz w:val="20"/>
          <w:szCs w:val="20"/>
          <w:color w:val="auto"/>
        </w:rPr>
      </w:pPr>
    </w:p>
    <w:p>
      <w:pPr>
        <w:ind w:left="760" w:hanging="246"/>
        <w:spacing w:after="0"/>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Align with shareholder interest;</w:t>
      </w:r>
    </w:p>
    <w:p>
      <w:pPr>
        <w:spacing w:after="0" w:line="83" w:lineRule="exact"/>
        <w:rPr>
          <w:rFonts w:ascii="Arial" w:cs="Arial" w:eastAsia="Arial" w:hAnsi="Arial"/>
          <w:sz w:val="13"/>
          <w:szCs w:val="13"/>
          <w:color w:val="auto"/>
        </w:rPr>
      </w:pPr>
    </w:p>
    <w:p>
      <w:pPr>
        <w:ind w:left="760" w:hanging="246"/>
        <w:spacing w:after="0"/>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Strong link between pay and performance; and</w:t>
      </w:r>
    </w:p>
    <w:p>
      <w:pPr>
        <w:spacing w:after="0" w:line="94" w:lineRule="exact"/>
        <w:rPr>
          <w:rFonts w:ascii="Arial" w:cs="Arial" w:eastAsia="Arial" w:hAnsi="Arial"/>
          <w:sz w:val="13"/>
          <w:szCs w:val="13"/>
          <w:color w:val="auto"/>
        </w:rPr>
      </w:pPr>
    </w:p>
    <w:p>
      <w:pPr>
        <w:ind w:left="760" w:hanging="246"/>
        <w:spacing w:after="0"/>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Motivate our talent to achieve short-term and long-term goals that lead to sustainable long-term shareholder value creation.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color w:val="auto"/>
        </w:rPr>
        <w:t>Our executive officers receive fixed and variable compensation. They also receive benefits in line with market practice and with the benefits extended to our broad-based employee population.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Certain of our executive officers are entitled to certain benefits upon termination, including a cash severance payment if we terminate their employment without cause.</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Base Salary</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fixed component of compensation consists of base salary. This provides a fixed source of income and acts as the foundation for other pay components. The base salary is reflective of the executive role, responsibility, and individual performance, and it is designed to be market-competitive at the median of our peer group and industry and attract and retain critical talent. We review base salaries annually, and make adjustments as appropriate based on market, performance and any change in responsibility.</w:t>
      </w: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Variable Incentive Programs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2022, the variable pay elements of our executive officers’ compensation consisted of an annual incentive program (“AIP”) and awards of performance stock units (“PSUs”) and restricted stock units (“RSUs”) under our 2021 Equity Compensation Plan.</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Aggregate Compensation</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For the year ended December 31, 2022, the aggregate compensation paid by us and our subsidiaries for our directors and executive officers for services in all capacities to us and our subsidiaries was $46.4 million which includes both benefits paid in kind and compensation, as well as grants of, in the aggregate, 282,993 RSUs and 312,277 PSUs, pursuant to the terms and conditions of our 2021 Equity Compensation Plan. RSUs and PSUs vest as set forth in “2021 Equity Compensation Plan” below.</w:t>
      </w:r>
    </w:p>
    <w:p>
      <w:pPr>
        <w:spacing w:after="0" w:line="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Of the amounts above, for the year ended December 31, 2022, $70,000 was set aside or accrued by us or our subsidiaries to provide defined contribution retirement benefits or similar benefits to our directors and executive officers.</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Incentive Program</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AIP is a short-term annual cash incentive that incentivizes and rewards our executive officers for achieving critical company financial and operational goals, as well as individual goals. Each of our executives has an AIP target opportunity, set as a percentage of their base salary, which is reviewed annually to assure that both our performance and pay opportunities are aligned with competitive practices and that our rewards are reflective of Company and individual performance.</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In 2022, our executive officers’ awards under the AIP were determined as follows:</w:t>
      </w:r>
    </w:p>
    <w:p>
      <w:pPr>
        <w:spacing w:after="0" w:line="95" w:lineRule="exact"/>
        <w:rPr>
          <w:sz w:val="20"/>
          <w:szCs w:val="20"/>
          <w:color w:val="auto"/>
        </w:rPr>
      </w:pPr>
    </w:p>
    <w:p>
      <w:pPr>
        <w:ind w:left="760" w:hanging="246"/>
        <w:spacing w:after="0"/>
        <w:tabs>
          <w:tab w:leader="none" w:pos="7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Financial and operational performance: 70% for our CEO and CFO and 50% for other executives;</w:t>
      </w:r>
    </w:p>
    <w:p>
      <w:pPr>
        <w:spacing w:after="0" w:line="83" w:lineRule="exact"/>
        <w:rPr>
          <w:rFonts w:ascii="Arial" w:cs="Arial" w:eastAsia="Arial" w:hAnsi="Arial"/>
          <w:sz w:val="13"/>
          <w:szCs w:val="13"/>
          <w:color w:val="auto"/>
        </w:rPr>
      </w:pPr>
    </w:p>
    <w:p>
      <w:pPr>
        <w:ind w:left="760" w:hanging="246"/>
        <w:spacing w:after="0"/>
        <w:tabs>
          <w:tab w:leader="none" w:pos="7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Strategic scorecard performance: 30% for our CEO and CFO and 50% for other executives; and</w:t>
      </w:r>
    </w:p>
    <w:p>
      <w:pPr>
        <w:spacing w:after="0" w:line="94" w:lineRule="exact"/>
        <w:rPr>
          <w:rFonts w:ascii="Arial" w:cs="Arial" w:eastAsia="Arial" w:hAnsi="Arial"/>
          <w:sz w:val="13"/>
          <w:szCs w:val="13"/>
          <w:color w:val="auto"/>
        </w:rPr>
      </w:pPr>
    </w:p>
    <w:p>
      <w:pPr>
        <w:ind w:left="760" w:hanging="246"/>
        <w:spacing w:after="0" w:line="244" w:lineRule="auto"/>
        <w:tabs>
          <w:tab w:leader="none" w:pos="751"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Individual Modifier (0.8x-1.2x): Based on Board/people and compensation committee or CEO discretion, as appropriate including but not limited to leadership, employee engagement, diversity &amp; inclusion, collaboration, business process improvement, strategic contributions and business context.</w:t>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Long-term Incentive Programs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maintain a number of long-term incentive plans (the “Long-term Incentive Plans”), including the GlobalFoundries Inc. Share Incentive Plan (the “2017 Plan”) the GlobalFoundries 2018 Share Incentive Plan (the “2018 Plan”) and the GlobalFoundries 2021 Equity Compensation Plan (the “2021 Plan”) to enable our executives and other high performing and high potential participants to share in the value creation of the company as we execute our business plan and deliver returns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63" w:name="page64"/>
    <w:bookmarkEnd w:id="63"/>
    <w:p>
      <w:pPr>
        <w:ind w:right="200"/>
        <w:spacing w:after="0" w:line="380" w:lineRule="auto"/>
        <w:rPr>
          <w:sz w:val="20"/>
          <w:szCs w:val="20"/>
          <w:color w:val="auto"/>
        </w:rPr>
      </w:pPr>
      <w:r>
        <w:rPr>
          <w:rFonts w:ascii="Arial" w:cs="Arial" w:eastAsia="Arial" w:hAnsi="Arial"/>
          <w:sz w:val="13"/>
          <w:szCs w:val="13"/>
          <w:color w:val="auto"/>
        </w:rPr>
        <w:t>to our shareholders. Our Long-Term Incentive Plans are administered by the people and compensation committee, which was delegated authority to administer these plans by our board of directors. Our Long-term Incentive Plans consist of non-qualified stock options, RSUs and PSUs for eligible participants. In 2022, our executive officers received a combination of PSU and RSU awards as follows:</w:t>
      </w:r>
    </w:p>
    <w:p>
      <w:pPr>
        <w:spacing w:after="0" w:line="1" w:lineRule="exact"/>
        <w:rPr>
          <w:sz w:val="20"/>
          <w:szCs w:val="20"/>
          <w:color w:val="auto"/>
        </w:rPr>
      </w:pPr>
    </w:p>
    <w:p>
      <w:pPr>
        <w:ind w:left="760" w:hanging="246"/>
        <w:spacing w:after="0"/>
        <w:tabs>
          <w:tab w:leader="none" w:pos="7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70% PSU and 30% RSU for our CEO and CFO; and</w:t>
      </w:r>
    </w:p>
    <w:p>
      <w:pPr>
        <w:spacing w:after="0" w:line="94" w:lineRule="exact"/>
        <w:rPr>
          <w:rFonts w:ascii="Arial" w:cs="Arial" w:eastAsia="Arial" w:hAnsi="Arial"/>
          <w:sz w:val="13"/>
          <w:szCs w:val="13"/>
          <w:color w:val="auto"/>
        </w:rPr>
      </w:pPr>
    </w:p>
    <w:p>
      <w:pPr>
        <w:ind w:left="760" w:hanging="246"/>
        <w:spacing w:after="0"/>
        <w:tabs>
          <w:tab w:leader="none" w:pos="7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60% PSU and 40% RSU for other executive officers</w:t>
      </w:r>
    </w:p>
    <w:p>
      <w:pPr>
        <w:spacing w:after="0" w:line="83" w:lineRule="exact"/>
        <w:rPr>
          <w:rFonts w:ascii="Arial" w:cs="Arial" w:eastAsia="Arial" w:hAnsi="Arial"/>
          <w:sz w:val="13"/>
          <w:szCs w:val="13"/>
          <w:color w:val="auto"/>
        </w:rPr>
      </w:pPr>
    </w:p>
    <w:p>
      <w:pPr>
        <w:jc w:val="both"/>
        <w:ind w:left="1280" w:hanging="257"/>
        <w:spacing w:after="0" w:line="249" w:lineRule="auto"/>
        <w:tabs>
          <w:tab w:leader="none" w:pos="1283"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final number of PSUs will range from 0% to 200% of the PSUs granted, based on achievement of performance targets related to absolute Return on Invested Capital (“ROIC”) and relative Total Shareholder Return (“TSR”) versus the SOX Index, and will vest as to 33.33% of the PSUs after two years and 66.67% of the PSUs after three years, subject to continued employment through the end of the applicable performance period.</w:t>
      </w:r>
    </w:p>
    <w:p>
      <w:pPr>
        <w:spacing w:after="0" w:line="75" w:lineRule="exact"/>
        <w:rPr>
          <w:rFonts w:ascii="Arial" w:cs="Arial" w:eastAsia="Arial" w:hAnsi="Arial"/>
          <w:sz w:val="13"/>
          <w:szCs w:val="13"/>
          <w:color w:val="auto"/>
        </w:rPr>
      </w:pPr>
    </w:p>
    <w:p>
      <w:pPr>
        <w:ind w:left="1280" w:hanging="257"/>
        <w:spacing w:after="0" w:line="261" w:lineRule="auto"/>
        <w:tabs>
          <w:tab w:leader="none" w:pos="1272" w:val="left"/>
        </w:tabs>
        <w:numPr>
          <w:ilvl w:val="1"/>
          <w:numId w:val="43"/>
        </w:numPr>
        <w:rPr>
          <w:rFonts w:ascii="Arial" w:cs="Arial" w:eastAsia="Arial" w:hAnsi="Arial"/>
          <w:sz w:val="13"/>
          <w:szCs w:val="13"/>
          <w:color w:val="auto"/>
        </w:rPr>
      </w:pPr>
      <w:r>
        <w:rPr>
          <w:rFonts w:ascii="Arial" w:cs="Arial" w:eastAsia="Arial" w:hAnsi="Arial"/>
          <w:sz w:val="13"/>
          <w:szCs w:val="13"/>
          <w:color w:val="auto"/>
        </w:rPr>
        <w:t>RSUs will generally vest in three annual installments, with 33.33% vesting on each one-year anniversary of the vesting commencement date subject to the employee’s continued employment with the Company.</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Additional information on our Long-Term Incentive Programs are as follows:</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2017 Plan</w:t>
      </w:r>
    </w:p>
    <w:p>
      <w:pPr>
        <w:spacing w:after="0" w:line="1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small number of current employees continue to hold vested share options that were granted under the 2017 Plan. Share options granted under the 2017 Plan became exercisable upon the first anniversary of our IPO following the vesting date but during the term of the share option. In connection with the establishment and adoption of the 2018 Plan, we ceased making awards under the 2017 Plan. As of December 31, 2022, there are 10,535 non-qualified share options to buy ordinary shares outstanding under the 2017 Plan.</w:t>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2018 Plan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Awards under the 2018 Plan may be granted in the form of non-qualified share options (“options”), share awards, or share unit awards.</w:t>
      </w:r>
    </w:p>
    <w:p>
      <w:pPr>
        <w:spacing w:after="0" w:line="9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Participants in the 2018 Plan typically received a one-time grant upon hire or promotion into an eligible role. The majority of options granted in 2019 vest over five years, with 20% of the options vesting on the later of December 31 of the first five years following the grant date and the six-month anniversary of the consummation of our IPO, subject to continued employment through the applicable vesting date (with limited exceptions for certain qualifying terminations). Generally, awards of options granted in 2020 or later vest over four years, with 25% of the options vesting on the later of December 31 of the first four years following the grant date and the six-month anniversary of the consummation of our initial public offering, subject to continued employment through the applicable vesting date (with limited exceptions for certain qualifying terminations). Options held by U.S. taxpayers that vested on the six-month anniversary of our initial public offering were exercisable for a period commencing on the vesting date and ending on December 2, 2022. Any outstanding in the money exercisable options not exercised as of December 2, 2022, were automatically exercised on that date. All other outstanding options held by U.S. taxpayers will become exercisable for a period commencing on January 1 of the year following the year in which such options vest and ending on a fixed date in such year, with any outstanding exercisable options not exercised as of the end of such period being automatically exercised as of a fixed date in that year. Options held by non-U.S. taxpayers will become exercisable on the date such options vest and will remain exercisable, pursuant to normal option exercise procedures under the terms and conditions of the 2018 Plan for the duration of the term of the option, with any outstanding exercisable options not exercised before the expiration of such options in accordance with their terms being automatically exercised as of the expiration date of the options by means of “net exercise” in order to satisfy the exercise price and applicable taxes due in respect of such options.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Awards of restricted share units vest over four years, with 25% of the share units vesting on each of the first four anniversaries of the earlier of the grant date or the participant’s hire or promotion date, subject to continued employment through the applicable vesting date (with limited exceptions for certain qualifying terminations). Certain restricted share unit grants made to certain current and former non-employee members of our board of directors in connection with our initial public offering generally vest over three years, with 33% of the share units vesting on the first three anniversaries of the grant date, subject to their continued provision of services (whether as a non-employee director or otherwise) to the company through the applicable vesting date.</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Under the 2018 Plan, as of December 31, 2022, there are 6.2 million options to buy ordinary shares and 579,114 restricted share unit awards to our employees outstanding.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64" w:name="page65"/>
    <w:bookmarkEnd w:id="64"/>
    <w:p>
      <w:pPr>
        <w:jc w:val="both"/>
        <w:spacing w:after="0" w:line="244" w:lineRule="auto"/>
        <w:rPr>
          <w:sz w:val="20"/>
          <w:szCs w:val="20"/>
          <w:color w:val="auto"/>
        </w:rPr>
      </w:pPr>
      <w:r>
        <w:rPr>
          <w:rFonts w:ascii="Arial" w:cs="Arial" w:eastAsia="Arial" w:hAnsi="Arial"/>
          <w:sz w:val="13"/>
          <w:szCs w:val="13"/>
          <w:color w:val="auto"/>
        </w:rPr>
        <w:t>In addition, under the 2018 Plan there are 2.8 million ordinary shares that remain available for grant. No awards may be granted under the 2018 Equity Plan after our board of directors terminates the 2018 Equity Plan or ten years from its effective date, whichever is earlier.</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Proceeds Bonus Program</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Between 2019 and 2021, we maintained a bonus program (the “Shareholder Proceeds Bonus Program”) pursuant to which eligible option holders under our 2018 Equity Plan may receive cash awards depending on financial results linked to annual operating cash flow and other financial metrics.</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During those years, if our board of directors determined that any amounts are to be paid under the Shareholder Proceeds Bonus Program, the aggregate amount of the cash payment to be received by any participant is based on the per share bonus payment amount, a multiple determined by the board and the number of outstanding share options to which the award under the Shareholder Proceeds Bonus Program relates, with the aggregate cash payment pro-rated based on the number of vested share options as of each payment date over the vesting schedule of the share option. Payment of any amounts under the Shareholder Proceeds Bonus Program is independent of and not contingent upon the exercise of any share options.</w:t>
      </w:r>
    </w:p>
    <w:p>
      <w:pPr>
        <w:spacing w:after="0" w:line="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No new awards were granted under the Shareholder Proceeds Bonus Program during calendar year 2022 and no new awards will be granted after 2022. All existing awards will continue to be paid out on their current payment schedule.</w:t>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2021 Plan</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connection with our IPO, our board of directors adopted, and Mubadala approved, the 2021 Plan. The 2021 Plan provides for the issuance of incentive share options, non-qualified share options, share awards, share units, share appreciation rights, and other share-based awards.</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2022, the Company granted RSUs and PSUs under the 2021 Plan. The RSUs have a time-based vesting requirement, which provides that the RSUs will generally vest in three annual installments, with 33.33% vesting on each anniversary of the vesting commencement date subject to the employee’s continued employment with the Company. The Company may make awards with different vesting conditions to help the Company achieve its talent strategy. The PSUs vest subject to achievement of performance targets based on an absolute return on invested capital (“ROIC”) and relative total shareholder return (“TSR”) versus the SOX Index and will vest over 2 year to 3 year performance periods subject to the grantee remaining employed by the Company through the end of the applicable performance period.</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December 31, 2022, there are 2.6 million RSUs and 537,195 PSUs outstanding under the 2021 Plan. In addition, as of December 31, 2022, there are 13.6 million ordinary shares that remain available for grant under the 2021 Plan.</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 Stock Purchase Plan</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connection with, and prior to the consummation of the Company's IPO in 2021, the Company's board of directors adopted the GLOBALFOUNDRIES Inc. 2021 Employee Stock Purchase Plan (the “ESPP”). The ESPP is administered by the Company's board of directors or, as applicable, its delegate (the “ESPP Administrator”).</w:t>
      </w:r>
    </w:p>
    <w:p>
      <w:pPr>
        <w:spacing w:after="0" w:line="7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ESPP provides eligible employees with an opportunity to purchase ordinary shares of the Company through payroll deduction of up to 10% of their eligible compensation. A participant may purchase a maximum of 2,500 ordinary shares during a purchase period. Amounts deducted and accumulated by the participant are used to purchase ordinary shares at the end of each six-month purchase period. Participants in the ESPP receive a one-time grant of 50 RSUs upon first time enrollment in the ESPP. The Company matches 20% of each employee’s contribution on an after-tax basis.</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Subject to certain equitable adjustments in connection with certain events affecting the outstanding ordinary shares reserved for issuance as awards, the maximum aggregate number of our ordinary shares that may be issued or transferred under the ESPP with respect to awards is 7,500,000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18,750,000, in the aggregate, subject to the adjustments described above.</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of the Company has issued 533,591 shares under this plan reflecting employees’ contribution and the 20% Company match.</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8" w:right="319" w:bottom="1440" w:gutter="0" w:footer="0" w:header="0"/>
        </w:sectPr>
      </w:pPr>
    </w:p>
    <w:bookmarkStart w:id="65" w:name="page66"/>
    <w:bookmarkEnd w:id="65"/>
    <w:p>
      <w:pPr>
        <w:ind w:left="260" w:hanging="255"/>
        <w:spacing w:after="0"/>
        <w:tabs>
          <w:tab w:leader="none" w:pos="26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Board Practices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Composition of our Board of Directors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Our board of directors currently consists of eleven members, all of whom were elected pursuant to our Memorandum and Articles of Association. The board is divided into three classes designated as Class I, Class II and Class III, with the members of each class each serving staggered, three-year terms. The terms of our Class I directors will expire at the 2025 annual general meeting of shareholders; the terms of our Class II directors will expire at the 2023 annual meeting of shareholders; and the terms of our Class III directors will expire at the 2024 annual meeting of shareholders. At the expiration of the respective terms of the Class I, Class II and Class III directors, new Class I, Class II and Class III directors will be elected to serve for a full term of the three years respectively.</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Dr. Thomas Caulfield, Ahmed Saeed Al Calily, Tim Breen and Glenda Dorchak serve as Class I directors (with terms expiring in 2025). Martin L. Edelman, David Kerko, Jack Lazar and Carlos Obeid serve as Class II directors (with terms expiring in 2023). Ahmed Yahia, Elissa E. Murphy and Bobby Yerramilli-Rao serve as Class III directors (with terms expiring in 2024).</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nominating &amp; governance committee and board of directors will consider a broad range of factors relating to the qualifications and background of nominees, including those factors set out in the Statement on Diversity and Member Section of our Board Charter (which include but are not limited to race, gender, sexual orientation, cultural background and membership in underrepresented groups). Our nominating &amp; governance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Under a shareholder’s agreement entered into with Mubadala through two of its subsidiaries holding our ordinary shares, Mubadala Technology Investment Company (“MTIC”) and MTI International Investment Company LLC (“MTIIIC”) (the “Shareholder’s Agreement”) prior to the consummation of our IPO in 2021, we agreed to nominate for election to our board of directors a certain number of designees selected by Mubadala. See “Item 7. Major Shareholders and Related Party Transactions—Certain Relationships and Related Party Transactions—Shareholder’s Agreement.”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There is no Cayman Islands law requirement that a director must hold office for a certain term and stand for re-election unless the resolutions appointing the director impose a term on the appointment.</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We do not have any age limit requirements relating to our director’s term of office.</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Shareholder’s Agreement provides that, for so long as MTIC, MTIIIC and certain of their affiliates (the “Mubadala Entities”), in the aggregate, beneficially own 50% or more of the ordinary shares held by the Mubadala Entities upon consummation of our initial public offering, MTIC will be entitled to nominate a number of designees (the “Mubadala Designees”) to our board of directors representing a majority of our directors. MTIC designated the following directors as Mubadala Designees as of the date of our initial public offering: Ahmed Yahia, Ahmed Saeed Al Calily, Tim Breen, Martin L. Edelman, and Carlos Obeid. By making such designation, MTIC retains the right to appoint any additional Mubadala Designees in accordance with the Shareholder’s Agreement and the Memorandum and Articles of Association.</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Memorandum and Articles of Association also provide that our directors may only be removed for cause by an affirmative vote of 75% of our shareholders, provided that (1) a Mubadala Designee may only be removed with or without cause by MTIC, and (2) as long as the Mubadala Entities beneficially own in the aggregate at least 50% of our outstanding ordinary shares, directors other than Mubadala Designees may be removed with or without cause by a majority of shareholders. Any vacancy resulting from an enlargement of our board of directors (which shall not exceed any maximum number stated in our Memorandum and Articles of Association), may be filled by ordinary resolution or by vote of a majority of our directors then in office; provided that any vacancy with respect to a Mubadala Designee may only be filled by a decision of majority of the Mubadala Designees then in office, or if there are none, by MTIC.</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Board’s Role in Risk Oversight</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Each of our board committees also oversees the management of our risk that falls within the committee’s areas of responsibility. In performing this function, each committee has full access to management, as well as the ability to engage advisors. Our Chief Financial Officer provides reports to the audit, risk and compliance committee and is responsible for identifying, evaluating and implementing risk management controls and methodologies to address any identified risks. In connection with its risk management role, our audit, risk and compliance committee meets privately with representatives from our independent registered public accounting firm and our Chief Financial Officer. The audit, risk and compliance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6"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color w:val="auto"/>
        </w:rPr>
        <w:t>The board met nine times in 2022. From the time each director became a member of the board, attendance or participation at board meetings in 2022 was 100%.</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Board Committees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board of directors has established an audit, risk and compliance committee, a people and compensation committee, a strategy and technology committee and a nominating and governance committee, each of which operates pursuant to a separate charter adopted by our board of directors.</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Risk and Compliance Committee</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Glenda Dorchak, Jack Lazar and Elissa E. Murphy currently serve on the audit, risk and compliance committee, which is chaired by Jack Lazar. Our board of directors has determined that each member of the committee is “independent” for audit, risk and compliance committee purposes as that term is defined in the rules of the SEC and the applicable rules of the Nasdaq. The audit, risk and compliance committee’s responsibilities include:</w:t>
      </w:r>
    </w:p>
    <w:p>
      <w:pPr>
        <w:spacing w:after="0" w:line="76" w:lineRule="exact"/>
        <w:rPr>
          <w:sz w:val="20"/>
          <w:szCs w:val="20"/>
          <w:color w:val="auto"/>
        </w:rPr>
      </w:pPr>
    </w:p>
    <w:p>
      <w:pPr>
        <w:ind w:left="500" w:hanging="240"/>
        <w:spacing w:after="0"/>
        <w:tabs>
          <w:tab w:leader="none" w:pos="5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appointing our independent registered public accounting firm, and approving the audit and permitted non-audit services to be provided by our independent registered public accounting firm;</w:t>
      </w:r>
    </w:p>
    <w:p>
      <w:pPr>
        <w:spacing w:after="0" w:line="106" w:lineRule="exact"/>
        <w:rPr>
          <w:rFonts w:ascii="Arial" w:cs="Arial" w:eastAsia="Arial" w:hAnsi="Arial"/>
          <w:sz w:val="12"/>
          <w:szCs w:val="12"/>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evaluating the performance and independence of our independent registered public accounting firm;</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monitoring the integrity of our financial statements and our compliance with legal and regulatory requirements as they relate to our financial statements or accounting matters;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reviewing the adequacy and effectiveness of our accounting and internal control policies and procedures;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establishing and overseeing procedures for the receipt, retention and treatment of accounting-related complaints and concerns;</w:t>
      </w:r>
    </w:p>
    <w:p>
      <w:pPr>
        <w:spacing w:after="0" w:line="83"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spacing w:after="0" w:line="88" w:lineRule="exact"/>
        <w:rPr>
          <w:rFonts w:ascii="Arial" w:cs="Arial" w:eastAsia="Arial" w:hAnsi="Arial"/>
          <w:sz w:val="13"/>
          <w:szCs w:val="13"/>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reviewing all related party transactions for potential conflict of interest situations and approving all such transactions;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overseeing the Company’s director conflict of interest policy;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overseeing the Company’s ESG programs and periodically reporting to the board of directors;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overseeing and reviewing major corporate risks and periodically reporting to the board of directors.</w:t>
      </w:r>
    </w:p>
    <w:p>
      <w:pPr>
        <w:spacing w:after="0" w:line="84"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We have one financial expert as of the date hereof. Our board of directors has determined that Jack Lazar qualifies as an “audit committee financial expert” as defined in SEC rules and satisfies the financial sophistication requirements of the Nasdaq.</w:t>
      </w:r>
    </w:p>
    <w:p>
      <w:pPr>
        <w:spacing w:after="0" w:line="67"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The audit, risk and compliance committee met nine times in 2022. From the time each director became a member of the committee, attendance or participation at audit, risk and compliance committee meetings in 2022 was 100%.</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People and Compensation Committee</w:t>
      </w:r>
    </w:p>
    <w:p>
      <w:pPr>
        <w:spacing w:after="0" w:line="100"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Ahmed Saeed Al Calily, Tim Breen, David Kerko and Elissa E. Murphy currently serve on the people and compensation committee, which is chaired by David Kerko. The people and compensation committee’s responsibilities include:</w:t>
      </w:r>
    </w:p>
    <w:p>
      <w:pPr>
        <w:spacing w:after="0" w:line="67" w:lineRule="exact"/>
        <w:rPr>
          <w:sz w:val="20"/>
          <w:szCs w:val="20"/>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establishing and reviewing the goals and objectives of our executive compensation plans;</w:t>
      </w:r>
    </w:p>
    <w:p>
      <w:pPr>
        <w:spacing w:after="0" w:line="94"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46"/>
        </w:numPr>
        <w:rPr>
          <w:rFonts w:ascii="Arial" w:cs="Arial" w:eastAsia="Arial" w:hAnsi="Arial"/>
          <w:sz w:val="13"/>
          <w:szCs w:val="13"/>
          <w:color w:val="auto"/>
        </w:rPr>
      </w:pPr>
      <w:r>
        <w:rPr>
          <w:rFonts w:ascii="Arial" w:cs="Arial" w:eastAsia="Arial" w:hAnsi="Arial"/>
          <w:sz w:val="13"/>
          <w:szCs w:val="13"/>
          <w:color w:val="auto"/>
        </w:rPr>
        <w:t>establishing the goals and objectives relevant to Chief Executive Officer compensation, and making recommendations to our board of directors in evaluating our Chief Executive Officer’s performance in light of these goals and objectives;</w:t>
      </w:r>
    </w:p>
    <w:p>
      <w:pPr>
        <w:spacing w:after="0" w:line="77" w:lineRule="exact"/>
        <w:rPr>
          <w:rFonts w:ascii="Arial" w:cs="Arial" w:eastAsia="Arial" w:hAnsi="Arial"/>
          <w:sz w:val="13"/>
          <w:szCs w:val="13"/>
          <w:color w:val="auto"/>
        </w:rPr>
      </w:pPr>
    </w:p>
    <w:p>
      <w:pPr>
        <w:ind w:left="520" w:hanging="260"/>
        <w:spacing w:after="0" w:line="261" w:lineRule="auto"/>
        <w:tabs>
          <w:tab w:leader="none" w:pos="511" w:val="left"/>
        </w:tabs>
        <w:numPr>
          <w:ilvl w:val="0"/>
          <w:numId w:val="46"/>
        </w:numPr>
        <w:rPr>
          <w:rFonts w:ascii="Arial" w:cs="Arial" w:eastAsia="Arial" w:hAnsi="Arial"/>
          <w:sz w:val="13"/>
          <w:szCs w:val="13"/>
          <w:color w:val="auto"/>
        </w:rPr>
      </w:pPr>
      <w:r>
        <w:rPr>
          <w:rFonts w:ascii="Arial" w:cs="Arial" w:eastAsia="Arial" w:hAnsi="Arial"/>
          <w:sz w:val="13"/>
          <w:szCs w:val="13"/>
          <w:color w:val="auto"/>
        </w:rPr>
        <w:t>evaluating the performance of our executive officers in light of the goals and objectives of our executive compensation plans and making recommendations to our board of directors with respect to the compensation of our executive officers, including our Chief Executive Officer;</w:t>
      </w:r>
    </w:p>
    <w:p>
      <w:pPr>
        <w:spacing w:after="0" w:line="67"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making recommendations to our board of directors with respect to improvement of existing, or adoption of new, employee compensation plans and programs; and</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retaining and approving executive compensation advisors and other advisors advising the people and compensation committee.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67" w:name="page68"/>
    <w:bookmarkEnd w:id="67"/>
    <w:p>
      <w:pPr>
        <w:spacing w:after="0" w:line="244" w:lineRule="auto"/>
        <w:rPr>
          <w:sz w:val="20"/>
          <w:szCs w:val="20"/>
          <w:color w:val="auto"/>
        </w:rPr>
      </w:pPr>
      <w:r>
        <w:rPr>
          <w:rFonts w:ascii="Arial" w:cs="Arial" w:eastAsia="Arial" w:hAnsi="Arial"/>
          <w:sz w:val="13"/>
          <w:szCs w:val="13"/>
          <w:color w:val="auto"/>
        </w:rPr>
        <w:t>The people and compensation committee met nine times in 2022. From the time each director became a member of the committee, attendance or participation at people and compensation committee meetings in 2022 was 100%.</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Strategy and Technology Committee</w:t>
      </w:r>
    </w:p>
    <w:p>
      <w:pPr>
        <w:spacing w:after="0" w:line="100"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Ahmed Yahia, Dr. Thomas Caulfield, Tim Breen, David Kerko and Bobby Yerramilli-Rao currently serve on the strategy and technology committee, which is chaired by Ahmed Yahia. The strategy and technology committee’s responsibilities include:</w:t>
      </w:r>
    </w:p>
    <w:p>
      <w:pPr>
        <w:spacing w:after="0" w:line="67"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assisting our board of directors in reviewing significant investments, divestment, joint ventures, partnerships, and other strategic agreements;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providing guidance to our board of directors on long range strategy and business plans;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assisting our board of directors in reviewing our technology road map;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assisting our board of directors in reviewing strategic long-term customer and supplier agreements.</w:t>
      </w:r>
    </w:p>
    <w:p>
      <w:pPr>
        <w:spacing w:after="0" w:line="9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strategy &amp; technology committee met four times in 2022. From the time each director became a member of the committee, attendance or participation at strategy &amp; technology committee meetings in 2022 was 100%.</w:t>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Nominating and Governance Committee</w:t>
      </w:r>
    </w:p>
    <w:p>
      <w:pPr>
        <w:spacing w:after="0" w:line="11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Ahmed Yahia, Glenda Dorchak, Martin L. Edelman and David Kerko currently serve on the nominating &amp; governance committee, which is chaired by Martin L. Edelman. The nominating &amp; governance committee’s responsibilities include:</w:t>
      </w:r>
    </w:p>
    <w:p>
      <w:pPr>
        <w:spacing w:after="0" w:line="78" w:lineRule="exact"/>
        <w:rPr>
          <w:sz w:val="20"/>
          <w:szCs w:val="20"/>
          <w:color w:val="auto"/>
        </w:rPr>
      </w:pP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assisting our board of directors in identifying prospective director nominees and recommending nominees for election by the shareholders or appointment by our board of directors;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reviewing and assessing the adequacy of our corporate governance guidelines and recommending proposed changes to our board of directors;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overseeing the evaluation of our board of directors.</w:t>
      </w:r>
    </w:p>
    <w:p>
      <w:pPr>
        <w:spacing w:after="0" w:line="9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nominating &amp; governance committee met four times in 2022. From the time each director became a member of the committee, attendance or participation at nominating &amp; governance committee meetings in 2022 was 100%.</w:t>
      </w:r>
    </w:p>
    <w:p>
      <w:pPr>
        <w:spacing w:after="0" w:line="232" w:lineRule="exact"/>
        <w:rPr>
          <w:sz w:val="20"/>
          <w:szCs w:val="20"/>
          <w:color w:val="auto"/>
        </w:rPr>
      </w:pPr>
    </w:p>
    <w:p>
      <w:pPr>
        <w:ind w:left="260" w:hanging="255"/>
        <w:spacing w:after="0"/>
        <w:tabs>
          <w:tab w:leader="none" w:pos="26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Employees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a highly-skilled employee base and as of December 31, 2022, we employed approximately 14,000 employees primarily located at our manufacturing sites. As of December 31, 2022, approximately 42% of our employees were located in North America, approximately 25% in EMEA, and approximately 33% in APAC. We also engage temporary employees and consultants. Overall, we believe we have good relations with our employees. As of December 31, 2022, approximately 70% of our employees were engineers or technicians.</w:t>
      </w:r>
    </w:p>
    <w:p>
      <w:pPr>
        <w:spacing w:after="0" w:line="23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E.</w:t>
      </w:r>
      <w:r>
        <w:rPr>
          <w:sz w:val="20"/>
          <w:szCs w:val="20"/>
          <w:color w:val="auto"/>
        </w:rPr>
        <w:tab/>
      </w:r>
      <w:r>
        <w:rPr>
          <w:rFonts w:ascii="Arial" w:cs="Arial" w:eastAsia="Arial" w:hAnsi="Arial"/>
          <w:sz w:val="12"/>
          <w:szCs w:val="12"/>
          <w:b w:val="1"/>
          <w:bCs w:val="1"/>
          <w:color w:val="auto"/>
        </w:rPr>
        <w:t>Share Ownership</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Refer to “Item 7. Major Shareholders and Related Party Transactions” below for information on share ownership.</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See “Item 6. Directors, Senior Management and Employees—B. Compensation” for information on our arrangements for involving employees in the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68" w:name="page69"/>
    <w:bookmarkEnd w:id="68"/>
    <w:p>
      <w:pPr>
        <w:spacing w:after="0"/>
        <w:tabs>
          <w:tab w:leader="none" w:pos="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color w:val="auto"/>
        </w:rPr>
        <w:t>MAJOR SHAREHOLDERS AND RELATED PARTY TRANSACTIONS</w:t>
      </w:r>
    </w:p>
    <w:p>
      <w:pPr>
        <w:spacing w:after="0" w:line="84" w:lineRule="exact"/>
        <w:rPr>
          <w:sz w:val="20"/>
          <w:szCs w:val="20"/>
          <w:color w:val="auto"/>
        </w:rPr>
      </w:pPr>
    </w:p>
    <w:p>
      <w:pPr>
        <w:ind w:left="260" w:hanging="255"/>
        <w:spacing w:after="0"/>
        <w:tabs>
          <w:tab w:leader="none" w:pos="26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Major Shareholders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ordinary shares as of December 31, 2022 for (i) each person known by us to be the beneficial owner of more than 5% of our outstanding shares of ordinary shares and (ii) all of our directors and executive officers as a group. Our majority shareholder, Mubadala, does not have different voting rights from those of other shareholders. As discussed below, prior to the consummation of our IPO in 2021, we entered into a Shareholder’s Agreement with Mubadala through two of its subsidiaries.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Number of</w:t>
            </w:r>
          </w:p>
        </w:tc>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49"/>
        </w:trPr>
        <w:tc>
          <w:tcPr>
            <w:tcW w:w="7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00" w:type="dxa"/>
            <w:vAlign w:val="bottom"/>
            <w:vMerge w:val="restart"/>
          </w:tcPr>
          <w:p>
            <w:pPr>
              <w:spacing w:after="0"/>
              <w:rPr>
                <w:sz w:val="12"/>
                <w:szCs w:val="12"/>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Ordinary</w:t>
            </w:r>
          </w:p>
        </w:tc>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Ordinary</w:t>
            </w:r>
          </w:p>
        </w:tc>
        <w:tc>
          <w:tcPr>
            <w:tcW w:w="0" w:type="dxa"/>
            <w:vAlign w:val="bottom"/>
          </w:tcPr>
          <w:p>
            <w:pPr>
              <w:spacing w:after="0"/>
              <w:rPr>
                <w:sz w:val="1"/>
                <w:szCs w:val="1"/>
                <w:color w:val="auto"/>
              </w:rPr>
            </w:pPr>
          </w:p>
        </w:tc>
      </w:tr>
      <w:tr>
        <w:trPr>
          <w:trHeight w:val="177"/>
        </w:trPr>
        <w:tc>
          <w:tcPr>
            <w:tcW w:w="7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Shares Owned</w:t>
            </w: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Shares Owned</w:t>
            </w:r>
          </w:p>
        </w:tc>
        <w:tc>
          <w:tcPr>
            <w:tcW w:w="0" w:type="dxa"/>
            <w:vAlign w:val="bottom"/>
          </w:tcPr>
          <w:p>
            <w:pPr>
              <w:spacing w:after="0"/>
              <w:rPr>
                <w:sz w:val="1"/>
                <w:szCs w:val="1"/>
                <w:color w:val="auto"/>
              </w:rPr>
            </w:pPr>
          </w:p>
        </w:tc>
      </w:tr>
      <w:tr>
        <w:trPr>
          <w:trHeight w:val="18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Mubadala</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469,501,994</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85.72 %</w:t>
            </w:r>
          </w:p>
        </w:tc>
        <w:tc>
          <w:tcPr>
            <w:tcW w:w="0" w:type="dxa"/>
            <w:vAlign w:val="bottom"/>
          </w:tcPr>
          <w:p>
            <w:pPr>
              <w:spacing w:after="0"/>
              <w:rPr>
                <w:sz w:val="1"/>
                <w:szCs w:val="1"/>
                <w:color w:val="auto"/>
              </w:rPr>
            </w:pPr>
          </w:p>
        </w:tc>
      </w:tr>
      <w:tr>
        <w:trPr>
          <w:trHeight w:val="191"/>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FMR LLC</w:t>
            </w:r>
            <w:r>
              <w:rPr>
                <w:rFonts w:ascii="Arial" w:cs="Arial" w:eastAsia="Arial" w:hAnsi="Arial"/>
                <w:sz w:val="16"/>
                <w:szCs w:val="16"/>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3"/>
                <w:szCs w:val="13"/>
                <w:color w:val="auto"/>
              </w:rPr>
              <w:t>31,904,940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5.82 %</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Directors and named executive officers:</w:t>
            </w:r>
          </w:p>
        </w:tc>
        <w:tc>
          <w:tcPr>
            <w:tcW w:w="1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Dr. Thomas Caulfield</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David Reeder</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Kay Chai (KC) Ang</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Saam Azar</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Juan Cordovez</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Pradheepa Raman</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Ahmed Yahia</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Ahmed Saeed Al Calily</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Tim Breen</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Glenda Dorchak</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Martin L. Edelman</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David Kerko</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Jack Lazar</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Elissa E. Murphy</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940" w:type="dxa"/>
            <w:vAlign w:val="bottom"/>
            <w:gridSpan w:val="2"/>
          </w:tcPr>
          <w:p>
            <w:pPr>
              <w:ind w:left="20"/>
              <w:spacing w:after="0"/>
              <w:rPr>
                <w:sz w:val="20"/>
                <w:szCs w:val="20"/>
                <w:color w:val="auto"/>
              </w:rPr>
            </w:pPr>
            <w:r>
              <w:rPr>
                <w:rFonts w:ascii="Arial" w:cs="Arial" w:eastAsia="Arial" w:hAnsi="Arial"/>
                <w:sz w:val="13"/>
                <w:szCs w:val="13"/>
                <w:color w:val="auto"/>
              </w:rPr>
              <w:t>Carlos Obeid</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Bobby Yerramilli-Rao</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According to report on Scheduled 13G filed with the SEC on February 9, 2023, by FMR LLC.</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*Represents beneficial ownership of less than 1% of our issued and outstanding ordinary shares.</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Related Party Transactions</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Mubadala</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Secondments</w:t>
      </w:r>
    </w:p>
    <w:p>
      <w:pPr>
        <w:spacing w:after="0" w:line="10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Between January 1, 2019 and the date of this Annual Report, Mubadala has seconded a limited number of persons to us, including Tim Breen, who is a member of our board of directors and previously served as an executive officer of the company and continues to be seconded to us as of the date of this Annual Report. From January 1, 2019 to December 31, 2022, we paid Mubadala an average annual amount of approximately $3 million in consideration of the services provided by the secondees.</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Shareholder’s Agreement</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Prior to the consummation of our IPO in 2021, we entered into the Shareholder’s Agreement with Mubadala through two of its subsidiaries holding our ordinary shares, MTIC and MTIIIC. The Shareholder’s Agreement provides that, for so long as the Mubadala Entities, in the aggregate, beneficially own 50% or more of the ordinary shares held by the Mubadala Entities, MTIC is entitled to nominate a number of Mubadala Designees to our board of directors representing a majority of our directors. The Shareholder’s Agreement specifies how such nomination rights decrease as the Mubadala Entities’ beneficial ownership of our ordinary shares decreases. Specifically, for so long as the Mubadala Entities, in the aggregate, beneficially own (i) 40% or more, but less than 50%, (ii) 30% or more, but less than 40%, (iii) 20% or more, but less than 30%, and (iv) 5% or more, but less than 20%, of the ordinary shares held by the Mubadala Entities, MTIC shall be entitled to Mubadala Designees on our board of directors representing at least 50%, 40%, 30% and 20%, respectively, of our directors. The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69" w:name="page70"/>
    <w:bookmarkEnd w:id="69"/>
    <w:p>
      <w:pPr>
        <w:jc w:val="both"/>
        <w:spacing w:after="0" w:line="244" w:lineRule="auto"/>
        <w:rPr>
          <w:sz w:val="20"/>
          <w:szCs w:val="20"/>
          <w:color w:val="auto"/>
        </w:rPr>
      </w:pPr>
      <w:r>
        <w:rPr>
          <w:rFonts w:ascii="Arial" w:cs="Arial" w:eastAsia="Arial" w:hAnsi="Arial"/>
          <w:sz w:val="13"/>
          <w:szCs w:val="13"/>
          <w:color w:val="auto"/>
        </w:rPr>
        <w:t>Shareholder’s Agreement provides that for so long as MTIC is entitled to nominate at least 30% of our directors, the chairman of our board of directors shall be appointed by a majority vote of the Mubadala Designees directors.</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Shareholder’s Agreement specifies that, where there is a vacant board position in respect of a Mubadala Designee director, such vacancy shall be filled only by a decision of a majority of the Mubadala Designee directors then in office or, if there are no such directors then in office, by MTIC. Additionally, we will include the Mubadala Designees on the slate that is included in our proxy statement relating to the appointment of directors of the class to which such persons belong and provide the highest level of support for the appointment of each such person as we provide to any other individual standing for appointment as a director.</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Shareholder’s Agreement also specifies that until such time as the Mubadala Entities no longer beneficially own at least 30% of our outstanding ordinary shares, we will not, nor will we permit our subsidiaries, to take certain significant actions specified therein without the prior consent of MTIC. These actions include:</w:t>
      </w:r>
    </w:p>
    <w:p>
      <w:pPr>
        <w:spacing w:after="0" w:line="67" w:lineRule="exact"/>
        <w:rPr>
          <w:sz w:val="20"/>
          <w:szCs w:val="20"/>
          <w:color w:val="auto"/>
        </w:rPr>
      </w:pPr>
    </w:p>
    <w:p>
      <w:pPr>
        <w:ind w:left="520" w:hanging="6"/>
        <w:spacing w:after="0" w:line="261" w:lineRule="auto"/>
        <w:tabs>
          <w:tab w:leader="none" w:pos="603" w:val="left"/>
        </w:tabs>
        <w:numPr>
          <w:ilvl w:val="0"/>
          <w:numId w:val="51"/>
        </w:numPr>
        <w:rPr>
          <w:rFonts w:ascii="Arial" w:cs="Arial" w:eastAsia="Arial" w:hAnsi="Arial"/>
          <w:sz w:val="13"/>
          <w:szCs w:val="13"/>
          <w:color w:val="auto"/>
        </w:rPr>
      </w:pPr>
      <w:r>
        <w:rPr>
          <w:rFonts w:ascii="Arial" w:cs="Arial" w:eastAsia="Arial" w:hAnsi="Arial"/>
          <w:sz w:val="13"/>
          <w:szCs w:val="13"/>
          <w:color w:val="auto"/>
        </w:rPr>
        <w:t>amendments or modifications to, or repealing of, (whether by merger, consolidation or otherwise) any provisions of our organizational documents in a manner that would adversely affect the Mubadala Entities beneficially owning outstanding ordinary shares;</w:t>
      </w:r>
    </w:p>
    <w:p>
      <w:pPr>
        <w:spacing w:after="0" w:line="67" w:lineRule="exact"/>
        <w:rPr>
          <w:rFonts w:ascii="Arial" w:cs="Arial" w:eastAsia="Arial" w:hAnsi="Arial"/>
          <w:sz w:val="13"/>
          <w:szCs w:val="13"/>
          <w:color w:val="auto"/>
        </w:rPr>
      </w:pPr>
    </w:p>
    <w:p>
      <w:pPr>
        <w:ind w:left="600" w:hanging="86"/>
        <w:spacing w:after="0"/>
        <w:tabs>
          <w:tab w:leader="none" w:pos="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issuances of equity securities, subject to customary exceptions;</w:t>
      </w:r>
    </w:p>
    <w:p>
      <w:pPr>
        <w:spacing w:after="0" w:line="83" w:lineRule="exact"/>
        <w:rPr>
          <w:rFonts w:ascii="Arial" w:cs="Arial" w:eastAsia="Arial" w:hAnsi="Arial"/>
          <w:sz w:val="13"/>
          <w:szCs w:val="13"/>
          <w:color w:val="auto"/>
        </w:rPr>
      </w:pPr>
    </w:p>
    <w:p>
      <w:pPr>
        <w:ind w:left="600" w:hanging="86"/>
        <w:spacing w:after="0"/>
        <w:tabs>
          <w:tab w:leader="none" w:pos="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acquisitions or dispositions in an amount exceeding $300 million in any single transaction or $500 million in any calendar year, other than pursuant to ordinary course transactions;</w:t>
      </w:r>
    </w:p>
    <w:p>
      <w:pPr>
        <w:spacing w:after="0" w:line="94" w:lineRule="exact"/>
        <w:rPr>
          <w:rFonts w:ascii="Arial" w:cs="Arial" w:eastAsia="Arial" w:hAnsi="Arial"/>
          <w:sz w:val="13"/>
          <w:szCs w:val="13"/>
          <w:color w:val="auto"/>
        </w:rPr>
      </w:pPr>
    </w:p>
    <w:p>
      <w:pPr>
        <w:ind w:left="600" w:hanging="86"/>
        <w:spacing w:after="0"/>
        <w:tabs>
          <w:tab w:leader="none" w:pos="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mergers, consolidations, or other transactions that would involve a change of control of our company;</w:t>
      </w:r>
    </w:p>
    <w:p>
      <w:pPr>
        <w:spacing w:after="0" w:line="83" w:lineRule="exact"/>
        <w:rPr>
          <w:rFonts w:ascii="Arial" w:cs="Arial" w:eastAsia="Arial" w:hAnsi="Arial"/>
          <w:sz w:val="13"/>
          <w:szCs w:val="13"/>
          <w:color w:val="auto"/>
        </w:rPr>
      </w:pPr>
    </w:p>
    <w:p>
      <w:pPr>
        <w:ind w:left="600" w:hanging="86"/>
        <w:spacing w:after="0"/>
        <w:tabs>
          <w:tab w:leader="none" w:pos="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incurring financial indebtedness in an amount exceeding $200 million, subject to certain exceptions;</w:t>
      </w:r>
    </w:p>
    <w:p>
      <w:pPr>
        <w:spacing w:after="0" w:line="83" w:lineRule="exact"/>
        <w:rPr>
          <w:rFonts w:ascii="Arial" w:cs="Arial" w:eastAsia="Arial" w:hAnsi="Arial"/>
          <w:sz w:val="13"/>
          <w:szCs w:val="13"/>
          <w:color w:val="auto"/>
        </w:rPr>
      </w:pPr>
    </w:p>
    <w:p>
      <w:pPr>
        <w:ind w:left="600" w:hanging="86"/>
        <w:spacing w:after="0"/>
        <w:tabs>
          <w:tab w:leader="none" w:pos="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hiring or terminating our Chief Executive Officer, Chief Financial Officer or Chief Legal Officer or designating any replacement thereto;</w:t>
      </w:r>
    </w:p>
    <w:p>
      <w:pPr>
        <w:spacing w:after="0" w:line="94" w:lineRule="exact"/>
        <w:rPr>
          <w:rFonts w:ascii="Arial" w:cs="Arial" w:eastAsia="Arial" w:hAnsi="Arial"/>
          <w:sz w:val="13"/>
          <w:szCs w:val="13"/>
          <w:color w:val="auto"/>
        </w:rPr>
      </w:pPr>
    </w:p>
    <w:p>
      <w:pPr>
        <w:ind w:left="600" w:hanging="86"/>
        <w:spacing w:after="0"/>
        <w:tabs>
          <w:tab w:leader="none" w:pos="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liquidation, dissolution or winding up of our company;</w:t>
      </w:r>
    </w:p>
    <w:p>
      <w:pPr>
        <w:spacing w:after="0" w:line="83" w:lineRule="exact"/>
        <w:rPr>
          <w:rFonts w:ascii="Arial" w:cs="Arial" w:eastAsia="Arial" w:hAnsi="Arial"/>
          <w:sz w:val="13"/>
          <w:szCs w:val="13"/>
          <w:color w:val="auto"/>
        </w:rPr>
      </w:pPr>
    </w:p>
    <w:p>
      <w:pPr>
        <w:ind w:left="600" w:hanging="86"/>
        <w:spacing w:after="0"/>
        <w:tabs>
          <w:tab w:leader="none" w:pos="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any material change in the nature of the business of our company and our subsidiaries, taken as a whole; or</w:t>
      </w:r>
    </w:p>
    <w:p>
      <w:pPr>
        <w:spacing w:after="0" w:line="94" w:lineRule="exact"/>
        <w:rPr>
          <w:rFonts w:ascii="Arial" w:cs="Arial" w:eastAsia="Arial" w:hAnsi="Arial"/>
          <w:sz w:val="13"/>
          <w:szCs w:val="13"/>
          <w:color w:val="auto"/>
        </w:rPr>
      </w:pPr>
    </w:p>
    <w:p>
      <w:pPr>
        <w:ind w:left="600" w:hanging="86"/>
        <w:spacing w:after="0"/>
        <w:tabs>
          <w:tab w:leader="none" w:pos="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changes to the size of our board of directors.</w:t>
      </w:r>
    </w:p>
    <w:p>
      <w:pPr>
        <w:spacing w:after="0" w:line="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Shareholder’s Agreement entitles the Mubadala Entities to certain information rights. The Mubadala Entities are permitted to share such disclosed information with other Mubadala Entities and their directors, officers, employees, consultants, advisers, and financing providers, provided that the recipient maintain the confidentiality of such disclosed information.</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will use our reasonable best efforts, if permitted by applicable law and regulation (including, in particular, our audit, risk and compliance committee’s responsibilities under U.S. securities laws and regulations) and if in the best interests of the company, to select the same independent certified public accounting firm, or auditor, used by Mubadala (or an affiliate of such auditor) and to provide to Mubadala as much prior notice as reasonably practical of any change in our auditor until the first fiscal year end occurring after the date on which Mubadala and any entities owned by the Government of Abu Dhabi, together with their subsidiaries, no longer own in aggregate at least 25% of the voting power of our then outstanding securities. When selecting our auditor, we have agreed that we will give due consideration to the benefits arising to our company from the use of the same auditor as Mubadala (or an affiliate of such auditor).</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Shareholder’s Agreement is governed by Cayman Islands law and will terminate on the earlier to occur of (i) such time as the Mubadala Entities, in aggregate, cease to beneficially own 5% or more of our outstanding ordinary shares, and (ii) upon the delivery of a written notice by MTIC to us requesting its termination.</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Certain of the provisions of the Shareholder’s Agreement have been included in our Memorandum and Articles of Association.</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Registration Rights Agreement</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Prior to the consummation of our IPO in 2021, we entered into a registration rights agreement with MTIC and MTIIIC, pursuant to which those holders of ordinary shares are entitled to demand the registration of the sale of certain or all of our ordinary shares that they beneficially own (the “Registration Rights Agreement”). Among other things, under the terms of the Registration Rights Agreement:</w:t>
      </w:r>
    </w:p>
    <w:p>
      <w:pPr>
        <w:spacing w:after="0" w:line="86" w:lineRule="exact"/>
        <w:rPr>
          <w:sz w:val="20"/>
          <w:szCs w:val="20"/>
          <w:color w:val="auto"/>
        </w:rPr>
      </w:pPr>
    </w:p>
    <w:p>
      <w:pPr>
        <w:jc w:val="both"/>
        <w:ind w:left="520" w:hanging="6"/>
        <w:spacing w:after="0" w:line="241" w:lineRule="auto"/>
        <w:tabs>
          <w:tab w:leader="none" w:pos="607" w:val="left"/>
        </w:tabs>
        <w:numPr>
          <w:ilvl w:val="0"/>
          <w:numId w:val="52"/>
        </w:numPr>
        <w:rPr>
          <w:rFonts w:ascii="Arial" w:cs="Arial" w:eastAsia="Arial" w:hAnsi="Arial"/>
          <w:sz w:val="13"/>
          <w:szCs w:val="13"/>
          <w:color w:val="auto"/>
        </w:rPr>
      </w:pPr>
      <w:r>
        <w:rPr>
          <w:rFonts w:ascii="Arial" w:cs="Arial" w:eastAsia="Arial" w:hAnsi="Arial"/>
          <w:sz w:val="13"/>
          <w:szCs w:val="13"/>
          <w:color w:val="auto"/>
        </w:rPr>
        <w:t>Each holder has an unlimited right, subject to certain conditions and exceptions, to request that we file registration statements with the SEC for one or more underwritten offerings of all or part of our ordinary shares that the holder beneficially owns, and we are required to cause any such registration statements (a) to be filed with the SEC as promptly as practicable and (b) to use commercially reasonable efforts to cause such registration statements to become effective as soon as reasonably practicable;</w:t>
      </w:r>
    </w:p>
    <w:p>
      <w:pPr>
        <w:spacing w:after="0" w:line="90" w:lineRule="exact"/>
        <w:rPr>
          <w:rFonts w:ascii="Arial" w:cs="Arial" w:eastAsia="Arial" w:hAnsi="Arial"/>
          <w:sz w:val="13"/>
          <w:szCs w:val="13"/>
          <w:color w:val="auto"/>
        </w:rPr>
      </w:pPr>
    </w:p>
    <w:p>
      <w:pPr>
        <w:ind w:left="520" w:hanging="6"/>
        <w:spacing w:after="0" w:line="244" w:lineRule="auto"/>
        <w:tabs>
          <w:tab w:leader="none" w:pos="608" w:val="left"/>
        </w:tabs>
        <w:numPr>
          <w:ilvl w:val="0"/>
          <w:numId w:val="52"/>
        </w:numPr>
        <w:rPr>
          <w:rFonts w:ascii="Arial" w:cs="Arial" w:eastAsia="Arial" w:hAnsi="Arial"/>
          <w:sz w:val="13"/>
          <w:szCs w:val="13"/>
          <w:color w:val="auto"/>
        </w:rPr>
      </w:pPr>
      <w:r>
        <w:rPr>
          <w:rFonts w:ascii="Arial" w:cs="Arial" w:eastAsia="Arial" w:hAnsi="Arial"/>
          <w:sz w:val="13"/>
          <w:szCs w:val="13"/>
          <w:color w:val="auto"/>
        </w:rPr>
        <w:t>If we propose to file certain types of registration statements under the Securities Act with respect to an offering of equity securities by us, we are required to use commercially reasonable efforts to offer the other parties to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70" w:name="page71"/>
    <w:bookmarkEnd w:id="70"/>
    <w:p>
      <w:pPr>
        <w:ind w:left="520"/>
        <w:spacing w:after="0" w:line="244" w:lineRule="auto"/>
        <w:rPr>
          <w:sz w:val="20"/>
          <w:szCs w:val="20"/>
          <w:color w:val="auto"/>
        </w:rPr>
      </w:pPr>
      <w:r>
        <w:rPr>
          <w:rFonts w:ascii="Arial" w:cs="Arial" w:eastAsia="Arial" w:hAnsi="Arial"/>
          <w:sz w:val="13"/>
          <w:szCs w:val="13"/>
          <w:color w:val="auto"/>
        </w:rPr>
        <w:t>Registration Rights Agreement, if any, the opportunity to register the sale of all or part of their shares on the terms and conditions set forth in the Registration Rights Agreement (customarily known as “piggyback rights”); and</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All expenses of registration under the Registration Rights Agreement, including the legal fees of one counsel retained by or on behalf of the holders, will be paid by us.</w:t>
      </w:r>
    </w:p>
    <w:p>
      <w:pPr>
        <w:spacing w:after="0" w:line="8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registration rights granted in the Registration Rights Agreement are subject to customary restrictions such as minimum offering sizes, blackout periods and, if a registration is underwritten, any limitations on the number of shares to be included in the underwritten offering as reasonably advised by the managing underwriter. The rights of the holders under the Registration Rights Agreement are assignable to certain transferees of the holders’ ordinary shares. The Registration Rights Agreement also contains customary indemnification and contribution provisions. The Registration Rights Agreement is governed by New York law.</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SMP</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Silicon Manufacturing Partners Pte Ltd. (“SMP”) is a joint venture with LSI Technology (Singapore) Pte. Ltd. We hold a 49% interest in SMP and manage all aspects of its manufacturing operations. In the year ended December 31, 2022 we purchased products, primarily wafers, from SMP for an aggregate of $60 million. We also reimbursed expenses of and contributed tools to SMP in that period, with an aggregate expense of $52 million.</w:t>
      </w:r>
    </w:p>
    <w:p>
      <w:pPr>
        <w:spacing w:after="0" w:line="336" w:lineRule="exact"/>
        <w:rPr>
          <w:sz w:val="20"/>
          <w:szCs w:val="20"/>
          <w:color w:val="auto"/>
        </w:rPr>
      </w:pPr>
    </w:p>
    <w:p>
      <w:pPr>
        <w:ind w:left="260" w:hanging="255"/>
        <w:spacing w:after="0"/>
        <w:tabs>
          <w:tab w:leader="none" w:pos="26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Interests of Experts and Counsel.</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38"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color w:val="auto"/>
        </w:rPr>
        <w:t>FINANCIAL INFORMATION</w:t>
      </w:r>
    </w:p>
    <w:p>
      <w:pPr>
        <w:spacing w:after="0" w:line="84" w:lineRule="exact"/>
        <w:rPr>
          <w:sz w:val="20"/>
          <w:szCs w:val="20"/>
          <w:color w:val="auto"/>
        </w:rPr>
      </w:pPr>
    </w:p>
    <w:p>
      <w:pPr>
        <w:ind w:left="260" w:hanging="255"/>
        <w:spacing w:after="0"/>
        <w:tabs>
          <w:tab w:leader="none" w:pos="2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Consolidated Financial Statements and Other Financial Information</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Please see “Item 18. Financial Statements”. Other than as disclosed elsewhere in this Annual Report, no significant change has occurred since the date of the Annual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On April 28, 2021, IBM sent us a letter alleging for the first time that we did not fulfill our obligations under the contracts we entered into with IBM in 2014 and 2015 associated with our acquisition of IBM’s Microelectronics division. IBM asserted that we engaged in fraudulent misrepresentations during the underlying negotiations, and claimed we owed them $2.5 billion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our motion to dismiss IBM’s claims of fraud, unjust enrichment and breach of the implied covenant of good faith and fair dealing. IBM appealed the dismissal of its fraud claim, and on April 7, 2022, the New York Appellate Division reversed the Court’s decision. The Company believes, based on discussions with legal counsel, that the Company has meritorious defenses against IBM’s claims. The Company disputes IBM’s claims and intends to vigorously defend against IBM. We do not currently anticipate this proceeding to have a material impact on our results of operations, financial condition, business and prospects.</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addition to the foregoing proceeding, from time to time, we become involved in legal proceedings arising in the ordinary course of our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Based on the information currently available to us, we believe that the outcome of these proceedings would not have a material impact on our results of operations, financial condition, business and prospects.</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 and Dividend Policy</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currently intend to retain all available funds and any future earnings to fund the development and growth of our business. Therefore, we do not anticipate declaring or paying any cash dividends to our shareholders in the foreseeable future. Any future determination as to the declaration and payment of dividends, if any, will be at the discretion of our board of directors, subject to applicable laws, and will depend on a number of factors, including our business prospects, results of operations, financial condition, cash requirements and availability, debt repayment obligations, capital expenditure needs, covenants in the agreements governing our current and future indebtedness, other contractual restrictions, industry trends and any other factors or considerations our board of directors may regard as relevant.</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Cayman Islands law, dividends may be declared and paid only out of funds legally available therefor, namely out of either profit or distributable reserves, including our share premium account, and provided further that a dividend may not be paid if this would result in us being unable to pay our debts as they fall due in the ordinary course of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71" w:name="page72"/>
    <w:bookmarkEnd w:id="71"/>
    <w:p>
      <w:pPr>
        <w:spacing w:after="0"/>
        <w:rPr>
          <w:sz w:val="20"/>
          <w:szCs w:val="20"/>
          <w:color w:val="auto"/>
        </w:rPr>
      </w:pPr>
      <w:r>
        <w:rPr>
          <w:rFonts w:ascii="Arial" w:cs="Arial" w:eastAsia="Arial" w:hAnsi="Arial"/>
          <w:sz w:val="13"/>
          <w:szCs w:val="13"/>
          <w:color w:val="auto"/>
        </w:rPr>
        <w:t>For additional information, see “Item 3. Key Information—Risk Factors—We do not expect to declare or pay any dividends on our ordinary shares for the foreseeable future.”</w:t>
      </w:r>
    </w:p>
    <w:p>
      <w:pPr>
        <w:spacing w:after="0" w:line="344" w:lineRule="exact"/>
        <w:rPr>
          <w:sz w:val="20"/>
          <w:szCs w:val="20"/>
          <w:color w:val="auto"/>
        </w:rPr>
      </w:pPr>
    </w:p>
    <w:p>
      <w:pPr>
        <w:ind w:left="520" w:right="9800" w:hanging="515"/>
        <w:spacing w:after="0" w:line="423" w:lineRule="auto"/>
        <w:tabs>
          <w:tab w:leader="none" w:pos="265"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Significant Changes </w:t>
      </w:r>
      <w:r>
        <w:rPr>
          <w:rFonts w:ascii="Arial" w:cs="Arial" w:eastAsia="Arial" w:hAnsi="Arial"/>
          <w:sz w:val="13"/>
          <w:szCs w:val="13"/>
          <w:color w:val="auto"/>
        </w:rPr>
        <w:t>None.</w:t>
      </w:r>
    </w:p>
    <w:p>
      <w:pPr>
        <w:spacing w:after="0" w:line="120"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color w:val="auto"/>
        </w:rPr>
        <w:t>THE OFFER AND LISTING</w:t>
      </w:r>
    </w:p>
    <w:p>
      <w:pPr>
        <w:spacing w:after="0" w:line="95" w:lineRule="exact"/>
        <w:rPr>
          <w:sz w:val="20"/>
          <w:szCs w:val="20"/>
          <w:color w:val="auto"/>
        </w:rPr>
      </w:pPr>
    </w:p>
    <w:p>
      <w:pPr>
        <w:ind w:left="260" w:hanging="255"/>
        <w:spacing w:after="0"/>
        <w:tabs>
          <w:tab w:leader="none" w:pos="26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Offer and Listing Details</w:t>
      </w:r>
    </w:p>
    <w:p>
      <w:pPr>
        <w:spacing w:after="0" w:line="18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On November 1, 2021, we completed our IPO. The principal trading market for our ordinary shares is the Nasdaq. Our ordinary shares have been listed on the Nasdaq under the symbol “GFS” since October 28, 2021.</w:t>
      </w:r>
    </w:p>
    <w:p>
      <w:pPr>
        <w:spacing w:after="0" w:line="242" w:lineRule="exact"/>
        <w:rPr>
          <w:sz w:val="20"/>
          <w:szCs w:val="20"/>
          <w:color w:val="auto"/>
        </w:rPr>
      </w:pPr>
    </w:p>
    <w:p>
      <w:pPr>
        <w:ind w:left="260" w:right="9840" w:hanging="255"/>
        <w:spacing w:after="0" w:line="460" w:lineRule="auto"/>
        <w:tabs>
          <w:tab w:leader="none" w:pos="260"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Plan of Distribution </w:t>
      </w:r>
      <w:r>
        <w:rPr>
          <w:rFonts w:ascii="Arial" w:cs="Arial" w:eastAsia="Arial" w:hAnsi="Arial"/>
          <w:sz w:val="12"/>
          <w:szCs w:val="12"/>
          <w:color w:val="auto"/>
        </w:rPr>
        <w:t>Not applicable.</w:t>
      </w:r>
    </w:p>
    <w:p>
      <w:pPr>
        <w:spacing w:after="0" w:line="118" w:lineRule="exact"/>
        <w:rPr>
          <w:rFonts w:ascii="Arial" w:cs="Arial" w:eastAsia="Arial" w:hAnsi="Arial"/>
          <w:sz w:val="12"/>
          <w:szCs w:val="12"/>
          <w:b w:val="1"/>
          <w:bCs w:val="1"/>
          <w:color w:val="auto"/>
        </w:rPr>
      </w:pPr>
    </w:p>
    <w:p>
      <w:pPr>
        <w:ind w:left="260" w:hanging="255"/>
        <w:spacing w:after="0"/>
        <w:tabs>
          <w:tab w:leader="none" w:pos="26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Markets</w:t>
      </w:r>
    </w:p>
    <w:p>
      <w:pPr>
        <w:spacing w:after="0" w:line="99" w:lineRule="exact"/>
        <w:rPr>
          <w:rFonts w:ascii="Arial" w:cs="Arial" w:eastAsia="Arial" w:hAnsi="Arial"/>
          <w:sz w:val="13"/>
          <w:szCs w:val="13"/>
          <w:b w:val="1"/>
          <w:bCs w:val="1"/>
          <w:color w:val="auto"/>
        </w:rPr>
      </w:pPr>
    </w:p>
    <w:p>
      <w:pPr>
        <w:ind w:left="260"/>
        <w:spacing w:after="0"/>
        <w:rPr>
          <w:rFonts w:ascii="Arial" w:cs="Arial" w:eastAsia="Arial" w:hAnsi="Arial"/>
          <w:sz w:val="13"/>
          <w:szCs w:val="13"/>
          <w:b w:val="1"/>
          <w:bCs w:val="1"/>
          <w:color w:val="auto"/>
        </w:rPr>
      </w:pPr>
      <w:r>
        <w:rPr>
          <w:rFonts w:ascii="Arial" w:cs="Arial" w:eastAsia="Arial" w:hAnsi="Arial"/>
          <w:sz w:val="13"/>
          <w:szCs w:val="13"/>
          <w:color w:val="auto"/>
        </w:rPr>
        <w:t>See “—Offer and Listing Details” above.</w:t>
      </w:r>
    </w:p>
    <w:p>
      <w:pPr>
        <w:spacing w:after="0" w:line="237" w:lineRule="exact"/>
        <w:rPr>
          <w:rFonts w:ascii="Arial" w:cs="Arial" w:eastAsia="Arial" w:hAnsi="Arial"/>
          <w:sz w:val="13"/>
          <w:szCs w:val="13"/>
          <w:b w:val="1"/>
          <w:bCs w:val="1"/>
          <w:color w:val="auto"/>
        </w:rPr>
      </w:pPr>
    </w:p>
    <w:p>
      <w:pPr>
        <w:ind w:left="260" w:right="9760" w:hanging="255"/>
        <w:spacing w:after="0" w:line="478" w:lineRule="auto"/>
        <w:tabs>
          <w:tab w:leader="none" w:pos="260"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Selling Shareholders </w:t>
      </w:r>
      <w:r>
        <w:rPr>
          <w:rFonts w:ascii="Arial" w:cs="Arial" w:eastAsia="Arial" w:hAnsi="Arial"/>
          <w:sz w:val="12"/>
          <w:szCs w:val="12"/>
          <w:color w:val="auto"/>
        </w:rPr>
        <w:t>Not applicable.</w:t>
      </w:r>
    </w:p>
    <w:p>
      <w:pPr>
        <w:spacing w:after="0" w:line="97" w:lineRule="exact"/>
        <w:rPr>
          <w:rFonts w:ascii="Arial" w:cs="Arial" w:eastAsia="Arial" w:hAnsi="Arial"/>
          <w:sz w:val="12"/>
          <w:szCs w:val="12"/>
          <w:b w:val="1"/>
          <w:bCs w:val="1"/>
          <w:color w:val="auto"/>
        </w:rPr>
      </w:pPr>
    </w:p>
    <w:p>
      <w:pPr>
        <w:ind w:left="260" w:hanging="255"/>
        <w:spacing w:after="0"/>
        <w:tabs>
          <w:tab w:leader="none" w:pos="26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Dilution</w:t>
      </w:r>
    </w:p>
    <w:p>
      <w:pPr>
        <w:spacing w:after="0" w:line="99" w:lineRule="exact"/>
        <w:rPr>
          <w:rFonts w:ascii="Arial" w:cs="Arial" w:eastAsia="Arial" w:hAnsi="Arial"/>
          <w:sz w:val="13"/>
          <w:szCs w:val="13"/>
          <w:b w:val="1"/>
          <w:bCs w:val="1"/>
          <w:color w:val="auto"/>
        </w:rPr>
      </w:pPr>
    </w:p>
    <w:p>
      <w:pPr>
        <w:ind w:left="260"/>
        <w:spacing w:after="0"/>
        <w:rPr>
          <w:rFonts w:ascii="Arial" w:cs="Arial" w:eastAsia="Arial" w:hAnsi="Arial"/>
          <w:sz w:val="13"/>
          <w:szCs w:val="13"/>
          <w:b w:val="1"/>
          <w:bCs w:val="1"/>
          <w:color w:val="auto"/>
        </w:rPr>
      </w:pPr>
      <w:r>
        <w:rPr>
          <w:rFonts w:ascii="Arial" w:cs="Arial" w:eastAsia="Arial" w:hAnsi="Arial"/>
          <w:sz w:val="13"/>
          <w:szCs w:val="13"/>
          <w:color w:val="auto"/>
        </w:rPr>
        <w:t>Not applicable.</w:t>
      </w:r>
    </w:p>
    <w:p>
      <w:pPr>
        <w:spacing w:after="0" w:line="248" w:lineRule="exact"/>
        <w:rPr>
          <w:rFonts w:ascii="Arial" w:cs="Arial" w:eastAsia="Arial" w:hAnsi="Arial"/>
          <w:sz w:val="13"/>
          <w:szCs w:val="13"/>
          <w:b w:val="1"/>
          <w:bCs w:val="1"/>
          <w:color w:val="auto"/>
        </w:rPr>
      </w:pPr>
    </w:p>
    <w:p>
      <w:pPr>
        <w:ind w:left="260" w:right="9700" w:hanging="255"/>
        <w:spacing w:after="0" w:line="406" w:lineRule="auto"/>
        <w:tabs>
          <w:tab w:leader="none" w:pos="242"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Expenses of the Issue </w:t>
      </w:r>
      <w:r>
        <w:rPr>
          <w:rFonts w:ascii="Arial" w:cs="Arial" w:eastAsia="Arial" w:hAnsi="Arial"/>
          <w:sz w:val="13"/>
          <w:szCs w:val="13"/>
          <w:color w:val="auto"/>
        </w:rPr>
        <w:t>Not applicable.</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color w:val="auto"/>
        </w:rPr>
        <w:t>ADDITIONAL INFORMATION</w:t>
      </w:r>
    </w:p>
    <w:p>
      <w:pPr>
        <w:spacing w:after="0" w:line="84" w:lineRule="exact"/>
        <w:rPr>
          <w:sz w:val="20"/>
          <w:szCs w:val="20"/>
          <w:color w:val="auto"/>
        </w:rPr>
      </w:pPr>
    </w:p>
    <w:p>
      <w:pPr>
        <w:jc w:val="both"/>
        <w:ind w:left="260" w:right="10180" w:hanging="255"/>
        <w:spacing w:after="0" w:line="460" w:lineRule="auto"/>
        <w:tabs>
          <w:tab w:leader="none" w:pos="260" w:val="left"/>
        </w:tabs>
        <w:numPr>
          <w:ilvl w:val="0"/>
          <w:numId w:val="5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Share Capital </w:t>
      </w:r>
      <w:r>
        <w:rPr>
          <w:rFonts w:ascii="Arial" w:cs="Arial" w:eastAsia="Arial" w:hAnsi="Arial"/>
          <w:sz w:val="12"/>
          <w:szCs w:val="12"/>
          <w:color w:val="auto"/>
        </w:rPr>
        <w:t>Not applicable.</w:t>
      </w:r>
    </w:p>
    <w:p>
      <w:pPr>
        <w:spacing w:after="0" w:line="118" w:lineRule="exact"/>
        <w:rPr>
          <w:rFonts w:ascii="Arial" w:cs="Arial" w:eastAsia="Arial" w:hAnsi="Arial"/>
          <w:sz w:val="12"/>
          <w:szCs w:val="12"/>
          <w:b w:val="1"/>
          <w:bCs w:val="1"/>
          <w:color w:val="auto"/>
        </w:rPr>
      </w:pPr>
    </w:p>
    <w:p>
      <w:pPr>
        <w:ind w:left="260" w:hanging="255"/>
        <w:spacing w:after="0"/>
        <w:tabs>
          <w:tab w:leader="none" w:pos="26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Memorandum and Articles of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The information required to be disclosed under this item is incorporated by reference to Exhibit 2.3 to this Annual Report on Form 20-F.</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Differences in Corporate Law</w:t>
      </w:r>
    </w:p>
    <w:p>
      <w:pPr>
        <w:spacing w:after="0" w:line="1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Cayman Companies Act was modelled originally after similar laws in England and Wales but does not follow subsequent statutory enactments in England and Wales. In addition, the Cayman Companies Act differs from laws applicable to U.S. corporations and their shareholders. Set forth below is a summary of the significant differences between the provisions of the Cayman Companies Act applicable to us and the laws applicable to companies incorporated in the United States and their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Mergers and Similar Arrangements</w:t>
      </w:r>
    </w:p>
    <w:p>
      <w:pPr>
        <w:spacing w:after="0" w:line="30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Cayman Companies Act permits mergers or consolidations between two Cayman Islands companies, or between a Cayman Islands company and a company incorporated in another jurisdiction (provided that is facilitated by the laws of that other jurisdiction).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72" w:name="page73"/>
    <w:bookmarkEnd w:id="72"/>
    <w:p>
      <w:pPr>
        <w:jc w:val="both"/>
        <w:spacing w:after="0" w:line="245" w:lineRule="auto"/>
        <w:rPr>
          <w:sz w:val="20"/>
          <w:szCs w:val="20"/>
          <w:color w:val="auto"/>
        </w:rPr>
      </w:pPr>
      <w:r>
        <w:rPr>
          <w:rFonts w:ascii="Arial" w:cs="Arial" w:eastAsia="Arial" w:hAnsi="Arial"/>
          <w:sz w:val="13"/>
          <w:szCs w:val="13"/>
          <w:color w:val="auto"/>
        </w:rPr>
        <w:t>Where the merger or consolidation is between two Cayman Islands companies, the directors of each company must approve a written plan of merger or consolidation, which must then be authorized by (a) a special resolution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 Where the merger or consolidation involves a foreign company, the procedure is similar, save that with respect to the foreign company, the director of the Cayman Islands company is required to make a declaration to the effect that, having made due inquiry, the director is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company in any foreign jurisdictions; (iii) that no receiver, trustee, administrator or other similar person has been appointed in any jurisdiction and is acting in respect of the foreign company, its affairs or property or any part thereof; and (iv) that no scheme, order, compromise or similar arrangement has been entered into or made in any jurisdiction whereby the rights of creditors of the foreign company are and continue to be suspended or restricted.</w:t>
      </w:r>
    </w:p>
    <w:p>
      <w:pPr>
        <w:spacing w:after="0" w:line="8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Where the surviving company is the Cayman Islands company, the director of the Cayman Islands company is further required to make a declaration to the effect that, having made due inquiry, the director is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Where the above procedures are adopted, the Cayman Companies Act provides for a right of dissenting shareholders to be paid a payment of the fair value of his shares upon their dissenting to the merger or consolidation if they follow a prescribed procedure. In essence, that procedure is as follows:</w:t>
      </w:r>
    </w:p>
    <w:p>
      <w:pPr>
        <w:spacing w:after="0" w:line="67" w:lineRule="exact"/>
        <w:rPr>
          <w:sz w:val="20"/>
          <w:szCs w:val="20"/>
          <w:color w:val="auto"/>
        </w:rPr>
      </w:pPr>
    </w:p>
    <w:p>
      <w:pPr>
        <w:ind w:left="1020" w:hanging="251"/>
        <w:spacing w:after="0" w:line="261" w:lineRule="auto"/>
        <w:tabs>
          <w:tab w:leader="none" w:pos="10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shareholder must give the shareholder’s written objection to the merger or consolidation to the constituent company before the vote on the merger or consolidation, including a statement that the shareholder proposes to demand payment for the shareholder’s shares if the merger or consolidation is authorized by the vote;</w:t>
      </w:r>
    </w:p>
    <w:p>
      <w:pPr>
        <w:spacing w:after="0" w:line="67" w:lineRule="exact"/>
        <w:rPr>
          <w:rFonts w:ascii="Arial" w:cs="Arial" w:eastAsia="Arial" w:hAnsi="Arial"/>
          <w:sz w:val="13"/>
          <w:szCs w:val="13"/>
          <w:color w:val="auto"/>
        </w:rPr>
      </w:pPr>
    </w:p>
    <w:p>
      <w:pPr>
        <w:ind w:left="1020" w:hanging="251"/>
        <w:spacing w:after="0" w:line="244" w:lineRule="auto"/>
        <w:tabs>
          <w:tab w:leader="none" w:pos="10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within 20 days following the date on which the merger or consolidation is approved by the shareholders, the constituent company must give written notice to each shareholder who made a written objection;</w:t>
      </w:r>
    </w:p>
    <w:p>
      <w:pPr>
        <w:spacing w:after="0" w:line="88" w:lineRule="exact"/>
        <w:rPr>
          <w:rFonts w:ascii="Arial" w:cs="Arial" w:eastAsia="Arial" w:hAnsi="Arial"/>
          <w:sz w:val="13"/>
          <w:szCs w:val="13"/>
          <w:color w:val="auto"/>
        </w:rPr>
      </w:pPr>
    </w:p>
    <w:p>
      <w:pPr>
        <w:ind w:left="1020" w:hanging="251"/>
        <w:spacing w:after="0" w:line="244" w:lineRule="auto"/>
        <w:tabs>
          <w:tab w:leader="none" w:pos="1013"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shareholder must within 20 days following receipt of such notice from the constituent company, give the constituent company a written notice of the shareholder’s intention to dissent including, among other details, a demand for payment of the fair value of his shares;</w:t>
      </w:r>
    </w:p>
    <w:p>
      <w:pPr>
        <w:spacing w:after="0" w:line="88" w:lineRule="exact"/>
        <w:rPr>
          <w:rFonts w:ascii="Arial" w:cs="Arial" w:eastAsia="Arial" w:hAnsi="Arial"/>
          <w:sz w:val="13"/>
          <w:szCs w:val="13"/>
          <w:color w:val="auto"/>
        </w:rPr>
      </w:pPr>
    </w:p>
    <w:p>
      <w:pPr>
        <w:jc w:val="both"/>
        <w:ind w:left="1020" w:hanging="251"/>
        <w:spacing w:after="0" w:line="246" w:lineRule="auto"/>
        <w:tabs>
          <w:tab w:leader="none" w:pos="10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the shareholder’s shares at a price that the company determines is the fair value and if the company and the shareholder agree the price within 30 days following the date on which the offer was made, the company must pay the shareholder such amount; and</w:t>
      </w:r>
    </w:p>
    <w:p>
      <w:pPr>
        <w:spacing w:after="0" w:line="76" w:lineRule="exact"/>
        <w:rPr>
          <w:rFonts w:ascii="Arial" w:cs="Arial" w:eastAsia="Arial" w:hAnsi="Arial"/>
          <w:sz w:val="13"/>
          <w:szCs w:val="13"/>
          <w:color w:val="auto"/>
        </w:rPr>
      </w:pPr>
    </w:p>
    <w:p>
      <w:pPr>
        <w:jc w:val="both"/>
        <w:ind w:left="1020" w:hanging="251"/>
        <w:spacing w:after="0" w:line="273" w:lineRule="auto"/>
        <w:tabs>
          <w:tab w:leader="none" w:pos="10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if the company and the shareholder fail to agree a price within such 30-day period, within 20 days following the date on which such 30-day period expires, the company (and any dissenting shareholder) must file a petition with the Grand Court of the Cayman Islands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auto"/>
        </w:rPr>
        <w:t>such shares to be contributed are shares of any company listed on a national securities exchange or shares of the surviving or consolidated company.</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is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in the case of a creditors’ scheme who must in addition represent three-fourths in value of each such class of creditors, that are present and voting either in person or by proxy at a meeting, or meetings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66" w:lineRule="exact"/>
        <w:rPr>
          <w:sz w:val="20"/>
          <w:szCs w:val="20"/>
          <w:color w:val="auto"/>
        </w:rPr>
      </w:pPr>
    </w:p>
    <w:p>
      <w:pPr>
        <w:ind w:left="1020" w:hanging="251"/>
        <w:spacing w:after="0"/>
        <w:tabs>
          <w:tab w:leader="none" w:pos="10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we are not proposing to act illegally or beyond the scope of our corporate authority and the statutory provisions as to majority vote have been complied with;</w:t>
      </w:r>
    </w:p>
    <w:p>
      <w:pPr>
        <w:spacing w:after="0" w:line="94" w:lineRule="exact"/>
        <w:rPr>
          <w:rFonts w:ascii="Arial" w:cs="Arial" w:eastAsia="Arial" w:hAnsi="Arial"/>
          <w:sz w:val="13"/>
          <w:szCs w:val="13"/>
          <w:color w:val="auto"/>
        </w:rPr>
      </w:pPr>
    </w:p>
    <w:p>
      <w:pPr>
        <w:ind w:left="1020" w:hanging="251"/>
        <w:spacing w:after="0"/>
        <w:tabs>
          <w:tab w:leader="none" w:pos="10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shareholders have been fairly represented at the meeting in question;</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arrangement is such as a businessman would reasonably approve; and</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arrangement is not one that would more properly be sanctioned under some other provision of the Cayman Companies Act or that would amount to a “fraud on the minority.”</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Memorandum and Articles of Association provide that until such time as the Mubadala Entities no longer beneficially own at least 30% of our outstanding ordinary shares, the board of directors shall not cause our company to merge or consolidate with another entity without the prior written approval of MTIC.</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Squeeze-out Provisions</w:t>
      </w:r>
    </w:p>
    <w:p>
      <w:pPr>
        <w:spacing w:after="0" w:line="10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When a takeover offer is made and accepted by holders of 90% of the shares to whom the offer is made within four months, the offeror may, within a two-month period, require the holders of the remaining shares to transfer such shares on the terms of the offer. An objection may be made to the Grand Court of the Cayman Islands but is unlikely to succeed unless there is evidence of fraud, bad faith, collusion or inequitable treatment of the shareholders.</w:t>
      </w:r>
    </w:p>
    <w:p>
      <w:pPr>
        <w:spacing w:after="0" w:line="9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If the arrangement and reconstruction is thus approved, the dissenting shareholder would have no rights comparable to appraisal rights, which might otherwise ordinarily be available to dissenting 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Shareholders’ Suits</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 shareholder of a Delaware corporation has the right to bring a derivative action on behalf of the corporation if the shareholder was a shareholder of the corporation at the time of the transaction in question.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77" w:lineRule="exact"/>
        <w:rPr>
          <w:sz w:val="20"/>
          <w:szCs w:val="20"/>
          <w:color w:val="auto"/>
        </w:rPr>
      </w:pPr>
    </w:p>
    <w:p>
      <w:pPr>
        <w:ind w:left="1020" w:hanging="251"/>
        <w:spacing w:after="0"/>
        <w:tabs>
          <w:tab w:leader="none" w:pos="10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company is acting or proposing to act illegally or beyond the scope of its authority;</w:t>
      </w:r>
    </w:p>
    <w:p>
      <w:pPr>
        <w:spacing w:after="0" w:line="94" w:lineRule="exact"/>
        <w:rPr>
          <w:rFonts w:ascii="Arial" w:cs="Arial" w:eastAsia="Arial" w:hAnsi="Arial"/>
          <w:sz w:val="13"/>
          <w:szCs w:val="13"/>
          <w:color w:val="auto"/>
        </w:rPr>
      </w:pPr>
    </w:p>
    <w:p>
      <w:pPr>
        <w:ind w:left="1020" w:hanging="251"/>
        <w:spacing w:after="0"/>
        <w:tabs>
          <w:tab w:leader="none" w:pos="10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act complained of, although not beyond the scope of the authority, could be effected if duly authorized by more than the number of votes which have actually been obtained; and</w:t>
      </w:r>
    </w:p>
    <w:p>
      <w:pPr>
        <w:spacing w:after="0" w:line="95" w:lineRule="exact"/>
        <w:rPr>
          <w:rFonts w:ascii="Arial" w:cs="Arial" w:eastAsia="Arial" w:hAnsi="Arial"/>
          <w:sz w:val="12"/>
          <w:szCs w:val="12"/>
          <w:color w:val="auto"/>
        </w:rPr>
      </w:pPr>
    </w:p>
    <w:p>
      <w:pPr>
        <w:ind w:left="1020" w:hanging="251"/>
        <w:spacing w:after="0"/>
        <w:tabs>
          <w:tab w:leader="none" w:pos="10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those who control the company are perpetrating a “fraud on the minority.”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74" w:name="page75"/>
    <w:bookmarkEnd w:id="74"/>
    <w:p>
      <w:pPr>
        <w:spacing w:after="0"/>
        <w:rPr>
          <w:sz w:val="20"/>
          <w:szCs w:val="20"/>
          <w:color w:val="auto"/>
        </w:rPr>
      </w:pPr>
      <w:r>
        <w:rPr>
          <w:rFonts w:ascii="Arial" w:cs="Arial" w:eastAsia="Arial" w:hAnsi="Arial"/>
          <w:sz w:val="13"/>
          <w:szCs w:val="13"/>
          <w:color w:val="auto"/>
        </w:rPr>
        <w:t>A shareholder may have a direct right of action against us where the individual rights of that shareholder have been infringed or are about to be infringed.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Memorandum and Articles of Association provide that each shareholder agrees to waive any claim or right of action he or she might have, whether individually or by or in the right of our Company, against any director or officer on account of any action taken by such director or officer, or the failure of such director to take any action in the performance of their duties with or for our company. However, such waiver shall not extend to any matter in respect of any dishonesty, actual fraud or willful default which may attach to such director or officer.</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Maples and Calder (Cayman) LLP, our Cayman Islands counsel, is not aware of any reported class action suits having been brought in a Cayman Islands court. However, a class action suit could nonetheless be brought in the United States courts pursuant to an alleged violation of the securities laws of the United States.</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Directors’ Fiduciary Duties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a matter of Cayman Islands law, a director of a Cayman Islands company is in the position of a fiduciary with respect to the company. Accordingly, directors and officers owe the following fiduciary duties:</w:t>
      </w:r>
    </w:p>
    <w:p>
      <w:pPr>
        <w:spacing w:after="0" w:line="89" w:lineRule="exact"/>
        <w:rPr>
          <w:sz w:val="20"/>
          <w:szCs w:val="20"/>
          <w:color w:val="auto"/>
        </w:rPr>
      </w:pPr>
    </w:p>
    <w:p>
      <w:pPr>
        <w:ind w:left="1020" w:hanging="251"/>
        <w:spacing w:after="0"/>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duty to act in good faith in what the director or officer believes to be in the best interests of the company as a whole;</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duty to exercise powers for the purposes for which those powers were conferred and not for a collateral purpose;</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directors should not improperly fetter the exercise of future discretion;</w:t>
      </w:r>
    </w:p>
    <w:p>
      <w:pPr>
        <w:spacing w:after="0" w:line="94" w:lineRule="exact"/>
        <w:rPr>
          <w:rFonts w:ascii="Arial" w:cs="Arial" w:eastAsia="Arial" w:hAnsi="Arial"/>
          <w:sz w:val="13"/>
          <w:szCs w:val="13"/>
          <w:color w:val="auto"/>
        </w:rPr>
      </w:pPr>
    </w:p>
    <w:p>
      <w:pPr>
        <w:ind w:left="1020" w:hanging="251"/>
        <w:spacing w:after="0"/>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duty to exercise powers fairly as between different sections of shareholders;</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duty to exercise independent judgment; and</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duty not to put themselves in a position in which there is a conflict between their duty to the company and their personal interests.</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However, this obligation may be varied by the company’s articles of association, which may permit a director to vote on a matter in which the director has a personal interest provided that the director has disclosed that nature of his interest to the board of directors. With respect to the duty of directors to avoid conflicts of interest, our Memorandum and Articles of Association vary from the applicable provisions of Cayman Islands law mentioned above by providing that a director must disclose the nature and extent of the director’s interest in any contract or proposed contract or arrangement, and following such disclosure and subject to any separate requirement under applicable law or applicable listing rules, and unless disqualified by the chairman of the relevant meeting, such director may vote in respect of any transaction or arrangement in which the director is interested and may be counted in the quorum at the meeting.</w:t>
      </w:r>
    </w:p>
    <w:p>
      <w:pPr>
        <w:spacing w:after="0" w:line="8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addition to the above, under Cayman Islands law,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 The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However, under our Memorandum and Articles of Association, we renounced our interest in any corporate opportunity offered to any director or officer. Additionally, any such director or officer shall be permitted to pursue competing opportunities without any liability to us. Furthermore, each of our officers and directors may have pre-existing fiduciary obligations to other businesses of which they are officers or directors.</w:t>
      </w:r>
    </w:p>
    <w:p>
      <w:pPr>
        <w:spacing w:after="0" w:line="80"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the director actually possesses.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color w:val="auto"/>
        </w:rPr>
        <w:t>A general notice may be given to the board of directors to the effect that:</w:t>
      </w:r>
    </w:p>
    <w:p>
      <w:pPr>
        <w:spacing w:after="0" w:line="84" w:lineRule="exact"/>
        <w:rPr>
          <w:sz w:val="20"/>
          <w:szCs w:val="20"/>
          <w:color w:val="auto"/>
        </w:rPr>
      </w:pPr>
    </w:p>
    <w:p>
      <w:pPr>
        <w:ind w:left="1020" w:hanging="251"/>
        <w:spacing w:after="0" w:line="261" w:lineRule="auto"/>
        <w:tabs>
          <w:tab w:leader="none" w:pos="101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director is a member or officer of a specified company or firm and is to be regarded as interested in any contract or arrangement which may after the date of the notice be made with that company or firm; or</w:t>
      </w:r>
    </w:p>
    <w:p>
      <w:pPr>
        <w:spacing w:after="0" w:line="67" w:lineRule="exact"/>
        <w:rPr>
          <w:rFonts w:ascii="Arial" w:cs="Arial" w:eastAsia="Arial" w:hAnsi="Arial"/>
          <w:sz w:val="13"/>
          <w:szCs w:val="13"/>
          <w:color w:val="auto"/>
        </w:rPr>
      </w:pPr>
    </w:p>
    <w:p>
      <w:pPr>
        <w:ind w:left="1020" w:hanging="251"/>
        <w:spacing w:after="0" w:line="261" w:lineRule="auto"/>
        <w:tabs>
          <w:tab w:leader="none" w:pos="101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director is to be regarded as interested in any contract or arrangement which may after the date of the notice to the board of directors be made with a specified person who is connected with the director, will be deemed sufficient declaration of interest.</w:t>
      </w:r>
    </w:p>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This notice shall specify the nature of the interest in question. Following the disclosure being made pursuant to our Memorandum and Articles of Association and subject to any separate requirement under applicable law or applicable listing rules, a director may vote in respect of any transaction or arrangement in which the director is interested and may be counted in the quorum at the meeting.</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directors must inform themselves of, and disclose to shareholders, all material information reasonably available regarding a significant transaction. The duty of loyalty requires that directors act in a manner they reasonably believe to be in the best interests of the corporation. They must not use their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Shareholder Action by Written Consent</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Under the Delaware General Corporation Law, a corporation may eliminate the right of shareholders to act 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Shareholder Proposals</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7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Our Memorandum and Articles of Association provide no other right to put any proposals before annual general meetings or extraordinary general meetings.</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Cumulative Voting</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i w:val="1"/>
          <w:iCs w:val="1"/>
          <w:color w:val="auto"/>
        </w:rPr>
        <w:t>Removal of Directors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for cause by an affirmative vote of at least 75% of shareholders, provided that (1) Mubadala Designees may only be removed with or without cause by MTIC and (2) as long as the Mubadala Entities beneficially own in the aggregate at least 50% of the outstanding shares, directors other than the Mubadala Designees may be removed with or without cause by a majority of shareholders.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notice of general meeting must contain a statement of the intention to remove the director and must be served on the director not less than ten calendar days before the meeting. The director is entitled to attend the meeting and be heard on the motion for his removal.</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The office of a director will be vacated automatically if the director:</w:t>
      </w:r>
    </w:p>
    <w:p>
      <w:pPr>
        <w:spacing w:after="0" w:line="84" w:lineRule="exact"/>
        <w:rPr>
          <w:sz w:val="20"/>
          <w:szCs w:val="20"/>
          <w:color w:val="auto"/>
        </w:rPr>
      </w:pPr>
    </w:p>
    <w:p>
      <w:pPr>
        <w:ind w:left="1020" w:hanging="251"/>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becomes prohibited by law from being a director;</w:t>
      </w:r>
    </w:p>
    <w:p>
      <w:pPr>
        <w:spacing w:after="0" w:line="94" w:lineRule="exact"/>
        <w:rPr>
          <w:rFonts w:ascii="Arial" w:cs="Arial" w:eastAsia="Arial" w:hAnsi="Arial"/>
          <w:sz w:val="13"/>
          <w:szCs w:val="13"/>
          <w:color w:val="auto"/>
        </w:rPr>
      </w:pPr>
    </w:p>
    <w:p>
      <w:pPr>
        <w:ind w:left="1020" w:hanging="251"/>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becomes bankrupt or makes an arrangement or composition with the director’s creditors;</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dies or is in the opinion of all the director’s co-directors, incapable by reason of mental disorder of discharging his duties as director;</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resigns the director’s office by notice to us; or</w:t>
      </w:r>
    </w:p>
    <w:p>
      <w:pPr>
        <w:spacing w:after="0" w:line="94" w:lineRule="exact"/>
        <w:rPr>
          <w:rFonts w:ascii="Arial" w:cs="Arial" w:eastAsia="Arial" w:hAnsi="Arial"/>
          <w:sz w:val="13"/>
          <w:szCs w:val="13"/>
          <w:color w:val="auto"/>
        </w:rPr>
      </w:pPr>
    </w:p>
    <w:p>
      <w:pPr>
        <w:ind w:left="1020" w:hanging="251"/>
        <w:spacing w:after="0" w:line="244" w:lineRule="auto"/>
        <w:tabs>
          <w:tab w:leader="none" w:pos="1011" w:val="left"/>
        </w:tabs>
        <w:numPr>
          <w:ilvl w:val="0"/>
          <w:numId w:val="64"/>
        </w:numPr>
        <w:rPr>
          <w:rFonts w:ascii="Arial" w:cs="Arial" w:eastAsia="Arial" w:hAnsi="Arial"/>
          <w:sz w:val="13"/>
          <w:szCs w:val="13"/>
          <w:color w:val="auto"/>
        </w:rPr>
      </w:pPr>
      <w:r>
        <w:rPr>
          <w:rFonts w:ascii="Arial" w:cs="Arial" w:eastAsia="Arial" w:hAnsi="Arial"/>
          <w:sz w:val="13"/>
          <w:szCs w:val="13"/>
          <w:color w:val="auto"/>
        </w:rPr>
        <w:t>has for more than six months been absent without permission of the directors from meetings of the board of directors held during that period, and the remaining directors resolve that the director’s office be vacated.</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Memorandum and Articles of Association provide that any vacancy on the board of directors in respect of a Mubadala Designee may only be filled by a decision of majority of the Mubadala Designees then in office, or if there are none, by MTIC.</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Proceedings of the Board of Directors</w:t>
      </w:r>
    </w:p>
    <w:p>
      <w:pPr>
        <w:spacing w:after="0" w:line="10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business is to be managed and conducted by the board of directors. The quorum necessary for any meeting of our board of directors shall consist of a simple majority of the members provided that, for so long as the Mubadala Entities are entitled to nominate one Mubadala Designee to our board of directors, the presence of at least one Mubadala Designee shall be required on first call to a meeting of the board of directors.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Subject to the provisions of our Memorandum and Articles of Association, the board of directors may regulate its proceedings as they determine is appropriate.</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Subject to the provisions of our Memorandum and Articles of Association, to any directions given by ordinary resolution of the shareholders and applicable listing rules, the board of directors may from time to time at its discretion exercise all of our powers, including, subject to the Cayman Companies Act, the power to issue debentures, bonds and other securities of the company, whether outright or as collateral security for any debt, liability or obligation of our company or of any third party.</w:t>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Transactions with Interested Shareholders</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acquiror of a Delaware corporation to negotiate the terms of any acquisition transaction with the target’s board of directors.</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the board of directors owes duties to ensure that these transactions are entered into bona fide in the best interests of the company and for a proper corporate purpose and, as noted above, a transaction may be subject to challenge if it has the effect of constituting a fraud on the minority shareholders.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i w:val="1"/>
          <w:iCs w:val="1"/>
          <w:color w:val="auto"/>
        </w:rPr>
        <w:t>Dissolution; Winding Up</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resolves by ordinary resolution that it be wound up because it is unable to pay its debts as they fall due. The court has authority to order winding up in a number of specified circumstances including where it is, in the opinion of the court, just and equitable to do so.</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Under the Cayman Companies Act, we may be dissolved, liquidated or wound up by a special resolution of shareholders (requiring a two-thirds majority vote of those shareholders attending and voting at a quorate meeting). Our Memorandum and Articles of Association also give our board of directors the authority to petition the Cayman Islands Court for our wind up.</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Variation of Rights of Shares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without the consent of the holders of the issued shares of that class where such variation is considered by the directors not to have a material adverse effect upon such rights. Otherwise, all or any of the special rights attached to any class of shares may be varied with either the written consent of the beneficial holders of two-thirds of the issued shares of that class, or with the approval of a special resolution passed at a general meeting of the holders of the shares of that class.</w:t>
      </w:r>
    </w:p>
    <w:p>
      <w:pPr>
        <w:spacing w:after="0" w:line="7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rights conferred upon the holders of the shares of any class issued with preferred or other rights shall not, subject to any rights or restrictions for the time being attached to the shares of that class, be deemed to be materially adversely affected by the creation, allotment or issuance of further shares (whether ranking in priority to, pari passu or subordinated to them) pursuant to the board of director’s ability to issue preference shares. The rights of the beneficial holders of the issued shares shall not be deemed to be materially adversely varied by the creation, allotment or issuance of shares with preferred or other rights including, without limitation, the creation of shares with enhanced or weighted voting rights.</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Amendment of Governing Documents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Memorandum and Articles of Association generally (and save for certain amendments to share capital described in this section) may only be amended by special resolution of shareholders (requiring a two-thirds majority vote of those shareholders attending and voting at a quorate meeting).</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Indemnification of Directors and Executive Officers and Limitation of Liability</w:t>
      </w:r>
    </w:p>
    <w:p>
      <w:pPr>
        <w:spacing w:after="0" w:line="98"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Cayman Companies Act does not limit the extent to which a company’s articles of association may provide for indemnification of directors and officers, except to the extent that it may be held by the Cayman Islands courts to be contrary to public policy, such as to provide indemnification against civil fraud or the consequences of committing a crime. Our Memorandum and Articles of Association provide that we shall indemnify and hold harmless our directors and officers against any liability, action, proceeding, claim, demand, costs, damages or expenses, including legal expenses, whatsoever which they or any of them may incur as a result of any act or failure to act in carrying out their functions in connection with the company other than such liability (if any) that they may incur by reason of their own actual fraud, dishonesty, willful neglect or willful default. We will also bear the expenses of any reasonable attorneys’ fees and other costs and expenses incurred in connection with the defense of any action, suit, proceeding or investigation involving such director or officer, upon such person’s undertaking to repay any amounts paid, advanced, or reimbursed by us if it is ultimately determined that any such person shall not have been entitled to indemnification. No director or officer shall be liable to our company for any loss or damage incurred by our company as a result (whether direct or indirect) of the carrying out of their functions unless that liability arises through the actual fraud, dishonesty, willful neglect or willful default of such officer or director. This standard of conduct is generally the same as permitted under the Delaware General Corporation Law for a Delaware corporation.</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or persons controlling us under the foregoing provisions, we have been informed that, in the opinion of the SEC, this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i w:val="1"/>
          <w:iCs w:val="1"/>
          <w:color w:val="auto"/>
        </w:rPr>
        <w:t>Enforcement of Civil Liabilities</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340" w:lineRule="exact"/>
        <w:rPr>
          <w:sz w:val="20"/>
          <w:szCs w:val="20"/>
          <w:color w:val="auto"/>
        </w:rPr>
      </w:pPr>
    </w:p>
    <w:p>
      <w:pPr>
        <w:ind w:left="260" w:hanging="255"/>
        <w:spacing w:after="0"/>
        <w:tabs>
          <w:tab w:leader="none" w:pos="26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Material Contracts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For information concerning certain contracts important to our business, see “Item 4. Information on the Company—B. Business Overview—Raw Materials” and “Item 7. Major Shareholders and Related Party Transactions—Related Party Transactions.”</w:t>
      </w:r>
    </w:p>
    <w:p>
      <w:pPr>
        <w:spacing w:after="0" w:line="338" w:lineRule="exact"/>
        <w:rPr>
          <w:sz w:val="20"/>
          <w:szCs w:val="20"/>
          <w:color w:val="auto"/>
        </w:rPr>
      </w:pPr>
    </w:p>
    <w:p>
      <w:pPr>
        <w:jc w:val="both"/>
        <w:spacing w:after="0" w:line="260" w:lineRule="auto"/>
        <w:rPr>
          <w:sz w:val="20"/>
          <w:szCs w:val="20"/>
          <w:color w:val="auto"/>
        </w:rPr>
      </w:pPr>
      <w:r>
        <w:rPr>
          <w:rFonts w:ascii="Arial" w:cs="Arial" w:eastAsia="Arial" w:hAnsi="Arial"/>
          <w:sz w:val="13"/>
          <w:szCs w:val="13"/>
          <w:b w:val="1"/>
          <w:bCs w:val="1"/>
          <w:color w:val="auto"/>
        </w:rPr>
        <w:t>2021 SGD EDB Loan</w:t>
      </w:r>
      <w:r>
        <w:rPr>
          <w:rFonts w:ascii="Arial" w:cs="Arial" w:eastAsia="Arial" w:hAnsi="Arial"/>
          <w:sz w:val="13"/>
          <w:szCs w:val="13"/>
          <w:color w:val="auto"/>
        </w:rPr>
        <w:t>—On September 3, 2021, the Company entered into a loan agreement with Singapore Economic Development Board (“EDB”), which provided loan facilities with maximum</w:t>
      </w:r>
      <w:r>
        <w:rPr>
          <w:rFonts w:ascii="Arial" w:cs="Arial" w:eastAsia="Arial" w:hAnsi="Arial"/>
          <w:sz w:val="13"/>
          <w:szCs w:val="13"/>
          <w:b w:val="1"/>
          <w:bCs w:val="1"/>
          <w:color w:val="auto"/>
        </w:rPr>
        <w:t xml:space="preserve"> </w:t>
      </w:r>
      <w:r>
        <w:rPr>
          <w:rFonts w:ascii="Arial" w:cs="Arial" w:eastAsia="Arial" w:hAnsi="Arial"/>
          <w:sz w:val="13"/>
          <w:szCs w:val="13"/>
          <w:color w:val="auto"/>
        </w:rPr>
        <w:t>drawdown of $1,149 million (SGD 1,541 million) at a fixed nominal interest rate of 1.4%. The difference between the nominal interest rate of the loan and the market interest rate for an equivalent loan is recognized as a government grant. The loan matures on June 3, 2041, with interest-only payments for the first 5 years and principal repayments commence thereafter, payable on a semi-annual basis.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Except as otherwise described in this Annual Report on Form 20-F (including the documents filed as exhibits to this Annual Report on Form 20-F), we have not entered into any material contracts other than in the ordinary course of business.</w:t>
      </w:r>
    </w:p>
    <w:p>
      <w:pPr>
        <w:spacing w:after="0" w:line="242" w:lineRule="exact"/>
        <w:rPr>
          <w:sz w:val="20"/>
          <w:szCs w:val="20"/>
          <w:color w:val="auto"/>
        </w:rPr>
      </w:pPr>
    </w:p>
    <w:p>
      <w:pPr>
        <w:ind w:left="260" w:hanging="255"/>
        <w:spacing w:after="0"/>
        <w:tabs>
          <w:tab w:leader="none" w:pos="26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Exchange Controls</w:t>
      </w:r>
    </w:p>
    <w:p>
      <w:pPr>
        <w:spacing w:after="0" w:line="99" w:lineRule="exact"/>
        <w:rPr>
          <w:rFonts w:ascii="Arial" w:cs="Arial" w:eastAsia="Arial" w:hAnsi="Arial"/>
          <w:sz w:val="13"/>
          <w:szCs w:val="13"/>
          <w:b w:val="1"/>
          <w:bCs w:val="1"/>
          <w:color w:val="auto"/>
        </w:rPr>
      </w:pPr>
    </w:p>
    <w:p>
      <w:pPr>
        <w:ind w:left="260"/>
        <w:spacing w:after="0"/>
        <w:rPr>
          <w:rFonts w:ascii="Arial" w:cs="Arial" w:eastAsia="Arial" w:hAnsi="Arial"/>
          <w:sz w:val="13"/>
          <w:szCs w:val="13"/>
          <w:b w:val="1"/>
          <w:bCs w:val="1"/>
          <w:color w:val="auto"/>
        </w:rPr>
      </w:pPr>
      <w:r>
        <w:rPr>
          <w:rFonts w:ascii="Arial" w:cs="Arial" w:eastAsia="Arial" w:hAnsi="Arial"/>
          <w:sz w:val="13"/>
          <w:szCs w:val="13"/>
          <w:color w:val="auto"/>
        </w:rPr>
        <w:t>The Cayman Islands currently has no exchange control restrictions.</w:t>
      </w:r>
    </w:p>
    <w:p>
      <w:pPr>
        <w:spacing w:after="0" w:line="248" w:lineRule="exact"/>
        <w:rPr>
          <w:rFonts w:ascii="Arial" w:cs="Arial" w:eastAsia="Arial" w:hAnsi="Arial"/>
          <w:sz w:val="13"/>
          <w:szCs w:val="13"/>
          <w:b w:val="1"/>
          <w:bCs w:val="1"/>
          <w:color w:val="auto"/>
        </w:rPr>
      </w:pPr>
    </w:p>
    <w:p>
      <w:pPr>
        <w:ind w:left="260" w:hanging="255"/>
        <w:spacing w:after="0"/>
        <w:tabs>
          <w:tab w:leader="none" w:pos="26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Taxation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Cayman Islands Tax Considerations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following summary contains a description of certain Cayman Islands tax consequences of the acquisition, ownership and disposition of our ordinary shares, but it does not purport to be a comprehensive description of all the tax considerations that may be relevant to a decision to purchase our ordinary shares. The summary is based upon the tax laws of Cayman Islands and regulations thereunder as of the date hereof, which are subject to change. If you are considering the purchase of our ordinary shares, you should consult your own tax advisors concerning the particular tax consequences to you of the purchase, ownership and disposition of our ordinary shares, as well as the consequences to you arising under the laws of your country of citizenship, residence or domicile.</w:t>
      </w:r>
    </w:p>
    <w:p>
      <w:pPr>
        <w:spacing w:after="0" w:line="5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following is a discussion of certain Cayman Islands income tax consequences of an investment in our ordinary shares. The discussion is a general summary of present law, which is subject to prospective and retroactive change. It is not intended to be tax advice, does not consider any investor’s particular circumstances, and does not consider tax consequences other than those arising under Cayman Islands law.</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Under Existing Cayman Islands Laws</w:t>
      </w:r>
    </w:p>
    <w:p>
      <w:pPr>
        <w:spacing w:after="0" w:line="10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Payments of dividends and capital in respect of our ordinary shares will not be subject to taxation in the Cayman Islands and no withholding will be required on the payment of interest and principal or a dividend or capital to any holder of our ordinary shares, as the case may be, nor will gains derived from the disposal of our ordinary shares be subject to Cayman Islands income or corporation tax. The Cayman Islands currently has no income, corporation or capital gains tax and no estate duty, inheritance tax or gift tax.</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No stamp duty is payable in respect of the issue of ordinary shares or on an instrument of transfer in respect of an ordinary share.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79" w:name="page80"/>
    <w:bookmarkEnd w:id="79"/>
    <w:p>
      <w:pPr>
        <w:spacing w:after="0" w:line="244" w:lineRule="auto"/>
        <w:rPr>
          <w:sz w:val="20"/>
          <w:szCs w:val="20"/>
          <w:color w:val="auto"/>
        </w:rPr>
      </w:pPr>
      <w:r>
        <w:rPr>
          <w:rFonts w:ascii="Arial" w:cs="Arial" w:eastAsia="Arial" w:hAnsi="Arial"/>
          <w:sz w:val="13"/>
          <w:szCs w:val="13"/>
          <w:color w:val="auto"/>
        </w:rPr>
        <w:t>We were incorporated under the laws of the Cayman Islands as an exempted company with limited liability and, as such, has received an undertaking from the Governor in Cabinet of the Cayman Islands in substantially the following form: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Tax Concessions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(1999 Revision)</w:t>
      </w:r>
    </w:p>
    <w:p>
      <w:pPr>
        <w:spacing w:after="0" w:line="179"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Undertaking as to Tax Concessions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Section 6 of the Tax Concessions Law (1999 Revision) the Governor in Cabinet undertakes with GLOBALFOUNDRIES Inc.:</w:t>
      </w:r>
    </w:p>
    <w:p>
      <w:pPr>
        <w:spacing w:after="0" w:line="84" w:lineRule="exact"/>
        <w:rPr>
          <w:sz w:val="20"/>
          <w:szCs w:val="20"/>
          <w:color w:val="auto"/>
        </w:rPr>
      </w:pPr>
    </w:p>
    <w:p>
      <w:pPr>
        <w:ind w:left="760" w:hanging="246"/>
        <w:spacing w:after="0"/>
        <w:tabs>
          <w:tab w:leader="none" w:pos="7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that no Law which is hereafter enacted in the Islands imposing any tax to be levied on profits, income, gains or appreciations shall apply to us the company or our operations; and</w:t>
      </w:r>
    </w:p>
    <w:p>
      <w:pPr>
        <w:spacing w:after="0" w:line="94" w:lineRule="exact"/>
        <w:rPr>
          <w:rFonts w:ascii="Arial" w:cs="Arial" w:eastAsia="Arial" w:hAnsi="Arial"/>
          <w:sz w:val="13"/>
          <w:szCs w:val="13"/>
          <w:color w:val="auto"/>
        </w:rPr>
      </w:pPr>
    </w:p>
    <w:p>
      <w:pPr>
        <w:ind w:left="760" w:hanging="246"/>
        <w:spacing w:after="0"/>
        <w:tabs>
          <w:tab w:leader="none" w:pos="7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 addition, that no tax to be levied on profits, income, gains or appreciations or which is in the nature of estate duty or inheritance tax shall be payable:</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1"/>
          <w:numId w:val="67"/>
        </w:numPr>
        <w:rPr>
          <w:rFonts w:ascii="Arial" w:cs="Arial" w:eastAsia="Arial" w:hAnsi="Arial"/>
          <w:sz w:val="13"/>
          <w:szCs w:val="13"/>
          <w:color w:val="auto"/>
        </w:rPr>
      </w:pPr>
      <w:r>
        <w:rPr>
          <w:rFonts w:ascii="Arial" w:cs="Arial" w:eastAsia="Arial" w:hAnsi="Arial"/>
          <w:sz w:val="13"/>
          <w:szCs w:val="13"/>
          <w:color w:val="auto"/>
        </w:rPr>
        <w:t>on or in respect of the shares, debentures or other obligations of the company; or</w:t>
      </w:r>
    </w:p>
    <w:p>
      <w:pPr>
        <w:spacing w:after="0" w:line="94" w:lineRule="exact"/>
        <w:rPr>
          <w:rFonts w:ascii="Arial" w:cs="Arial" w:eastAsia="Arial" w:hAnsi="Arial"/>
          <w:sz w:val="13"/>
          <w:szCs w:val="13"/>
          <w:color w:val="auto"/>
        </w:rPr>
      </w:pPr>
    </w:p>
    <w:p>
      <w:pPr>
        <w:ind w:left="1020" w:hanging="251"/>
        <w:spacing w:after="0"/>
        <w:tabs>
          <w:tab w:leader="none" w:pos="1020" w:val="left"/>
        </w:tabs>
        <w:numPr>
          <w:ilvl w:val="1"/>
          <w:numId w:val="67"/>
        </w:numPr>
        <w:rPr>
          <w:rFonts w:ascii="Arial" w:cs="Arial" w:eastAsia="Arial" w:hAnsi="Arial"/>
          <w:sz w:val="13"/>
          <w:szCs w:val="13"/>
          <w:color w:val="auto"/>
        </w:rPr>
      </w:pPr>
      <w:r>
        <w:rPr>
          <w:rFonts w:ascii="Arial" w:cs="Arial" w:eastAsia="Arial" w:hAnsi="Arial"/>
          <w:sz w:val="13"/>
          <w:szCs w:val="13"/>
          <w:color w:val="auto"/>
        </w:rPr>
        <w:t>by way of the withholding in whole or part, of any relevant payment as defined in Section 6(3) of the Tax Concessions Law (20181 Revision).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These concessions shall be for a period of TWENTY years from 21st day of October 2008.</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United States Federal Income Taxation</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following is a summary of material U.S. federal income tax considerations that are likely to be relevant to the purchase, ownership and disposition of our ordinary shares by a U.S. Holder (as defined below).</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This summary is based on provisions of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This summary is not a comprehensive discussion of all of the tax considerations that may be relevant to a particular investor’s decision to purchase, hold, or dispose of ordinary shares. In particular, this summary is directed only to U.S. Holders that hold ordinary shares as capital assets and does not address particular tax consequences that may be applicable to U.S. Holders who may be subject to special tax rules, such as banks, brokers or dealers in securities or currencies, traders in securities electing to mark to market, financial institutions, life insurance companies, tax-exempt entities, regulated investment companies, real estate investment trusts, entities or arrangements that are treated as partnerships for U.S. federal income tax purposes (or partners therein), holders that own or are treated as owning 10% or more of our stock by vote or value, persons holding ordinary shares as part of a hedging or conversion transaction or a straddle, persons whose functional currency is not the U.S. dollar, or persons holding our ordinary shares in connection with a trade or business outside the United States. Moreover, this summary does not address state, local or foreign taxes, the U.S. federal estate and gift taxes, the Medicare contribution tax applicable to net investment income of certain non-corporate U.S. Holders, or alternative minimum tax consequences of acquiring, holding or disposing of ordinary shares.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For purposes of this summary, a “U.S. Holder” is a beneficial owner of ordinary shares that is a citizen or resident of the United States or a U.S. domestic corporation or that otherwise is subject to U.S.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federal income taxation on a net income basis in respect of such ordinary shares.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You should consult your own tax advisors about the consequences of the acquisition, ownership, and disposition of the ordinary shares, including the relevance to your particular situation of the considerations discussed below and any consequences arising under foreign, state, local or other tax laws.</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 of Distributions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Subject to the discussion below under “—Passive Foreign Investment Company Status,” the gross amount of any distribution of cash or property with respect to our shares that is paid out of our current or accumulated earnings and profits (as determined for U.S. federal income tax purposes) will generally be includible in your taxable income as ordinary dividend income on the day on which you receive the dividend and will not be eligible for the dividends-received deduction allowed to corporations under the Code.</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80" w:name="page81"/>
    <w:bookmarkEnd w:id="80"/>
    <w:p>
      <w:pPr>
        <w:spacing w:after="0" w:line="244" w:lineRule="auto"/>
        <w:rPr>
          <w:sz w:val="20"/>
          <w:szCs w:val="20"/>
          <w:color w:val="auto"/>
        </w:rPr>
      </w:pPr>
      <w:r>
        <w:rPr>
          <w:rFonts w:ascii="Arial" w:cs="Arial" w:eastAsia="Arial" w:hAnsi="Arial"/>
          <w:sz w:val="13"/>
          <w:szCs w:val="13"/>
          <w:color w:val="auto"/>
        </w:rPr>
        <w:t>Subject to certain exceptions for short-term positions, dividends received by an individual with respect to the shares will be subject to taxation at a preferential rate if the dividends are “qualified dividends.” Dividends paid on the shares will be treated as qualified dividends if:</w:t>
      </w:r>
    </w:p>
    <w:p>
      <w:pPr>
        <w:spacing w:after="0" w:line="89" w:lineRule="exact"/>
        <w:rPr>
          <w:sz w:val="20"/>
          <w:szCs w:val="20"/>
          <w:color w:val="auto"/>
        </w:rPr>
      </w:pPr>
    </w:p>
    <w:p>
      <w:pPr>
        <w:ind w:left="520" w:hanging="260"/>
        <w:spacing w:after="0" w:line="244" w:lineRule="auto"/>
        <w:tabs>
          <w:tab w:leader="none" w:pos="511"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shares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8" w:lineRule="exact"/>
        <w:rPr>
          <w:rFonts w:ascii="Arial" w:cs="Arial" w:eastAsia="Arial" w:hAnsi="Arial"/>
          <w:sz w:val="13"/>
          <w:szCs w:val="13"/>
          <w:color w:val="auto"/>
        </w:rPr>
      </w:pPr>
    </w:p>
    <w:p>
      <w:pPr>
        <w:ind w:left="500" w:hanging="240"/>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we were not, in the year prior to the year in which the dividend was paid, and are not, in the year in which the dividend is paid, a passive foreign investment company (a “PFIC”).</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ordinary shares are listed on the Nasdaq, and will qualify as readily tradable on an established securities market in the United States so long as they are so listed. Based on our financial statements and relevant market and shareholder data, we believe that we were not treated as a PFIC for U.S. federal income tax purposes with respect to our 2021 and 2022 taxable years. In addition, based on our financial statements and our current expectations regarding the value and nature of our assets, the sources and nature of our income, and relevant market and shareholder data, we do not anticipate becoming a PFIC for our current taxable year or in the foreseeable future. Holders should consult their own tax advisors regarding the availability of the reduced dividend tax rate in light of their own particular circumstances.</w:t>
      </w:r>
    </w:p>
    <w:p>
      <w:pPr>
        <w:spacing w:after="0" w:line="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Dividend distributions with respect to our shares generally will be treated as “passive category” income from sources outside the United States for purposes of determining a U.S. Holder’s U.S. foreign tax credit limitation.</w:t>
      </w:r>
    </w:p>
    <w:p>
      <w:pPr>
        <w:spacing w:after="0" w:line="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U.S. Holders that receive distributions of additional shares or rights to subscribe for shares as part of a pro rata distribution to all our shareholders generally will not be subject to U.S. federal income tax in respect of the distributions, unless the U.S. Holder has the right to receive cash or property instead, in which case the U.S. Holder will be treated as if it received cash equal to the fair market value of the distribution.</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Taxation of Dispositions of Shares</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Subject to the discussion below under “—Passive Foreign Investment Company Status,” upon a sale, exchange or other taxable disposition of the shares, U.S. Holders will realize gain or loss for U.S. federal income tax purposes in an amount equal to the difference between the amount realized on the disposition and the U.S. Holder’s adjusted tax basis in the shares, as determined in U.S. dollars as discussed below. Such gain or loss will be capital gain or loss, and will generally be long-term capital gain or loss if the shares have been held for more than one year. Long-term capital gain realized by a U.S. Holder that is an individual generally is subject to taxation at a preferential rate. The deductibility of capital losses is subject to limitations.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Gain, if any, realized by a U.S. Holder on the sale or other disposition of the shares generally will be treated as U.S. source income.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Passive Foreign Investment Company Status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Special U.S. tax rules apply to companies that are considered to be PFICs. We will be classified as a PFIC in a particular taxable year if either:</w:t>
      </w:r>
    </w:p>
    <w:p>
      <w:pPr>
        <w:spacing w:after="0" w:line="84" w:lineRule="exact"/>
        <w:rPr>
          <w:sz w:val="20"/>
          <w:szCs w:val="20"/>
          <w:color w:val="auto"/>
        </w:rPr>
      </w:pPr>
    </w:p>
    <w:p>
      <w:pPr>
        <w:ind w:left="500" w:hanging="240"/>
        <w:spacing w:after="0"/>
        <w:tabs>
          <w:tab w:leader="none" w:pos="5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75% or more of our gross income for the taxable year is passive income; or</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average percentage of the value of our assets that produce or are held for the production of passive income is at least 50%.</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For this purpose, passive income generally includes dividends, interest, gains from certain commodities transactions, rents, royalties and the excess of gains over losses from the disposition of assets that produce passive income.</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believe, and this discussion assumes, that we were not a PFIC for our taxable year ending December 31, 2022 and that, based on the present composition of our income and assets and the manner in which we conduct our business, we will not be a PFIC in our current taxable year or in the foreseeable future. Whether we are a PFIC is a factual determination made annually, and our status could change depending, among other things, upon changes in the composition of our gross income and the relative quarterly average value of our assets. If we were a PFIC for any taxable year in which you hold ordinary shares, you generally would be subject to additional taxes on certain distributions and any gain realized from the sale or other taxable disposition of the ordinary shares regardless of whether we continued to be a PFIC in any subsequent year. You are encouraged to consult your own tax advisor as to our status as a PFIC, the tax consequences to you of such status, and the availability and desirability of making a mark-to-market election to mitigate the unfavorable rules mentioned in the preceding sentence.</w:t>
      </w: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Financial Asset Reporting</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Individual U.S. Holders that own “specified foreign financial assets” with an aggregate value in excess of US$50,000 on the last day of the taxable year or US$75,000 at any time during the taxable year are generally required to file an information statement along with their tax returns, currently on Form 8938, with respect to such assets. “Specified foreign financial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81" w:name="page82"/>
    <w:bookmarkEnd w:id="81"/>
    <w:p>
      <w:pPr>
        <w:jc w:val="both"/>
        <w:spacing w:after="0" w:line="248" w:lineRule="auto"/>
        <w:rPr>
          <w:sz w:val="20"/>
          <w:szCs w:val="20"/>
          <w:color w:val="auto"/>
        </w:rPr>
      </w:pPr>
      <w:r>
        <w:rPr>
          <w:rFonts w:ascii="Arial" w:cs="Arial" w:eastAsia="Arial" w:hAnsi="Arial"/>
          <w:sz w:val="13"/>
          <w:szCs w:val="13"/>
          <w:color w:val="auto"/>
        </w:rPr>
        <w:t>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objective 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Backup Withholding and Information Reporting</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Dividends paid on, and proceeds from the sale or other disposition of, the shares to a U.S. taxpayer generally may be subject to the information reporting requirements of the Code and may be subject to backup withholding unless the U.S. taxpayer provides an accurate taxpayer identification number and makes any other required certification or otherwise establishes an exemption. Backup withholding is not an additional tax. The amount of any backup withholding from a payment to a U.S. taxpayer will be allowed as a refund or credit against the U.S. taxpayer’s U.S. federal income tax liability, provided the required information is furnished to the U.S. Internal Revenue Service in a timely manner.</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A holder that is not a U.S. taxpayer may be required to comply with certification and identification procedures in order to establish its exemption from information reporting and backup withholding.</w:t>
      </w:r>
    </w:p>
    <w:p>
      <w:pPr>
        <w:spacing w:after="0" w:line="238" w:lineRule="exact"/>
        <w:rPr>
          <w:sz w:val="20"/>
          <w:szCs w:val="20"/>
          <w:color w:val="auto"/>
        </w:rPr>
      </w:pPr>
    </w:p>
    <w:p>
      <w:pPr>
        <w:ind w:left="260" w:right="9240" w:hanging="255"/>
        <w:spacing w:after="0" w:line="423" w:lineRule="auto"/>
        <w:tabs>
          <w:tab w:leader="none" w:pos="242"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Dividends and Paying Agents </w:t>
      </w:r>
      <w:r>
        <w:rPr>
          <w:rFonts w:ascii="Arial" w:cs="Arial" w:eastAsia="Arial" w:hAnsi="Arial"/>
          <w:sz w:val="13"/>
          <w:szCs w:val="13"/>
          <w:color w:val="auto"/>
        </w:rPr>
        <w:t>Not applicable.</w:t>
      </w:r>
    </w:p>
    <w:p>
      <w:pPr>
        <w:spacing w:after="0" w:line="120" w:lineRule="exact"/>
        <w:rPr>
          <w:rFonts w:ascii="Arial" w:cs="Arial" w:eastAsia="Arial" w:hAnsi="Arial"/>
          <w:sz w:val="13"/>
          <w:szCs w:val="13"/>
          <w:b w:val="1"/>
          <w:bCs w:val="1"/>
          <w:color w:val="auto"/>
        </w:rPr>
      </w:pPr>
    </w:p>
    <w:p>
      <w:pPr>
        <w:ind w:left="260" w:right="9660" w:hanging="255"/>
        <w:spacing w:after="0" w:line="460" w:lineRule="auto"/>
        <w:tabs>
          <w:tab w:leader="none" w:pos="256"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Statements by Experts </w:t>
      </w:r>
      <w:r>
        <w:rPr>
          <w:rFonts w:ascii="Arial" w:cs="Arial" w:eastAsia="Arial" w:hAnsi="Arial"/>
          <w:sz w:val="12"/>
          <w:szCs w:val="12"/>
          <w:color w:val="auto"/>
        </w:rPr>
        <w:t>Not applicable.</w:t>
      </w:r>
    </w:p>
    <w:p>
      <w:pPr>
        <w:spacing w:after="0" w:line="118" w:lineRule="exact"/>
        <w:rPr>
          <w:rFonts w:ascii="Arial" w:cs="Arial" w:eastAsia="Arial" w:hAnsi="Arial"/>
          <w:sz w:val="12"/>
          <w:szCs w:val="12"/>
          <w:b w:val="1"/>
          <w:bCs w:val="1"/>
          <w:color w:val="auto"/>
        </w:rPr>
      </w:pPr>
    </w:p>
    <w:p>
      <w:pPr>
        <w:ind w:left="260" w:hanging="255"/>
        <w:spacing w:after="0"/>
        <w:tabs>
          <w:tab w:leader="none" w:pos="26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Documents on Display</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SEC maintains a website www.sec.gov that contains reports and other information regarding registrants, including the Company, that file electronically with the SEC. Please note that copies of the Company’s annual reports on Form 20-F and reports on Form 6-K filed by us can be inspected at the website set forth above and are also available on our website at www.gf.com (the website does not form part of this Annual Report on Form 20-F).</w:t>
      </w:r>
    </w:p>
    <w:p>
      <w:pPr>
        <w:spacing w:after="0" w:line="230" w:lineRule="exact"/>
        <w:rPr>
          <w:sz w:val="20"/>
          <w:szCs w:val="20"/>
          <w:color w:val="auto"/>
        </w:rPr>
      </w:pPr>
    </w:p>
    <w:p>
      <w:pPr>
        <w:ind w:left="260" w:right="9640" w:hanging="255"/>
        <w:spacing w:after="0" w:line="478" w:lineRule="auto"/>
        <w:tabs>
          <w:tab w:leader="none" w:pos="256" w:val="left"/>
        </w:tabs>
        <w:numPr>
          <w:ilvl w:val="0"/>
          <w:numId w:val="7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Subsidiary Information </w:t>
      </w:r>
      <w:r>
        <w:rPr>
          <w:rFonts w:ascii="Arial" w:cs="Arial" w:eastAsia="Arial" w:hAnsi="Arial"/>
          <w:sz w:val="12"/>
          <w:szCs w:val="12"/>
          <w:color w:val="auto"/>
        </w:rPr>
        <w:t>Not applicable.</w:t>
      </w:r>
    </w:p>
    <w:p>
      <w:pPr>
        <w:spacing w:after="0" w:line="98"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color w:val="auto"/>
        </w:rPr>
        <w:t>QUANTITATIVE AND QUALITATIVE DISCLOSURES ABOUT MARKET RISKS</w:t>
      </w:r>
    </w:p>
    <w:p>
      <w:pPr>
        <w:spacing w:after="0" w:line="1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Note 32 to our Annual Consolidated Financial Statements for additional details.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i w:val="1"/>
          <w:iCs w:val="1"/>
          <w:color w:val="auto"/>
        </w:rPr>
        <w:t xml:space="preserve">Foreign Currency Risk: </w:t>
      </w:r>
      <w:r>
        <w:rPr>
          <w:rFonts w:ascii="Arial" w:cs="Arial" w:eastAsia="Arial" w:hAnsi="Arial"/>
          <w:sz w:val="12"/>
          <w:szCs w:val="12"/>
          <w:color w:val="auto"/>
        </w:rPr>
        <w:t>As a result of foreign operations, we have costs, assets and liabilities denominated in foreign currencies, primarily the Euro, the Singapore dollar and the Japanese yen.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Therefore, movements in exchange rates could cause foreign currency-denominated expenses to increase as a percentage of net revenue, which are denominated in U.S. dollars, affecting profitability and cash flows. We use foreign currency forward contracts to reduce exposure to foreign currency fluctuations. We also incur a certain portion of our interest expenses in Euro and Singapore Dollar, exposing us to exchange rate fluctuations between U.S. dollar and Euro and Singapore Dollar. We use cross currency swaps to reduce our exposure to variability from foreign exchange impacting cash flows arising from our foreign currency-denominated debt cash flows to the extent that it is practicable and cost effective to do so. As of December 31, 2022, we do not believe that a hypothetical 10% change in the relative value of the U.S. dollar to currencies other than the Euro, Japanese Yen, and Singapore Dollar would have a material effect on our operating results.</w:t>
      </w:r>
    </w:p>
    <w:p>
      <w:pPr>
        <w:spacing w:after="0" w:line="4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color w:val="auto"/>
        </w:rPr>
        <w:t>Interest Rate Risk</w:t>
      </w:r>
      <w:r>
        <w:rPr>
          <w:rFonts w:ascii="Arial" w:cs="Arial" w:eastAsia="Arial" w:hAnsi="Arial"/>
          <w:sz w:val="13"/>
          <w:szCs w:val="13"/>
          <w:color w:val="auto"/>
        </w:rPr>
        <w:t>—The Company’s exposure to market risk for changes in interest rates relates primarily to interest-earning financial assets and interest-bearing financial liabilities.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interest-earning financial assets are mostly highly liquid investments and includes money market funds, marketable securities and time deposits. As these financial assets have weighted-average maturity of less than one year with majority of the assets in fixed-rate instruments, the Company’s exposure to interest risk is not material. The Company’s interest-bearing financial liabilities include fixed and floating rate loans and lease obligations. Floating rate loans bear interest at Base Rate or LIBOR or EURIBOR plus a premium, which is fixed. The Company uses pay-fixed / receive-float interest rate swaps to protect the Company against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82" w:name="page83"/>
    <w:bookmarkEnd w:id="82"/>
    <w:p>
      <w:pPr>
        <w:spacing w:after="0" w:line="244" w:lineRule="auto"/>
        <w:rPr>
          <w:sz w:val="20"/>
          <w:szCs w:val="20"/>
          <w:color w:val="auto"/>
        </w:rPr>
      </w:pPr>
      <w:r>
        <w:rPr>
          <w:rFonts w:ascii="Arial" w:cs="Arial" w:eastAsia="Arial" w:hAnsi="Arial"/>
          <w:sz w:val="13"/>
          <w:szCs w:val="13"/>
          <w:color w:val="auto"/>
        </w:rPr>
        <w:t>adverse fluctuations in interest rates and to reduce its exposure to variability in cash flows on the Company’s forecasted floating-rate debt facility to the extent that it is practicable and cost effective to do so. As of December 31, 2022, a hypothetical 10% change in existing interest rates would not have a material impact on our consolidated financial statements (See Note 30).</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color w:val="auto"/>
        </w:rPr>
        <w:t>DESCRIPTION OF SECURITIES OTHER THAN EQUITY SECURITIES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u w:val="single" w:color="auto"/>
          <w:color w:val="0000FF"/>
        </w:rPr>
        <w:t>PART II</w:t>
      </w:r>
    </w:p>
    <w:p>
      <w:pPr>
        <w:spacing w:after="0" w:line="263"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4"/>
          <w:szCs w:val="14"/>
          <w:b w:val="1"/>
          <w:bCs w:val="1"/>
          <w:color w:val="auto"/>
        </w:rPr>
        <w:t>DEFAULTS, DIVIDEND ARREARAGES AND DELINQUENCIES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color w:val="auto"/>
        </w:rPr>
        <w:t>MATERIAL MODIFICATIONS TO THE RIGHTS OF SECURITY HOLDERS AND USE OF PROCEEDS</w:t>
      </w:r>
    </w:p>
    <w:p>
      <w:pPr>
        <w:spacing w:after="0" w:line="95" w:lineRule="exact"/>
        <w:rPr>
          <w:sz w:val="20"/>
          <w:szCs w:val="20"/>
          <w:color w:val="auto"/>
        </w:rPr>
      </w:pPr>
    </w:p>
    <w:p>
      <w:pPr>
        <w:ind w:left="320" w:right="8500" w:hanging="251"/>
        <w:spacing w:after="0" w:line="270" w:lineRule="auto"/>
        <w:tabs>
          <w:tab w:leader="none" w:pos="511"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Material Modifications to Instruments </w:t>
      </w:r>
      <w:r>
        <w:rPr>
          <w:rFonts w:ascii="Arial" w:cs="Arial" w:eastAsia="Arial" w:hAnsi="Arial"/>
          <w:sz w:val="13"/>
          <w:szCs w:val="13"/>
          <w:color w:val="auto"/>
        </w:rPr>
        <w:t>Not applicable.</w:t>
      </w:r>
    </w:p>
    <w:p>
      <w:pPr>
        <w:spacing w:after="0" w:line="151" w:lineRule="exact"/>
        <w:rPr>
          <w:rFonts w:ascii="Arial" w:cs="Arial" w:eastAsia="Arial" w:hAnsi="Arial"/>
          <w:sz w:val="13"/>
          <w:szCs w:val="13"/>
          <w:b w:val="1"/>
          <w:bCs w:val="1"/>
          <w:color w:val="auto"/>
        </w:rPr>
      </w:pPr>
    </w:p>
    <w:p>
      <w:pPr>
        <w:ind w:left="520" w:hanging="451"/>
        <w:spacing w:after="0"/>
        <w:tabs>
          <w:tab w:leader="none" w:pos="52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Material Modifications to Rights</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Not applicable.</w:t>
      </w:r>
    </w:p>
    <w:p>
      <w:pPr>
        <w:spacing w:after="0" w:line="174" w:lineRule="exact"/>
        <w:rPr>
          <w:sz w:val="20"/>
          <w:szCs w:val="20"/>
          <w:color w:val="auto"/>
        </w:rPr>
      </w:pPr>
    </w:p>
    <w:p>
      <w:pPr>
        <w:ind w:left="320" w:right="8540" w:hanging="251"/>
        <w:spacing w:after="0" w:line="287" w:lineRule="auto"/>
        <w:tabs>
          <w:tab w:leader="none" w:pos="511"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Withdrawal or Substitution of Assets </w:t>
      </w:r>
      <w:r>
        <w:rPr>
          <w:rFonts w:ascii="Arial" w:cs="Arial" w:eastAsia="Arial" w:hAnsi="Arial"/>
          <w:sz w:val="13"/>
          <w:szCs w:val="13"/>
          <w:color w:val="auto"/>
        </w:rPr>
        <w:t>Not applicable.</w:t>
      </w:r>
    </w:p>
    <w:p>
      <w:pPr>
        <w:spacing w:after="0" w:line="141" w:lineRule="exact"/>
        <w:rPr>
          <w:rFonts w:ascii="Arial" w:cs="Arial" w:eastAsia="Arial" w:hAnsi="Arial"/>
          <w:sz w:val="13"/>
          <w:szCs w:val="13"/>
          <w:b w:val="1"/>
          <w:bCs w:val="1"/>
          <w:color w:val="auto"/>
        </w:rPr>
      </w:pPr>
    </w:p>
    <w:p>
      <w:pPr>
        <w:ind w:left="320" w:right="8500" w:hanging="251"/>
        <w:spacing w:after="0" w:line="270" w:lineRule="auto"/>
        <w:tabs>
          <w:tab w:leader="none" w:pos="511"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Change in Trustees or Paying Agents </w:t>
      </w:r>
      <w:r>
        <w:rPr>
          <w:rFonts w:ascii="Arial" w:cs="Arial" w:eastAsia="Arial" w:hAnsi="Arial"/>
          <w:sz w:val="13"/>
          <w:szCs w:val="13"/>
          <w:color w:val="auto"/>
        </w:rPr>
        <w:t>Not applicable.</w:t>
      </w:r>
    </w:p>
    <w:p>
      <w:pPr>
        <w:spacing w:after="0" w:line="162" w:lineRule="exact"/>
        <w:rPr>
          <w:rFonts w:ascii="Arial" w:cs="Arial" w:eastAsia="Arial" w:hAnsi="Arial"/>
          <w:sz w:val="13"/>
          <w:szCs w:val="13"/>
          <w:b w:val="1"/>
          <w:bCs w:val="1"/>
          <w:color w:val="auto"/>
        </w:rPr>
      </w:pPr>
    </w:p>
    <w:p>
      <w:pPr>
        <w:ind w:left="500" w:hanging="431"/>
        <w:spacing w:after="0"/>
        <w:tabs>
          <w:tab w:leader="none" w:pos="500"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October 27, 2021, our registration statement on Form F-1, as amended (File No. 333-260003) was declared effective by the SEC in relation to our IPO. Additionally, we participated in a concurrent private placement for 1,595,744 ordinary shares (the “Private Placement”). We issued and sold an aggregate 31,845,744 ordinary shares in our IPO and the Private Placement at the IPO price of $47.00 per share, after deducting underwriting commissions of $43 million and estimated offering expenses payable by us of $30 million, for approximately $1.4 billion of net proceeds.</w:t>
      </w:r>
    </w:p>
    <w:p>
      <w:pPr>
        <w:spacing w:after="0" w:line="7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Morgan Stanley &amp; Co. LLC, BofA Securities, Inc. and J.P. Morgan Securities LLC were the representatives of the underwriters for our IPO. We did not receive any proceeds from the initial sale of 24,750,000 ordinary shares by Mubadala, the selling shareholder in our IPO, nor from the sale of 5,748,006 additional ordinary shares pursuant to the underwriters’ exercise of their option to purchase additional ordinary shares from Mubadala, for an aggregate price of approximately $1.4 billion. We paid affiliates of Mubadala, First Abu Dhabi Bank PJSC and Abu Dhabi Commercial Bank PJSC, a fee of $0.7 million and $0.7 million, respectively, for acting as our Gulf Cooperation Council (“GCC”) Markets Advisors in connection with the IPO.</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For the period from the closing of our IPO on November 1, 2021 to December 31, 2022, we used a portion of the net proceeds from our IPO and the Private Placement to support construction related to our fabrication facility in Singapore and capacity expansion projects in certain other facilities. We still intend to use the remainder of the proceeds from our IPO and Private Placement as disclosed in our registration statement on Form F-1.</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CONTROLS AND PROCEDURES</w:t>
      </w:r>
    </w:p>
    <w:p>
      <w:pPr>
        <w:spacing w:after="0" w:line="84" w:lineRule="exact"/>
        <w:rPr>
          <w:sz w:val="20"/>
          <w:szCs w:val="20"/>
          <w:color w:val="auto"/>
        </w:rPr>
      </w:pPr>
    </w:p>
    <w:p>
      <w:pPr>
        <w:ind w:left="260" w:hanging="255"/>
        <w:spacing w:after="0"/>
        <w:tabs>
          <w:tab w:leader="none" w:pos="26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Disclosure Controls and Procedures.</w:t>
      </w:r>
    </w:p>
    <w:p>
      <w:pPr>
        <w:spacing w:after="0" w:line="30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At the end of the period covered by this report, we performed an evaluation of the effectiveness of our disclosure controls and procedures that are designed to ensure that the information required to be disclosed by the Company in the report that we file or submit pursuant to Rule 13(a)-15(b) of the Securities Exchange Act of 1934, as amended (the “Exchange Act”), is accumulated and communicated to our management, including our chief executive and chief financial officer, as appropriate to allow timely decisions regarding required disclosure.</w:t>
      </w:r>
    </w:p>
    <w:p>
      <w:pPr>
        <w:spacing w:after="0" w:line="35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management, with the participation of our CEO and CFO, has evaluated the effectiveness of our disclosure controls and procedures as of December 31, 2022, which is the end of the period covered by the Annual Report on Form 20-F. Based on such evaluations, our CEO and CFO have concluded that as of December 31, 2022, our disclosure controls and procedures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83" w:name="page84"/>
    <w:bookmarkEnd w:id="83"/>
    <w:p>
      <w:pPr>
        <w:jc w:val="both"/>
        <w:spacing w:after="0" w:line="244" w:lineRule="auto"/>
        <w:rPr>
          <w:sz w:val="20"/>
          <w:szCs w:val="20"/>
          <w:color w:val="auto"/>
        </w:rPr>
      </w:pPr>
      <w:r>
        <w:rPr>
          <w:rFonts w:ascii="Arial" w:cs="Arial" w:eastAsia="Arial" w:hAnsi="Arial"/>
          <w:sz w:val="13"/>
          <w:szCs w:val="13"/>
          <w:color w:val="auto"/>
        </w:rPr>
        <w:t>were designed at a reasonable assurance level and were effective to provide reasonable assurance that information we are required to disclosed in reports that we file or submit to the SEC is recorded, processed, summarized and reported within the time periods specified in the rules and forms of the SEC.</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Annual Report on Internal Control over Financial Reporting</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management is responsible for establishing and maintaining adequate internal control over our financial reporting as defined in Rule 13a-15(f) or 15d-15(f) under the Exchange Act. Internal control over financial reporting is a process designed under the supervision of our principal executive and principal financial officers to provide reasonable assurance regarding the reliability of our financial reporting and the preparation of consolidated financial statements for external purposes in accordance with International Financial Reporting Standards (“IFRS”) as issued by the International Accounting Standard Board (“IASB”). Our internal control over financial reporting includes those policies and procedures that:</w:t>
      </w:r>
    </w:p>
    <w:p>
      <w:pPr>
        <w:spacing w:after="0" w:line="87" w:lineRule="exact"/>
        <w:rPr>
          <w:sz w:val="20"/>
          <w:szCs w:val="20"/>
          <w:color w:val="auto"/>
        </w:rPr>
      </w:pPr>
    </w:p>
    <w:p>
      <w:pPr>
        <w:ind w:left="480" w:hanging="220"/>
        <w:spacing w:after="0"/>
        <w:tabs>
          <w:tab w:leader="none" w:pos="4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83" w:lineRule="exact"/>
        <w:rPr>
          <w:rFonts w:ascii="Arial" w:cs="Arial" w:eastAsia="Arial" w:hAnsi="Arial"/>
          <w:sz w:val="13"/>
          <w:szCs w:val="13"/>
          <w:color w:val="auto"/>
        </w:rPr>
      </w:pPr>
    </w:p>
    <w:p>
      <w:pPr>
        <w:ind w:left="520" w:hanging="260"/>
        <w:spacing w:after="0" w:line="261" w:lineRule="auto"/>
        <w:tabs>
          <w:tab w:leader="none" w:pos="529" w:val="left"/>
        </w:tabs>
        <w:numPr>
          <w:ilvl w:val="0"/>
          <w:numId w:val="75"/>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IFRS, and that receipts and expenditures of the Company are being made only in accordance with authorizations of management and directors of the Company; and</w:t>
      </w:r>
    </w:p>
    <w:p>
      <w:pPr>
        <w:spacing w:after="0" w:line="67" w:lineRule="exact"/>
        <w:rPr>
          <w:rFonts w:ascii="Arial" w:cs="Arial" w:eastAsia="Arial" w:hAnsi="Arial"/>
          <w:sz w:val="13"/>
          <w:szCs w:val="13"/>
          <w:color w:val="auto"/>
        </w:rPr>
      </w:pPr>
    </w:p>
    <w:p>
      <w:pPr>
        <w:ind w:left="520" w:hanging="260"/>
        <w:spacing w:after="0" w:line="244" w:lineRule="auto"/>
        <w:tabs>
          <w:tab w:leader="none" w:pos="494" w:val="left"/>
        </w:tabs>
        <w:numPr>
          <w:ilvl w:val="0"/>
          <w:numId w:val="75"/>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of disposition of the Company’s assets that could have a material effect on the financial statements.</w:t>
      </w:r>
    </w:p>
    <w:p>
      <w:pPr>
        <w:spacing w:after="0" w:line="8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Management has documented and evaluated the effectiveness of the internal control over Financial Reporting of the Company as of December 31, 2022, in accordance with the criteria established in the Internal Control - Integrated Framework (2013) issued by the Committee of Sponsoring Organizations of the Treadway Commission (“COSO”).</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Based on our assessment, management believes that as of December 31, 2022 our internal control over financial reporting is effective based on these criteria.</w:t>
      </w:r>
    </w:p>
    <w:p>
      <w:pPr>
        <w:spacing w:after="0" w:line="9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effectiveness of the Company’s internal control over financial reporting has been audited by KPMG LLP, independent registered public accounting firm, as stated in their report on the Company’s internal control over financial reporting as of December 31, 2022, which is included herein.</w:t>
      </w:r>
    </w:p>
    <w:p>
      <w:pPr>
        <w:spacing w:after="0" w:line="338" w:lineRule="exact"/>
        <w:rPr>
          <w:sz w:val="20"/>
          <w:szCs w:val="20"/>
          <w:color w:val="auto"/>
        </w:rPr>
      </w:pPr>
    </w:p>
    <w:p>
      <w:pPr>
        <w:ind w:left="260" w:hanging="255"/>
        <w:spacing w:after="0"/>
        <w:tabs>
          <w:tab w:leader="none" w:pos="26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Attestation Report of the Independent Registered Public Accounting Firm.</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independent registered public accounting firm’s attestation report on our internal control over financial reporting is included in the “Report of Independent Registered Public Accounting Firm” in Item 18 of this report.</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Changes in Internal Control over Financial Reporting.</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There were no changes in our internal control over financial reporting that occurred during the period covered by this annual report that have materially affected, or that are reasonably likely to materially affect, our internal control over financial reporting.</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16A.</w:t>
      </w:r>
      <w:r>
        <w:rPr>
          <w:sz w:val="20"/>
          <w:szCs w:val="20"/>
          <w:color w:val="auto"/>
        </w:rPr>
        <w:tab/>
      </w:r>
      <w:r>
        <w:rPr>
          <w:rFonts w:ascii="Arial" w:cs="Arial" w:eastAsia="Arial" w:hAnsi="Arial"/>
          <w:sz w:val="14"/>
          <w:szCs w:val="14"/>
          <w:b w:val="1"/>
          <w:bCs w:val="1"/>
          <w:color w:val="auto"/>
        </w:rPr>
        <w:t>AUDIT COMMITTEE FINANCIAL EXPERT</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have one financial expert serving on our audit, risk and compliance committee as of the date hereof. Our board of directors has determined that Jack Lazar qualifies as an “audit committee financial expert” as defined in SEC rules and satisfies the financial sophistication requirements of the Nasdaq. In addition, our board of directors has determined that Jack Lazar is “independent” for audit, risk</w:t>
      </w:r>
    </w:p>
    <w:p>
      <w:pPr>
        <w:spacing w:after="0"/>
        <w:rPr>
          <w:sz w:val="20"/>
          <w:szCs w:val="20"/>
          <w:color w:val="auto"/>
        </w:rPr>
      </w:pPr>
      <w:r>
        <w:rPr>
          <w:rFonts w:ascii="Arial" w:cs="Arial" w:eastAsia="Arial" w:hAnsi="Arial"/>
          <w:sz w:val="13"/>
          <w:szCs w:val="13"/>
          <w:color w:val="auto"/>
        </w:rPr>
        <w:t>and compliance committee purposes as that term is defined in the rules of the SEC and the applicable rules of the Nasdaq</w:t>
      </w:r>
      <w:r>
        <w:rPr>
          <w:rFonts w:ascii="Arial" w:cs="Arial" w:eastAsia="Arial" w:hAnsi="Arial"/>
          <w:sz w:val="16"/>
          <w:szCs w:val="16"/>
          <w:color w:val="auto"/>
        </w:rPr>
        <w:t>.</w:t>
      </w:r>
    </w:p>
    <w:p>
      <w:pPr>
        <w:spacing w:after="0" w:line="258"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16B.</w:t>
      </w:r>
      <w:r>
        <w:rPr>
          <w:sz w:val="20"/>
          <w:szCs w:val="20"/>
          <w:color w:val="auto"/>
        </w:rPr>
        <w:tab/>
      </w:r>
      <w:r>
        <w:rPr>
          <w:rFonts w:ascii="Arial" w:cs="Arial" w:eastAsia="Arial" w:hAnsi="Arial"/>
          <w:sz w:val="14"/>
          <w:szCs w:val="14"/>
          <w:b w:val="1"/>
          <w:bCs w:val="1"/>
          <w:color w:val="auto"/>
        </w:rPr>
        <w:t>CODE OF ETHICS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board has adopted a code of conduct that applies to all of our directors, officers and employees (the “Code of Conduct”). Our board has also adopted a code of ethics applicable to our executive officers and senior finance executives (the “Code of Ethics”), who must also comply with the Code of Conduct. Both the Code of Conduct and the Code of Ethics are available on our website: www.gf.com. We intend to disclose any amendments to the Code of Ethics, and any waivers of the Code of Ethics or the Code of Conduct for our directors, executive officers and senior finance executives, on our website to the extent required by applicable U.S. federal securities laws and the corporate governance rules of the Nasdaq.</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84" w:name="page85"/>
    <w:bookmarkEnd w:id="84"/>
    <w:p>
      <w:pPr>
        <w:spacing w:after="0"/>
        <w:tabs>
          <w:tab w:leader="none" w:pos="740" w:val="left"/>
        </w:tabs>
        <w:rPr>
          <w:sz w:val="20"/>
          <w:szCs w:val="20"/>
          <w:color w:val="auto"/>
        </w:rPr>
      </w:pPr>
      <w:r>
        <w:rPr>
          <w:rFonts w:ascii="Arial" w:cs="Arial" w:eastAsia="Arial" w:hAnsi="Arial"/>
          <w:sz w:val="13"/>
          <w:szCs w:val="13"/>
          <w:b w:val="1"/>
          <w:bCs w:val="1"/>
          <w:color w:val="auto"/>
        </w:rPr>
        <w:t>ITEM 16C.</w:t>
      </w:r>
      <w:r>
        <w:rPr>
          <w:sz w:val="20"/>
          <w:szCs w:val="20"/>
          <w:color w:val="auto"/>
        </w:rPr>
        <w:tab/>
      </w:r>
      <w:r>
        <w:rPr>
          <w:rFonts w:ascii="Arial" w:cs="Arial" w:eastAsia="Arial" w:hAnsi="Arial"/>
          <w:sz w:val="12"/>
          <w:szCs w:val="12"/>
          <w:b w:val="1"/>
          <w:bCs w:val="1"/>
          <w:color w:val="auto"/>
        </w:rPr>
        <w:t>PRINCIPAL ACCOUNTANT FEES AND SERVICES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fees billed to us by KPMG LLP (PCAOB ID 1051), our independent registered public accounting firm during the years ended December 31, 2022 and 2021.</w:t>
      </w:r>
    </w:p>
    <w:p>
      <w:pPr>
        <w:spacing w:after="0" w:line="200" w:lineRule="exact"/>
        <w:rPr>
          <w:sz w:val="20"/>
          <w:szCs w:val="20"/>
          <w:color w:val="auto"/>
        </w:rPr>
      </w:pPr>
    </w:p>
    <w:tbl>
      <w:tblPr>
        <w:tblLayout w:type="fixed"/>
        <w:tblInd w:w="800" w:type="dxa"/>
        <w:tblCellMar>
          <w:top w:w="0" w:type="dxa"/>
          <w:left w:w="0" w:type="dxa"/>
          <w:bottom w:w="0" w:type="dxa"/>
          <w:right w:w="0" w:type="dxa"/>
        </w:tblCellMar>
      </w:tblPr>
      <w:tr>
        <w:trPr>
          <w:trHeight w:val="180"/>
        </w:trPr>
        <w:tc>
          <w:tcPr>
            <w:tcW w:w="66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0"/>
        </w:trPr>
        <w:tc>
          <w:tcPr>
            <w:tcW w:w="66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Audit fees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4,900</w:t>
            </w:r>
          </w:p>
        </w:tc>
      </w:tr>
      <w:tr>
        <w:trPr>
          <w:trHeight w:val="168"/>
        </w:trPr>
        <w:tc>
          <w:tcPr>
            <w:tcW w:w="6660" w:type="dxa"/>
            <w:vAlign w:val="bottom"/>
          </w:tcPr>
          <w:p>
            <w:pPr>
              <w:spacing w:after="0"/>
              <w:rPr>
                <w:sz w:val="20"/>
                <w:szCs w:val="20"/>
                <w:color w:val="auto"/>
              </w:rPr>
            </w:pPr>
            <w:r>
              <w:rPr>
                <w:rFonts w:ascii="Arial" w:cs="Arial" w:eastAsia="Arial" w:hAnsi="Arial"/>
                <w:sz w:val="13"/>
                <w:szCs w:val="13"/>
                <w:color w:val="auto"/>
              </w:rPr>
              <w:t>Audit-related fees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Tax fees</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r>
      <w:tr>
        <w:trPr>
          <w:trHeight w:val="168"/>
        </w:trPr>
        <w:tc>
          <w:tcPr>
            <w:tcW w:w="6660" w:type="dxa"/>
            <w:vAlign w:val="bottom"/>
          </w:tcPr>
          <w:p>
            <w:pPr>
              <w:spacing w:after="0"/>
              <w:rPr>
                <w:sz w:val="20"/>
                <w:szCs w:val="20"/>
                <w:color w:val="auto"/>
              </w:rPr>
            </w:pPr>
            <w:r>
              <w:rPr>
                <w:rFonts w:ascii="Arial" w:cs="Arial" w:eastAsia="Arial" w:hAnsi="Arial"/>
                <w:sz w:val="13"/>
                <w:szCs w:val="13"/>
                <w:color w:val="auto"/>
              </w:rPr>
              <w:t>All other fees</w:t>
            </w:r>
          </w:p>
        </w:tc>
        <w:tc>
          <w:tcPr>
            <w:tcW w:w="3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87"/>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5,081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 fees</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Audit fees are fees billed for professional services rendered by the principal accountant for the audit of the registrant’s annual combined financial statements or services that are normally provided by the accountant in connection with statutory and regulatory filings or engagements for those fiscal years. It includes the audit of our financial statements, interim reviews and other services that generally only the independent accountant reasonably can provide, such as comfort letters, statutory audits, consents and assistance with and review of documents filed with the SEC.</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Audit-related fees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Audit-related fees are fees billed for assurance and related services by the principal accountant that are reasonably related to the performance of the audit or review of the registrant’s financial services.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 fees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Tax fees are fees billed for professional services for tax compliance, tax advice and tax planning.</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 other fees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All other fees are fees billed for payroll processing, human resources administration and immigration services.</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 Pre-Approval Policies and Procedures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accordance with applicable requirements of the U.S. Sarbanes-Oxley Act of 2002 and rules issued by the SEC, the policy of our audit committee is to pre-approve all audit and non-audit services provided by KPMG LLP since their appointment as the independent registered public accounting firm, including audit-related services, tax services and other services.</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16D.</w:t>
      </w:r>
      <w:r>
        <w:rPr>
          <w:sz w:val="20"/>
          <w:szCs w:val="20"/>
          <w:color w:val="auto"/>
        </w:rPr>
        <w:tab/>
      </w:r>
      <w:r>
        <w:rPr>
          <w:rFonts w:ascii="Arial" w:cs="Arial" w:eastAsia="Arial" w:hAnsi="Arial"/>
          <w:sz w:val="12"/>
          <w:szCs w:val="12"/>
          <w:b w:val="1"/>
          <w:bCs w:val="1"/>
          <w:color w:val="auto"/>
        </w:rPr>
        <w:t>EXEMPTIONS FROM THE LISTING STANDARDS FOR AUDIT COMMITTEES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3"/>
          <w:szCs w:val="13"/>
          <w:b w:val="1"/>
          <w:bCs w:val="1"/>
          <w:color w:val="auto"/>
        </w:rPr>
        <w:t>ITEM 16E.</w:t>
      </w:r>
      <w:r>
        <w:rPr>
          <w:sz w:val="20"/>
          <w:szCs w:val="20"/>
          <w:color w:val="auto"/>
        </w:rPr>
        <w:tab/>
      </w:r>
      <w:r>
        <w:rPr>
          <w:rFonts w:ascii="Arial" w:cs="Arial" w:eastAsia="Arial" w:hAnsi="Arial"/>
          <w:sz w:val="12"/>
          <w:szCs w:val="12"/>
          <w:b w:val="1"/>
          <w:bCs w:val="1"/>
          <w:color w:val="auto"/>
        </w:rPr>
        <w:t>PURCHASES OF EQUITY SECURITIES BY THE ISSUER AND AFFILIATED PURCHASERS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There were no purchases of equity securities by us or by any affiliated purchaser during the period covered by this Annual Report.</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ITEM 16F.</w:t>
      </w:r>
      <w:r>
        <w:rPr>
          <w:sz w:val="20"/>
          <w:szCs w:val="20"/>
          <w:color w:val="auto"/>
        </w:rPr>
        <w:tab/>
      </w:r>
      <w:r>
        <w:rPr>
          <w:rFonts w:ascii="Arial" w:cs="Arial" w:eastAsia="Arial" w:hAnsi="Arial"/>
          <w:sz w:val="12"/>
          <w:szCs w:val="12"/>
          <w:b w:val="1"/>
          <w:bCs w:val="1"/>
          <w:color w:val="auto"/>
        </w:rPr>
        <w:t>CHANGE IN REGISTRANT’S CERTIFYING ACCOUNTANT</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16G.</w:t>
      </w:r>
      <w:r>
        <w:rPr>
          <w:sz w:val="20"/>
          <w:szCs w:val="20"/>
          <w:color w:val="auto"/>
        </w:rPr>
        <w:tab/>
      </w:r>
      <w:r>
        <w:rPr>
          <w:rFonts w:ascii="Arial" w:cs="Arial" w:eastAsia="Arial" w:hAnsi="Arial"/>
          <w:sz w:val="12"/>
          <w:szCs w:val="12"/>
          <w:b w:val="1"/>
          <w:bCs w:val="1"/>
          <w:color w:val="auto"/>
        </w:rPr>
        <w:t>CORPORATE GOVERNANCE</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a “foreign private issuer” under the securities laws of the United States and the rules of Nasdaq. Nasdaq listing rules include certain accommodations in the corporate governance requirements that allow foreign private issuers, such as us, to follow “home country” corporate governance practices in lieu of the otherwise applicable corporate governance standards of the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the Nasdaq in respect of the following:</w:t>
      </w:r>
    </w:p>
    <w:p>
      <w:pPr>
        <w:spacing w:after="0" w:line="89" w:lineRule="exact"/>
        <w:rPr>
          <w:sz w:val="20"/>
          <w:szCs w:val="20"/>
          <w:color w:val="auto"/>
        </w:rPr>
      </w:pPr>
    </w:p>
    <w:p>
      <w:pPr>
        <w:ind w:left="520" w:hanging="260"/>
        <w:spacing w:after="0" w:line="244" w:lineRule="auto"/>
        <w:tabs>
          <w:tab w:leader="none" w:pos="511"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requirement under Section 5605(e) of Nasdaq listing rules that director nominees be selected or recommended for selection by either a majority of the independent directors or a nominations committee comprised solely of independent directors; 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85" w:name="page86"/>
    <w:bookmarkEnd w:id="85"/>
    <w:p>
      <w:pPr>
        <w:ind w:left="500" w:hanging="240"/>
        <w:spacing w:after="0"/>
        <w:tabs>
          <w:tab w:leader="none" w:pos="5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Shareholder Approval Requirements under Section 5635 of the Nasdaq listing rules.</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a voluntary basis, we have adopted corporate governance principles, policies and practices, which are set out primarily in our Corporate Governance Framework, Board Charter, committee charters, Code of Conduct, Code of Ethics and Director Conflict of Interest Policy, the current versions of which are published on our Investors Relations website (www.investors.gf.com). We note in particular the following policies and practices that we have voluntarily adopted to align more with the corporate governance standards of the Nasdaq for domestic issuers:</w:t>
      </w:r>
    </w:p>
    <w:p>
      <w:pPr>
        <w:spacing w:after="0" w:line="86" w:lineRule="exact"/>
        <w:rPr>
          <w:sz w:val="20"/>
          <w:szCs w:val="20"/>
          <w:color w:val="auto"/>
        </w:rPr>
      </w:pPr>
    </w:p>
    <w:p>
      <w:pPr>
        <w:ind w:left="500" w:hanging="240"/>
        <w:spacing w:after="0"/>
        <w:tabs>
          <w:tab w:leader="none" w:pos="5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 majority of our board of directors is comprised of independent directors pursuant to applicable Nasdaq rules.</w:t>
      </w:r>
    </w:p>
    <w:p>
      <w:pPr>
        <w:spacing w:after="0" w:line="83"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79"/>
        </w:numPr>
        <w:rPr>
          <w:rFonts w:ascii="Arial" w:cs="Arial" w:eastAsia="Arial" w:hAnsi="Arial"/>
          <w:sz w:val="13"/>
          <w:szCs w:val="13"/>
          <w:color w:val="auto"/>
        </w:rPr>
      </w:pPr>
      <w:r>
        <w:rPr>
          <w:rFonts w:ascii="Arial" w:cs="Arial" w:eastAsia="Arial" w:hAnsi="Arial"/>
          <w:sz w:val="13"/>
          <w:szCs w:val="13"/>
          <w:color w:val="auto"/>
        </w:rPr>
        <w:t>Our independent, non-executive directors who are not affiliated with or appointed by Mubadala have begun to meet in executive sessions at board meetings. Our lead independent director presides over such executive sessions.</w:t>
      </w:r>
    </w:p>
    <w:p>
      <w:pPr>
        <w:spacing w:after="0" w:line="88"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79"/>
        </w:numPr>
        <w:rPr>
          <w:rFonts w:ascii="Arial" w:cs="Arial" w:eastAsia="Arial" w:hAnsi="Arial"/>
          <w:sz w:val="13"/>
          <w:szCs w:val="13"/>
          <w:color w:val="auto"/>
        </w:rPr>
      </w:pPr>
      <w:r>
        <w:rPr>
          <w:rFonts w:ascii="Arial" w:cs="Arial" w:eastAsia="Arial" w:hAnsi="Arial"/>
          <w:sz w:val="13"/>
          <w:szCs w:val="13"/>
          <w:color w:val="auto"/>
        </w:rPr>
        <w:t>We have a separation of the CEO and board chairman roles, with our CEO focused on managing the Company and our board chairman driving accountability to shareholders at the board level.</w:t>
      </w:r>
    </w:p>
    <w:p>
      <w:pPr>
        <w:spacing w:after="0" w:line="88" w:lineRule="exact"/>
        <w:rPr>
          <w:rFonts w:ascii="Arial" w:cs="Arial" w:eastAsia="Arial" w:hAnsi="Arial"/>
          <w:sz w:val="13"/>
          <w:szCs w:val="13"/>
          <w:color w:val="auto"/>
        </w:rPr>
      </w:pPr>
    </w:p>
    <w:p>
      <w:pPr>
        <w:ind w:left="500" w:hanging="240"/>
        <w:spacing w:after="0"/>
        <w:tabs>
          <w:tab w:leader="none" w:pos="5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Annually, the board of directors, its committees and individual directors undertake a self-evaluation, including, beginning in 2022, one-on-one interviews.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Our board of director consists of both underrepresented minority and female board members. Our board diversity matrix is available at www.investors.gf.com.</w:t>
      </w:r>
    </w:p>
    <w:p>
      <w:pPr>
        <w:spacing w:after="0" w:line="83" w:lineRule="exact"/>
        <w:rPr>
          <w:rFonts w:ascii="Arial" w:cs="Arial" w:eastAsia="Arial" w:hAnsi="Arial"/>
          <w:sz w:val="13"/>
          <w:szCs w:val="13"/>
          <w:color w:val="auto"/>
        </w:rPr>
      </w:pPr>
    </w:p>
    <w:p>
      <w:pPr>
        <w:jc w:val="both"/>
        <w:ind w:left="520" w:hanging="260"/>
        <w:spacing w:after="0" w:line="248" w:lineRule="auto"/>
        <w:tabs>
          <w:tab w:leader="none" w:pos="511" w:val="left"/>
        </w:tabs>
        <w:numPr>
          <w:ilvl w:val="0"/>
          <w:numId w:val="79"/>
        </w:numPr>
        <w:rPr>
          <w:rFonts w:ascii="Arial" w:cs="Arial" w:eastAsia="Arial" w:hAnsi="Arial"/>
          <w:sz w:val="13"/>
          <w:szCs w:val="13"/>
          <w:color w:val="auto"/>
        </w:rPr>
      </w:pPr>
      <w:r>
        <w:rPr>
          <w:rFonts w:ascii="Arial" w:cs="Arial" w:eastAsia="Arial" w:hAnsi="Arial"/>
          <w:sz w:val="13"/>
          <w:szCs w:val="13"/>
          <w:color w:val="auto"/>
        </w:rPr>
        <w:t>We have updated our Board Charter to address (i) periodic meetings among committee chairs and the board chairman, (ii) overboarding, (iii) duties of the lead independent director, (iv) diversity, (v) periodic assessment of processes facilitating communications between shareholders and directors and financial and non-financial information, (vi) effective implementation and operation of information and reporting systems or controls designed to inform of material risks, (vii) the board being apprised of the Company’s positions on corporate social responsibility, public policy and philanthropy, (viii) change in director circumstances, (ix) the minimum number of times the board of directors would meet each year, (x) each committee chair setting an annual schedule of meetings for their respective committees, and (xi) each director’s ability to provide input on the board or any committee agenda.</w:t>
      </w:r>
    </w:p>
    <w:p>
      <w:pPr>
        <w:spacing w:after="0" w:line="76" w:lineRule="exact"/>
        <w:rPr>
          <w:rFonts w:ascii="Arial" w:cs="Arial" w:eastAsia="Arial" w:hAnsi="Arial"/>
          <w:sz w:val="13"/>
          <w:szCs w:val="13"/>
          <w:color w:val="auto"/>
        </w:rPr>
      </w:pPr>
    </w:p>
    <w:p>
      <w:pPr>
        <w:ind w:left="500" w:hanging="240"/>
        <w:spacing w:after="0"/>
        <w:tabs>
          <w:tab w:leader="none" w:pos="5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Our board members are subject to stock ownership guidelines that help align their interests with GF’s long-term performance.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We recently adopted a Director Conflict of Interest Policy, which complements GF’s Code of Conduct.</w:t>
      </w:r>
    </w:p>
    <w:p>
      <w:pPr>
        <w:spacing w:after="0" w:line="83"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 April 2022, rating agency ISS recognized GF for “Prime” corporate ESG performance. GF’s ESG efforts were also recently evaluated by Morningstar Sustainalytics, which recognized GF with a “Low Risk” rating and included the Company in its 2023 “ESG Industry Top-rated” list for the semiconductor industry group.</w:t>
      </w:r>
    </w:p>
    <w:p>
      <w:pPr>
        <w:spacing w:after="0" w:line="88" w:lineRule="exact"/>
        <w:rPr>
          <w:rFonts w:ascii="Arial" w:cs="Arial" w:eastAsia="Arial" w:hAnsi="Arial"/>
          <w:sz w:val="13"/>
          <w:szCs w:val="13"/>
          <w:color w:val="auto"/>
        </w:rPr>
      </w:pPr>
    </w:p>
    <w:p>
      <w:pPr>
        <w:jc w:val="both"/>
        <w:ind w:left="520" w:hanging="260"/>
        <w:spacing w:after="0" w:line="249" w:lineRule="auto"/>
        <w:tabs>
          <w:tab w:leader="none" w:pos="511" w:val="left"/>
        </w:tabs>
        <w:numPr>
          <w:ilvl w:val="0"/>
          <w:numId w:val="79"/>
        </w:numPr>
        <w:rPr>
          <w:rFonts w:ascii="Arial" w:cs="Arial" w:eastAsia="Arial" w:hAnsi="Arial"/>
          <w:sz w:val="13"/>
          <w:szCs w:val="13"/>
          <w:color w:val="auto"/>
        </w:rPr>
      </w:pPr>
      <w:r>
        <w:rPr>
          <w:rFonts w:ascii="Arial" w:cs="Arial" w:eastAsia="Arial" w:hAnsi="Arial"/>
          <w:sz w:val="13"/>
          <w:szCs w:val="13"/>
          <w:color w:val="auto"/>
        </w:rPr>
        <w:t>Our Chief Audit Executive reports to the audit, risk and compliance committee. Any employee concerns regarding questionable accounting or auditing matters may be submitted anonymously through our third-party operated Ethics Whistleblower hotline. The audit, risk and compliance committee oversees the ethics and compliance program and reviews claims submitted through the hotline</w:t>
      </w:r>
    </w:p>
    <w:p>
      <w:pPr>
        <w:spacing w:after="0" w:line="230"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b w:val="1"/>
          <w:bCs w:val="1"/>
          <w:color w:val="auto"/>
        </w:rPr>
        <w:t>ITEM 16H.</w:t>
      </w:r>
      <w:r>
        <w:rPr>
          <w:sz w:val="20"/>
          <w:szCs w:val="20"/>
          <w:color w:val="auto"/>
        </w:rPr>
        <w:tab/>
      </w:r>
      <w:r>
        <w:rPr>
          <w:rFonts w:ascii="Arial" w:cs="Arial" w:eastAsia="Arial" w:hAnsi="Arial"/>
          <w:sz w:val="12"/>
          <w:szCs w:val="12"/>
          <w:b w:val="1"/>
          <w:bCs w:val="1"/>
          <w:color w:val="auto"/>
        </w:rPr>
        <w:t>MINE SAFETY DISCLOSURE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 applicable.</w:t>
      </w:r>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ITEM 16I.</w:t>
      </w:r>
      <w:r>
        <w:rPr>
          <w:sz w:val="20"/>
          <w:szCs w:val="20"/>
          <w:color w:val="auto"/>
        </w:rPr>
        <w:tab/>
      </w:r>
      <w:r>
        <w:rPr>
          <w:rFonts w:ascii="Arial" w:cs="Arial" w:eastAsia="Arial" w:hAnsi="Arial"/>
          <w:sz w:val="12"/>
          <w:szCs w:val="12"/>
          <w:b w:val="1"/>
          <w:bCs w:val="1"/>
          <w:color w:val="auto"/>
        </w:rPr>
        <w:t>DISCLOSURE REGARDING FOREIGN JURISDICTIONS THAT PREVENT INSPECTIONS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86" w:name="page87"/>
    <w:bookmarkEnd w:id="86"/>
    <w:p>
      <w:pPr>
        <w:jc w:val="right"/>
        <w:ind w:right="4259"/>
        <w:spacing w:after="0"/>
        <w:rPr>
          <w:sz w:val="20"/>
          <w:szCs w:val="20"/>
          <w:color w:val="auto"/>
        </w:rPr>
      </w:pPr>
      <w:r>
        <w:rPr>
          <w:rFonts w:ascii="Arial" w:cs="Arial" w:eastAsia="Arial" w:hAnsi="Arial"/>
          <w:sz w:val="14"/>
          <w:szCs w:val="14"/>
          <w:b w:val="1"/>
          <w:bCs w:val="1"/>
          <w:color w:val="auto"/>
        </w:rPr>
        <w:t>PART III</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2"/>
          <w:szCs w:val="12"/>
          <w:b w:val="1"/>
          <w:bCs w:val="1"/>
          <w:color w:val="auto"/>
        </w:rPr>
        <w:t>FINANCIAL STATEMENTS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See “Item18” - Financial Statements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18.</w:t>
      </w:r>
      <w:r>
        <w:rPr>
          <w:sz w:val="20"/>
          <w:szCs w:val="20"/>
          <w:color w:val="auto"/>
        </w:rPr>
        <w:tab/>
      </w:r>
      <w:r>
        <w:rPr>
          <w:rFonts w:ascii="Arial" w:cs="Arial" w:eastAsia="Arial" w:hAnsi="Arial"/>
          <w:sz w:val="12"/>
          <w:szCs w:val="12"/>
          <w:b w:val="1"/>
          <w:bCs w:val="1"/>
          <w:color w:val="auto"/>
        </w:rPr>
        <w:t>FINANCIAL STATEMENTS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See pages F-1 through F-51, incorporated herein by reference.</w:t>
      </w: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57"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8"/>
        </w:trPr>
        <w:tc>
          <w:tcPr>
            <w:tcW w:w="5360" w:type="dxa"/>
            <w:vAlign w:val="bottom"/>
            <w:gridSpan w:val="10"/>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5920" w:type="dxa"/>
            <w:vAlign w:val="bottom"/>
          </w:tcPr>
          <w:p>
            <w:pPr>
              <w:spacing w:after="0"/>
              <w:rPr>
                <w:sz w:val="16"/>
                <w:szCs w:val="16"/>
                <w:color w:val="auto"/>
              </w:rPr>
            </w:pPr>
          </w:p>
        </w:tc>
      </w:tr>
      <w:tr>
        <w:trPr>
          <w:trHeight w:val="340"/>
        </w:trPr>
        <w:tc>
          <w:tcPr>
            <w:tcW w:w="5360" w:type="dxa"/>
            <w:vAlign w:val="bottom"/>
            <w:gridSpan w:val="10"/>
          </w:tcPr>
          <w:p>
            <w:pPr>
              <w:spacing w:after="0"/>
              <w:rPr>
                <w:sz w:val="20"/>
                <w:szCs w:val="20"/>
                <w:color w:val="auto"/>
              </w:rPr>
            </w:pPr>
            <w:r>
              <w:rPr>
                <w:rFonts w:ascii="Arial" w:cs="Arial" w:eastAsia="Arial" w:hAnsi="Arial"/>
                <w:sz w:val="14"/>
                <w:szCs w:val="14"/>
                <w:b w:val="1"/>
                <w:bCs w:val="1"/>
                <w:color w:val="auto"/>
              </w:rPr>
              <w:t>Consolidated Financial Statements of Global Foundries Inc. and Subsidiaries</w:t>
            </w:r>
          </w:p>
        </w:tc>
        <w:tc>
          <w:tcPr>
            <w:tcW w:w="592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20" w:type="dxa"/>
            <w:vAlign w:val="bottom"/>
          </w:tcPr>
          <w:p>
            <w:pPr>
              <w:jc w:val="center"/>
              <w:ind w:left="4710"/>
              <w:spacing w:after="0"/>
              <w:rPr>
                <w:sz w:val="20"/>
                <w:szCs w:val="20"/>
                <w:color w:val="auto"/>
              </w:rPr>
            </w:pPr>
            <w:r>
              <w:rPr>
                <w:rFonts w:ascii="Arial" w:cs="Arial" w:eastAsia="Arial" w:hAnsi="Arial"/>
                <w:sz w:val="14"/>
                <w:szCs w:val="14"/>
                <w:b w:val="1"/>
                <w:bCs w:val="1"/>
                <w:color w:val="auto"/>
              </w:rPr>
              <w:t>Page</w:t>
            </w:r>
          </w:p>
        </w:tc>
      </w:tr>
      <w:tr>
        <w:trPr>
          <w:trHeight w:val="149"/>
        </w:trPr>
        <w:tc>
          <w:tcPr>
            <w:tcW w:w="20" w:type="dxa"/>
            <w:vAlign w:val="bottom"/>
          </w:tcPr>
          <w:p>
            <w:pPr>
              <w:spacing w:after="0"/>
              <w:rPr>
                <w:sz w:val="12"/>
                <w:szCs w:val="12"/>
                <w:color w:val="auto"/>
              </w:rPr>
            </w:pPr>
          </w:p>
        </w:tc>
        <w:tc>
          <w:tcPr>
            <w:tcW w:w="5340" w:type="dxa"/>
            <w:vAlign w:val="bottom"/>
            <w:gridSpan w:val="9"/>
          </w:tcPr>
          <w:p>
            <w:pPr>
              <w:spacing w:after="0" w:line="149" w:lineRule="exact"/>
              <w:rPr>
                <w:sz w:val="20"/>
                <w:szCs w:val="20"/>
                <w:color w:val="auto"/>
              </w:rPr>
            </w:pPr>
            <w:r>
              <w:rPr>
                <w:rFonts w:ascii="Arial" w:cs="Arial" w:eastAsia="Arial" w:hAnsi="Arial"/>
                <w:sz w:val="14"/>
                <w:szCs w:val="14"/>
                <w:color w:val="0000FF"/>
              </w:rPr>
              <w:t>Index to Consolidated Financial Statements</w:t>
            </w:r>
          </w:p>
        </w:tc>
        <w:tc>
          <w:tcPr>
            <w:tcW w:w="5920" w:type="dxa"/>
            <w:vAlign w:val="bottom"/>
          </w:tcPr>
          <w:p>
            <w:pPr>
              <w:jc w:val="center"/>
              <w:ind w:left="4710"/>
              <w:spacing w:after="0" w:line="149" w:lineRule="exact"/>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1</w:t>
            </w: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340" w:type="dxa"/>
            <w:vAlign w:val="bottom"/>
            <w:gridSpan w:val="9"/>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1051)</w:t>
            </w:r>
          </w:p>
        </w:tc>
        <w:tc>
          <w:tcPr>
            <w:tcW w:w="5920" w:type="dxa"/>
            <w:vAlign w:val="bottom"/>
          </w:tcPr>
          <w:p>
            <w:pPr>
              <w:jc w:val="center"/>
              <w:ind w:left="471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2</w:t>
            </w: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340" w:type="dxa"/>
            <w:vAlign w:val="bottom"/>
            <w:gridSpan w:val="9"/>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42)</w:t>
            </w:r>
          </w:p>
        </w:tc>
        <w:tc>
          <w:tcPr>
            <w:tcW w:w="5920" w:type="dxa"/>
            <w:vAlign w:val="bottom"/>
          </w:tcPr>
          <w:p>
            <w:pPr>
              <w:jc w:val="center"/>
              <w:ind w:left="471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4</w:t>
            </w:r>
          </w:p>
        </w:tc>
      </w:tr>
      <w:tr>
        <w:trPr>
          <w:trHeight w:val="160"/>
        </w:trPr>
        <w:tc>
          <w:tcPr>
            <w:tcW w:w="20" w:type="dxa"/>
            <w:vAlign w:val="bottom"/>
          </w:tcPr>
          <w:p>
            <w:pPr>
              <w:spacing w:after="0"/>
              <w:rPr>
                <w:sz w:val="13"/>
                <w:szCs w:val="13"/>
                <w:color w:val="auto"/>
              </w:rPr>
            </w:pPr>
          </w:p>
        </w:tc>
        <w:tc>
          <w:tcPr>
            <w:tcW w:w="364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Consolidated Statements of Financial Position</w:t>
            </w:r>
          </w:p>
        </w:tc>
        <w:tc>
          <w:tcPr>
            <w:tcW w:w="1700" w:type="dxa"/>
            <w:vAlign w:val="bottom"/>
            <w:gridSpan w:val="2"/>
          </w:tcPr>
          <w:p>
            <w:pPr>
              <w:spacing w:after="0"/>
              <w:rPr>
                <w:sz w:val="13"/>
                <w:szCs w:val="13"/>
                <w:color w:val="auto"/>
              </w:rPr>
            </w:pPr>
          </w:p>
        </w:tc>
        <w:tc>
          <w:tcPr>
            <w:tcW w:w="5920" w:type="dxa"/>
            <w:vAlign w:val="bottom"/>
          </w:tcPr>
          <w:p>
            <w:pPr>
              <w:jc w:val="center"/>
              <w:ind w:left="471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5</w:t>
            </w:r>
          </w:p>
        </w:tc>
      </w:tr>
      <w:tr>
        <w:trPr>
          <w:trHeight w:val="160"/>
        </w:trPr>
        <w:tc>
          <w:tcPr>
            <w:tcW w:w="20" w:type="dxa"/>
            <w:vAlign w:val="bottom"/>
          </w:tcPr>
          <w:p>
            <w:pPr>
              <w:spacing w:after="0"/>
              <w:rPr>
                <w:sz w:val="13"/>
                <w:szCs w:val="13"/>
                <w:color w:val="auto"/>
              </w:rPr>
            </w:pPr>
          </w:p>
        </w:tc>
        <w:tc>
          <w:tcPr>
            <w:tcW w:w="288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Consolidated Statements of Operations</w:t>
            </w:r>
          </w:p>
        </w:tc>
        <w:tc>
          <w:tcPr>
            <w:tcW w:w="2460" w:type="dxa"/>
            <w:vAlign w:val="bottom"/>
            <w:gridSpan w:val="4"/>
          </w:tcPr>
          <w:p>
            <w:pPr>
              <w:spacing w:after="0"/>
              <w:rPr>
                <w:sz w:val="13"/>
                <w:szCs w:val="13"/>
                <w:color w:val="auto"/>
              </w:rPr>
            </w:pPr>
          </w:p>
        </w:tc>
        <w:tc>
          <w:tcPr>
            <w:tcW w:w="5920" w:type="dxa"/>
            <w:vAlign w:val="bottom"/>
          </w:tcPr>
          <w:p>
            <w:pPr>
              <w:jc w:val="center"/>
              <w:ind w:left="471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6</w:t>
            </w: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340" w:type="dxa"/>
            <w:vAlign w:val="bottom"/>
            <w:gridSpan w:val="9"/>
          </w:tcPr>
          <w:p>
            <w:pPr>
              <w:spacing w:after="0"/>
              <w:rPr>
                <w:sz w:val="20"/>
                <w:szCs w:val="20"/>
                <w:color w:val="auto"/>
              </w:rPr>
            </w:pPr>
            <w:r>
              <w:rPr>
                <w:rFonts w:ascii="Arial" w:cs="Arial" w:eastAsia="Arial" w:hAnsi="Arial"/>
                <w:sz w:val="14"/>
                <w:szCs w:val="14"/>
                <w:color w:val="0000FF"/>
              </w:rPr>
              <w:t>Consolidated Statements of Other Comprehensive Income (loss)</w:t>
            </w:r>
          </w:p>
        </w:tc>
        <w:tc>
          <w:tcPr>
            <w:tcW w:w="5920" w:type="dxa"/>
            <w:vAlign w:val="bottom"/>
          </w:tcPr>
          <w:p>
            <w:pPr>
              <w:jc w:val="center"/>
              <w:ind w:left="4710"/>
              <w:spacing w:after="0"/>
              <w:rPr>
                <w:sz w:val="20"/>
                <w:szCs w:val="20"/>
                <w:color w:val="auto"/>
              </w:rPr>
            </w:pPr>
            <w:r>
              <w:rPr>
                <w:rFonts w:ascii="Arial" w:cs="Arial" w:eastAsia="Arial" w:hAnsi="Arial"/>
                <w:sz w:val="14"/>
                <w:szCs w:val="14"/>
                <w:color w:val="0000FF"/>
              </w:rPr>
              <w:t>F-7</w:t>
            </w:r>
          </w:p>
        </w:tc>
      </w:tr>
      <w:tr>
        <w:trPr>
          <w:trHeight w:val="160"/>
        </w:trPr>
        <w:tc>
          <w:tcPr>
            <w:tcW w:w="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rPr>
              <w:t>Consolidated Statements of Cash Flows</w:t>
            </w:r>
          </w:p>
        </w:tc>
        <w:tc>
          <w:tcPr>
            <w:tcW w:w="1520" w:type="dxa"/>
            <w:vAlign w:val="bottom"/>
            <w:tcBorders>
              <w:top w:val="single" w:sz="8" w:color="0000FF"/>
            </w:tcBorders>
            <w:gridSpan w:val="6"/>
          </w:tcPr>
          <w:p>
            <w:pPr>
              <w:spacing w:after="0"/>
              <w:rPr>
                <w:sz w:val="13"/>
                <w:szCs w:val="13"/>
                <w:color w:val="auto"/>
              </w:rPr>
            </w:pPr>
          </w:p>
        </w:tc>
        <w:tc>
          <w:tcPr>
            <w:tcW w:w="1300" w:type="dxa"/>
            <w:vAlign w:val="bottom"/>
          </w:tcPr>
          <w:p>
            <w:pPr>
              <w:spacing w:after="0"/>
              <w:rPr>
                <w:sz w:val="13"/>
                <w:szCs w:val="13"/>
                <w:color w:val="auto"/>
              </w:rPr>
            </w:pPr>
          </w:p>
        </w:tc>
        <w:tc>
          <w:tcPr>
            <w:tcW w:w="5920" w:type="dxa"/>
            <w:vAlign w:val="bottom"/>
          </w:tcPr>
          <w:p>
            <w:pPr>
              <w:jc w:val="center"/>
              <w:ind w:left="471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8</w:t>
            </w:r>
          </w:p>
        </w:tc>
      </w:tr>
      <w:tr>
        <w:trPr>
          <w:trHeight w:val="160"/>
        </w:trPr>
        <w:tc>
          <w:tcPr>
            <w:tcW w:w="20" w:type="dxa"/>
            <w:vAlign w:val="bottom"/>
          </w:tcPr>
          <w:p>
            <w:pPr>
              <w:spacing w:after="0"/>
              <w:rPr>
                <w:sz w:val="13"/>
                <w:szCs w:val="13"/>
                <w:color w:val="auto"/>
              </w:rPr>
            </w:pPr>
          </w:p>
        </w:tc>
        <w:tc>
          <w:tcPr>
            <w:tcW w:w="5340" w:type="dxa"/>
            <w:vAlign w:val="bottom"/>
            <w:gridSpan w:val="9"/>
          </w:tcPr>
          <w:p>
            <w:pPr>
              <w:spacing w:after="0"/>
              <w:rPr>
                <w:sz w:val="20"/>
                <w:szCs w:val="20"/>
                <w:color w:val="auto"/>
              </w:rPr>
            </w:pPr>
            <w:r>
              <w:rPr>
                <w:rFonts w:ascii="Arial" w:cs="Arial" w:eastAsia="Arial" w:hAnsi="Arial"/>
                <w:sz w:val="14"/>
                <w:szCs w:val="14"/>
                <w:color w:val="0000FF"/>
              </w:rPr>
              <w:t>Consolidated Statements of Changes in Equity</w:t>
            </w:r>
          </w:p>
        </w:tc>
        <w:tc>
          <w:tcPr>
            <w:tcW w:w="5920" w:type="dxa"/>
            <w:vAlign w:val="bottom"/>
          </w:tcPr>
          <w:p>
            <w:pPr>
              <w:jc w:val="center"/>
              <w:ind w:left="471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9</w:t>
            </w:r>
          </w:p>
        </w:tc>
      </w:tr>
      <w:tr>
        <w:trPr>
          <w:trHeight w:val="160"/>
        </w:trPr>
        <w:tc>
          <w:tcPr>
            <w:tcW w:w="20" w:type="dxa"/>
            <w:vAlign w:val="bottom"/>
          </w:tcPr>
          <w:p>
            <w:pPr>
              <w:spacing w:after="0"/>
              <w:rPr>
                <w:sz w:val="13"/>
                <w:szCs w:val="13"/>
                <w:color w:val="auto"/>
              </w:rPr>
            </w:pPr>
          </w:p>
        </w:tc>
        <w:tc>
          <w:tcPr>
            <w:tcW w:w="292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Notes to Consolidated Financial Statements</w:t>
            </w:r>
          </w:p>
        </w:tc>
        <w:tc>
          <w:tcPr>
            <w:tcW w:w="2420" w:type="dxa"/>
            <w:vAlign w:val="bottom"/>
            <w:gridSpan w:val="3"/>
          </w:tcPr>
          <w:p>
            <w:pPr>
              <w:spacing w:after="0"/>
              <w:rPr>
                <w:sz w:val="13"/>
                <w:szCs w:val="13"/>
                <w:color w:val="auto"/>
              </w:rPr>
            </w:pPr>
          </w:p>
        </w:tc>
        <w:tc>
          <w:tcPr>
            <w:tcW w:w="5920" w:type="dxa"/>
            <w:vAlign w:val="bottom"/>
          </w:tcPr>
          <w:p>
            <w:pPr>
              <w:jc w:val="center"/>
              <w:ind w:left="4710"/>
              <w:spacing w:after="0"/>
              <w:rPr>
                <w:sz w:val="20"/>
                <w:szCs w:val="20"/>
                <w:color w:val="auto"/>
              </w:rPr>
            </w:pPr>
            <w:r>
              <w:rPr>
                <w:rFonts w:ascii="Arial" w:cs="Arial" w:eastAsia="Arial" w:hAnsi="Arial"/>
                <w:sz w:val="14"/>
                <w:szCs w:val="14"/>
                <w:color w:val="auto"/>
              </w:rPr>
              <w:t>F-</w:t>
            </w:r>
            <w:r>
              <w:rPr>
                <w:rFonts w:ascii="Arial" w:cs="Arial" w:eastAsia="Arial" w:hAnsi="Arial"/>
                <w:sz w:val="14"/>
                <w:szCs w:val="14"/>
                <w:color w:val="0000FF"/>
              </w:rPr>
              <w:t>10</w:t>
            </w:r>
          </w:p>
        </w:tc>
      </w:tr>
      <w:tr>
        <w:trPr>
          <w:trHeight w:val="718"/>
        </w:trPr>
        <w:tc>
          <w:tcPr>
            <w:tcW w:w="20" w:type="dxa"/>
            <w:vAlign w:val="bottom"/>
          </w:tcPr>
          <w:p>
            <w:pPr>
              <w:spacing w:after="0"/>
              <w:rPr>
                <w:sz w:val="24"/>
                <w:szCs w:val="24"/>
                <w:color w:val="auto"/>
              </w:rPr>
            </w:pPr>
          </w:p>
        </w:tc>
        <w:tc>
          <w:tcPr>
            <w:tcW w:w="2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20" w:type="dxa"/>
            <w:vAlign w:val="bottom"/>
          </w:tcPr>
          <w:p>
            <w:pPr>
              <w:ind w:left="180"/>
              <w:spacing w:after="0"/>
              <w:rPr>
                <w:sz w:val="20"/>
                <w:szCs w:val="20"/>
                <w:color w:val="auto"/>
              </w:rPr>
            </w:pPr>
            <w:r>
              <w:rPr>
                <w:rFonts w:ascii="Arial" w:cs="Arial" w:eastAsia="Arial" w:hAnsi="Arial"/>
                <w:sz w:val="13"/>
                <w:szCs w:val="13"/>
                <w:color w:val="auto"/>
              </w:rPr>
              <w:t>F-1</w:t>
            </w:r>
          </w:p>
        </w:tc>
      </w:tr>
      <w:tr>
        <w:trPr>
          <w:trHeight w:val="91"/>
        </w:trPr>
        <w:tc>
          <w:tcPr>
            <w:tcW w:w="2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5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Board of Directors</w:t>
      </w:r>
    </w:p>
    <w:p>
      <w:pPr>
        <w:spacing w:after="0"/>
        <w:rPr>
          <w:sz w:val="20"/>
          <w:szCs w:val="20"/>
          <w:color w:val="auto"/>
        </w:rPr>
      </w:pPr>
      <w:r>
        <w:rPr>
          <w:rFonts w:ascii="Arial" w:cs="Arial" w:eastAsia="Arial" w:hAnsi="Arial"/>
          <w:sz w:val="13"/>
          <w:szCs w:val="13"/>
          <w:color w:val="auto"/>
        </w:rPr>
        <w:t>GLOBALFOUNDRIES Inc.:</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Opinions on the Consolidated Financial Statements and Internal Control Over Financial Reporting</w:t>
      </w:r>
    </w:p>
    <w:p>
      <w:pPr>
        <w:spacing w:after="0" w:line="8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have audited the accompanying consolidated statements of financial position of GLOBALFOUNDRIES, Inc. and subsidiaries (the Company) as of December 31, 2022 and 2021, the related consolidated statements of operations, other comprehensive income (loss), changes in equity, and cash flows for the years then ended, and the related notes (collectively,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w:t>
      </w:r>
    </w:p>
    <w:p>
      <w:pPr>
        <w:spacing w:after="0" w:line="87"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the Company as of December 31, 2022 and 2021, and the results of its operations and its cash flows for the years then ended, in conformity with International Financial Reporting Standards issued by the International Accounting Standards Board. Also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Basis for Opinions</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Definition and Limitations of Internal Control Over Financial Reporting</w:t>
      </w:r>
    </w:p>
    <w:p>
      <w:pPr>
        <w:spacing w:after="0" w:line="8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color w:val="auto"/>
        </w:rPr>
        <w:t>Critical Audit Matter</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Determination of useful life of 300mm production equipment</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discussed in Note 12 to the consolidated financial statements, the Company reported $3,765 million of equipment which included 300mm production equipment as at December 31, 2022. Management estimated the useful life of production equipment including 300mm based on production equipment current use, historical age patterns, as well as an analysis of industry trends and practices. We identified the determination of the useful life of 300mm production equipment as a critical audit matter. To evaluate management’s judgement in determining the useful life of ten years for the 300mm production equipment, we used significant auditor judgement, subjectivity and effort in performing procedures to evaluate the reasonableness of the significant assumptions used in determining the useful life.</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following are the primary procedures we performed to address this critical audit matter. We evaluated the design and tested the operating effectiveness of certain internal controls related to the determination of the useful life of 300mm production equipment and related data used for that determination. We also tested management’s process for determining a ten year useful life and assessed the reasonableness of the significant assumptions used by management, which included (1) testing the completeness, accuracy, and relevance of the underlying data used in management’s historical length of service assessment, and (2) evaluating the completeness, accuracy, and relevance of the useful lives utilized by peer companies and used in management’s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2021.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Singapore, Singapore</w:t>
      </w:r>
    </w:p>
    <w:p>
      <w:pPr>
        <w:spacing w:after="0"/>
        <w:rPr>
          <w:sz w:val="20"/>
          <w:szCs w:val="20"/>
          <w:color w:val="auto"/>
        </w:rPr>
      </w:pPr>
      <w:r>
        <w:rPr>
          <w:rFonts w:ascii="Arial" w:cs="Arial" w:eastAsia="Arial" w:hAnsi="Arial"/>
          <w:sz w:val="13"/>
          <w:szCs w:val="13"/>
          <w:color w:val="auto"/>
        </w:rPr>
        <w:t>April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4" w:right="319" w:bottom="1440" w:gutter="0" w:footer="0" w:header="0"/>
        </w:sectPr>
      </w:pPr>
    </w:p>
    <w:bookmarkStart w:id="90" w:name="page91"/>
    <w:bookmarkEnd w:id="90"/>
    <w:p>
      <w:pPr>
        <w:ind w:left="350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To the Shareholders and the Board of Directors of GLOBALFOUNDRIES Inc.</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29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have audited the accompanying consolidated financial statements of GLOBALFOUNDRIES Inc. (the “Company”), which comprise the statements of operations, other comprehensive income (loss), cash flows, and changes in equity for the year ended December 31, 2020, and the related notes (collectively referred to as the consolidated financial statements). In our opinion, the consolidated financial statements present fairly, in all material respects the results of its operations and its cash flows for the year ended December 31, 2020, in conformity with International Financial Reporting Standards issued by the International Accounting Standards Board.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served as the Company’s auditor from 2016 to 2021.</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San Jose, California</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August 6, 2021,</w:t>
      </w:r>
    </w:p>
    <w:p>
      <w:pPr>
        <w:spacing w:after="0" w:line="275" w:lineRule="exact"/>
        <w:rPr>
          <w:sz w:val="20"/>
          <w:szCs w:val="20"/>
          <w:color w:val="auto"/>
        </w:rPr>
      </w:pPr>
    </w:p>
    <w:p>
      <w:pPr>
        <w:ind w:right="4480"/>
        <w:spacing w:after="0" w:line="397" w:lineRule="auto"/>
        <w:rPr>
          <w:sz w:val="20"/>
          <w:szCs w:val="20"/>
          <w:color w:val="auto"/>
        </w:rPr>
      </w:pPr>
      <w:r>
        <w:rPr>
          <w:rFonts w:ascii="Arial" w:cs="Arial" w:eastAsia="Arial" w:hAnsi="Arial"/>
          <w:sz w:val="13"/>
          <w:szCs w:val="13"/>
          <w:color w:val="auto"/>
        </w:rPr>
        <w:t>Except for the effects of the 1-for-2 reserve share split discussed in the first paragraph of Note 19, as to which the date is September 13,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91" w:name="page92"/>
    <w:bookmarkEnd w:id="91"/>
    <w:p>
      <w:pPr>
        <w:jc w:val="center"/>
        <w:spacing w:after="0"/>
        <w:rPr>
          <w:sz w:val="20"/>
          <w:szCs w:val="20"/>
          <w:color w:val="auto"/>
        </w:rPr>
      </w:pPr>
      <w:r>
        <w:rPr>
          <w:rFonts w:ascii="Arial" w:cs="Arial" w:eastAsia="Arial" w:hAnsi="Arial"/>
          <w:sz w:val="14"/>
          <w:szCs w:val="14"/>
          <w:b w:val="1"/>
          <w:bCs w:val="1"/>
          <w:color w:val="auto"/>
        </w:rPr>
        <w:t>GLOBALFOUNDRIES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(Dollars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As of December 31,</w:t>
            </w:r>
          </w:p>
        </w:tc>
        <w:tc>
          <w:tcPr>
            <w:tcW w:w="720" w:type="dxa"/>
            <w:vAlign w:val="bottom"/>
            <w:tcBorders>
              <w:bottom w:val="single" w:sz="8" w:color="auto"/>
            </w:tcBorders>
          </w:tcPr>
          <w:p>
            <w:pPr>
              <w:spacing w:after="0"/>
              <w:rPr>
                <w:sz w:val="14"/>
                <w:szCs w:val="14"/>
                <w:color w:val="auto"/>
              </w:rPr>
            </w:pPr>
          </w:p>
        </w:tc>
      </w:tr>
      <w:tr>
        <w:trPr>
          <w:trHeight w:val="162"/>
        </w:trPr>
        <w:tc>
          <w:tcPr>
            <w:tcW w:w="74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r>
      <w:tr>
        <w:trPr>
          <w:trHeight w:val="15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Marketable securities</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prepayments and other assets</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w:t>
            </w:r>
          </w:p>
        </w:tc>
      </w:tr>
      <w:tr>
        <w:trPr>
          <w:trHeight w:val="16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Inventories</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1,339</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w:t>
            </w:r>
          </w:p>
        </w:tc>
      </w:tr>
      <w:tr>
        <w:trPr>
          <w:trHeight w:val="163"/>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5,800</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5,291</w:t>
            </w:r>
          </w:p>
        </w:tc>
      </w:tr>
      <w:tr>
        <w:trPr>
          <w:trHeight w:val="149"/>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8,713</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Goodwill and intangible assets, net</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377</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Marketable securities</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353</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prepayments and other assets</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r>
      <w:tr>
        <w:trPr>
          <w:trHeight w:val="16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financial assets</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r>
      <w:tr>
        <w:trPr>
          <w:trHeight w:val="16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12,041</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9,737</w:t>
            </w:r>
          </w:p>
        </w:tc>
      </w:tr>
      <w:tr>
        <w:trPr>
          <w:trHeight w:val="161"/>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17,841</w:t>
            </w:r>
          </w:p>
        </w:tc>
        <w:tc>
          <w:tcPr>
            <w:tcW w:w="100" w:type="dxa"/>
            <w:vAlign w:val="bottom"/>
          </w:tcPr>
          <w:p>
            <w:pPr>
              <w:spacing w:after="0"/>
              <w:rPr>
                <w:sz w:val="13"/>
                <w:szCs w:val="13"/>
                <w:color w:val="auto"/>
              </w:rPr>
            </w:pPr>
          </w:p>
        </w:tc>
        <w:tc>
          <w:tcPr>
            <w:tcW w:w="7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15,028</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31"/>
        </w:trPr>
        <w:tc>
          <w:tcPr>
            <w:tcW w:w="7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Trade payables and other current liabilities</w:t>
            </w: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2,849</w:t>
            </w:r>
          </w:p>
        </w:tc>
        <w:tc>
          <w:tcPr>
            <w:tcW w:w="100" w:type="dxa"/>
            <w:vAlign w:val="bottom"/>
          </w:tcPr>
          <w:p>
            <w:pPr>
              <w:spacing w:after="0"/>
              <w:rPr>
                <w:sz w:val="14"/>
                <w:szCs w:val="14"/>
                <w:color w:val="auto"/>
              </w:rPr>
            </w:pPr>
          </w:p>
        </w:tc>
        <w:tc>
          <w:tcPr>
            <w:tcW w:w="760" w:type="dxa"/>
            <w:vAlign w:val="bottom"/>
          </w:tcPr>
          <w:p>
            <w:pPr>
              <w:jc w:val="right"/>
              <w:ind w:right="61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2,586</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portion of long-term debt</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Current portion of lease obligations</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135</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Provisions</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6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Current portion of deferred income from government grants</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r>
      <w:tr>
        <w:trPr>
          <w:trHeight w:val="163"/>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3,359</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3,163</w:t>
            </w:r>
          </w:p>
        </w:tc>
      </w:tr>
      <w:tr>
        <w:trPr>
          <w:trHeight w:val="149"/>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portion of long-term debt</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2,288</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Other non-current liabilities</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1,474</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1,445</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portion of lease obligations</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Provisions</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233</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portion of deferred income from government grants</w:t>
            </w: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r>
      <w:tr>
        <w:trPr>
          <w:trHeight w:val="16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4,522</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3,832</w:t>
            </w:r>
          </w:p>
        </w:tc>
      </w:tr>
      <w:tr>
        <w:trPr>
          <w:trHeight w:val="186"/>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7,881</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6,995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7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Share capital</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2"/>
        </w:trPr>
        <w:tc>
          <w:tcPr>
            <w:tcW w:w="74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Ordinary shares, $0.02 par value, 547,755 thousand and 531,846 thousand shares issued and outstanding as of December 31,</w:t>
            </w: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8"/>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 and 2021, respectively</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8"/>
        </w:trPr>
        <w:tc>
          <w:tcPr>
            <w:tcW w:w="7420" w:type="dxa"/>
            <w:vAlign w:val="bottom"/>
          </w:tcPr>
          <w:p>
            <w:pPr>
              <w:ind w:left="20"/>
              <w:spacing w:after="0"/>
              <w:rPr>
                <w:sz w:val="20"/>
                <w:szCs w:val="20"/>
                <w:color w:val="auto"/>
              </w:rPr>
            </w:pPr>
            <w:r>
              <w:rPr>
                <w:rFonts w:ascii="Arial" w:cs="Arial" w:eastAsia="Arial" w:hAnsi="Arial"/>
                <w:sz w:val="13"/>
                <w:szCs w:val="13"/>
                <w:color w:val="auto"/>
              </w:rPr>
              <w:t>Additional paid-in capital</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23,831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23,487</w:t>
            </w:r>
          </w:p>
        </w:tc>
      </w:tr>
      <w:tr>
        <w:trPr>
          <w:trHeight w:val="17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(15,469)</w:t>
            </w:r>
          </w:p>
        </w:tc>
      </w:tr>
      <w:tr>
        <w:trPr>
          <w:trHeight w:val="16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other comprehensive loss</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r>
      <w:tr>
        <w:trPr>
          <w:trHeight w:val="163"/>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attributable to the shareholders of GLOBALFOUNDRIES INC.</w:t>
            </w: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9,913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7,975</w:t>
            </w:r>
          </w:p>
        </w:tc>
      </w:tr>
      <w:tr>
        <w:trPr>
          <w:trHeight w:val="16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r>
      <w:tr>
        <w:trPr>
          <w:trHeight w:val="162"/>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9,960</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8,033</w:t>
            </w:r>
          </w:p>
        </w:tc>
      </w:tr>
      <w:tr>
        <w:trPr>
          <w:trHeight w:val="161"/>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17,841</w:t>
            </w:r>
          </w:p>
        </w:tc>
        <w:tc>
          <w:tcPr>
            <w:tcW w:w="100" w:type="dxa"/>
            <w:vAlign w:val="bottom"/>
          </w:tcPr>
          <w:p>
            <w:pPr>
              <w:spacing w:after="0"/>
              <w:rPr>
                <w:sz w:val="13"/>
                <w:szCs w:val="13"/>
                <w:color w:val="auto"/>
              </w:rPr>
            </w:pPr>
          </w:p>
        </w:tc>
        <w:tc>
          <w:tcPr>
            <w:tcW w:w="7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15,028</w:t>
            </w:r>
          </w:p>
        </w:tc>
      </w:tr>
      <w:tr>
        <w:trPr>
          <w:trHeight w:val="20"/>
        </w:trPr>
        <w:tc>
          <w:tcPr>
            <w:tcW w:w="7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 to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39370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80"/>
          </w:cols>
          <w:pgMar w:left="700" w:top="757" w:right="719" w:bottom="1440" w:gutter="0" w:footer="0" w:header="0"/>
        </w:sectPr>
      </w:pPr>
    </w:p>
    <w:bookmarkStart w:id="92" w:name="page93"/>
    <w:bookmarkEnd w:id="92"/>
    <w:p>
      <w:pPr>
        <w:jc w:val="center"/>
        <w:ind w:right="-799"/>
        <w:spacing w:after="0"/>
        <w:rPr>
          <w:sz w:val="20"/>
          <w:szCs w:val="20"/>
          <w:color w:val="auto"/>
        </w:rPr>
      </w:pPr>
      <w:r>
        <w:rPr>
          <w:rFonts w:ascii="Arial" w:cs="Arial" w:eastAsia="Arial" w:hAnsi="Arial"/>
          <w:sz w:val="14"/>
          <w:szCs w:val="14"/>
          <w:b w:val="1"/>
          <w:bCs w:val="1"/>
          <w:color w:val="auto"/>
        </w:rPr>
        <w:t>GLOBALFOUNDRIES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1"/>
          <w:szCs w:val="11"/>
          <w:b w:val="1"/>
          <w:bCs w:val="1"/>
          <w:color w:val="auto"/>
        </w:rPr>
        <w:t>(Share amounts and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356"/>
              <w:spacing w:after="0"/>
              <w:rPr>
                <w:sz w:val="20"/>
                <w:szCs w:val="20"/>
                <w:color w:val="auto"/>
              </w:rPr>
            </w:pPr>
            <w:r>
              <w:rPr>
                <w:rFonts w:ascii="Arial" w:cs="Arial" w:eastAsia="Arial" w:hAnsi="Arial"/>
                <w:sz w:val="13"/>
                <w:szCs w:val="13"/>
                <w:b w:val="1"/>
                <w:bCs w:val="1"/>
                <w:color w:val="auto"/>
              </w:rPr>
              <w:t>For the 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62"/>
        </w:trPr>
        <w:tc>
          <w:tcPr>
            <w:tcW w:w="57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r>
      <w:tr>
        <w:trPr>
          <w:trHeight w:val="161"/>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8,108</w:t>
            </w:r>
          </w:p>
        </w:tc>
        <w:tc>
          <w:tcPr>
            <w:tcW w:w="76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6,585</w:t>
            </w:r>
          </w:p>
        </w:tc>
        <w:tc>
          <w:tcPr>
            <w:tcW w:w="76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4,851</w:t>
            </w:r>
          </w:p>
        </w:tc>
        <w:tc>
          <w:tcPr>
            <w:tcW w:w="80" w:type="dxa"/>
            <w:vAlign w:val="bottom"/>
          </w:tcPr>
          <w:p>
            <w:pPr>
              <w:spacing w:after="0"/>
              <w:rPr>
                <w:sz w:val="13"/>
                <w:szCs w:val="13"/>
                <w:color w:val="auto"/>
              </w:rPr>
            </w:pPr>
          </w:p>
        </w:tc>
      </w:tr>
      <w:tr>
        <w:trPr>
          <w:trHeight w:val="168"/>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5,869</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5,572</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5,563</w:t>
            </w:r>
          </w:p>
        </w:tc>
        <w:tc>
          <w:tcPr>
            <w:tcW w:w="80" w:type="dxa"/>
            <w:vAlign w:val="bottom"/>
          </w:tcPr>
          <w:p>
            <w:pPr>
              <w:spacing w:after="0"/>
              <w:rPr>
                <w:sz w:val="14"/>
                <w:szCs w:val="14"/>
                <w:color w:val="auto"/>
              </w:rPr>
            </w:pPr>
          </w:p>
        </w:tc>
      </w:tr>
      <w:tr>
        <w:trPr>
          <w:trHeight w:val="162"/>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Gross profit (loss)</w:t>
            </w: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2,239</w:t>
            </w:r>
          </w:p>
        </w:tc>
        <w:tc>
          <w:tcPr>
            <w:tcW w:w="1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1,013</w:t>
            </w:r>
          </w:p>
        </w:tc>
        <w:tc>
          <w:tcPr>
            <w:tcW w:w="1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(712)</w:t>
            </w:r>
          </w:p>
        </w:tc>
        <w:tc>
          <w:tcPr>
            <w:tcW w:w="80" w:type="dxa"/>
            <w:vAlign w:val="bottom"/>
          </w:tcPr>
          <w:p>
            <w:pPr>
              <w:spacing w:after="0"/>
              <w:rPr>
                <w:sz w:val="14"/>
                <w:szCs w:val="14"/>
                <w:color w:val="auto"/>
              </w:rPr>
            </w:pPr>
          </w:p>
        </w:tc>
      </w:tr>
      <w:tr>
        <w:trPr>
          <w:trHeight w:val="158"/>
        </w:trPr>
        <w:tc>
          <w:tcPr>
            <w:tcW w:w="5700" w:type="dxa"/>
            <w:vAlign w:val="bottom"/>
          </w:tcPr>
          <w:p>
            <w:pPr>
              <w:ind w:left="20"/>
              <w:spacing w:after="0"/>
              <w:rPr>
                <w:sz w:val="20"/>
                <w:szCs w:val="20"/>
                <w:color w:val="auto"/>
              </w:rPr>
            </w:pPr>
            <w:r>
              <w:rPr>
                <w:rFonts w:ascii="Arial" w:cs="Arial" w:eastAsia="Arial" w:hAnsi="Arial"/>
                <w:sz w:val="13"/>
                <w:szCs w:val="13"/>
                <w:color w:val="auto"/>
              </w:rPr>
              <w:t>Research and development expenses</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482</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478</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476</w:t>
            </w:r>
          </w:p>
        </w:tc>
        <w:tc>
          <w:tcPr>
            <w:tcW w:w="80" w:type="dxa"/>
            <w:vAlign w:val="bottom"/>
          </w:tcPr>
          <w:p>
            <w:pPr>
              <w:spacing w:after="0"/>
              <w:rPr>
                <w:sz w:val="13"/>
                <w:szCs w:val="13"/>
                <w:color w:val="auto"/>
              </w:rPr>
            </w:pPr>
          </w:p>
        </w:tc>
      </w:tr>
      <w:tr>
        <w:trPr>
          <w:trHeight w:val="172"/>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80" w:type="dxa"/>
            <w:vAlign w:val="bottom"/>
          </w:tcPr>
          <w:p>
            <w:pPr>
              <w:spacing w:after="0"/>
              <w:rPr>
                <w:sz w:val="14"/>
                <w:szCs w:val="14"/>
                <w:color w:val="auto"/>
              </w:rPr>
            </w:pPr>
          </w:p>
        </w:tc>
      </w:tr>
      <w:tr>
        <w:trPr>
          <w:trHeight w:val="16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Restructuring charges</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r>
      <w:tr>
        <w:trPr>
          <w:trHeight w:val="161"/>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1,072</w:t>
            </w:r>
          </w:p>
        </w:tc>
        <w:tc>
          <w:tcPr>
            <w:tcW w:w="760" w:type="dxa"/>
            <w:vAlign w:val="bottom"/>
            <w:gridSpan w:val="2"/>
            <w:shd w:val="clear" w:color="auto" w:fill="CCEEFF"/>
          </w:tcPr>
          <w:p>
            <w:pPr>
              <w:jc w:val="right"/>
              <w:ind w:right="556"/>
              <w:spacing w:after="0"/>
              <w:rPr>
                <w:sz w:val="20"/>
                <w:szCs w:val="20"/>
                <w:color w:val="auto"/>
              </w:rPr>
            </w:pPr>
            <w:r>
              <w:rPr>
                <w:rFonts w:ascii="Arial" w:cs="Arial" w:eastAsia="Arial" w:hAnsi="Arial"/>
                <w:sz w:val="13"/>
                <w:szCs w:val="13"/>
                <w:b w:val="1"/>
                <w:bCs w:val="1"/>
                <w:color w:val="auto"/>
                <w:w w:val="9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1,073</w:t>
            </w:r>
          </w:p>
        </w:tc>
        <w:tc>
          <w:tcPr>
            <w:tcW w:w="760" w:type="dxa"/>
            <w:vAlign w:val="bottom"/>
            <w:gridSpan w:val="2"/>
            <w:shd w:val="clear" w:color="auto" w:fill="CCEEFF"/>
          </w:tcPr>
          <w:p>
            <w:pPr>
              <w:jc w:val="right"/>
              <w:ind w:right="556"/>
              <w:spacing w:after="0"/>
              <w:rPr>
                <w:sz w:val="20"/>
                <w:szCs w:val="20"/>
                <w:color w:val="auto"/>
              </w:rPr>
            </w:pPr>
            <w:r>
              <w:rPr>
                <w:rFonts w:ascii="Arial" w:cs="Arial" w:eastAsia="Arial" w:hAnsi="Arial"/>
                <w:sz w:val="13"/>
                <w:szCs w:val="13"/>
                <w:b w:val="1"/>
                <w:bCs w:val="1"/>
                <w:color w:val="auto"/>
                <w:w w:val="9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921</w:t>
            </w:r>
          </w:p>
        </w:tc>
        <w:tc>
          <w:tcPr>
            <w:tcW w:w="80" w:type="dxa"/>
            <w:vAlign w:val="bottom"/>
          </w:tcPr>
          <w:p>
            <w:pPr>
              <w:spacing w:after="0"/>
              <w:rPr>
                <w:sz w:val="13"/>
                <w:szCs w:val="13"/>
                <w:color w:val="auto"/>
              </w:rPr>
            </w:pPr>
          </w:p>
        </w:tc>
      </w:tr>
      <w:tr>
        <w:trPr>
          <w:trHeight w:val="168"/>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Impairment charges</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r>
      <w:tr>
        <w:trPr>
          <w:trHeight w:val="163"/>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operating expenses</w:t>
            </w: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w:t>
            </w:r>
          </w:p>
        </w:tc>
        <w:tc>
          <w:tcPr>
            <w:tcW w:w="80" w:type="dxa"/>
            <w:vAlign w:val="bottom"/>
          </w:tcPr>
          <w:p>
            <w:pPr>
              <w:spacing w:after="0"/>
              <w:rPr>
                <w:sz w:val="14"/>
                <w:szCs w:val="14"/>
                <w:color w:val="auto"/>
              </w:rPr>
            </w:pPr>
          </w:p>
        </w:tc>
      </w:tr>
      <w:tr>
        <w:trPr>
          <w:trHeight w:val="160"/>
        </w:trPr>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Income (loss) from operations</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1,167</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(60)</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(1,656)</w:t>
            </w:r>
          </w:p>
        </w:tc>
        <w:tc>
          <w:tcPr>
            <w:tcW w:w="80" w:type="dxa"/>
            <w:vAlign w:val="bottom"/>
          </w:tcPr>
          <w:p>
            <w:pPr>
              <w:spacing w:after="0"/>
              <w:rPr>
                <w:sz w:val="13"/>
                <w:szCs w:val="13"/>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income</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r>
      <w:tr>
        <w:trPr>
          <w:trHeight w:val="168"/>
        </w:trPr>
        <w:tc>
          <w:tcPr>
            <w:tcW w:w="5700" w:type="dxa"/>
            <w:vAlign w:val="bottom"/>
          </w:tcPr>
          <w:p>
            <w:pPr>
              <w:ind w:left="20"/>
              <w:spacing w:after="0"/>
              <w:rPr>
                <w:sz w:val="20"/>
                <w:szCs w:val="20"/>
                <w:color w:val="auto"/>
              </w:rPr>
            </w:pPr>
            <w:r>
              <w:rPr>
                <w:rFonts w:ascii="Arial" w:cs="Arial" w:eastAsia="Arial" w:hAnsi="Arial"/>
                <w:sz w:val="13"/>
                <w:szCs w:val="13"/>
                <w:color w:val="auto"/>
              </w:rPr>
              <w:t>Finance expenses</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(111)</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4"/>
                <w:szCs w:val="14"/>
                <w:color w:val="auto"/>
              </w:rPr>
            </w:pPr>
          </w:p>
        </w:tc>
      </w:tr>
      <w:tr>
        <w:trPr>
          <w:trHeight w:val="172"/>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sale of East Fishkill (“EFK”) business</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r>
      <w:tr>
        <w:trPr>
          <w:trHeight w:val="168"/>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(expense), net</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w:t>
            </w:r>
          </w:p>
        </w:tc>
        <w:tc>
          <w:tcPr>
            <w:tcW w:w="80" w:type="dxa"/>
            <w:vAlign w:val="bottom"/>
          </w:tcPr>
          <w:p>
            <w:pPr>
              <w:spacing w:after="0"/>
              <w:rPr>
                <w:sz w:val="14"/>
                <w:szCs w:val="14"/>
                <w:color w:val="auto"/>
              </w:rPr>
            </w:pPr>
          </w:p>
        </w:tc>
      </w:tr>
      <w:tr>
        <w:trPr>
          <w:trHeight w:val="163"/>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1,532</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(1,365)</w:t>
            </w:r>
          </w:p>
        </w:tc>
        <w:tc>
          <w:tcPr>
            <w:tcW w:w="80" w:type="dxa"/>
            <w:vAlign w:val="bottom"/>
          </w:tcPr>
          <w:p>
            <w:pPr>
              <w:spacing w:after="0"/>
              <w:rPr>
                <w:sz w:val="14"/>
                <w:szCs w:val="14"/>
                <w:color w:val="auto"/>
              </w:rPr>
            </w:pPr>
          </w:p>
        </w:tc>
      </w:tr>
      <w:tr>
        <w:trPr>
          <w:trHeight w:val="168"/>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r>
      <w:tr>
        <w:trPr>
          <w:trHeight w:val="163"/>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for the year</w:t>
            </w: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1,446</w:t>
            </w:r>
          </w:p>
        </w:tc>
        <w:tc>
          <w:tcPr>
            <w:tcW w:w="1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(254)</w:t>
            </w:r>
          </w:p>
        </w:tc>
        <w:tc>
          <w:tcPr>
            <w:tcW w:w="1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(1,353)</w:t>
            </w:r>
          </w:p>
        </w:tc>
        <w:tc>
          <w:tcPr>
            <w:tcW w:w="80" w:type="dxa"/>
            <w:vAlign w:val="bottom"/>
          </w:tcPr>
          <w:p>
            <w:pPr>
              <w:spacing w:after="0"/>
              <w:rPr>
                <w:sz w:val="14"/>
                <w:szCs w:val="14"/>
                <w:color w:val="auto"/>
              </w:rPr>
            </w:pPr>
          </w:p>
        </w:tc>
      </w:tr>
      <w:tr>
        <w:trPr>
          <w:trHeight w:val="148"/>
        </w:trPr>
        <w:tc>
          <w:tcPr>
            <w:tcW w:w="5700" w:type="dxa"/>
            <w:vAlign w:val="bottom"/>
          </w:tcPr>
          <w:p>
            <w:pPr>
              <w:ind w:left="20"/>
              <w:spacing w:after="0" w:line="146" w:lineRule="exact"/>
              <w:rPr>
                <w:sz w:val="20"/>
                <w:szCs w:val="20"/>
                <w:color w:val="auto"/>
              </w:rPr>
            </w:pPr>
            <w:r>
              <w:rPr>
                <w:rFonts w:ascii="Arial" w:cs="Arial" w:eastAsia="Arial" w:hAnsi="Arial"/>
                <w:sz w:val="13"/>
                <w:szCs w:val="13"/>
                <w:color w:val="auto"/>
              </w:rPr>
              <w:t>Attributable to:</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Shareholders of GLOBALFOUNDRIES INC.</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76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76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80" w:type="dxa"/>
            <w:vAlign w:val="bottom"/>
          </w:tcPr>
          <w:p>
            <w:pPr>
              <w:spacing w:after="0"/>
              <w:rPr>
                <w:sz w:val="14"/>
                <w:szCs w:val="14"/>
                <w:color w:val="auto"/>
              </w:rPr>
            </w:pPr>
          </w:p>
        </w:tc>
      </w:tr>
      <w:tr>
        <w:trPr>
          <w:trHeight w:val="168"/>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r>
      <w:tr>
        <w:trPr>
          <w:trHeight w:val="163"/>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for the year</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w:t>
            </w:r>
          </w:p>
        </w:tc>
        <w:tc>
          <w:tcPr>
            <w:tcW w:w="76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76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(1,353)</w:t>
            </w:r>
          </w:p>
        </w:tc>
        <w:tc>
          <w:tcPr>
            <w:tcW w:w="80" w:type="dxa"/>
            <w:vAlign w:val="bottom"/>
          </w:tcPr>
          <w:p>
            <w:pPr>
              <w:spacing w:after="0"/>
              <w:rPr>
                <w:sz w:val="14"/>
                <w:szCs w:val="14"/>
                <w:color w:val="auto"/>
              </w:rPr>
            </w:pPr>
          </w:p>
        </w:tc>
      </w:tr>
      <w:tr>
        <w:trPr>
          <w:trHeight w:val="149"/>
        </w:trPr>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Net income (loss) per share attributable to the equity holders of the Company:</w:t>
            </w:r>
          </w:p>
        </w:tc>
        <w:tc>
          <w:tcPr>
            <w:tcW w:w="5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weighted average common shares outstanding</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4"/>
                <w:szCs w:val="14"/>
                <w:color w:val="auto"/>
              </w:rPr>
            </w:pPr>
          </w:p>
        </w:tc>
      </w:tr>
      <w:tr>
        <w:trPr>
          <w:trHeight w:val="168"/>
        </w:trPr>
        <w:tc>
          <w:tcPr>
            <w:tcW w:w="5700" w:type="dxa"/>
            <w:vAlign w:val="bottom"/>
          </w:tcPr>
          <w:p>
            <w:pPr>
              <w:ind w:left="20"/>
              <w:spacing w:after="0"/>
              <w:rPr>
                <w:sz w:val="20"/>
                <w:szCs w:val="20"/>
                <w:color w:val="auto"/>
              </w:rPr>
            </w:pPr>
            <w:r>
              <w:rPr>
                <w:rFonts w:ascii="Arial" w:cs="Arial" w:eastAsia="Arial" w:hAnsi="Arial"/>
                <w:sz w:val="13"/>
                <w:szCs w:val="13"/>
                <w:color w:val="auto"/>
              </w:rPr>
              <w:t>Diluted weighted average common shares outstanding</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552</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506</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4"/>
                <w:szCs w:val="14"/>
                <w:color w:val="auto"/>
              </w:rPr>
            </w:pPr>
          </w:p>
        </w:tc>
      </w:tr>
      <w:tr>
        <w:trPr>
          <w:trHeight w:val="172"/>
        </w:trPr>
        <w:tc>
          <w:tcPr>
            <w:tcW w:w="5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5700" w:type="dxa"/>
            <w:vAlign w:val="bottom"/>
          </w:tcPr>
          <w:p>
            <w:pPr>
              <w:ind w:left="20"/>
              <w:spacing w:after="0"/>
              <w:rPr>
                <w:sz w:val="20"/>
                <w:szCs w:val="20"/>
                <w:color w:val="auto"/>
              </w:rPr>
            </w:pPr>
            <w:r>
              <w:rPr>
                <w:rFonts w:ascii="Arial" w:cs="Arial" w:eastAsia="Arial" w:hAnsi="Arial"/>
                <w:sz w:val="13"/>
                <w:szCs w:val="13"/>
                <w:color w:val="auto"/>
              </w:rPr>
              <w:t>Basic earnings (loss) per share</w:t>
            </w: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2.69</w:t>
            </w:r>
          </w:p>
        </w:tc>
        <w:tc>
          <w:tcPr>
            <w:tcW w:w="760" w:type="dxa"/>
            <w:vAlign w:val="bottom"/>
            <w:gridSpan w:val="2"/>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(0.49)</w:t>
            </w:r>
          </w:p>
        </w:tc>
        <w:tc>
          <w:tcPr>
            <w:tcW w:w="760" w:type="dxa"/>
            <w:vAlign w:val="bottom"/>
            <w:gridSpan w:val="2"/>
          </w:tcPr>
          <w:p>
            <w:pPr>
              <w:jc w:val="right"/>
              <w:ind w:right="41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4"/>
                <w:szCs w:val="14"/>
                <w:color w:val="auto"/>
              </w:rPr>
            </w:pPr>
          </w:p>
        </w:tc>
      </w:tr>
      <w:tr>
        <w:trPr>
          <w:trHeight w:val="172"/>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(loss) per share</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76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(0.49)</w:t>
            </w:r>
          </w:p>
        </w:tc>
        <w:tc>
          <w:tcPr>
            <w:tcW w:w="76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00"/>
        <w:spacing w:after="0"/>
        <w:rPr>
          <w:sz w:val="20"/>
          <w:szCs w:val="20"/>
          <w:color w:val="auto"/>
        </w:rPr>
      </w:pPr>
      <w:r>
        <w:rPr>
          <w:rFonts w:ascii="Arial" w:cs="Arial" w:eastAsia="Arial" w:hAnsi="Arial"/>
          <w:sz w:val="11"/>
          <w:szCs w:val="11"/>
          <w:color w:val="auto"/>
        </w:rPr>
        <w:t>See accompanying notes to consolidated financial statements</w:t>
      </w: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80"/>
          </w:cols>
          <w:pgMar w:left="300" w:top="927" w:right="1119" w:bottom="1440" w:gutter="0" w:footer="0" w:header="0"/>
        </w:sectPr>
      </w:pPr>
    </w:p>
    <w:bookmarkStart w:id="93" w:name="page94"/>
    <w:bookmarkEnd w:id="93"/>
    <w:p>
      <w:pPr>
        <w:jc w:val="center"/>
        <w:spacing w:after="0"/>
        <w:rPr>
          <w:sz w:val="20"/>
          <w:szCs w:val="20"/>
          <w:color w:val="auto"/>
        </w:rPr>
      </w:pPr>
      <w:r>
        <w:rPr>
          <w:rFonts w:ascii="Arial" w:cs="Arial" w:eastAsia="Arial" w:hAnsi="Arial"/>
          <w:sz w:val="14"/>
          <w:szCs w:val="14"/>
          <w:b w:val="1"/>
          <w:bCs w:val="1"/>
          <w:color w:val="auto"/>
        </w:rPr>
        <w:t>GLOBALFOUNDRIES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right"/>
              <w:ind w:right="356"/>
              <w:spacing w:after="0"/>
              <w:rPr>
                <w:sz w:val="20"/>
                <w:szCs w:val="20"/>
                <w:color w:val="auto"/>
              </w:rPr>
            </w:pPr>
            <w:r>
              <w:rPr>
                <w:rFonts w:ascii="Arial" w:cs="Arial" w:eastAsia="Arial" w:hAnsi="Arial"/>
                <w:sz w:val="13"/>
                <w:szCs w:val="13"/>
                <w:b w:val="1"/>
                <w:bCs w:val="1"/>
                <w:color w:val="auto"/>
              </w:rPr>
              <w:t>For the year ended December 31,</w:t>
            </w:r>
          </w:p>
        </w:tc>
        <w:tc>
          <w:tcPr>
            <w:tcW w:w="860" w:type="dxa"/>
            <w:vAlign w:val="bottom"/>
            <w:tcBorders>
              <w:bottom w:val="single" w:sz="8" w:color="auto"/>
            </w:tcBorders>
          </w:tcPr>
          <w:p>
            <w:pPr>
              <w:spacing w:after="0"/>
              <w:rPr>
                <w:sz w:val="14"/>
                <w:szCs w:val="14"/>
                <w:color w:val="auto"/>
              </w:rPr>
            </w:pPr>
          </w:p>
        </w:tc>
      </w:tr>
      <w:tr>
        <w:trPr>
          <w:trHeight w:val="162"/>
        </w:trPr>
        <w:tc>
          <w:tcPr>
            <w:tcW w:w="59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61"/>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for the year</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1,446</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(254)</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(1,353)</w:t>
            </w:r>
          </w:p>
        </w:tc>
      </w:tr>
      <w:tr>
        <w:trPr>
          <w:trHeight w:val="168"/>
        </w:trPr>
        <w:tc>
          <w:tcPr>
            <w:tcW w:w="5920" w:type="dxa"/>
            <w:vAlign w:val="bottom"/>
          </w:tcPr>
          <w:p>
            <w:pPr>
              <w:ind w:left="20"/>
              <w:spacing w:after="0"/>
              <w:rPr>
                <w:sz w:val="20"/>
                <w:szCs w:val="20"/>
                <w:color w:val="auto"/>
              </w:rPr>
            </w:pPr>
            <w:r>
              <w:rPr>
                <w:rFonts w:ascii="Arial" w:cs="Arial" w:eastAsia="Arial" w:hAnsi="Arial"/>
                <w:sz w:val="13"/>
                <w:szCs w:val="13"/>
                <w:color w:val="auto"/>
              </w:rPr>
              <w:t>Attributable to:</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Shareholder of GLOBALFOUNDRIES INC.</w:t>
            </w: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r>
      <w:tr>
        <w:trPr>
          <w:trHeight w:val="168"/>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w:t>
            </w: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for the year</w:t>
            </w: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1,446</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(1,353)</w:t>
            </w:r>
          </w:p>
        </w:tc>
      </w:tr>
      <w:tr>
        <w:trPr>
          <w:trHeight w:val="279"/>
        </w:trPr>
        <w:tc>
          <w:tcPr>
            <w:tcW w:w="5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 (loss), net of tax:</w:t>
            </w: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9"/>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Items that may be reclassified subsequently to profit or loss:</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of foreign exchange fluctuation reserve of joint ventures</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920" w:type="dxa"/>
            <w:vAlign w:val="bottom"/>
          </w:tcPr>
          <w:p>
            <w:pPr>
              <w:ind w:left="20"/>
              <w:spacing w:after="0"/>
              <w:rPr>
                <w:sz w:val="20"/>
                <w:szCs w:val="20"/>
                <w:color w:val="auto"/>
              </w:rPr>
            </w:pPr>
            <w:r>
              <w:rPr>
                <w:rFonts w:ascii="Arial" w:cs="Arial" w:eastAsia="Arial" w:hAnsi="Arial"/>
                <w:sz w:val="13"/>
                <w:szCs w:val="13"/>
                <w:color w:val="auto"/>
              </w:rPr>
              <w:t>Effective portion of changes in the fair value of cash flow hedges</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72"/>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(loss) on investments measured at fair value through other comprehensive income</w:t>
            </w: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effect</w:t>
            </w: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3"/>
        </w:trPr>
        <w:tc>
          <w:tcPr>
            <w:tcW w:w="5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Items that will not be reclassified subsequently to profit or loss:</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Remeasurement of existing equity interests</w:t>
            </w:r>
          </w:p>
        </w:tc>
        <w:tc>
          <w:tcPr>
            <w:tcW w:w="5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8"/>
        </w:trPr>
        <w:tc>
          <w:tcPr>
            <w:tcW w:w="5920" w:type="dxa"/>
            <w:vAlign w:val="bottom"/>
          </w:tcPr>
          <w:p>
            <w:pPr>
              <w:ind w:left="20"/>
              <w:spacing w:after="0"/>
              <w:rPr>
                <w:sz w:val="20"/>
                <w:szCs w:val="20"/>
                <w:color w:val="auto"/>
              </w:rPr>
            </w:pPr>
            <w:r>
              <w:rPr>
                <w:rFonts w:ascii="Arial" w:cs="Arial" w:eastAsia="Arial" w:hAnsi="Arial"/>
                <w:sz w:val="13"/>
                <w:szCs w:val="13"/>
                <w:color w:val="auto"/>
              </w:rPr>
              <w:t>Share of foreign exchange fluctuation reserve of joint ventures and associates</w:t>
            </w:r>
          </w:p>
        </w:tc>
        <w:tc>
          <w:tcPr>
            <w:tcW w:w="5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3"/>
        </w:trPr>
        <w:tc>
          <w:tcPr>
            <w:tcW w:w="59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Total other comprehensive income (loss)</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Attributable to:</w:t>
            </w: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5920" w:type="dxa"/>
            <w:vAlign w:val="bottom"/>
          </w:tcPr>
          <w:p>
            <w:pPr>
              <w:ind w:left="20"/>
              <w:spacing w:after="0"/>
              <w:rPr>
                <w:sz w:val="20"/>
                <w:szCs w:val="20"/>
                <w:color w:val="auto"/>
              </w:rPr>
            </w:pPr>
            <w:r>
              <w:rPr>
                <w:rFonts w:ascii="Arial" w:cs="Arial" w:eastAsia="Arial" w:hAnsi="Arial"/>
                <w:sz w:val="13"/>
                <w:szCs w:val="13"/>
                <w:color w:val="auto"/>
              </w:rPr>
              <w:t>Shareholders of GLOBALFOUNDRIES INC.</w:t>
            </w: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4"/>
                <w:szCs w:val="14"/>
                <w:color w:val="auto"/>
              </w:rPr>
            </w:pPr>
          </w:p>
        </w:tc>
        <w:tc>
          <w:tcPr>
            <w:tcW w:w="62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600" w:type="dxa"/>
            <w:vAlign w:val="bottom"/>
          </w:tcPr>
          <w:p>
            <w:pPr>
              <w:jc w:val="right"/>
              <w:ind w:right="4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2"/>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5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other comprehensive income (loss) for the year</w:t>
            </w: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w:t>
            </w:r>
          </w:p>
        </w:tc>
      </w:tr>
      <w:tr>
        <w:trPr>
          <w:trHeight w:val="150"/>
        </w:trPr>
        <w:tc>
          <w:tcPr>
            <w:tcW w:w="5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9"/>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(loss)</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w:t>
            </w: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5920" w:type="dxa"/>
            <w:vAlign w:val="bottom"/>
          </w:tcPr>
          <w:p>
            <w:pPr>
              <w:ind w:left="20"/>
              <w:spacing w:after="0"/>
              <w:rPr>
                <w:sz w:val="20"/>
                <w:szCs w:val="20"/>
                <w:color w:val="auto"/>
              </w:rPr>
            </w:pPr>
            <w:r>
              <w:rPr>
                <w:rFonts w:ascii="Arial" w:cs="Arial" w:eastAsia="Arial" w:hAnsi="Arial"/>
                <w:sz w:val="13"/>
                <w:szCs w:val="13"/>
                <w:color w:val="auto"/>
              </w:rPr>
              <w:t>Shareholders of GLOBALFOUNDRIES INC.</w:t>
            </w: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1,594</w:t>
            </w:r>
          </w:p>
        </w:tc>
        <w:tc>
          <w:tcPr>
            <w:tcW w:w="80" w:type="dxa"/>
            <w:vAlign w:val="bottom"/>
          </w:tcPr>
          <w:p>
            <w:pPr>
              <w:spacing w:after="0"/>
              <w:rPr>
                <w:sz w:val="14"/>
                <w:szCs w:val="14"/>
                <w:color w:val="auto"/>
              </w:rPr>
            </w:pPr>
          </w:p>
        </w:tc>
        <w:tc>
          <w:tcPr>
            <w:tcW w:w="62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4"/>
                <w:szCs w:val="14"/>
                <w:color w:val="auto"/>
              </w:rPr>
            </w:pPr>
          </w:p>
        </w:tc>
        <w:tc>
          <w:tcPr>
            <w:tcW w:w="600" w:type="dxa"/>
            <w:vAlign w:val="bottom"/>
          </w:tcPr>
          <w:p>
            <w:pPr>
              <w:jc w:val="right"/>
              <w:ind w:right="4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(1,359)</w:t>
            </w:r>
          </w:p>
        </w:tc>
      </w:tr>
      <w:tr>
        <w:trPr>
          <w:trHeight w:val="172"/>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5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0"/>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Total comprehensive income (loss) for the year</w:t>
            </w: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1,583</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(308)</w:t>
            </w:r>
          </w:p>
        </w:tc>
        <w:tc>
          <w:tcPr>
            <w:tcW w:w="80" w:type="dxa"/>
            <w:vAlign w:val="bottom"/>
          </w:tcPr>
          <w:p>
            <w:pPr>
              <w:spacing w:after="0"/>
              <w:rPr>
                <w:sz w:val="13"/>
                <w:szCs w:val="13"/>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 to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39370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80"/>
          </w:cols>
          <w:pgMar w:left="700" w:top="927" w:right="719" w:bottom="1440" w:gutter="0" w:footer="0" w:header="0"/>
        </w:sectPr>
      </w:pPr>
    </w:p>
    <w:bookmarkStart w:id="94" w:name="page95"/>
    <w:bookmarkEnd w:id="94"/>
    <w:p>
      <w:pPr>
        <w:jc w:val="center"/>
        <w:ind w:right="-519"/>
        <w:spacing w:after="0"/>
        <w:rPr>
          <w:sz w:val="20"/>
          <w:szCs w:val="20"/>
          <w:color w:val="auto"/>
        </w:rPr>
      </w:pPr>
      <w:r>
        <w:rPr>
          <w:rFonts w:ascii="Arial" w:cs="Arial" w:eastAsia="Arial" w:hAnsi="Arial"/>
          <w:sz w:val="14"/>
          <w:szCs w:val="14"/>
          <w:b w:val="1"/>
          <w:bCs w:val="1"/>
          <w:color w:val="auto"/>
        </w:rPr>
        <w:t>GLOBALFOUNDRIES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1"/>
          <w:szCs w:val="11"/>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3"/>
                <w:szCs w:val="13"/>
                <w:b w:val="1"/>
                <w:bCs w:val="1"/>
                <w:color w:val="auto"/>
                <w:w w:val="97"/>
              </w:rPr>
              <w:t>Years Ended December 31,</w:t>
            </w:r>
          </w:p>
        </w:tc>
        <w:tc>
          <w:tcPr>
            <w:tcW w:w="6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r>
      <w:tr>
        <w:trPr>
          <w:trHeight w:val="160"/>
        </w:trPr>
        <w:tc>
          <w:tcPr>
            <w:tcW w:w="52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92"/>
        </w:trPr>
        <w:tc>
          <w:tcPr>
            <w:tcW w:w="5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58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w:t>
            </w:r>
          </w:p>
        </w:tc>
        <w:tc>
          <w:tcPr>
            <w:tcW w:w="660" w:type="dxa"/>
            <w:vAlign w:val="bottom"/>
            <w:gridSpan w:val="2"/>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(1,353)</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524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Interest and income taxes paid, net</w:t>
            </w:r>
            <w:r>
              <w:rPr>
                <w:rFonts w:ascii="Arial" w:cs="Arial" w:eastAsia="Arial" w:hAnsi="Arial"/>
                <w:sz w:val="16"/>
                <w:szCs w:val="16"/>
                <w:color w:val="auto"/>
                <w:vertAlign w:val="superscript"/>
              </w:rPr>
              <w:t>(1)</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income</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Finance expenses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154</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deferred income from government grants</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Deferred income taxes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disposal of property, plant and equipment and other</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Gain on the sale of a business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assets and liabilities:</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Receivables, prepayments and other assets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753</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Inventories</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r>
      <w:tr>
        <w:trPr>
          <w:trHeight w:val="16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Trade and other payables</w:t>
            </w: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w:t>
            </w: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5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2,624</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2,839</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1,004</w:t>
            </w:r>
          </w:p>
        </w:tc>
      </w:tr>
      <w:tr>
        <w:trPr>
          <w:trHeight w:val="192"/>
        </w:trPr>
        <w:tc>
          <w:tcPr>
            <w:tcW w:w="5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Purchases of property, plant and equipment and intangible assets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(3,059)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(1,767)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(592)</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Advances and proceeds from sale of property, plant and equipment and intangible assets</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Purchase of investment in marketable securities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(1,302)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marketable securities</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Proceeds from sale of fabrication facilities and ASIC business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111</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investing activities</w:t>
            </w:r>
          </w:p>
        </w:tc>
        <w:tc>
          <w:tcPr>
            <w:tcW w:w="5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5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(4,058)</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(1,450)</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(366)</w:t>
            </w:r>
          </w:p>
        </w:tc>
      </w:tr>
      <w:tr>
        <w:trPr>
          <w:trHeight w:val="192"/>
        </w:trPr>
        <w:tc>
          <w:tcPr>
            <w:tcW w:w="5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equity instruments</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Repayments of shareholder loan</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(487)</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Repayments of borrowings from shareholder</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Net proceeds from borrowings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2,801</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Repayments of debt and finance lease obligations</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(3,246)</w:t>
            </w: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Proceeds from government grants</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312</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restricted cash</w:t>
            </w:r>
          </w:p>
        </w:tc>
        <w:tc>
          <w:tcPr>
            <w:tcW w:w="5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cash provided by financing activities</w:t>
            </w:r>
          </w:p>
        </w:tc>
        <w:tc>
          <w:tcPr>
            <w:tcW w:w="5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842</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650</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(733)</w:t>
            </w:r>
          </w:p>
        </w:tc>
      </w:tr>
      <w:tr>
        <w:trPr>
          <w:trHeight w:val="158"/>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5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0"/>
        </w:trPr>
        <w:tc>
          <w:tcPr>
            <w:tcW w:w="5240" w:type="dxa"/>
            <w:vAlign w:val="bottom"/>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580" w:type="dxa"/>
            <w:vAlign w:val="bottom"/>
          </w:tcPr>
          <w:p>
            <w:pPr>
              <w:jc w:val="right"/>
              <w:ind w:right="41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(587)</w:t>
            </w:r>
          </w:p>
        </w:tc>
        <w:tc>
          <w:tcPr>
            <w:tcW w:w="660" w:type="dxa"/>
            <w:vAlign w:val="bottom"/>
            <w:gridSpan w:val="2"/>
          </w:tcPr>
          <w:p>
            <w:pPr>
              <w:jc w:val="right"/>
              <w:ind w:right="43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2,031</w:t>
            </w:r>
          </w:p>
        </w:tc>
        <w:tc>
          <w:tcPr>
            <w:tcW w:w="80" w:type="dxa"/>
            <w:vAlign w:val="bottom"/>
          </w:tcPr>
          <w:p>
            <w:pPr>
              <w:spacing w:after="0"/>
              <w:rPr>
                <w:sz w:val="13"/>
                <w:szCs w:val="13"/>
                <w:color w:val="auto"/>
              </w:rPr>
            </w:pPr>
          </w:p>
        </w:tc>
        <w:tc>
          <w:tcPr>
            <w:tcW w:w="60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the beginning of the year</w:t>
            </w:r>
          </w:p>
        </w:tc>
        <w:tc>
          <w:tcPr>
            <w:tcW w:w="5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r>
      <w:tr>
        <w:trPr>
          <w:trHeight w:val="160"/>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the end of the year</w:t>
            </w:r>
          </w:p>
        </w:tc>
        <w:tc>
          <w:tcPr>
            <w:tcW w:w="580" w:type="dxa"/>
            <w:vAlign w:val="bottom"/>
          </w:tcPr>
          <w:p>
            <w:pPr>
              <w:jc w:val="right"/>
              <w:ind w:right="416"/>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2,352</w:t>
            </w:r>
          </w:p>
        </w:tc>
        <w:tc>
          <w:tcPr>
            <w:tcW w:w="80" w:type="dxa"/>
            <w:vAlign w:val="bottom"/>
          </w:tcPr>
          <w:p>
            <w:pPr>
              <w:spacing w:after="0"/>
              <w:rPr>
                <w:sz w:val="13"/>
                <w:szCs w:val="13"/>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2,939</w:t>
            </w:r>
          </w:p>
        </w:tc>
        <w:tc>
          <w:tcPr>
            <w:tcW w:w="80" w:type="dxa"/>
            <w:vAlign w:val="bottom"/>
          </w:tcPr>
          <w:p>
            <w:pPr>
              <w:spacing w:after="0"/>
              <w:rPr>
                <w:sz w:val="13"/>
                <w:szCs w:val="13"/>
                <w:color w:val="auto"/>
              </w:rPr>
            </w:pPr>
          </w:p>
        </w:tc>
        <w:tc>
          <w:tcPr>
            <w:tcW w:w="600" w:type="dxa"/>
            <w:vAlign w:val="bottom"/>
          </w:tcPr>
          <w:p>
            <w:pPr>
              <w:jc w:val="right"/>
              <w:ind w:right="436"/>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908</w:t>
            </w: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Amounts payable for property, plant and equipment</w:t>
            </w:r>
          </w:p>
        </w:tc>
        <w:tc>
          <w:tcPr>
            <w:tcW w:w="5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r>
      <w:tr>
        <w:trPr>
          <w:trHeight w:val="16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acquired through lease</w:t>
            </w:r>
          </w:p>
        </w:tc>
        <w:tc>
          <w:tcPr>
            <w:tcW w:w="5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0"/>
        </w:trPr>
        <w:tc>
          <w:tcPr>
            <w:tcW w:w="5240" w:type="dxa"/>
            <w:vAlign w:val="bottom"/>
          </w:tcPr>
          <w:p>
            <w:pPr>
              <w:ind w:left="20"/>
              <w:spacing w:after="0"/>
              <w:rPr>
                <w:sz w:val="20"/>
                <w:szCs w:val="20"/>
                <w:color w:val="auto"/>
              </w:rPr>
            </w:pPr>
            <w:r>
              <w:rPr>
                <w:rFonts w:ascii="Arial" w:cs="Arial" w:eastAsia="Arial" w:hAnsi="Arial"/>
                <w:sz w:val="13"/>
                <w:szCs w:val="13"/>
                <w:color w:val="auto"/>
              </w:rPr>
              <w:t>Amounts payable for intangible assets</w:t>
            </w:r>
          </w:p>
        </w:tc>
        <w:tc>
          <w:tcPr>
            <w:tcW w:w="5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3"/>
                <w:szCs w:val="13"/>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r>
    </w:tbl>
    <w:p>
      <w:pPr>
        <w:spacing w:after="0" w:line="227" w:lineRule="exact"/>
        <w:rPr>
          <w:sz w:val="20"/>
          <w:szCs w:val="20"/>
          <w:color w:val="auto"/>
        </w:rPr>
      </w:pPr>
    </w:p>
    <w:p>
      <w:pPr>
        <w:spacing w:after="0" w:line="280" w:lineRule="auto"/>
        <w:rPr>
          <w:sz w:val="20"/>
          <w:szCs w:val="20"/>
          <w:color w:val="auto"/>
        </w:rPr>
      </w:pPr>
      <w:r>
        <w:rPr>
          <w:rFonts w:ascii="Arial" w:cs="Arial" w:eastAsia="Arial" w:hAnsi="Arial"/>
          <w:sz w:val="7"/>
          <w:szCs w:val="7"/>
          <w:color w:val="auto"/>
        </w:rPr>
        <w:t>(1)</w:t>
      </w:r>
      <w:r>
        <w:rPr>
          <w:rFonts w:ascii="Arial" w:cs="Arial" w:eastAsia="Arial" w:hAnsi="Arial"/>
          <w:sz w:val="11"/>
          <w:szCs w:val="11"/>
          <w:color w:val="auto"/>
        </w:rPr>
        <w:t>Includes interest paid of $96 million, $101 million and $146 million for years ended December 31, 2022, 2021 and 2020, respectively, and interest received of $32 million, $1 million and $4 million for the years ended</w:t>
      </w:r>
      <w:r>
        <w:rPr>
          <w:rFonts w:ascii="Arial" w:cs="Arial" w:eastAsia="Arial" w:hAnsi="Arial"/>
          <w:sz w:val="7"/>
          <w:szCs w:val="7"/>
          <w:color w:val="auto"/>
        </w:rPr>
        <w:t xml:space="preserve"> </w:t>
      </w:r>
      <w:r>
        <w:rPr>
          <w:rFonts w:ascii="Arial" w:cs="Arial" w:eastAsia="Arial" w:hAnsi="Arial"/>
          <w:sz w:val="11"/>
          <w:szCs w:val="11"/>
          <w:color w:val="auto"/>
        </w:rPr>
        <w:t>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00"/>
        <w:spacing w:after="0"/>
        <w:rPr>
          <w:sz w:val="20"/>
          <w:szCs w:val="20"/>
          <w:color w:val="auto"/>
        </w:rPr>
      </w:pPr>
      <w:r>
        <w:rPr>
          <w:rFonts w:ascii="Arial" w:cs="Arial" w:eastAsia="Arial" w:hAnsi="Arial"/>
          <w:sz w:val="11"/>
          <w:szCs w:val="11"/>
          <w:color w:val="auto"/>
        </w:rPr>
        <w:t>See accompanying notes to consolidated financial statements</w:t>
      </w:r>
    </w:p>
    <w:p>
      <w:pPr>
        <w:sectPr>
          <w:pgSz w:w="11900" w:h="16838" w:orient="portrait"/>
          <w:cols w:equalWidth="0" w:num="1">
            <w:col w:w="10780"/>
          </w:cols>
          <w:pgMar w:left="300" w:top="757" w:right="81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300" w:top="757" w:right="819" w:bottom="1440" w:gutter="0" w:footer="0" w:header="0"/>
          <w:type w:val="continuous"/>
        </w:sectPr>
      </w:pPr>
    </w:p>
    <w:bookmarkStart w:id="95" w:name="page96"/>
    <w:bookmarkEnd w:id="95"/>
    <w:p>
      <w:pPr>
        <w:jc w:val="center"/>
        <w:ind w:right="-539"/>
        <w:spacing w:after="0"/>
        <w:rPr>
          <w:sz w:val="20"/>
          <w:szCs w:val="20"/>
          <w:color w:val="auto"/>
        </w:rPr>
      </w:pPr>
      <w:r>
        <w:rPr>
          <w:rFonts w:ascii="Arial" w:cs="Arial" w:eastAsia="Arial" w:hAnsi="Arial"/>
          <w:sz w:val="14"/>
          <w:szCs w:val="14"/>
          <w:b w:val="1"/>
          <w:bCs w:val="1"/>
          <w:color w:val="auto"/>
        </w:rPr>
        <w:t>GLOBALFOUNDRIES INC.</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4"/>
          <w:szCs w:val="14"/>
          <w:b w:val="1"/>
          <w:bCs w:val="1"/>
          <w:color w:val="auto"/>
        </w:rPr>
        <w:t>CONSOLIDATED STATEMENTS OF CHANGES IN EQUITY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1"/>
          <w:szCs w:val="11"/>
          <w:b w:val="1"/>
          <w:bCs w:val="1"/>
          <w:color w:val="auto"/>
        </w:rPr>
        <w:t>(Share amounts and 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74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gridSpan w:val="11"/>
          </w:tcPr>
          <w:p>
            <w:pPr>
              <w:ind w:left="160"/>
              <w:spacing w:after="0"/>
              <w:rPr>
                <w:sz w:val="20"/>
                <w:szCs w:val="20"/>
                <w:color w:val="auto"/>
              </w:rPr>
            </w:pPr>
            <w:r>
              <w:rPr>
                <w:rFonts w:ascii="Arial" w:cs="Arial" w:eastAsia="Arial" w:hAnsi="Arial"/>
                <w:sz w:val="8"/>
                <w:szCs w:val="8"/>
                <w:b w:val="1"/>
                <w:bCs w:val="1"/>
                <w:color w:val="auto"/>
              </w:rPr>
              <w:t>Equity Attributable to Shareholders of GLOBALFOUNDRIES INC.</w:t>
            </w: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center"/>
              <w:ind w:right="220"/>
              <w:spacing w:after="0" w:line="85" w:lineRule="exact"/>
              <w:rPr>
                <w:sz w:val="20"/>
                <w:szCs w:val="20"/>
                <w:color w:val="auto"/>
              </w:rPr>
            </w:pPr>
            <w:r>
              <w:rPr>
                <w:rFonts w:ascii="Arial" w:cs="Arial" w:eastAsia="Arial" w:hAnsi="Arial"/>
                <w:sz w:val="8"/>
                <w:szCs w:val="8"/>
                <w:b w:val="1"/>
                <w:bCs w:val="1"/>
                <w:color w:val="auto"/>
              </w:rPr>
              <w:t>Foreign</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740" w:type="dxa"/>
            <w:vAlign w:val="bottom"/>
          </w:tcPr>
          <w:p>
            <w:pPr>
              <w:spacing w:after="0"/>
              <w:rPr>
                <w:sz w:val="7"/>
                <w:szCs w:val="7"/>
                <w:color w:val="auto"/>
              </w:rPr>
            </w:pPr>
          </w:p>
        </w:tc>
        <w:tc>
          <w:tcPr>
            <w:tcW w:w="1380" w:type="dxa"/>
            <w:vAlign w:val="bottom"/>
            <w:gridSpan w:val="3"/>
            <w:vMerge w:val="restart"/>
          </w:tcPr>
          <w:p>
            <w:pPr>
              <w:jc w:val="right"/>
              <w:ind w:right="31"/>
              <w:spacing w:after="0"/>
              <w:rPr>
                <w:sz w:val="20"/>
                <w:szCs w:val="20"/>
                <w:color w:val="auto"/>
              </w:rPr>
            </w:pPr>
            <w:r>
              <w:rPr>
                <w:rFonts w:ascii="Arial" w:cs="Arial" w:eastAsia="Arial" w:hAnsi="Arial"/>
                <w:sz w:val="8"/>
                <w:szCs w:val="8"/>
                <w:b w:val="1"/>
                <w:bCs w:val="1"/>
                <w:color w:val="auto"/>
              </w:rPr>
              <w:t>Common Share</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center"/>
              <w:ind w:right="220"/>
              <w:spacing w:after="0" w:line="85" w:lineRule="exact"/>
              <w:rPr>
                <w:sz w:val="20"/>
                <w:szCs w:val="20"/>
                <w:color w:val="auto"/>
              </w:rPr>
            </w:pPr>
            <w:r>
              <w:rPr>
                <w:rFonts w:ascii="Arial" w:cs="Arial" w:eastAsia="Arial" w:hAnsi="Arial"/>
                <w:sz w:val="8"/>
                <w:szCs w:val="8"/>
                <w:b w:val="1"/>
                <w:bCs w:val="1"/>
                <w:color w:val="auto"/>
              </w:rPr>
              <w:t>Currency</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740" w:type="dxa"/>
            <w:vAlign w:val="bottom"/>
          </w:tcPr>
          <w:p>
            <w:pPr>
              <w:spacing w:after="0"/>
              <w:rPr>
                <w:sz w:val="5"/>
                <w:szCs w:val="5"/>
                <w:color w:val="auto"/>
              </w:rPr>
            </w:pPr>
          </w:p>
        </w:tc>
        <w:tc>
          <w:tcPr>
            <w:tcW w:w="1380" w:type="dxa"/>
            <w:vAlign w:val="bottom"/>
            <w:tcBorders>
              <w:bottom w:val="single" w:sz="8" w:color="auto"/>
            </w:tcBorders>
            <w:gridSpan w:val="3"/>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tcPr>
          <w:p>
            <w:pPr>
              <w:jc w:val="center"/>
              <w:ind w:right="200"/>
              <w:spacing w:after="0" w:line="65" w:lineRule="exact"/>
              <w:rPr>
                <w:sz w:val="20"/>
                <w:szCs w:val="20"/>
                <w:color w:val="auto"/>
              </w:rPr>
            </w:pPr>
            <w:r>
              <w:rPr>
                <w:rFonts w:ascii="Arial" w:cs="Arial" w:eastAsia="Arial" w:hAnsi="Arial"/>
                <w:sz w:val="7"/>
                <w:szCs w:val="7"/>
                <w:b w:val="1"/>
                <w:bCs w:val="1"/>
                <w:color w:val="auto"/>
              </w:rPr>
              <w:t>Translation</w:t>
            </w: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7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tcPr>
          <w:p>
            <w:pPr>
              <w:jc w:val="center"/>
              <w:ind w:right="220"/>
              <w:spacing w:after="0" w:line="85" w:lineRule="exact"/>
              <w:rPr>
                <w:sz w:val="20"/>
                <w:szCs w:val="20"/>
                <w:color w:val="auto"/>
              </w:rPr>
            </w:pPr>
            <w:r>
              <w:rPr>
                <w:rFonts w:ascii="Arial" w:cs="Arial" w:eastAsia="Arial" w:hAnsi="Arial"/>
                <w:sz w:val="8"/>
                <w:szCs w:val="8"/>
                <w:b w:val="1"/>
                <w:bCs w:val="1"/>
                <w:color w:val="auto"/>
              </w:rPr>
              <w:t>Additional</w:t>
            </w:r>
          </w:p>
        </w:tc>
        <w:tc>
          <w:tcPr>
            <w:tcW w:w="120" w:type="dxa"/>
            <w:vAlign w:val="bottom"/>
          </w:tcPr>
          <w:p>
            <w:pPr>
              <w:spacing w:after="0"/>
              <w:rPr>
                <w:sz w:val="7"/>
                <w:szCs w:val="7"/>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Loan from</w:t>
            </w:r>
          </w:p>
        </w:tc>
        <w:tc>
          <w:tcPr>
            <w:tcW w:w="100" w:type="dxa"/>
            <w:vAlign w:val="bottom"/>
          </w:tcPr>
          <w:p>
            <w:pPr>
              <w:spacing w:after="0"/>
              <w:rPr>
                <w:sz w:val="7"/>
                <w:szCs w:val="7"/>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Accumulated</w:t>
            </w:r>
          </w:p>
        </w:tc>
        <w:tc>
          <w:tcPr>
            <w:tcW w:w="14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Hedging</w:t>
            </w:r>
          </w:p>
        </w:tc>
        <w:tc>
          <w:tcPr>
            <w:tcW w:w="120" w:type="dxa"/>
            <w:vAlign w:val="bottom"/>
          </w:tcPr>
          <w:p>
            <w:pPr>
              <w:spacing w:after="0"/>
              <w:rPr>
                <w:sz w:val="7"/>
                <w:szCs w:val="7"/>
                <w:color w:val="auto"/>
              </w:rPr>
            </w:pPr>
          </w:p>
        </w:tc>
        <w:tc>
          <w:tcPr>
            <w:tcW w:w="780" w:type="dxa"/>
            <w:vAlign w:val="bottom"/>
            <w:gridSpan w:val="2"/>
          </w:tcPr>
          <w:p>
            <w:pPr>
              <w:ind w:left="60"/>
              <w:spacing w:after="0" w:line="85" w:lineRule="exact"/>
              <w:rPr>
                <w:sz w:val="20"/>
                <w:szCs w:val="20"/>
                <w:color w:val="auto"/>
              </w:rPr>
            </w:pPr>
            <w:r>
              <w:rPr>
                <w:rFonts w:ascii="Arial" w:cs="Arial" w:eastAsia="Arial" w:hAnsi="Arial"/>
                <w:sz w:val="8"/>
                <w:szCs w:val="8"/>
                <w:b w:val="1"/>
                <w:bCs w:val="1"/>
                <w:color w:val="auto"/>
              </w:rPr>
              <w:t>Reserve and</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Non-</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740" w:type="dxa"/>
            <w:vAlign w:val="bottom"/>
          </w:tcPr>
          <w:p>
            <w:pPr>
              <w:spacing w:after="0"/>
              <w:rPr>
                <w:sz w:val="7"/>
                <w:szCs w:val="7"/>
                <w:color w:val="auto"/>
              </w:rPr>
            </w:pPr>
          </w:p>
        </w:tc>
        <w:tc>
          <w:tcPr>
            <w:tcW w:w="1180" w:type="dxa"/>
            <w:vAlign w:val="bottom"/>
            <w:vMerge w:val="restart"/>
          </w:tcPr>
          <w:p>
            <w:pPr>
              <w:jc w:val="right"/>
              <w:ind w:right="391"/>
              <w:spacing w:after="0"/>
              <w:rPr>
                <w:sz w:val="20"/>
                <w:szCs w:val="20"/>
                <w:color w:val="auto"/>
              </w:rPr>
            </w:pPr>
            <w:r>
              <w:rPr>
                <w:rFonts w:ascii="Arial" w:cs="Arial" w:eastAsia="Arial" w:hAnsi="Arial"/>
                <w:sz w:val="8"/>
                <w:szCs w:val="8"/>
                <w:b w:val="1"/>
                <w:bCs w:val="1"/>
                <w:color w:val="auto"/>
              </w:rPr>
              <w:t>Shares</w:t>
            </w:r>
          </w:p>
        </w:tc>
        <w:tc>
          <w:tcPr>
            <w:tcW w:w="6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restart"/>
          </w:tcPr>
          <w:p>
            <w:pPr>
              <w:jc w:val="right"/>
              <w:ind w:right="171"/>
              <w:spacing w:after="0"/>
              <w:rPr>
                <w:sz w:val="20"/>
                <w:szCs w:val="20"/>
                <w:color w:val="auto"/>
              </w:rPr>
            </w:pPr>
            <w:r>
              <w:rPr>
                <w:rFonts w:ascii="Arial" w:cs="Arial" w:eastAsia="Arial" w:hAnsi="Arial"/>
                <w:sz w:val="8"/>
                <w:szCs w:val="8"/>
                <w:b w:val="1"/>
                <w:bCs w:val="1"/>
                <w:color w:val="auto"/>
              </w:rPr>
              <w:t>Amount</w:t>
            </w:r>
          </w:p>
        </w:tc>
        <w:tc>
          <w:tcPr>
            <w:tcW w:w="6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rPr>
              <w:t>Paid-In</w:t>
            </w: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rPr>
              <w:t>Investments</w:t>
            </w:r>
          </w:p>
        </w:tc>
        <w:tc>
          <w:tcPr>
            <w:tcW w:w="180" w:type="dxa"/>
            <w:vAlign w:val="bottom"/>
          </w:tcPr>
          <w:p>
            <w:pPr>
              <w:spacing w:after="0"/>
              <w:rPr>
                <w:sz w:val="7"/>
                <w:szCs w:val="7"/>
                <w:color w:val="auto"/>
              </w:rPr>
            </w:pPr>
          </w:p>
        </w:tc>
        <w:tc>
          <w:tcPr>
            <w:tcW w:w="640" w:type="dxa"/>
            <w:vAlign w:val="bottom"/>
            <w:vMerge w:val="restart"/>
          </w:tcPr>
          <w:p>
            <w:pPr>
              <w:jc w:val="right"/>
              <w:ind w:right="271"/>
              <w:spacing w:after="0"/>
              <w:rPr>
                <w:sz w:val="20"/>
                <w:szCs w:val="20"/>
                <w:color w:val="auto"/>
              </w:rPr>
            </w:pPr>
            <w:r>
              <w:rPr>
                <w:rFonts w:ascii="Arial" w:cs="Arial" w:eastAsia="Arial" w:hAnsi="Arial"/>
                <w:sz w:val="8"/>
                <w:szCs w:val="8"/>
                <w:b w:val="1"/>
                <w:bCs w:val="1"/>
                <w:color w:val="auto"/>
              </w:rPr>
              <w:t>Total</w:t>
            </w:r>
          </w:p>
        </w:tc>
        <w:tc>
          <w:tcPr>
            <w:tcW w:w="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controlling</w:t>
            </w:r>
          </w:p>
        </w:tc>
        <w:tc>
          <w:tcPr>
            <w:tcW w:w="120" w:type="dxa"/>
            <w:vAlign w:val="bottom"/>
          </w:tcPr>
          <w:p>
            <w:pPr>
              <w:spacing w:after="0"/>
              <w:rPr>
                <w:sz w:val="7"/>
                <w:szCs w:val="7"/>
                <w:color w:val="auto"/>
              </w:rPr>
            </w:pPr>
          </w:p>
        </w:tc>
        <w:tc>
          <w:tcPr>
            <w:tcW w:w="720" w:type="dxa"/>
            <w:vAlign w:val="bottom"/>
            <w:vMerge w:val="restart"/>
          </w:tcPr>
          <w:p>
            <w:pPr>
              <w:jc w:val="right"/>
              <w:ind w:right="131"/>
              <w:spacing w:after="0"/>
              <w:rPr>
                <w:sz w:val="20"/>
                <w:szCs w:val="20"/>
                <w:color w:val="auto"/>
              </w:rPr>
            </w:pPr>
            <w:r>
              <w:rPr>
                <w:rFonts w:ascii="Arial" w:cs="Arial" w:eastAsia="Arial" w:hAnsi="Arial"/>
                <w:sz w:val="8"/>
                <w:szCs w:val="8"/>
                <w:b w:val="1"/>
                <w:bCs w:val="1"/>
                <w:color w:val="auto"/>
              </w:rPr>
              <w:t>Total Equity</w:t>
            </w: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72"/>
              <w:spacing w:after="0"/>
              <w:rPr>
                <w:sz w:val="20"/>
                <w:szCs w:val="20"/>
                <w:color w:val="auto"/>
              </w:rPr>
            </w:pPr>
            <w:r>
              <w:rPr>
                <w:rFonts w:ascii="Arial" w:cs="Arial" w:eastAsia="Arial" w:hAnsi="Arial"/>
                <w:sz w:val="8"/>
                <w:szCs w:val="8"/>
                <w:b w:val="1"/>
                <w:bCs w:val="1"/>
                <w:color w:val="auto"/>
              </w:rPr>
              <w:t>Capital</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8"/>
                <w:szCs w:val="8"/>
                <w:b w:val="1"/>
                <w:bCs w:val="1"/>
                <w:color w:val="auto"/>
              </w:rPr>
              <w:t>Shareholder</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8"/>
                <w:szCs w:val="8"/>
                <w:b w:val="1"/>
                <w:bCs w:val="1"/>
                <w:color w:val="auto"/>
              </w:rPr>
              <w:t>Deficit</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Reserve</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92"/>
              <w:spacing w:after="0"/>
              <w:rPr>
                <w:sz w:val="20"/>
                <w:szCs w:val="20"/>
                <w:color w:val="auto"/>
              </w:rPr>
            </w:pPr>
            <w:r>
              <w:rPr>
                <w:rFonts w:ascii="Arial" w:cs="Arial" w:eastAsia="Arial" w:hAnsi="Arial"/>
                <w:sz w:val="8"/>
                <w:szCs w:val="8"/>
                <w:b w:val="1"/>
                <w:bCs w:val="1"/>
                <w:color w:val="auto"/>
              </w:rPr>
              <w:t>Reserves</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51"/>
              <w:spacing w:after="0"/>
              <w:rPr>
                <w:sz w:val="20"/>
                <w:szCs w:val="20"/>
                <w:color w:val="auto"/>
              </w:rPr>
            </w:pPr>
            <w:r>
              <w:rPr>
                <w:rFonts w:ascii="Arial" w:cs="Arial" w:eastAsia="Arial" w:hAnsi="Arial"/>
                <w:sz w:val="8"/>
                <w:szCs w:val="8"/>
                <w:b w:val="1"/>
                <w:bCs w:val="1"/>
                <w:color w:val="auto"/>
              </w:rPr>
              <w:t>Interest</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740" w:type="dxa"/>
            <w:vAlign w:val="bottom"/>
          </w:tcPr>
          <w:p>
            <w:pPr>
              <w:ind w:left="20"/>
              <w:spacing w:after="0"/>
              <w:rPr>
                <w:sz w:val="20"/>
                <w:szCs w:val="20"/>
                <w:color w:val="auto"/>
              </w:rPr>
            </w:pPr>
            <w:r>
              <w:rPr>
                <w:rFonts w:ascii="Arial" w:cs="Arial" w:eastAsia="Arial" w:hAnsi="Arial"/>
                <w:sz w:val="10"/>
                <w:szCs w:val="10"/>
                <w:b w:val="1"/>
                <w:bCs w:val="1"/>
                <w:color w:val="auto"/>
              </w:rPr>
              <w:t>As of December 31, 2019</w:t>
            </w:r>
          </w:p>
        </w:tc>
        <w:tc>
          <w:tcPr>
            <w:tcW w:w="1180" w:type="dxa"/>
            <w:vAlign w:val="bottom"/>
          </w:tcPr>
          <w:p>
            <w:pPr>
              <w:jc w:val="right"/>
              <w:ind w:right="11"/>
              <w:spacing w:after="0"/>
              <w:rPr>
                <w:sz w:val="20"/>
                <w:szCs w:val="20"/>
                <w:color w:val="auto"/>
              </w:rPr>
            </w:pPr>
            <w:r>
              <w:rPr>
                <w:rFonts w:ascii="Arial" w:cs="Arial" w:eastAsia="Arial" w:hAnsi="Arial"/>
                <w:sz w:val="10"/>
                <w:szCs w:val="10"/>
                <w:b w:val="1"/>
                <w:bCs w:val="1"/>
                <w:color w:val="auto"/>
              </w:rPr>
              <w:t>500</w:t>
            </w:r>
          </w:p>
        </w:tc>
        <w:tc>
          <w:tcPr>
            <w:tcW w:w="60" w:type="dxa"/>
            <w:vAlign w:val="bottom"/>
          </w:tcPr>
          <w:p>
            <w:pPr>
              <w:spacing w:after="0"/>
              <w:rPr>
                <w:sz w:val="24"/>
                <w:szCs w:val="2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ind w:right="11"/>
              <w:spacing w:after="0"/>
              <w:rPr>
                <w:sz w:val="20"/>
                <w:szCs w:val="20"/>
                <w:color w:val="auto"/>
              </w:rPr>
            </w:pPr>
            <w:r>
              <w:rPr>
                <w:rFonts w:ascii="Arial" w:cs="Arial" w:eastAsia="Arial" w:hAnsi="Arial"/>
                <w:sz w:val="10"/>
                <w:szCs w:val="10"/>
                <w:b w:val="1"/>
                <w:bCs w:val="1"/>
                <w:color w:val="auto"/>
              </w:rPr>
              <w:t>10</w:t>
            </w:r>
          </w:p>
        </w:tc>
        <w:tc>
          <w:tcPr>
            <w:tcW w:w="60" w:type="dxa"/>
            <w:vAlign w:val="bottom"/>
          </w:tcPr>
          <w:p>
            <w:pPr>
              <w:spacing w:after="0"/>
              <w:rPr>
                <w:sz w:val="24"/>
                <w:szCs w:val="24"/>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b w:val="1"/>
                <w:bCs w:val="1"/>
                <w:color w:val="auto"/>
              </w:rPr>
              <w:t>$</w:t>
            </w: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11,706</w:t>
            </w:r>
          </w:p>
        </w:tc>
        <w:tc>
          <w:tcPr>
            <w:tcW w:w="80" w:type="dxa"/>
            <w:vAlign w:val="bottom"/>
          </w:tcPr>
          <w:p>
            <w:pPr>
              <w:spacing w:after="0"/>
              <w:rPr>
                <w:sz w:val="24"/>
                <w:szCs w:val="2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b w:val="1"/>
                <w:bCs w:val="1"/>
                <w:color w:val="auto"/>
              </w:rPr>
              <w:t>11,168</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(13,869)</w:t>
            </w:r>
          </w:p>
        </w:tc>
        <w:tc>
          <w:tcPr>
            <w:tcW w:w="60" w:type="dxa"/>
            <w:vAlign w:val="bottom"/>
          </w:tcPr>
          <w:p>
            <w:pPr>
              <w:spacing w:after="0"/>
              <w:rPr>
                <w:sz w:val="24"/>
                <w:szCs w:val="2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ind w:right="11"/>
              <w:spacing w:after="0"/>
              <w:rPr>
                <w:sz w:val="20"/>
                <w:szCs w:val="20"/>
                <w:color w:val="auto"/>
              </w:rPr>
            </w:pPr>
            <w:r>
              <w:rPr>
                <w:rFonts w:ascii="Arial" w:cs="Arial" w:eastAsia="Arial" w:hAnsi="Arial"/>
                <w:sz w:val="10"/>
                <w:szCs w:val="10"/>
                <w:b w:val="1"/>
                <w:bCs w:val="1"/>
                <w:color w:val="auto"/>
              </w:rPr>
              <w:t>10</w:t>
            </w:r>
          </w:p>
        </w:tc>
        <w:tc>
          <w:tcPr>
            <w:tcW w:w="60" w:type="dxa"/>
            <w:vAlign w:val="bottom"/>
          </w:tcPr>
          <w:p>
            <w:pPr>
              <w:spacing w:after="0"/>
              <w:rPr>
                <w:sz w:val="24"/>
                <w:szCs w:val="2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(5)</w:t>
            </w:r>
          </w:p>
        </w:tc>
        <w:tc>
          <w:tcPr>
            <w:tcW w:w="60" w:type="dxa"/>
            <w:vAlign w:val="bottom"/>
          </w:tcPr>
          <w:p>
            <w:pPr>
              <w:spacing w:after="0"/>
              <w:rPr>
                <w:sz w:val="24"/>
                <w:szCs w:val="2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9,020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9,020</w:t>
            </w:r>
          </w:p>
        </w:tc>
        <w:tc>
          <w:tcPr>
            <w:tcW w:w="0" w:type="dxa"/>
            <w:vAlign w:val="bottom"/>
          </w:tcPr>
          <w:p>
            <w:pPr>
              <w:spacing w:after="0"/>
              <w:rPr>
                <w:sz w:val="1"/>
                <w:szCs w:val="1"/>
                <w:color w:val="auto"/>
              </w:rPr>
            </w:pPr>
          </w:p>
        </w:tc>
      </w:tr>
      <w:tr>
        <w:trPr>
          <w:trHeight w:val="145"/>
        </w:trPr>
        <w:tc>
          <w:tcPr>
            <w:tcW w:w="1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payments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34"/>
        </w:trPr>
        <w:tc>
          <w:tcPr>
            <w:tcW w:w="1740" w:type="dxa"/>
            <w:vAlign w:val="bottom"/>
          </w:tcPr>
          <w:p>
            <w:pPr>
              <w:ind w:left="20"/>
              <w:spacing w:after="0"/>
              <w:rPr>
                <w:sz w:val="20"/>
                <w:szCs w:val="20"/>
                <w:color w:val="auto"/>
              </w:rPr>
            </w:pPr>
            <w:r>
              <w:rPr>
                <w:rFonts w:ascii="Arial" w:cs="Arial" w:eastAsia="Arial" w:hAnsi="Arial"/>
                <w:sz w:val="10"/>
                <w:szCs w:val="10"/>
                <w:color w:val="auto"/>
              </w:rPr>
              <w:t>Acquisition of subsidiaries</w:t>
            </w:r>
          </w:p>
        </w:tc>
        <w:tc>
          <w:tcPr>
            <w:tcW w:w="12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64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64</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Repayment of loan from shareholder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(487)</w:t>
            </w:r>
          </w:p>
        </w:tc>
        <w:tc>
          <w:tcPr>
            <w:tcW w:w="0" w:type="dxa"/>
            <w:vAlign w:val="bottom"/>
          </w:tcPr>
          <w:p>
            <w:pPr>
              <w:spacing w:after="0"/>
              <w:rPr>
                <w:sz w:val="1"/>
                <w:szCs w:val="1"/>
                <w:color w:val="auto"/>
              </w:rPr>
            </w:pPr>
          </w:p>
        </w:tc>
      </w:tr>
      <w:tr>
        <w:trPr>
          <w:trHeight w:val="134"/>
        </w:trPr>
        <w:tc>
          <w:tcPr>
            <w:tcW w:w="1740" w:type="dxa"/>
            <w:vAlign w:val="bottom"/>
          </w:tcPr>
          <w:p>
            <w:pPr>
              <w:ind w:left="20"/>
              <w:spacing w:after="0"/>
              <w:rPr>
                <w:sz w:val="20"/>
                <w:szCs w:val="20"/>
                <w:color w:val="auto"/>
              </w:rPr>
            </w:pPr>
            <w:r>
              <w:rPr>
                <w:rFonts w:ascii="Arial" w:cs="Arial" w:eastAsia="Arial" w:hAnsi="Arial"/>
                <w:sz w:val="10"/>
                <w:szCs w:val="10"/>
                <w:color w:val="auto"/>
              </w:rPr>
              <w:t>Net loss for the year</w:t>
            </w:r>
          </w:p>
        </w:tc>
        <w:tc>
          <w:tcPr>
            <w:tcW w:w="12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(1,350)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(1,350)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(1,353)</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w:t>
            </w:r>
          </w:p>
        </w:tc>
        <w:tc>
          <w:tcPr>
            <w:tcW w:w="0" w:type="dxa"/>
            <w:vAlign w:val="bottom"/>
          </w:tcPr>
          <w:p>
            <w:pPr>
              <w:spacing w:after="0"/>
              <w:rPr>
                <w:sz w:val="1"/>
                <w:szCs w:val="1"/>
                <w:color w:val="auto"/>
              </w:rPr>
            </w:pPr>
          </w:p>
        </w:tc>
      </w:tr>
      <w:tr>
        <w:trPr>
          <w:trHeight w:val="124"/>
        </w:trPr>
        <w:tc>
          <w:tcPr>
            <w:tcW w:w="1740" w:type="dxa"/>
            <w:vAlign w:val="bottom"/>
          </w:tcPr>
          <w:p>
            <w:pPr>
              <w:ind w:left="20"/>
              <w:spacing w:after="0"/>
              <w:rPr>
                <w:sz w:val="20"/>
                <w:szCs w:val="20"/>
                <w:color w:val="auto"/>
              </w:rPr>
            </w:pPr>
            <w:r>
              <w:rPr>
                <w:rFonts w:ascii="Arial" w:cs="Arial" w:eastAsia="Arial" w:hAnsi="Arial"/>
                <w:sz w:val="10"/>
                <w:szCs w:val="10"/>
                <w:b w:val="1"/>
                <w:bCs w:val="1"/>
                <w:color w:val="auto"/>
              </w:rPr>
              <w:t>As of December 31, 2020</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500</w:t>
            </w: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10</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11,707</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10,681</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(15,219)</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(15)</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11</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7,175</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66</w:t>
            </w: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7,241</w:t>
            </w:r>
          </w:p>
        </w:tc>
        <w:tc>
          <w:tcPr>
            <w:tcW w:w="0" w:type="dxa"/>
            <w:vAlign w:val="bottom"/>
          </w:tcPr>
          <w:p>
            <w:pPr>
              <w:spacing w:after="0"/>
              <w:rPr>
                <w:sz w:val="1"/>
                <w:szCs w:val="1"/>
                <w:color w:val="auto"/>
              </w:rPr>
            </w:pPr>
          </w:p>
        </w:tc>
      </w:tr>
      <w:tr>
        <w:trPr>
          <w:trHeight w:val="106"/>
        </w:trPr>
        <w:tc>
          <w:tcPr>
            <w:tcW w:w="1740" w:type="dxa"/>
            <w:vAlign w:val="bottom"/>
            <w:shd w:val="clear" w:color="auto" w:fill="CCEEFF"/>
          </w:tcPr>
          <w:p>
            <w:pPr>
              <w:ind w:left="20"/>
              <w:spacing w:after="0" w:line="106" w:lineRule="exact"/>
              <w:rPr>
                <w:sz w:val="20"/>
                <w:szCs w:val="20"/>
                <w:color w:val="auto"/>
              </w:rPr>
            </w:pPr>
            <w:r>
              <w:rPr>
                <w:rFonts w:ascii="Arial" w:cs="Arial" w:eastAsia="Arial" w:hAnsi="Arial"/>
                <w:sz w:val="10"/>
                <w:szCs w:val="10"/>
                <w:color w:val="auto"/>
              </w:rPr>
              <w:t>Proceeds from issuance of equity</w:t>
            </w: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32</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1,444</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1,445</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1,445</w:t>
            </w:r>
          </w:p>
        </w:tc>
        <w:tc>
          <w:tcPr>
            <w:tcW w:w="0" w:type="dxa"/>
            <w:vAlign w:val="bottom"/>
          </w:tcPr>
          <w:p>
            <w:pPr>
              <w:spacing w:after="0"/>
              <w:rPr>
                <w:sz w:val="1"/>
                <w:szCs w:val="1"/>
                <w:color w:val="auto"/>
              </w:rPr>
            </w:pPr>
          </w:p>
        </w:tc>
      </w:tr>
      <w:tr>
        <w:trPr>
          <w:trHeight w:val="143"/>
        </w:trPr>
        <w:tc>
          <w:tcPr>
            <w:tcW w:w="1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instruments</w:t>
            </w:r>
          </w:p>
        </w:tc>
        <w:tc>
          <w:tcPr>
            <w:tcW w:w="1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40" w:type="dxa"/>
            <w:vAlign w:val="bottom"/>
          </w:tcPr>
          <w:p>
            <w:pPr>
              <w:ind w:left="20"/>
              <w:spacing w:after="0"/>
              <w:rPr>
                <w:sz w:val="20"/>
                <w:szCs w:val="20"/>
                <w:color w:val="auto"/>
              </w:rPr>
            </w:pPr>
            <w:r>
              <w:rPr>
                <w:rFonts w:ascii="Arial" w:cs="Arial" w:eastAsia="Arial" w:hAnsi="Arial"/>
                <w:sz w:val="10"/>
                <w:szCs w:val="10"/>
                <w:color w:val="auto"/>
              </w:rPr>
              <w:t>Share-based payments</w:t>
            </w:r>
          </w:p>
        </w:tc>
        <w:tc>
          <w:tcPr>
            <w:tcW w:w="12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223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223</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Repayment of loan from shareholder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(568)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(568)</w:t>
            </w:r>
          </w:p>
        </w:tc>
        <w:tc>
          <w:tcPr>
            <w:tcW w:w="0" w:type="dxa"/>
            <w:vAlign w:val="bottom"/>
          </w:tcPr>
          <w:p>
            <w:pPr>
              <w:spacing w:after="0"/>
              <w:rPr>
                <w:sz w:val="1"/>
                <w:szCs w:val="1"/>
                <w:color w:val="auto"/>
              </w:rPr>
            </w:pPr>
          </w:p>
        </w:tc>
      </w:tr>
      <w:tr>
        <w:trPr>
          <w:trHeight w:val="134"/>
        </w:trPr>
        <w:tc>
          <w:tcPr>
            <w:tcW w:w="1740" w:type="dxa"/>
            <w:vAlign w:val="bottom"/>
          </w:tcPr>
          <w:p>
            <w:pPr>
              <w:ind w:left="20"/>
              <w:spacing w:after="0"/>
              <w:rPr>
                <w:sz w:val="20"/>
                <w:szCs w:val="20"/>
                <w:color w:val="auto"/>
              </w:rPr>
            </w:pPr>
            <w:r>
              <w:rPr>
                <w:rFonts w:ascii="Arial" w:cs="Arial" w:eastAsia="Arial" w:hAnsi="Arial"/>
                <w:sz w:val="10"/>
                <w:szCs w:val="10"/>
                <w:color w:val="auto"/>
              </w:rPr>
              <w:t>Conversion of loan from shareholder</w:t>
            </w:r>
          </w:p>
        </w:tc>
        <w:tc>
          <w:tcPr>
            <w:tcW w:w="12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10,113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(10,113)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loss for the year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(250)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(254)</w:t>
            </w:r>
          </w:p>
        </w:tc>
        <w:tc>
          <w:tcPr>
            <w:tcW w:w="0" w:type="dxa"/>
            <w:vAlign w:val="bottom"/>
          </w:tcPr>
          <w:p>
            <w:pPr>
              <w:spacing w:after="0"/>
              <w:rPr>
                <w:sz w:val="1"/>
                <w:szCs w:val="1"/>
                <w:color w:val="auto"/>
              </w:rPr>
            </w:pPr>
          </w:p>
        </w:tc>
      </w:tr>
      <w:tr>
        <w:trPr>
          <w:trHeight w:val="134"/>
        </w:trPr>
        <w:tc>
          <w:tcPr>
            <w:tcW w:w="1740" w:type="dxa"/>
            <w:vAlign w:val="bottom"/>
          </w:tcPr>
          <w:p>
            <w:pPr>
              <w:ind w:left="20"/>
              <w:spacing w:after="0"/>
              <w:rPr>
                <w:sz w:val="20"/>
                <w:szCs w:val="20"/>
                <w:color w:val="auto"/>
              </w:rPr>
            </w:pPr>
            <w:r>
              <w:rPr>
                <w:rFonts w:ascii="Arial" w:cs="Arial" w:eastAsia="Arial" w:hAnsi="Arial"/>
                <w:sz w:val="10"/>
                <w:szCs w:val="10"/>
                <w:color w:val="auto"/>
              </w:rPr>
              <w:t>Other comprehensive (loss) income</w:t>
            </w:r>
          </w:p>
        </w:tc>
        <w:tc>
          <w:tcPr>
            <w:tcW w:w="12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(42)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(50)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(54)</w:t>
            </w:r>
          </w:p>
        </w:tc>
        <w:tc>
          <w:tcPr>
            <w:tcW w:w="0" w:type="dxa"/>
            <w:vAlign w:val="bottom"/>
          </w:tcPr>
          <w:p>
            <w:pPr>
              <w:spacing w:after="0"/>
              <w:rPr>
                <w:sz w:val="1"/>
                <w:szCs w:val="1"/>
                <w:color w:val="auto"/>
              </w:rPr>
            </w:pPr>
          </w:p>
        </w:tc>
      </w:tr>
      <w:tr>
        <w:trPr>
          <w:trHeight w:val="133"/>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As of December 31, 2021</w:t>
            </w:r>
          </w:p>
        </w:tc>
        <w:tc>
          <w:tcPr>
            <w:tcW w:w="1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532</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11</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23,487</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(15,469)</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(57)</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7,975</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58</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8,033</w:t>
            </w:r>
          </w:p>
        </w:tc>
        <w:tc>
          <w:tcPr>
            <w:tcW w:w="0" w:type="dxa"/>
            <w:vAlign w:val="bottom"/>
          </w:tcPr>
          <w:p>
            <w:pPr>
              <w:spacing w:after="0"/>
              <w:rPr>
                <w:sz w:val="1"/>
                <w:szCs w:val="1"/>
                <w:color w:val="auto"/>
              </w:rPr>
            </w:pPr>
          </w:p>
        </w:tc>
      </w:tr>
      <w:tr>
        <w:trPr>
          <w:trHeight w:val="101"/>
        </w:trPr>
        <w:tc>
          <w:tcPr>
            <w:tcW w:w="1740" w:type="dxa"/>
            <w:vAlign w:val="bottom"/>
          </w:tcPr>
          <w:p>
            <w:pPr>
              <w:ind w:left="20"/>
              <w:spacing w:after="0" w:line="102" w:lineRule="exact"/>
              <w:rPr>
                <w:sz w:val="20"/>
                <w:szCs w:val="20"/>
                <w:color w:val="auto"/>
              </w:rPr>
            </w:pPr>
            <w:r>
              <w:rPr>
                <w:rFonts w:ascii="Arial" w:cs="Arial" w:eastAsia="Arial" w:hAnsi="Arial"/>
                <w:sz w:val="10"/>
                <w:szCs w:val="10"/>
                <w:color w:val="auto"/>
              </w:rPr>
              <w:t>Proceeds from issuance of equity</w:t>
            </w:r>
          </w:p>
        </w:tc>
        <w:tc>
          <w:tcPr>
            <w:tcW w:w="1180" w:type="dxa"/>
            <w:vAlign w:val="bottom"/>
            <w:vMerge w:val="restart"/>
          </w:tcPr>
          <w:p>
            <w:pPr>
              <w:jc w:val="right"/>
              <w:ind w:right="11"/>
              <w:spacing w:after="0"/>
              <w:rPr>
                <w:sz w:val="20"/>
                <w:szCs w:val="20"/>
                <w:color w:val="auto"/>
              </w:rPr>
            </w:pPr>
            <w:r>
              <w:rPr>
                <w:rFonts w:ascii="Arial" w:cs="Arial" w:eastAsia="Arial" w:hAnsi="Arial"/>
                <w:sz w:val="10"/>
                <w:szCs w:val="10"/>
                <w:b w:val="1"/>
                <w:bCs w:val="1"/>
                <w:color w:val="auto"/>
              </w:rPr>
              <w:t>6</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163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163</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163</w:t>
            </w: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rPr>
                <w:sz w:val="20"/>
                <w:szCs w:val="20"/>
                <w:color w:val="auto"/>
              </w:rPr>
            </w:pPr>
            <w:r>
              <w:rPr>
                <w:rFonts w:ascii="Arial" w:cs="Arial" w:eastAsia="Arial" w:hAnsi="Arial"/>
                <w:sz w:val="10"/>
                <w:szCs w:val="10"/>
                <w:color w:val="auto"/>
              </w:rPr>
              <w:t>instruments</w:t>
            </w:r>
          </w:p>
        </w:tc>
        <w:tc>
          <w:tcPr>
            <w:tcW w:w="1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payments</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181</w:t>
            </w:r>
          </w:p>
        </w:tc>
        <w:tc>
          <w:tcPr>
            <w:tcW w:w="0" w:type="dxa"/>
            <w:vAlign w:val="bottom"/>
          </w:tcPr>
          <w:p>
            <w:pPr>
              <w:spacing w:after="0"/>
              <w:rPr>
                <w:sz w:val="1"/>
                <w:szCs w:val="1"/>
                <w:color w:val="auto"/>
              </w:rPr>
            </w:pPr>
          </w:p>
        </w:tc>
      </w:tr>
      <w:tr>
        <w:trPr>
          <w:trHeight w:val="155"/>
        </w:trPr>
        <w:tc>
          <w:tcPr>
            <w:tcW w:w="1740" w:type="dxa"/>
            <w:vAlign w:val="bottom"/>
          </w:tcPr>
          <w:p>
            <w:pPr>
              <w:ind w:left="20"/>
              <w:spacing w:after="0"/>
              <w:rPr>
                <w:sz w:val="20"/>
                <w:szCs w:val="20"/>
                <w:color w:val="auto"/>
              </w:rPr>
            </w:pPr>
            <w:r>
              <w:rPr>
                <w:rFonts w:ascii="Arial" w:cs="Arial" w:eastAsia="Arial" w:hAnsi="Arial"/>
                <w:sz w:val="10"/>
                <w:szCs w:val="10"/>
                <w:color w:val="auto"/>
              </w:rPr>
              <w:t>Net income for the year</w:t>
            </w:r>
          </w:p>
        </w:tc>
        <w:tc>
          <w:tcPr>
            <w:tcW w:w="12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3"/>
                <w:szCs w:val="13"/>
                <w:color w:val="auto"/>
              </w:rPr>
            </w:pPr>
          </w:p>
        </w:tc>
        <w:tc>
          <w:tcPr>
            <w:tcW w:w="740" w:type="dxa"/>
            <w:vAlign w:val="bottom"/>
          </w:tcPr>
          <w:p>
            <w:pPr>
              <w:jc w:val="right"/>
              <w:ind w:right="11"/>
              <w:spacing w:after="0"/>
              <w:rPr>
                <w:sz w:val="20"/>
                <w:szCs w:val="20"/>
                <w:color w:val="auto"/>
              </w:rPr>
            </w:pPr>
            <w:r>
              <w:rPr>
                <w:rFonts w:ascii="Arial" w:cs="Arial" w:eastAsia="Arial" w:hAnsi="Arial"/>
                <w:sz w:val="10"/>
                <w:szCs w:val="10"/>
                <w:b w:val="1"/>
                <w:bCs w:val="1"/>
                <w:color w:val="auto"/>
              </w:rPr>
              <w:t>1,448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1,448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1,446</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comprehensive income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137</w:t>
            </w:r>
          </w:p>
        </w:tc>
        <w:tc>
          <w:tcPr>
            <w:tcW w:w="0" w:type="dxa"/>
            <w:vAlign w:val="bottom"/>
          </w:tcPr>
          <w:p>
            <w:pPr>
              <w:spacing w:after="0"/>
              <w:rPr>
                <w:sz w:val="1"/>
                <w:szCs w:val="1"/>
                <w:color w:val="auto"/>
              </w:rPr>
            </w:pPr>
          </w:p>
        </w:tc>
      </w:tr>
      <w:tr>
        <w:trPr>
          <w:trHeight w:val="124"/>
        </w:trPr>
        <w:tc>
          <w:tcPr>
            <w:tcW w:w="1740" w:type="dxa"/>
            <w:vAlign w:val="bottom"/>
          </w:tcPr>
          <w:p>
            <w:pPr>
              <w:ind w:left="20"/>
              <w:spacing w:after="0"/>
              <w:rPr>
                <w:sz w:val="20"/>
                <w:szCs w:val="20"/>
                <w:color w:val="auto"/>
              </w:rPr>
            </w:pPr>
            <w:r>
              <w:rPr>
                <w:rFonts w:ascii="Arial" w:cs="Arial" w:eastAsia="Arial" w:hAnsi="Arial"/>
                <w:sz w:val="10"/>
                <w:szCs w:val="10"/>
                <w:b w:val="1"/>
                <w:bCs w:val="1"/>
                <w:color w:val="auto"/>
              </w:rPr>
              <w:t>As of December 31, 2022</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548</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11</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23,831</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(14,021)</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103</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9,913</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47</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9,960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927" w:right="859"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301625</wp:posOffset>
            </wp:positionH>
            <wp:positionV relativeFrom="page">
              <wp:posOffset>574040</wp:posOffset>
            </wp:positionV>
            <wp:extent cx="708787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7870" cy="6985"/>
                    </a:xfrm>
                    <a:prstGeom prst="rect">
                      <a:avLst/>
                    </a:prstGeom>
                    <a:noFill/>
                  </pic:spPr>
                </pic:pic>
              </a:graphicData>
            </a:graphic>
          </wp:anchor>
        </w:drawing>
        <w:t>GLOBALFOUNDRIES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(Dollars in millions)</w:t>
      </w:r>
    </w:p>
    <w:p>
      <w:pPr>
        <w:spacing w:after="0" w:line="252" w:lineRule="exact"/>
        <w:rPr>
          <w:sz w:val="20"/>
          <w:szCs w:val="20"/>
          <w:color w:val="auto"/>
        </w:rPr>
      </w:pPr>
    </w:p>
    <w:p>
      <w:pPr>
        <w:ind w:left="260" w:hanging="255"/>
        <w:spacing w:after="0"/>
        <w:tabs>
          <w:tab w:leader="none" w:pos="26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Organization</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8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GLOBALFOUNDRIES and its subsidiaries (together referred to as the “Company”) is one of the world’s largest pure-play semiconductor foundries and offer a full range of mainstream wafer fabrication services and technologies. The Company manufactures a broad range of semiconductor devices, including microprocessors, mobile application processors, baseband processors, network processors, radio frequency modems, microcontrollers, and power management units.</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GLOBALFOUNDRIES is a majority owned subsidiary of Mubadala Technology Investments LLC (“Shareholder”) through its subsidiaries, Mubadala Technology Investment Company and MTI International Investment Company LLC. Mubadala Technology Investments LLC is a subsidiary of Mamoura Diversified Global Holding PJSC (“MDGH”). Mubadala Investment Company PJSC (“MIC”) is the ultimate parent company. See Note 28 for further discussion of the Company’s related party disclosures.</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Company previously entered into an agreement with Semiconductor Components Industries, LLC (“ON Semiconductor”) to sell the Company’s business in East Fishkill, New York, including buildings, facilities, certain equipment, inventories, and certain contracts. Under the agreement the Company will manufacture 300mm wafers for ON Semiconductor until the end of 2023 for additional fees, allowing ON Semiconductor to increase its 300mm production at the East Fishkill fab over several years. Under the agreement, ON Semiconductor committed to minimum fixed cost payments in each year through 2023. On December 31, 2022, the Company completed the sale of the EFK business for a total purchase price of $406 million, of which $170 million was received in prior years, and the remaining $236 million received in January 2023. The Company recognized a gain upon the completion of the sale amounting to $403 million.</w:t>
      </w:r>
    </w:p>
    <w:p>
      <w:pPr>
        <w:spacing w:after="0" w:line="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consolidated financial statements were authorized by the GLOBALFOUNDRIES’ Board of Directors on April 14, 2023 to be issued and subsequent events have been evaluated for their potential effect on the consolidated financial statements through April 14, 2023.</w:t>
      </w:r>
    </w:p>
    <w:p>
      <w:pPr>
        <w:spacing w:after="0" w:line="242" w:lineRule="exact"/>
        <w:rPr>
          <w:sz w:val="20"/>
          <w:szCs w:val="20"/>
          <w:color w:val="auto"/>
        </w:rPr>
      </w:pPr>
    </w:p>
    <w:p>
      <w:pPr>
        <w:ind w:left="260" w:hanging="255"/>
        <w:spacing w:after="0"/>
        <w:tabs>
          <w:tab w:leader="none" w:pos="26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Preparation</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b w:val="1"/>
          <w:bCs w:val="1"/>
          <w:color w:val="auto"/>
        </w:rPr>
        <w:t>Statement of Compliance</w:t>
      </w:r>
      <w:r>
        <w:rPr>
          <w:rFonts w:ascii="Arial" w:cs="Arial" w:eastAsia="Arial" w:hAnsi="Arial"/>
          <w:sz w:val="13"/>
          <w:szCs w:val="13"/>
          <w:color w:val="auto"/>
        </w:rPr>
        <w:t>—The consolidated financial statements of the Company have been prepared in accordance with International Financial Reporting Standards (“IFRS”) as issued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International Accounting Standards Board (“IASB”). The consolidated financial statements comprise the financial statements of GLOBALFOUNDRIES and its subsidiaries.</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Measurement</w:t>
      </w:r>
      <w:r>
        <w:rPr>
          <w:rFonts w:ascii="Arial" w:cs="Arial" w:eastAsia="Arial" w:hAnsi="Arial"/>
          <w:sz w:val="13"/>
          <w:szCs w:val="13"/>
          <w:color w:val="auto"/>
        </w:rPr>
        <w:t>—These financial statements have been prepared on the historical cost basis except as otherwise described in the notes below.</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Functional and Presentation Currency</w:t>
      </w:r>
      <w:r>
        <w:rPr>
          <w:rFonts w:ascii="Arial" w:cs="Arial" w:eastAsia="Arial" w:hAnsi="Arial"/>
          <w:sz w:val="13"/>
          <w:szCs w:val="13"/>
          <w:color w:val="auto"/>
        </w:rPr>
        <w:t>—The consolidated financial statements are presented in United States (U.S.) dollars ($), which is the Company’s functional and presentation currency.</w:t>
      </w:r>
    </w:p>
    <w:p>
      <w:pPr>
        <w:spacing w:after="0" w:line="37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b w:val="1"/>
          <w:bCs w:val="1"/>
          <w:color w:val="auto"/>
        </w:rPr>
        <w:t>Foreign Currency Translation</w:t>
      </w:r>
      <w:r>
        <w:rPr>
          <w:rFonts w:ascii="Arial" w:cs="Arial" w:eastAsia="Arial" w:hAnsi="Arial"/>
          <w:sz w:val="13"/>
          <w:szCs w:val="13"/>
          <w:color w:val="auto"/>
        </w:rPr>
        <w:t>—Assets and liabilities of foreign operations having a functional currency other than the U.S. dollar are translated at the rate of exchange prevailing at the reporting date</w:t>
      </w:r>
      <w:r>
        <w:rPr>
          <w:rFonts w:ascii="Arial" w:cs="Arial" w:eastAsia="Arial" w:hAnsi="Arial"/>
          <w:sz w:val="13"/>
          <w:szCs w:val="13"/>
          <w:b w:val="1"/>
          <w:bCs w:val="1"/>
          <w:color w:val="auto"/>
        </w:rPr>
        <w:t xml:space="preserve"> </w:t>
      </w:r>
      <w:r>
        <w:rPr>
          <w:rFonts w:ascii="Arial" w:cs="Arial" w:eastAsia="Arial" w:hAnsi="Arial"/>
          <w:sz w:val="13"/>
          <w:szCs w:val="13"/>
          <w:color w:val="auto"/>
        </w:rPr>
        <w:t>and revenue and expenses at the rate of exchange prevailing at the dates of the transactions during the period. Gains or losses on translation of foreign operations are included in other comprehensive income (loss).</w:t>
      </w:r>
    </w:p>
    <w:p>
      <w:pPr>
        <w:spacing w:after="0" w:line="6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preparing the consolidated financial statements of the company, foreign currency-denominated monetary assets and liabilities are translated into the functional currency using the closing rate at the applicable consolidated statement of financial position dates. Non-monetary assets and liabilities, denominated in a foreign currency and measured at fair value, are translated at the rate of exchange prevailing at the date when the fair value was determined and non-monetary assets measured at historical cost are translated at the historical rate. Revenue and expenses are measured in the functional currency at the rates of exchange prevailing at the dates of the transactions with gains or losses included in income.</w:t>
      </w:r>
    </w:p>
    <w:p>
      <w:pPr>
        <w:spacing w:after="0" w:line="347"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Basis of Consolidation</w:t>
      </w:r>
      <w:r>
        <w:rPr>
          <w:rFonts w:ascii="Arial" w:cs="Arial" w:eastAsia="Arial" w:hAnsi="Arial"/>
          <w:sz w:val="13"/>
          <w:szCs w:val="13"/>
          <w:color w:val="auto"/>
        </w:rPr>
        <w:t>—The consolidated financial statements comprise the financial statements of GLOBALFOUNDRIES and its subsidiaries. Subsidiaries are fully consolidated from the date of</w:t>
      </w:r>
      <w:r>
        <w:rPr>
          <w:rFonts w:ascii="Arial" w:cs="Arial" w:eastAsia="Arial" w:hAnsi="Arial"/>
          <w:sz w:val="13"/>
          <w:szCs w:val="13"/>
          <w:b w:val="1"/>
          <w:bCs w:val="1"/>
          <w:color w:val="auto"/>
        </w:rPr>
        <w:t xml:space="preserve"> </w:t>
      </w:r>
      <w:r>
        <w:rPr>
          <w:rFonts w:ascii="Arial" w:cs="Arial" w:eastAsia="Arial" w:hAnsi="Arial"/>
          <w:sz w:val="13"/>
          <w:szCs w:val="13"/>
          <w:color w:val="auto"/>
        </w:rPr>
        <w:t>acquisition, being the date on which GLOBALFOUNDRIES obtains control, and continue to be consolidated until the date when such control ceases. All</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0" w:right="319" w:bottom="1440" w:gutter="0" w:footer="0" w:header="0"/>
        </w:sectPr>
      </w:pPr>
    </w:p>
    <w:bookmarkStart w:id="97" w:name="page98"/>
    <w:bookmarkEnd w:id="97"/>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intercompany transactions, balances, income and expenses are eliminated in full on consolidation. Wholly owned subsidiaries and controlled entities included in these consolidated financial statements are disclosed in Note 28 .</w:t>
      </w:r>
    </w:p>
    <w:p>
      <w:pPr>
        <w:spacing w:after="0" w:line="89"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Control is achieved when the Company is exposed, or has rights, to variable returns from its involvement with the subsidiary and has the ability to affect those returns through its power over the subsidiary. Specifically, the Company controls a subsidiary if the Company (a) has power over the subsidiary, (b) is exposed, or has rights, to variable returns from its involvement with subsidiary,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 has the ability to use the power to affect its returns.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Profit or loss and each component of other comprehensive income (loss) (“OCI”) are attributed to the equity holder of the Company and to the non-controlling interests.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 change in the ownership interest of a subsidiary, without a loss of control, is accounted for as an equity transaction.</w:t>
      </w:r>
    </w:p>
    <w:p>
      <w:pPr>
        <w:spacing w:after="0" w:line="9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If the Company loses control over a subsidiary, it derecognizes the related assets (including goodwill), liabilities, non-controlling interest and other components of equity, while any resulting gain or loss is recognized in the consolidated statements of operations. Any investment retained is recognized at fair value.</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Reclassification</w:t>
      </w:r>
      <w:r>
        <w:rPr>
          <w:rFonts w:ascii="Arial" w:cs="Arial" w:eastAsia="Arial" w:hAnsi="Arial"/>
          <w:sz w:val="13"/>
          <w:szCs w:val="13"/>
          <w:color w:val="auto"/>
        </w:rPr>
        <w:t>—Certain prior period amounts have been reclassified to conform to the current period presentation.</w:t>
      </w:r>
    </w:p>
    <w:p>
      <w:pPr>
        <w:spacing w:after="0" w:line="275" w:lineRule="exact"/>
        <w:rPr>
          <w:sz w:val="20"/>
          <w:szCs w:val="20"/>
          <w:color w:val="auto"/>
        </w:rPr>
      </w:pPr>
    </w:p>
    <w:p>
      <w:pPr>
        <w:ind w:left="300" w:hanging="295"/>
        <w:spacing w:after="0"/>
        <w:tabs>
          <w:tab w:leader="none" w:pos="30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Accounting Policies, Judgements, Estimates and Assumptions</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b w:val="1"/>
          <w:bCs w:val="1"/>
          <w:color w:val="auto"/>
        </w:rPr>
        <w:t>Investments in Joint Ventures</w:t>
      </w:r>
      <w:r>
        <w:rPr>
          <w:rFonts w:ascii="Arial" w:cs="Arial" w:eastAsia="Arial" w:hAnsi="Arial"/>
          <w:sz w:val="13"/>
          <w:szCs w:val="13"/>
          <w:color w:val="auto"/>
        </w:rPr>
        <w:t>—Joint ventures are those entities over whose activities the Company has joint control, established by contractual agreement and requiring unanimous consent for</w:t>
      </w:r>
      <w:r>
        <w:rPr>
          <w:rFonts w:ascii="Arial" w:cs="Arial" w:eastAsia="Arial" w:hAnsi="Arial"/>
          <w:sz w:val="13"/>
          <w:szCs w:val="13"/>
          <w:b w:val="1"/>
          <w:bCs w:val="1"/>
          <w:color w:val="auto"/>
        </w:rPr>
        <w:t xml:space="preserve"> </w:t>
      </w:r>
      <w:r>
        <w:rPr>
          <w:rFonts w:ascii="Arial" w:cs="Arial" w:eastAsia="Arial" w:hAnsi="Arial"/>
          <w:sz w:val="13"/>
          <w:szCs w:val="13"/>
          <w:color w:val="auto"/>
        </w:rPr>
        <w:t>strategic financial and operating decisions.</w:t>
      </w:r>
    </w:p>
    <w:p>
      <w:pPr>
        <w:spacing w:after="0" w:line="5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Investments in jointly controlled entities are accounted for using the equity method of accounting (herein after referred to as “equity accounted investees”) and are recognized initially at cost. The consolidated financial statements include the Company’s share of the income and expenses and equity movements of equity accounted investees, after adjustments to align the accounting policies with those of the Company, from the date that joint control commences until the date that joint control ceases. At each reporting date, the Company determines whether there is objective evidence that the investment in the joint venture is impaired. If there is such evidence, the Company calculates the amount of impairment as the difference between the recoverable amount of the joint venture and its carrying value, and then recognizes the loss as a share of profit (loss) of joint ventures and associates in the consolidated statements of operations).</w:t>
      </w:r>
    </w:p>
    <w:p>
      <w:pPr>
        <w:spacing w:after="0" w:line="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When the Company’s share of losses exceeds its interest in an equity accounted investee, the carrying amount of that interest, including any long-term investments, is reduced to zero, and the recognition of further losses is discontinued except to the extent that the Company has an obligation on behalf of the investee.</w:t>
      </w:r>
    </w:p>
    <w:p>
      <w:pPr>
        <w:spacing w:after="0" w:line="348"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Cash and Cash Equivalents</w:t>
      </w:r>
      <w:r>
        <w:rPr>
          <w:rFonts w:ascii="Arial" w:cs="Arial" w:eastAsia="Arial" w:hAnsi="Arial"/>
          <w:sz w:val="13"/>
          <w:szCs w:val="13"/>
          <w:color w:val="auto"/>
        </w:rPr>
        <w:t>—Cash and cash equivalents includes cash on hand and balances at banks, deposits held on call with banks, and financial instruments that are not subject to significant</w:t>
      </w:r>
      <w:r>
        <w:rPr>
          <w:rFonts w:ascii="Arial" w:cs="Arial" w:eastAsia="Arial" w:hAnsi="Arial"/>
          <w:sz w:val="13"/>
          <w:szCs w:val="13"/>
          <w:b w:val="1"/>
          <w:bCs w:val="1"/>
          <w:color w:val="auto"/>
        </w:rPr>
        <w:t xml:space="preserve"> </w:t>
      </w:r>
      <w:r>
        <w:rPr>
          <w:rFonts w:ascii="Arial" w:cs="Arial" w:eastAsia="Arial" w:hAnsi="Arial"/>
          <w:sz w:val="13"/>
          <w:szCs w:val="13"/>
          <w:color w:val="auto"/>
        </w:rPr>
        <w:t>risk of changes in value, are readily convertible into cash and have original maturities of three months or less at the time of purchase.</w:t>
      </w:r>
    </w:p>
    <w:p>
      <w:pPr>
        <w:spacing w:after="0" w:line="332"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Trade Accounts Receivable</w:t>
      </w:r>
      <w:r>
        <w:rPr>
          <w:rFonts w:ascii="Arial" w:cs="Arial" w:eastAsia="Arial" w:hAnsi="Arial"/>
          <w:sz w:val="13"/>
          <w:szCs w:val="13"/>
          <w:color w:val="auto"/>
        </w:rPr>
        <w:t>—Trade accounts receivable are recognized initially at fair value. A provision for impairment of trade accounts receivable is established when there is objective evidence</w:t>
      </w:r>
      <w:r>
        <w:rPr>
          <w:rFonts w:ascii="Arial" w:cs="Arial" w:eastAsia="Arial" w:hAnsi="Arial"/>
          <w:sz w:val="13"/>
          <w:szCs w:val="13"/>
          <w:b w:val="1"/>
          <w:bCs w:val="1"/>
          <w:color w:val="auto"/>
        </w:rPr>
        <w:t xml:space="preserve"> </w:t>
      </w:r>
      <w:r>
        <w:rPr>
          <w:rFonts w:ascii="Arial" w:cs="Arial" w:eastAsia="Arial" w:hAnsi="Arial"/>
          <w:sz w:val="13"/>
          <w:szCs w:val="13"/>
          <w:color w:val="auto"/>
        </w:rPr>
        <w:t>that the Company will not be able to collect all amounts due according to the original terms of the receivable.</w:t>
      </w: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Instruments: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Category of financial instruments and measurement</w:t>
      </w:r>
    </w:p>
    <w:p>
      <w:pPr>
        <w:spacing w:after="0" w:line="8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i w:val="1"/>
          <w:iCs w:val="1"/>
          <w:color w:val="auto"/>
        </w:rPr>
        <w:t>Recognition and Initial Measurement</w:t>
      </w:r>
      <w:r>
        <w:rPr>
          <w:rFonts w:ascii="Arial" w:cs="Arial" w:eastAsia="Arial" w:hAnsi="Arial"/>
          <w:sz w:val="13"/>
          <w:szCs w:val="13"/>
          <w:color w:val="auto"/>
        </w:rPr>
        <w:t>—Trade receivables are initially recognized when they are originated. All other financial assets and financial liabilities are initially recognized when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becomes a party to the contractual provisions of the instrument.</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 financial asset or financial liability is initially measured at fair value including transaction costs that are directly attributable to its acquisition or issuance, and are recognized at fair value in the profit and loss (“FVPL”) are expensed in consolidated statements of operations. A trade receivable without a significant financing component is initially measured at the transaction price.</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i w:val="1"/>
          <w:iCs w:val="1"/>
          <w:color w:val="auto"/>
        </w:rPr>
        <w:t>Classification and Measurement</w:t>
      </w:r>
      <w:r>
        <w:rPr>
          <w:rFonts w:ascii="Arial" w:cs="Arial" w:eastAsia="Arial" w:hAnsi="Arial"/>
          <w:sz w:val="13"/>
          <w:szCs w:val="13"/>
          <w:color w:val="auto"/>
        </w:rPr>
        <w:t>—All recognized financial assets are measured based on amortized cost or fair value. The classification is based on two criteria, the Company’s business model for</w:t>
      </w:r>
      <w:r>
        <w:rPr>
          <w:rFonts w:ascii="Arial" w:cs="Arial" w:eastAsia="Arial" w:hAnsi="Arial"/>
          <w:sz w:val="13"/>
          <w:szCs w:val="13"/>
          <w:i w:val="1"/>
          <w:iCs w:val="1"/>
          <w:color w:val="auto"/>
        </w:rPr>
        <w:t xml:space="preserve"> </w:t>
      </w:r>
      <w:r>
        <w:rPr>
          <w:rFonts w:ascii="Arial" w:cs="Arial" w:eastAsia="Arial" w:hAnsi="Arial"/>
          <w:sz w:val="13"/>
          <w:szCs w:val="13"/>
          <w:color w:val="auto"/>
        </w:rPr>
        <w:t>managing the assets and whether the instrument’s contractual cash flows represent solely payments of principal and interest (“SPPI”).</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auto"/>
        </w:rPr>
        <w:t>The assessment of whether contractual cash flows on debt instruments are solely comprised of principal and interest is made based on the facts and circumstances at the initial recognition of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8" w:name="page99"/>
    <w:bookmarkEnd w:id="98"/>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Financial assets include trade and other receivables. These are recorded at amortized cost when such financial assets are held with the objective to collect contract cash flows that meet the SPPI criterion.</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Financial assets recorded at FVPL comprise unquoted equity instruments which the Company had not irrevocably elected, at initial recognition, to classify at fair value through other comprehensive income (“FVOCI”).</w:t>
      </w:r>
    </w:p>
    <w:p>
      <w:pPr>
        <w:spacing w:after="0" w:line="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Financial assets recorded at FVOCI comprise marketable securities that are quoted debt instruments when such financial assets are held with the objectives of collecting contractual cash flows and meets the SPPI criterion. Movements in the carrying amount are taken through OCI, except for the recognition of impairment gains or losses and interest income which are recognized in the consolidated statements of operations. Interest income from these financial assets is included in finance income using the effective interest rate method.</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of financial assets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will record an allowance for expected credit losses (“ECL”) for all loans to related parties, marketable securities (that are quoted debt instruments), contract assets, and trade receivables and other receivables not recorded at FVPL. ECLs are based on the difference between the contractual cash flows due in accordance with the contract and all the cash flows that the Company expects to receive. The shortfall is then discounted to the asset’s original effective interest rate.</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estimated its expected credit losses for its contract assets and trade receivables at an amount equal to lifetime credit losses, while marketable securities and other receivables are measured at 12-months ECL if they are determined to have low credit risk at the reporting date.</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3"/>
          <w:szCs w:val="13"/>
          <w:i w:val="1"/>
          <w:iCs w:val="1"/>
          <w:color w:val="auto"/>
        </w:rPr>
        <w:t>Offsetting of Financial Instruments</w:t>
      </w:r>
      <w:r>
        <w:rPr>
          <w:rFonts w:ascii="Arial" w:cs="Arial" w:eastAsia="Arial" w:hAnsi="Arial"/>
          <w:sz w:val="13"/>
          <w:szCs w:val="13"/>
          <w:color w:val="auto"/>
        </w:rPr>
        <w:t>—Financial assets and financial liabilities are offset and the net amount reported in the consolidated statements of financial position when there is an enforceable</w:t>
      </w:r>
      <w:r>
        <w:rPr>
          <w:rFonts w:ascii="Arial" w:cs="Arial" w:eastAsia="Arial" w:hAnsi="Arial"/>
          <w:sz w:val="13"/>
          <w:szCs w:val="13"/>
          <w:i w:val="1"/>
          <w:iCs w:val="1"/>
          <w:color w:val="auto"/>
        </w:rPr>
        <w:t xml:space="preserve"> </w:t>
      </w:r>
      <w:r>
        <w:rPr>
          <w:rFonts w:ascii="Arial" w:cs="Arial" w:eastAsia="Arial" w:hAnsi="Arial"/>
          <w:sz w:val="13"/>
          <w:szCs w:val="13"/>
          <w:color w:val="auto"/>
        </w:rPr>
        <w:t>legal right to offset the recognized amounts, and there is an intention to settle on a net basis, or to realize the assets and settle the liabilities simultaneously.</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3"/>
          <w:szCs w:val="13"/>
          <w:i w:val="1"/>
          <w:iCs w:val="1"/>
          <w:color w:val="auto"/>
        </w:rPr>
        <w:t>Fair Value of Financial Instruments</w:t>
      </w:r>
      <w:r>
        <w:rPr>
          <w:rFonts w:ascii="Arial" w:cs="Arial" w:eastAsia="Arial" w:hAnsi="Arial"/>
          <w:sz w:val="13"/>
          <w:szCs w:val="13"/>
          <w:color w:val="auto"/>
        </w:rPr>
        <w:t>—The fair value of financial instruments that are traded in active markets at each reporting date is determined by reference to quoted market prices or dealer price</w:t>
      </w:r>
      <w:r>
        <w:rPr>
          <w:rFonts w:ascii="Arial" w:cs="Arial" w:eastAsia="Arial" w:hAnsi="Arial"/>
          <w:sz w:val="13"/>
          <w:szCs w:val="13"/>
          <w:i w:val="1"/>
          <w:iCs w:val="1"/>
          <w:color w:val="auto"/>
        </w:rPr>
        <w:t xml:space="preserve"> </w:t>
      </w:r>
      <w:r>
        <w:rPr>
          <w:rFonts w:ascii="Arial" w:cs="Arial" w:eastAsia="Arial" w:hAnsi="Arial"/>
          <w:sz w:val="13"/>
          <w:szCs w:val="13"/>
          <w:color w:val="auto"/>
        </w:rPr>
        <w:t>quotations (bid price for long positions and ask price for short positions), without any deduction for transaction costs.</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For financial instruments not traded in an active market, the fair value is determined using appropriate valuation techniques. Such techniques may include using recent arm’s-length market transactions; reference to the current fair value of another instrument that is substantially the same; a discounted cash flow analysis or other valuation models.</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3"/>
          <w:szCs w:val="13"/>
          <w:i w:val="1"/>
          <w:iCs w:val="1"/>
          <w:color w:val="auto"/>
        </w:rPr>
        <w:t>Derivative Financial Instruments and Hedge Accounting</w:t>
      </w:r>
      <w:r>
        <w:rPr>
          <w:rFonts w:ascii="Arial" w:cs="Arial" w:eastAsia="Arial" w:hAnsi="Arial"/>
          <w:sz w:val="13"/>
          <w:szCs w:val="13"/>
          <w:color w:val="auto"/>
        </w:rPr>
        <w:t>—The Company uses derivative financial instruments, such as foreign currency forward contracts, interest rate swaps, cross currency swaps</w:t>
      </w:r>
      <w:r>
        <w:rPr>
          <w:rFonts w:ascii="Arial" w:cs="Arial" w:eastAsia="Arial" w:hAnsi="Arial"/>
          <w:sz w:val="13"/>
          <w:szCs w:val="13"/>
          <w:i w:val="1"/>
          <w:iCs w:val="1"/>
          <w:color w:val="auto"/>
        </w:rPr>
        <w:t xml:space="preserve"> </w:t>
      </w:r>
      <w:r>
        <w:rPr>
          <w:rFonts w:ascii="Arial" w:cs="Arial" w:eastAsia="Arial" w:hAnsi="Arial"/>
          <w:sz w:val="13"/>
          <w:szCs w:val="13"/>
          <w:color w:val="auto"/>
        </w:rPr>
        <w:t>and commodity forward contracts to mitigate the risks associated with changes in foreign currency exchange, interest rates and commodity price. The Company does not use derivative financial instruments for trading or speculative purposes. Derivative financial instruments are initially recognized at fair value on the date on which a derivative contract is entered into and are subsequently remeasured at fair value at each reporting date. Derivatives are carried as financial assets when the fair value is positive and as financial liabilities when the fair value is negative.</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applying its strategy, from time to time, the Company uses foreign currency forward contracts to hedge certain forecasted expenses denominated in foreign currencies, primarily the Euro and Singapore Dollar. The Company hedges future cash flows for capital expenditures denominated in foreign currencies, primarily the Euro. In addition, the Company uses pay-fixed/receive-float interest rate swaps and cross-currency swaps to protect the Company against adverse fluctuations in interest rates and foreign currency rates and to reduce its exposure to variability in cash flows on the Company’s forecasted floating-rate debts and foreign currency- denominated debts. The Company also uses commodity forward contracts to hedge forecasted electricity consumption to minimize the impact of commodity price movements on the reported earnings of the Company and on future cash flows related to fluctuations of the contractually specified, separately identifiable and reliably measurable commodity risk component.</w:t>
      </w:r>
    </w:p>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At the inception of the hedge relationship, the Company documents the relationship between the hedging instrument and the hedged item along with its risk management objectives and its strategy for undertaking various hedge transactions. Furthermore, at the inception of the hedge, and on an ongoing basis, the Company documents whether a hedging relationship meets the hedge effectiveness requirements under IFRS 9 and whether there continues to be an economic relationship between the hedged item and the hedging instrument. The Company designates these contracts and swaps as cash flow hedges of forecasted expenses, capital expenditures or floating-rate and foreign currency denominated debts, as applicable, and evaluates hedge effectiveness prospectively.</w:t>
      </w:r>
    </w:p>
    <w:p>
      <w:pPr>
        <w:spacing w:after="0" w:line="5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such, the effective portion of the gain or loss on these contracts and swaps is reported as a component of OCI and reclassified to the consolidated statements of operations in the same line item as the associated forecasted transaction for expenses and in the same period during which the hedged item affects earnings. For hedges of capital expenditures, the amount in OCI is incorporated into the initial carrying amounts of the non-financial assets and depreciated over the average useful life of the underlying assets. Any ineffective portion of hedges for expenses or capital expenditures is immediately recorded in the consolidated statements of operations.</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Hedge accounting is discontinued when the hedging instrument expires or is sold, terminated, or exercised, or when it no longer meets the criteria for hedge accounting. Any gain or loss recognized in the cash flow hedge reserve remains in equity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9" w:name="page100"/>
    <w:bookmarkEnd w:id="99"/>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and is recognized in the consolidated statements of operations when the forecast transaction is ultimately recognized in the consolidated statements of operations. When a forecasted transaction is no longer expected to occur, the gain or loss accumulated in equity is recognized immediately in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Derecognition of financial assets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derecognizes a financial asset only when the contractual rights to the cash flows from the financial asset expire, or when it transfers the financial asset and substantially all the risks and rewards of ownership of the financial asset to another entity. On derecognition of a financial asset at amortized cost in its entirety, the difference between the asset’s carrying amount and the sum of the consideration received and receivable is recognized in the consolidated statements of operations.</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derecognition of an investment in a debt instrument at FVOCI, the difference between the asset’s carrying amount and the sum of the consideration received and receivable and the cumulative gain or loss that had been recognized in OCI is recognized in the consolidated statements of operations. However, on derecognition of an investment in an equity instrument at FVOCI, the cumulative gain or loss that had been recognized in OCI is transferred directly to retained earnings, without recycling through the consolidated statements of operations.</w:t>
      </w:r>
    </w:p>
    <w:p>
      <w:pPr>
        <w:spacing w:after="0" w:line="3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color w:val="auto"/>
        </w:rPr>
        <w:t>Intangible Assets</w:t>
      </w:r>
      <w:r>
        <w:rPr>
          <w:rFonts w:ascii="Arial" w:cs="Arial" w:eastAsia="Arial" w:hAnsi="Arial"/>
          <w:sz w:val="13"/>
          <w:szCs w:val="13"/>
          <w:color w:val="auto"/>
        </w:rPr>
        <w:t>—Technology, patent, software licenses and similar rights acquired separately are stated at cost or are adjusted to fair value when impaired. Intangible assets acquired through</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combinations which include customer relationships and manufacturing and process technology, are recorded at estimated fair values at the date of acquisition. Intangible assets are amortized based on the pattern in which the economic benefits of the respective intangible asset are consumed, which is in general on a straight-line basis over their estimated useful lives of between 3 and 10 years. The amortization period and the amortization method for an intangible asset with a finite useful life are reviewed at least at the end of each reporting period, with the effect of any changes in estimate being accounted for on a prospective basis.</w:t>
      </w:r>
    </w:p>
    <w:p>
      <w:pPr>
        <w:spacing w:after="0" w:line="33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b w:val="1"/>
          <w:bCs w:val="1"/>
          <w:color w:val="auto"/>
        </w:rPr>
        <w:t>Impairment of Non-Financial Assets</w:t>
      </w:r>
      <w:r>
        <w:rPr>
          <w:rFonts w:ascii="Arial" w:cs="Arial" w:eastAsia="Arial" w:hAnsi="Arial"/>
          <w:sz w:val="13"/>
          <w:szCs w:val="13"/>
          <w:color w:val="auto"/>
        </w:rPr>
        <w:t>—The Company reviews, at each reporting date, the carrying amount of the Company’s property, plant and equipment and finite lived intangible assets to</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 whether there is any indication that those assets have suffered an impairment loss.</w:t>
      </w:r>
    </w:p>
    <w:p>
      <w:pPr>
        <w:spacing w:after="0" w:line="51"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If any indication exists, the recoverable amount of the asset is estimated in order to determine the extent, if any, of the impairment loss. Where it is not possible to estimate the recoverable amount of an individual assets, the Company estimates the recoverable amount of the cash generating unit (“CGU”) to which the asset belongs. The recoverable amount of an asset or CGU is estimated to be the higher of an asset’s or CGU’s fair value less costs to dispose and its value in use. When the carrying amount of an asset or CGU exceeds its recoverable amount, the asset or CGU is considered impaired and is written down to its recoverable amount. The Company also evaluates, and adjusts if appropriate, the asset’s useful lives, at each reporting date or when impairment indicators exist.</w:t>
      </w:r>
    </w:p>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assessing value in use, the estimated future post-tax cash flows are discounted to their present value using a post-tax discount rate that reflects current market assessments of the time value of money and the risks specific to the asset for which the estimates of future cash flows have not been adjusted. The Company bases its impairment calculation on detailed budgets and forecast calculations, which may include an approved formal five-year management plan for each of the CGUs to which the individual assets are allocated. In determining fair value less costs to sell, recent market transactions are taken into account. If no such transactions can be identified, an appropriate valuation model is used.</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Impairment losses are recognized in the consolidated statements of operations and comprehensive income (loss) to the extent of the recoverable amount, measured at the present value of discounted cash flows attributable to the assets, is less than their carrying value.</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If the recoverable amount subsequently increases, the impairment loss previously recognized will be reversed to the extent of the increase in the recoverable amount, provided that the increased carrying amount does not exceed the carrying amount that would have been determined had no impairment loss been recognized for the asset in prior years. The impairment loss reversal is recognized immediately in the consolidated statements of operations.</w:t>
      </w:r>
    </w:p>
    <w:p>
      <w:pPr>
        <w:spacing w:after="0" w:line="33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b w:val="1"/>
          <w:bCs w:val="1"/>
          <w:color w:val="auto"/>
        </w:rPr>
        <w:t>Provisions</w:t>
      </w:r>
      <w:r>
        <w:rPr>
          <w:rFonts w:ascii="Arial" w:cs="Arial" w:eastAsia="Arial" w:hAnsi="Arial"/>
          <w:sz w:val="13"/>
          <w:szCs w:val="13"/>
          <w:color w:val="auto"/>
        </w:rPr>
        <w:t>—Provisions are recognized when the Company has a present legal or constructive obligation as a result of past events; it is probable that an outflow of resources will be required to settle</w:t>
      </w:r>
      <w:r>
        <w:rPr>
          <w:rFonts w:ascii="Arial" w:cs="Arial" w:eastAsia="Arial" w:hAnsi="Arial"/>
          <w:sz w:val="13"/>
          <w:szCs w:val="13"/>
          <w:b w:val="1"/>
          <w:bCs w:val="1"/>
          <w:color w:val="auto"/>
        </w:rPr>
        <w:t xml:space="preserve"> </w:t>
      </w:r>
      <w:r>
        <w:rPr>
          <w:rFonts w:ascii="Arial" w:cs="Arial" w:eastAsia="Arial" w:hAnsi="Arial"/>
          <w:sz w:val="13"/>
          <w:szCs w:val="13"/>
          <w:color w:val="auto"/>
        </w:rPr>
        <w:t>the obligation; and the amount has been reliably estimated. Provisions are mainly made up of site restoration obligations, as well as restructuring charges. The associated site restoration costs are capitalized as part of the carrying amount of the underlying asset and depreciated over the estimated useful life of the related long-lived assets.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A provision for restructuring is recognized when the Company has approved a detailed and formal restructuring plan, and the restructuring either has commenced or has been announced publicly.</w:t>
      </w:r>
    </w:p>
    <w:p>
      <w:pPr>
        <w:spacing w:after="0"/>
        <w:rPr>
          <w:sz w:val="20"/>
          <w:szCs w:val="20"/>
          <w:color w:val="auto"/>
        </w:rPr>
      </w:pPr>
      <w:r>
        <w:rPr>
          <w:rFonts w:ascii="Arial" w:cs="Arial" w:eastAsia="Arial" w:hAnsi="Arial"/>
          <w:sz w:val="13"/>
          <w:szCs w:val="13"/>
          <w:color w:val="auto"/>
        </w:rPr>
        <w:t>Future operating losses are not provided for.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Company records site restoration obligations in the period in which they are incurred at their estimated fair value. Site restoration obligations consist of the present value of the estimated costs of dismantlement, removal, site reclamation and similar activities associated with facilities built on land held under long-term operating leases. The site restoration obligations are recorded as a liability at the estimated present value as of the related long-lived asset’s inception discounted using a pre-tax rate that reflects the current market assessment of the time value of money and risks specific to the site restoration obligations. After initial recognition, the liability is increased for the passage of time, with the increase being reflected as accretion expense in the line item “finance expenses” in the consolidated statements of operations and comprehensive income (loss). The associated site restoration costs are capitalized as part of the carrying amount of the underlying asset and depreciated over the estimated useful life of the related long-lived asset. Subsequent adjustments in the discount rates, estimated amounts, timing and probability of the estimated future costs and changes resulting from the passage of time are recognized as an increase or decrease in the carrying amount of the liability and the related site restoration cost capitalized as part of the carrying amount of the related long-lived asset on a prospective basis. If the decrease in the liability exceeds the remaining carrying amount of the related long-lived assets, the excess is recognized in the consolidated statements of operations.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color w:val="auto"/>
        </w:rPr>
        <w:t>Property, Plant and Equipment</w:t>
      </w:r>
      <w:r>
        <w:rPr>
          <w:rFonts w:ascii="Arial" w:cs="Arial" w:eastAsia="Arial" w:hAnsi="Arial"/>
          <w:sz w:val="13"/>
          <w:szCs w:val="13"/>
          <w:color w:val="auto"/>
        </w:rPr>
        <w:t>—Construction in progress, property, plant and equipment are stated at historical cost, net of accumulated depreciation. The assets’ residual values and useful life are</w:t>
      </w:r>
      <w:r>
        <w:rPr>
          <w:rFonts w:ascii="Arial" w:cs="Arial" w:eastAsia="Arial" w:hAnsi="Arial"/>
          <w:sz w:val="13"/>
          <w:szCs w:val="13"/>
          <w:b w:val="1"/>
          <w:bCs w:val="1"/>
          <w:color w:val="auto"/>
        </w:rPr>
        <w:t xml:space="preserve"> </w:t>
      </w:r>
      <w:r>
        <w:rPr>
          <w:rFonts w:ascii="Arial" w:cs="Arial" w:eastAsia="Arial" w:hAnsi="Arial"/>
          <w:sz w:val="13"/>
          <w:szCs w:val="13"/>
          <w:color w:val="auto"/>
        </w:rPr>
        <w:t>reviewed, and adjusted if appropriate, at each balance sheet date. Major additions and improvements are capitalized as appropriate, only when it is probable that future economic benefits associated with the item and the cost of the item can be measured reliably; minor replacements and repairs are charged to the consolidated statements of operations. The Company also capitalizes interest on borrowings related to eligible capital expenditures. Capitalized interest is added to the cost of qualified assets and depreciated together with that asset cost. The Company also records capital-related government grants, not subject to forfeiture, as a reduction to property, plant and equipment.</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Depreciation generally begins when the asset is in the location and condition necessary for it to be capable of operating in the manner intended by management (available for use). Depreciation is calculated on a straight-line basis over the estimated useful life of the assets as follows:</w:t>
      </w:r>
    </w:p>
    <w:p>
      <w:pPr>
        <w:sectPr>
          <w:pgSz w:w="11900" w:h="16838" w:orient="portrait"/>
          <w:cols w:equalWidth="0" w:num="1">
            <w:col w:w="11280"/>
          </w:cols>
          <w:pgMar w:left="300" w:top="183" w:right="319" w:bottom="1440" w:gutter="0" w:footer="0" w:header="0"/>
        </w:sectPr>
      </w:pPr>
    </w:p>
    <w:p>
      <w:pPr>
        <w:spacing w:after="0" w:line="9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Building and leasehold/land improvements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00"/>
        <w:spacing w:after="0" w:line="225" w:lineRule="auto"/>
        <w:rPr>
          <w:sz w:val="20"/>
          <w:szCs w:val="20"/>
          <w:color w:val="auto"/>
        </w:rPr>
      </w:pPr>
      <w:r>
        <w:rPr>
          <w:rFonts w:ascii="Arial" w:cs="Arial" w:eastAsia="Arial" w:hAnsi="Arial"/>
          <w:sz w:val="13"/>
          <w:szCs w:val="13"/>
          <w:color w:val="auto"/>
        </w:rPr>
        <w:t>Up to 26 years (or the remaining lease term of related land on which the buildings are erected, if shorter)</w:t>
      </w:r>
    </w:p>
    <w:p>
      <w:pPr>
        <w:spacing w:after="0" w:line="17" w:lineRule="exact"/>
        <w:rPr>
          <w:sz w:val="20"/>
          <w:szCs w:val="20"/>
          <w:color w:val="auto"/>
        </w:rPr>
      </w:pPr>
    </w:p>
    <w:p>
      <w:pPr>
        <w:sectPr>
          <w:pgSz w:w="11900" w:h="16838" w:orient="portrait"/>
          <w:cols w:equalWidth="0" w:num="2">
            <w:col w:w="5060" w:space="720"/>
            <w:col w:w="5500"/>
          </w:cols>
          <w:pgMar w:left="300" w:top="183" w:right="319" w:bottom="1440" w:gutter="0" w:footer="0" w:header="0"/>
          <w:type w:val="continuous"/>
        </w:sectPr>
      </w:pPr>
    </w:p>
    <w:p>
      <w:pPr>
        <w:ind w:left="280"/>
        <w:spacing w:after="0"/>
        <w:rPr>
          <w:sz w:val="20"/>
          <w:szCs w:val="20"/>
          <w:color w:val="auto"/>
        </w:rPr>
      </w:pPr>
      <w:r>
        <w:rPr>
          <w:rFonts w:ascii="Arial" w:cs="Arial" w:eastAsia="Arial" w:hAnsi="Arial"/>
          <w:sz w:val="12"/>
          <w:szCs w:val="12"/>
          <w:color w:val="auto"/>
        </w:rPr>
        <w:t>Equipment</w:t>
      </w:r>
    </w:p>
    <w:p>
      <w:pPr>
        <w:spacing w:after="0" w:line="20" w:lineRule="exact"/>
        <w:rPr>
          <w:sz w:val="20"/>
          <w:szCs w:val="20"/>
          <w:color w:val="auto"/>
        </w:rPr>
      </w:pPr>
      <w:r>
        <w:rPr>
          <w:sz w:val="20"/>
          <w:szCs w:val="20"/>
          <w:color w:val="auto"/>
        </w:rPr>
        <w:br w:type="column"/>
      </w:r>
    </w:p>
    <w:p>
      <w:pPr>
        <w:jc w:val="center"/>
        <w:ind w:right="4760"/>
        <w:spacing w:after="0"/>
        <w:rPr>
          <w:sz w:val="20"/>
          <w:szCs w:val="20"/>
          <w:color w:val="auto"/>
        </w:rPr>
      </w:pPr>
      <w:r>
        <w:rPr>
          <w:rFonts w:ascii="Arial" w:cs="Arial" w:eastAsia="Arial" w:hAnsi="Arial"/>
          <w:sz w:val="12"/>
          <w:szCs w:val="12"/>
          <w:color w:val="auto"/>
        </w:rPr>
        <w:t>2 to 10 years</w:t>
      </w:r>
    </w:p>
    <w:p>
      <w:pPr>
        <w:spacing w:after="0" w:line="32" w:lineRule="exact"/>
        <w:rPr>
          <w:sz w:val="20"/>
          <w:szCs w:val="20"/>
          <w:color w:val="auto"/>
        </w:rPr>
      </w:pPr>
    </w:p>
    <w:p>
      <w:pPr>
        <w:sectPr>
          <w:pgSz w:w="11900" w:h="16838" w:orient="portrait"/>
          <w:cols w:equalWidth="0" w:num="2">
            <w:col w:w="5060" w:space="720"/>
            <w:col w:w="5500"/>
          </w:cols>
          <w:pgMar w:left="300" w:top="183" w:right="319" w:bottom="1440" w:gutter="0" w:footer="0" w:header="0"/>
          <w:type w:val="continuous"/>
        </w:sectPr>
      </w:pPr>
    </w:p>
    <w:p>
      <w:pPr>
        <w:ind w:left="280"/>
        <w:spacing w:after="0"/>
        <w:rPr>
          <w:sz w:val="20"/>
          <w:szCs w:val="20"/>
          <w:color w:val="auto"/>
        </w:rPr>
      </w:pPr>
      <w:r>
        <w:rPr>
          <w:rFonts w:ascii="Arial" w:cs="Arial" w:eastAsia="Arial" w:hAnsi="Arial"/>
          <w:sz w:val="12"/>
          <w:szCs w:val="12"/>
          <w:color w:val="auto"/>
        </w:rPr>
        <w:t>Computers</w:t>
      </w:r>
    </w:p>
    <w:p>
      <w:pPr>
        <w:spacing w:after="0" w:line="20" w:lineRule="exact"/>
        <w:rPr>
          <w:sz w:val="20"/>
          <w:szCs w:val="20"/>
          <w:color w:val="auto"/>
        </w:rPr>
      </w:pPr>
      <w:r>
        <w:rPr>
          <w:sz w:val="20"/>
          <w:szCs w:val="20"/>
          <w:color w:val="auto"/>
        </w:rPr>
        <w:br w:type="column"/>
      </w:r>
    </w:p>
    <w:p>
      <w:pPr>
        <w:jc w:val="center"/>
        <w:ind w:right="5080"/>
        <w:spacing w:after="0"/>
        <w:rPr>
          <w:sz w:val="20"/>
          <w:szCs w:val="20"/>
          <w:color w:val="auto"/>
        </w:rPr>
      </w:pPr>
      <w:r>
        <w:rPr>
          <w:rFonts w:ascii="Arial" w:cs="Arial" w:eastAsia="Arial" w:hAnsi="Arial"/>
          <w:sz w:val="12"/>
          <w:szCs w:val="12"/>
          <w:color w:val="auto"/>
        </w:rPr>
        <w:t>5 years</w:t>
      </w:r>
    </w:p>
    <w:p>
      <w:pPr>
        <w:spacing w:after="0" w:line="180" w:lineRule="exact"/>
        <w:rPr>
          <w:sz w:val="20"/>
          <w:szCs w:val="20"/>
          <w:color w:val="auto"/>
        </w:rPr>
      </w:pPr>
    </w:p>
    <w:p>
      <w:pPr>
        <w:sectPr>
          <w:pgSz w:w="11900" w:h="16838" w:orient="portrait"/>
          <w:cols w:equalWidth="0" w:num="2">
            <w:col w:w="5060" w:space="720"/>
            <w:col w:w="5500"/>
          </w:cols>
          <w:pgMar w:left="300" w:top="183" w:right="319" w:bottom="1440" w:gutter="0" w:footer="0" w:header="0"/>
          <w:type w:val="continuous"/>
        </w:sectPr>
      </w:pPr>
    </w:p>
    <w:p>
      <w:pPr>
        <w:jc w:val="both"/>
        <w:spacing w:after="0" w:line="273" w:lineRule="auto"/>
        <w:rPr>
          <w:sz w:val="20"/>
          <w:szCs w:val="20"/>
          <w:color w:val="auto"/>
        </w:rPr>
      </w:pPr>
      <w:r>
        <w:rPr>
          <w:rFonts w:ascii="Arial" w:cs="Arial" w:eastAsia="Arial" w:hAnsi="Arial"/>
          <w:sz w:val="12"/>
          <w:szCs w:val="12"/>
          <w:color w:val="auto"/>
        </w:rPr>
        <w:t>During the first quarter of 2021, we revised the estimated useful life of certain production equipment and machinery from a range of 5 to 8 years, to 10 years. We made this change to better reflect the expected pattern of economic benefits from the use of the equipment and machinery over time, based on an analysis of production equipment’s current use, historical age patterns, and future plans and technology roadmaps, as well as an analysis of industry trends and practices. The analysis concluded that an increase in useful lives was warranted, and consistent with the Company’s continuing portfolio shift from leading-edge to feature-rich trailing edge technologies. The change in estimated useful life is a change in accounting estimate that was applied prospectively from January 1, 2021.</w:t>
      </w:r>
    </w:p>
    <w:p>
      <w:pPr>
        <w:spacing w:after="0" w:line="32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b w:val="1"/>
          <w:bCs w:val="1"/>
          <w:color w:val="auto"/>
        </w:rPr>
        <w:t>Leasing</w:t>
      </w:r>
      <w:r>
        <w:rPr>
          <w:rFonts w:ascii="Arial" w:cs="Arial" w:eastAsia="Arial" w:hAnsi="Arial"/>
          <w:sz w:val="13"/>
          <w:szCs w:val="13"/>
          <w:color w:val="auto"/>
        </w:rPr>
        <w:t>—The Company determines if an arrangement is a lease or contains a lease at inception. That is, if the contract conveys the right to control the use of an identified asset for a period of time in</w:t>
      </w:r>
      <w:r>
        <w:rPr>
          <w:rFonts w:ascii="Arial" w:cs="Arial" w:eastAsia="Arial" w:hAnsi="Arial"/>
          <w:sz w:val="13"/>
          <w:szCs w:val="13"/>
          <w:b w:val="1"/>
          <w:bCs w:val="1"/>
          <w:color w:val="auto"/>
        </w:rPr>
        <w:t xml:space="preserve"> </w:t>
      </w:r>
      <w:r>
        <w:rPr>
          <w:rFonts w:ascii="Arial" w:cs="Arial" w:eastAsia="Arial" w:hAnsi="Arial"/>
          <w:sz w:val="13"/>
          <w:szCs w:val="13"/>
          <w:color w:val="auto"/>
        </w:rPr>
        <w:t>exchange for consideration.</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i w:val="1"/>
          <w:iCs w:val="1"/>
          <w:color w:val="auto"/>
        </w:rPr>
        <w:t>Right-of-use assets</w:t>
      </w:r>
      <w:r>
        <w:rPr>
          <w:rFonts w:ascii="Arial" w:cs="Arial" w:eastAsia="Arial" w:hAnsi="Arial"/>
          <w:sz w:val="13"/>
          <w:szCs w:val="13"/>
          <w:color w:val="auto"/>
        </w:rPr>
        <w:t>—The Company recognizes right-of-use assets at the commencement date of the lease (i.e. the date the underlying asset is available for use). Right-of-use assets are reported</w:t>
      </w:r>
      <w:r>
        <w:rPr>
          <w:rFonts w:ascii="Arial" w:cs="Arial" w:eastAsia="Arial" w:hAnsi="Arial"/>
          <w:sz w:val="13"/>
          <w:szCs w:val="13"/>
          <w:i w:val="1"/>
          <w:iCs w:val="1"/>
          <w:color w:val="auto"/>
        </w:rPr>
        <w:t xml:space="preserve"> </w:t>
      </w:r>
      <w:r>
        <w:rPr>
          <w:rFonts w:ascii="Arial" w:cs="Arial" w:eastAsia="Arial" w:hAnsi="Arial"/>
          <w:sz w:val="13"/>
          <w:szCs w:val="13"/>
          <w:color w:val="auto"/>
        </w:rPr>
        <w:t>within property, plant and equipment, and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w:t>
      </w:r>
    </w:p>
    <w:p>
      <w:pPr>
        <w:spacing w:after="0" w:line="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 ownership of the leased asset transfers to the Company at the end of the lease term or the cost reflects the exercise of a purchase option, depreciation is calculated using the estimated useful life of the asset.</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auto"/>
        </w:rPr>
        <w:t>Lease liabilities</w:t>
      </w:r>
      <w:r>
        <w:rPr>
          <w:rFonts w:ascii="Arial" w:cs="Arial" w:eastAsia="Arial" w:hAnsi="Arial"/>
          <w:sz w:val="13"/>
          <w:szCs w:val="13"/>
          <w:color w:val="auto"/>
        </w:rPr>
        <w:t>—At the commencement date of the lease, the Company recognizes lease liabilities measured at the present value of the lease payments to be made over the lease term. Only lease</w:t>
      </w:r>
      <w:r>
        <w:rPr>
          <w:rFonts w:ascii="Arial" w:cs="Arial" w:eastAsia="Arial" w:hAnsi="Arial"/>
          <w:sz w:val="13"/>
          <w:szCs w:val="13"/>
          <w:i w:val="1"/>
          <w:iCs w:val="1"/>
          <w:color w:val="auto"/>
        </w:rPr>
        <w:t xml:space="preserve"> </w:t>
      </w:r>
      <w:r>
        <w:rPr>
          <w:rFonts w:ascii="Arial" w:cs="Arial" w:eastAsia="Arial" w:hAnsi="Arial"/>
          <w:sz w:val="13"/>
          <w:szCs w:val="13"/>
          <w:color w:val="auto"/>
        </w:rPr>
        <w:t>payments that are fixed and determinable are considered at the time of commencement. The lease payment includes fixed payments (including in-substance fixed payments) less any lease incentives,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terminating the lease, if the lease term reflects the Company exercising the option to terminate. Variable lease payments that do not depend on an index or a rate are recognized as expenses (unless they are incurred to produce inventories) in the period in which the event or condition that triggers the payment occurs.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calculating the present value of lease payments, the Company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w:t>
      </w:r>
      <w:r>
        <w:rPr>
          <w:rFonts w:ascii="Arial" w:cs="Arial" w:eastAsia="Arial" w:hAnsi="Arial"/>
          <w:sz w:val="13"/>
          <w:szCs w:val="13"/>
          <w:i w:val="1"/>
          <w:iCs w:val="1"/>
          <w:color w:val="auto"/>
        </w:rPr>
        <w:t>.</w:t>
      </w:r>
      <w:r>
        <w:rPr>
          <w:rFonts w:ascii="Arial" w:cs="Arial" w:eastAsia="Arial" w:hAnsi="Arial"/>
          <w:sz w:val="13"/>
          <w:szCs w:val="13"/>
          <w:color w:val="auto"/>
        </w:rPr>
        <w:t>, changes to future payments resulting from a change in an index or rate used to determine such lease payments) or a change in the assessment of an option to purchase the underlying assets.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The Company’s lease liabilities are separately reported in the consolidated statements of financial position under non-current portion of lease obligations and current portion of lease obligations.</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i w:val="1"/>
          <w:iCs w:val="1"/>
          <w:color w:val="auto"/>
        </w:rPr>
        <w:t>Short-term leases and leases of low-value assets</w:t>
      </w:r>
      <w:r>
        <w:rPr>
          <w:rFonts w:ascii="Arial" w:cs="Arial" w:eastAsia="Arial" w:hAnsi="Arial"/>
          <w:sz w:val="13"/>
          <w:szCs w:val="13"/>
          <w:color w:val="auto"/>
        </w:rPr>
        <w:t>—The Company applies the short-term lease recognition exemption to leases that have a lease term not exceeding 12 months, or for leases of low-value assets. The payment for such leases is recognized in the Company’s consolidated statements of operations on a straight-line basis over the lease term.</w:t>
      </w:r>
    </w:p>
    <w:p>
      <w:pPr>
        <w:spacing w:after="0" w:line="337"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Earnings Per Share</w:t>
      </w:r>
      <w:r>
        <w:rPr>
          <w:rFonts w:ascii="Arial" w:cs="Arial" w:eastAsia="Arial" w:hAnsi="Arial"/>
          <w:sz w:val="13"/>
          <w:szCs w:val="13"/>
          <w:color w:val="auto"/>
        </w:rPr>
        <w:t>—Basic earnings per share is calculated by dividing the net income (loss) attributable to equity holders of the Company by the weighted average number of ordinary shares</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 during the year.</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Diluted earnings per share is calculated by dividing the net income (loss) attributable to equity holders of the Company by the weighted average number of ordinary shares outstanding, adjusted for the effects of all potentially dilutive ordinary shares. The weighted average number of ordinary shares outstanding is increased by the number of additional ordinary shares that would have been issued by the Company assuming exercise of all options with exercise prices below the average market price for the year.</w:t>
      </w:r>
    </w:p>
    <w:p>
      <w:pPr>
        <w:spacing w:after="0" w:line="35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color w:val="auto"/>
        </w:rPr>
        <w:t>Government Grants</w:t>
      </w:r>
      <w:r>
        <w:rPr>
          <w:rFonts w:ascii="Arial" w:cs="Arial" w:eastAsia="Arial" w:hAnsi="Arial"/>
          <w:sz w:val="13"/>
          <w:szCs w:val="13"/>
          <w:color w:val="auto"/>
        </w:rPr>
        <w:t>—Government grants are recognized when there is reasonable assurance that the grant will be received and all attached conditions will be complied with. When the grant relates</w:t>
      </w:r>
      <w:r>
        <w:rPr>
          <w:rFonts w:ascii="Arial" w:cs="Arial" w:eastAsia="Arial" w:hAnsi="Arial"/>
          <w:sz w:val="13"/>
          <w:szCs w:val="13"/>
          <w:b w:val="1"/>
          <w:bCs w:val="1"/>
          <w:color w:val="auto"/>
        </w:rPr>
        <w:t xml:space="preserve"> </w:t>
      </w:r>
      <w:r>
        <w:rPr>
          <w:rFonts w:ascii="Arial" w:cs="Arial" w:eastAsia="Arial" w:hAnsi="Arial"/>
          <w:sz w:val="13"/>
          <w:szCs w:val="13"/>
          <w:color w:val="auto"/>
        </w:rPr>
        <w:t>to an expense item or relates to acquisition of assets, it is recognized as deferred income and released to the consolidated statements of operations over the period necessary to match the grant on a systematic basis to the costs that it is intended to compensate and is presented as a reduction of those costs. Where the grant relates to investment tax credits, it is recognized as a reduction in the basis of the asset and released as a reduction to depreciation expense in equal amounts over the expected useful life of the related asset. Grants the Company received are primarily provided in connection with construction and operation of the Company’s manufacturing facilities, employment, research and development.</w:t>
      </w:r>
    </w:p>
    <w:p>
      <w:pPr>
        <w:spacing w:after="0" w:line="34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Research and Development Costs</w:t>
      </w:r>
      <w:r>
        <w:rPr>
          <w:rFonts w:ascii="Arial" w:cs="Arial" w:eastAsia="Arial" w:hAnsi="Arial"/>
          <w:sz w:val="13"/>
          <w:szCs w:val="13"/>
          <w:color w:val="auto"/>
        </w:rPr>
        <w:t>—Research costs are expensed as incurred. Development costs are recognized as intangible assets only when it is probable that expected future economic</w:t>
      </w:r>
      <w:r>
        <w:rPr>
          <w:rFonts w:ascii="Arial" w:cs="Arial" w:eastAsia="Arial" w:hAnsi="Arial"/>
          <w:sz w:val="13"/>
          <w:szCs w:val="13"/>
          <w:b w:val="1"/>
          <w:bCs w:val="1"/>
          <w:color w:val="auto"/>
        </w:rPr>
        <w:t xml:space="preserve"> </w:t>
      </w:r>
      <w:r>
        <w:rPr>
          <w:rFonts w:ascii="Arial" w:cs="Arial" w:eastAsia="Arial" w:hAnsi="Arial"/>
          <w:sz w:val="13"/>
          <w:szCs w:val="13"/>
          <w:color w:val="auto"/>
        </w:rPr>
        <w:t>benefits, attributable to the development activities, will accrue to the Company.</w:t>
      </w:r>
    </w:p>
    <w:p>
      <w:pPr>
        <w:spacing w:after="0" w:line="32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b w:val="1"/>
          <w:bCs w:val="1"/>
          <w:color w:val="auto"/>
        </w:rPr>
        <w:t>Borrowing Costs</w:t>
      </w:r>
      <w:r>
        <w:rPr>
          <w:rFonts w:ascii="Arial" w:cs="Arial" w:eastAsia="Arial" w:hAnsi="Arial"/>
          <w:sz w:val="13"/>
          <w:szCs w:val="13"/>
          <w:color w:val="auto"/>
        </w:rPr>
        <w:t>—Borrowing costs directly attributable to the construction phase of property, plant and equipment are capitalized as part of the cost of assets which are constructed by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and for which a considerable period of time (at least six months) is planned for construction. Borrowing costs are capitalized from the start of construction until the date the asset is ready for its intended use. All other borrowing costs are recognized as an expense in the period in which they are incurred.</w:t>
      </w:r>
    </w:p>
    <w:p>
      <w:pPr>
        <w:spacing w:after="0" w:line="338"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Current Income Tax</w:t>
      </w:r>
      <w:r>
        <w:rPr>
          <w:rFonts w:ascii="Arial" w:cs="Arial" w:eastAsia="Arial" w:hAnsi="Arial"/>
          <w:sz w:val="13"/>
          <w:szCs w:val="13"/>
          <w:color w:val="auto"/>
        </w:rPr>
        <w:t>—Current income tax assets and liabilities are measured at the amount expected to be recovered from or paid to the taxation authorities. The tax rates and tax laws used to</w:t>
      </w:r>
      <w:r>
        <w:rPr>
          <w:rFonts w:ascii="Arial" w:cs="Arial" w:eastAsia="Arial" w:hAnsi="Arial"/>
          <w:sz w:val="13"/>
          <w:szCs w:val="13"/>
          <w:b w:val="1"/>
          <w:bCs w:val="1"/>
          <w:color w:val="auto"/>
        </w:rPr>
        <w:t xml:space="preserve"> </w:t>
      </w:r>
      <w:r>
        <w:rPr>
          <w:rFonts w:ascii="Arial" w:cs="Arial" w:eastAsia="Arial" w:hAnsi="Arial"/>
          <w:sz w:val="13"/>
          <w:szCs w:val="13"/>
          <w:color w:val="auto"/>
        </w:rPr>
        <w:t>compute the amount are those that are enacted or substantively enacted by the balance sheet date.</w:t>
      </w:r>
    </w:p>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b w:val="1"/>
          <w:bCs w:val="1"/>
          <w:color w:val="auto"/>
        </w:rPr>
        <w:t xml:space="preserve">Deferred Tax — </w:t>
      </w:r>
      <w:r>
        <w:rPr>
          <w:rFonts w:ascii="Arial" w:cs="Arial" w:eastAsia="Arial" w:hAnsi="Arial"/>
          <w:sz w:val="13"/>
          <w:szCs w:val="13"/>
          <w:color w:val="auto"/>
        </w:rPr>
        <w:t>Deferred income tax assets are recognized for all deductible temporary differences, carryforward of unused tax credits and unused tax losses, to the extent that it is probable that</w:t>
      </w:r>
      <w:r>
        <w:rPr>
          <w:rFonts w:ascii="Arial" w:cs="Arial" w:eastAsia="Arial" w:hAnsi="Arial"/>
          <w:sz w:val="13"/>
          <w:szCs w:val="13"/>
          <w:b w:val="1"/>
          <w:bCs w:val="1"/>
          <w:color w:val="auto"/>
        </w:rPr>
        <w:t xml:space="preserve"> </w:t>
      </w:r>
      <w:r>
        <w:rPr>
          <w:rFonts w:ascii="Arial" w:cs="Arial" w:eastAsia="Arial" w:hAnsi="Arial"/>
          <w:sz w:val="13"/>
          <w:szCs w:val="13"/>
          <w:color w:val="auto"/>
        </w:rPr>
        <w:t>taxable profit will be available against which the deductible temporary differences, and the carryforward of unused tax credits and unused tax losses can be utilized except in respect of deductible temporary differences associated with investments in subsidiaries, associates and interests in joint ventures, deferred income tax assets are recognized only to the extent that it is probable that the temporary differences will reverse in the foreseeable future and taxable profit will be available against which the temporary differences can be utilized.</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carrying amount of deferred income tax assets is reviewed at each balance sheet date and reduced to the extent that it is no longer probable that sufficient taxable profit will be available to allow all or part of the deferred income tax asset to be utilized. Unrecognized deferred income tax assets are reassessed at each balance sheet date and are recognized to the extent that it has become probable that future taxable profit will allow the deferred tax asset to be recovered.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Deferred income tax assets and liabilities are measured at the tax rates that are expected to apply to the year when the asset is realized or the liability is settled, based on tax rates (and tax laws) that have been enacted or substantively enacted at the balance sheet date.</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 Adopted:</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Amendments to IFRS 7, IFRS 9 and IAS 39 Interest Rate Benchmark Reform </w:t>
      </w:r>
      <w:r>
        <w:rPr>
          <w:rFonts w:ascii="Arial" w:cs="Arial" w:eastAsia="Arial" w:hAnsi="Arial"/>
          <w:sz w:val="13"/>
          <w:szCs w:val="13"/>
          <w:color w:val="auto"/>
        </w:rPr>
        <w:t>—</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i w:val="1"/>
          <w:iCs w:val="1"/>
          <w:color w:val="auto"/>
        </w:rPr>
        <w:t xml:space="preserve">Phase 1 Amendments </w:t>
      </w:r>
      <w:r>
        <w:rPr>
          <w:rFonts w:ascii="Arial" w:cs="Arial" w:eastAsia="Arial" w:hAnsi="Arial"/>
          <w:sz w:val="13"/>
          <w:szCs w:val="13"/>
          <w:color w:val="auto"/>
        </w:rPr>
        <w:t>- On 1 January 2020, the Company adopted the Phase 1 amendments arising from the Interbank Offered Rate (“IBOR”) reform amendments issued in September 2019, which</w:t>
      </w:r>
      <w:r>
        <w:rPr>
          <w:rFonts w:ascii="Arial" w:cs="Arial" w:eastAsia="Arial" w:hAnsi="Arial"/>
          <w:sz w:val="13"/>
          <w:szCs w:val="13"/>
          <w:i w:val="1"/>
          <w:iCs w:val="1"/>
          <w:color w:val="auto"/>
        </w:rPr>
        <w:t xml:space="preserve"> </w:t>
      </w:r>
      <w:r>
        <w:rPr>
          <w:rFonts w:ascii="Arial" w:cs="Arial" w:eastAsia="Arial" w:hAnsi="Arial"/>
          <w:sz w:val="13"/>
          <w:szCs w:val="13"/>
          <w:color w:val="auto"/>
        </w:rPr>
        <w:t>provides temporary relief from applying specific hedge accounting requirements to hedge relationships directly affected by IBOR reform, such that the effect is that IBOR reform should not generally cause hedge accounting to terminate.</w:t>
      </w:r>
    </w:p>
    <w:p>
      <w:pPr>
        <w:spacing w:after="0" w:line="72" w:lineRule="exact"/>
        <w:rPr>
          <w:sz w:val="20"/>
          <w:szCs w:val="20"/>
          <w:color w:val="auto"/>
        </w:rPr>
      </w:pPr>
    </w:p>
    <w:p>
      <w:pPr>
        <w:jc w:val="both"/>
        <w:spacing w:after="0" w:line="305" w:lineRule="auto"/>
        <w:rPr>
          <w:sz w:val="20"/>
          <w:szCs w:val="20"/>
          <w:color w:val="auto"/>
        </w:rPr>
      </w:pPr>
      <w:r>
        <w:rPr>
          <w:rFonts w:ascii="Arial" w:cs="Arial" w:eastAsia="Arial" w:hAnsi="Arial"/>
          <w:sz w:val="12"/>
          <w:szCs w:val="12"/>
          <w:i w:val="1"/>
          <w:iCs w:val="1"/>
          <w:color w:val="auto"/>
        </w:rPr>
        <w:t xml:space="preserve">Phase 2 Amendments </w:t>
      </w:r>
      <w:r>
        <w:rPr>
          <w:rFonts w:ascii="Arial" w:cs="Arial" w:eastAsia="Arial" w:hAnsi="Arial"/>
          <w:sz w:val="12"/>
          <w:szCs w:val="12"/>
          <w:color w:val="auto"/>
        </w:rPr>
        <w:t>- On 1 January 2021, the Company adopted the Phase 2 amendments arising from the IBOR reform issued in August 2020. The Phase 2 amendments address issues that arise</w:t>
      </w:r>
      <w:r>
        <w:rPr>
          <w:rFonts w:ascii="Arial" w:cs="Arial" w:eastAsia="Arial" w:hAnsi="Arial"/>
          <w:sz w:val="12"/>
          <w:szCs w:val="12"/>
          <w:i w:val="1"/>
          <w:iCs w:val="1"/>
          <w:color w:val="auto"/>
        </w:rPr>
        <w:t xml:space="preserve"> </w:t>
      </w:r>
      <w:r>
        <w:rPr>
          <w:rFonts w:ascii="Arial" w:cs="Arial" w:eastAsia="Arial" w:hAnsi="Arial"/>
          <w:sz w:val="12"/>
          <w:szCs w:val="12"/>
          <w:color w:val="auto"/>
        </w:rPr>
        <w:t>from the implementation of the IBOR reform, including the replacement of an interest rate benchmark with an alternative benchmark rate. The key reliefs provided to the Company are as follows:</w:t>
      </w:r>
    </w:p>
    <w:p>
      <w:pPr>
        <w:spacing w:after="0" w:line="54" w:lineRule="exact"/>
        <w:rPr>
          <w:sz w:val="20"/>
          <w:szCs w:val="20"/>
          <w:color w:val="auto"/>
        </w:rPr>
      </w:pPr>
    </w:p>
    <w:p>
      <w:pPr>
        <w:ind w:left="520" w:hanging="260"/>
        <w:spacing w:after="0" w:line="244" w:lineRule="auto"/>
        <w:tabs>
          <w:tab w:leader="none" w:pos="511" w:val="left"/>
        </w:tabs>
        <w:numPr>
          <w:ilvl w:val="0"/>
          <w:numId w:val="83"/>
        </w:numPr>
        <w:rPr>
          <w:rFonts w:ascii="Arial" w:cs="Arial" w:eastAsia="Arial" w:hAnsi="Arial"/>
          <w:sz w:val="13"/>
          <w:szCs w:val="13"/>
          <w:color w:val="auto"/>
        </w:rPr>
      </w:pPr>
      <w:r>
        <w:rPr>
          <w:rFonts w:ascii="Arial" w:cs="Arial" w:eastAsia="Arial" w:hAnsi="Arial"/>
          <w:sz w:val="13"/>
          <w:szCs w:val="13"/>
          <w:color w:val="auto"/>
        </w:rPr>
        <w:t>financial instruments measured at amortized cost are allowed to account for changes in the basis for determining contractual cash flows as a direct consequence of the IBOR reform by updating the effective interest rate, provided that the new basis is economically equivalent to the previous basis, such that there is no immediate gain or loss recognized; and</w:t>
      </w:r>
    </w:p>
    <w:p>
      <w:pPr>
        <w:spacing w:after="0" w:line="77" w:lineRule="exact"/>
        <w:rPr>
          <w:rFonts w:ascii="Arial" w:cs="Arial" w:eastAsia="Arial" w:hAnsi="Arial"/>
          <w:sz w:val="13"/>
          <w:szCs w:val="13"/>
          <w:color w:val="auto"/>
        </w:rPr>
      </w:pPr>
    </w:p>
    <w:p>
      <w:pPr>
        <w:ind w:left="500" w:hanging="240"/>
        <w:spacing w:after="0"/>
        <w:tabs>
          <w:tab w:leader="none" w:pos="5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most IFRS 9 hedge relationships that are directly affected by the IBOR reform are allowed to continue.</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evaluated the extent to which its cash flow hedging relationships are subject to uncertainty driven by IBOR reform as of December 31, 2022. The Company’s hedged items and hedging instruments continue to be indexed to the Euro Interbank offered rate (“EURIBOR”) and the London Inter-bank Offered Rate (“LIBOR”). These benchmark rates are quoted each day and the IBOR cash flows are exchanged with counterparties as usual. The Company has also evaluated the extent to which contracts reference IBOR cash flows, and whether such contracts will need to be amended as a result of IBOR reform. There has been communication about IBOR reform with the counterparties. However, no amendments have been made to the Company’s existing IBOR-referenced loan and derivative contracts as of December 31, 2022.</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of December 31, 2022, there is still uncertainty about when and how replacement may occur with respect to the relevant hedged items and hedging instruments. Accordingly, the Company will continue to apply the Phase 1 amendments until the uncertainty arising from the IBOR reform with respect to the timing and the amount of the underlying cash flows that the Company is exposed to is no longer present. This uncertainty will not end until the Company’s contracts that reference IBOR are amended to specify the alternative benchmark rate and the relevant adjustment, if any. This will, in part, be dependent on the negotiation with the counterparties and the introduction of fall-back clauses which have yet to be added to the Company’s contracts.</w:t>
      </w:r>
    </w:p>
    <w:p>
      <w:pPr>
        <w:spacing w:after="0" w:line="77"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The Company has a limited exposure to changes in the IBOR benchmark. The Company has $795 million of interest rate swaps which are in a cash flow hedge relationship of USD Equipment Financing and USD Term Loan A. Also, the Company has EUR $475 million of cross currency swaps which are in cash flow hedge relationships of EUR Equipment Financing and EUR Term Loan A.</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The table below indicates the nominal amount and weighted average maturity of derivatives in hedging relationships that will be affected by IBOR reform as financial instruments transition to risk-free rates, analyzed by interest rate basis. The derivative hedging instruments provide a close approximation to the extent of the risk exposure the Company manages through hedging relationships.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As of December 31, 2022 Interest rate swaps (in millions USD)</w:t>
            </w:r>
          </w:p>
        </w:tc>
        <w:tc>
          <w:tcPr>
            <w:tcW w:w="21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Currency</w:t>
            </w:r>
          </w:p>
        </w:tc>
        <w:tc>
          <w:tcPr>
            <w:tcW w:w="148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Nominal amount</w:t>
            </w:r>
          </w:p>
        </w:tc>
        <w:tc>
          <w:tcPr>
            <w:tcW w:w="15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Maturity</w:t>
            </w:r>
          </w:p>
        </w:tc>
      </w:tr>
      <w:tr>
        <w:trPr>
          <w:trHeight w:val="163"/>
        </w:trPr>
        <w:tc>
          <w:tcPr>
            <w:tcW w:w="4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Three-month LIBOR</w:t>
            </w:r>
          </w:p>
        </w:tc>
        <w:tc>
          <w:tcPr>
            <w:tcW w:w="2180" w:type="dxa"/>
            <w:vAlign w:val="bottom"/>
            <w:shd w:val="clear" w:color="auto" w:fill="CCEEFF"/>
          </w:tcPr>
          <w:p>
            <w:pPr>
              <w:spacing w:after="0"/>
              <w:rPr>
                <w:sz w:val="14"/>
                <w:szCs w:val="1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3"/>
                <w:szCs w:val="13"/>
                <w:color w:val="auto"/>
                <w:w w:val="94"/>
              </w:rPr>
              <w:t>USD</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w:t>
            </w:r>
          </w:p>
        </w:tc>
      </w:tr>
      <w:tr>
        <w:trPr>
          <w:trHeight w:val="168"/>
        </w:trPr>
        <w:tc>
          <w:tcPr>
            <w:tcW w:w="4640" w:type="dxa"/>
            <w:vAlign w:val="bottom"/>
          </w:tcPr>
          <w:p>
            <w:pPr>
              <w:ind w:left="20"/>
              <w:spacing w:after="0"/>
              <w:rPr>
                <w:sz w:val="20"/>
                <w:szCs w:val="20"/>
                <w:color w:val="auto"/>
              </w:rPr>
            </w:pPr>
            <w:r>
              <w:rPr>
                <w:rFonts w:ascii="Arial" w:cs="Arial" w:eastAsia="Arial" w:hAnsi="Arial"/>
                <w:sz w:val="13"/>
                <w:szCs w:val="13"/>
                <w:color w:val="auto"/>
              </w:rPr>
              <w:t>Three-month LIBOR</w:t>
            </w:r>
          </w:p>
        </w:tc>
        <w:tc>
          <w:tcPr>
            <w:tcW w:w="2180" w:type="dxa"/>
            <w:vAlign w:val="bottom"/>
          </w:tcPr>
          <w:p>
            <w:pPr>
              <w:spacing w:after="0"/>
              <w:rPr>
                <w:sz w:val="14"/>
                <w:szCs w:val="14"/>
                <w:color w:val="auto"/>
              </w:rPr>
            </w:pPr>
          </w:p>
        </w:tc>
        <w:tc>
          <w:tcPr>
            <w:tcW w:w="1480" w:type="dxa"/>
            <w:vAlign w:val="bottom"/>
          </w:tcPr>
          <w:p>
            <w:pPr>
              <w:ind w:left="1200"/>
              <w:spacing w:after="0"/>
              <w:rPr>
                <w:sz w:val="20"/>
                <w:szCs w:val="20"/>
                <w:color w:val="auto"/>
              </w:rPr>
            </w:pPr>
            <w:r>
              <w:rPr>
                <w:rFonts w:ascii="Arial" w:cs="Arial" w:eastAsia="Arial" w:hAnsi="Arial"/>
                <w:sz w:val="13"/>
                <w:szCs w:val="13"/>
                <w:color w:val="auto"/>
                <w:w w:val="94"/>
              </w:rPr>
              <w:t>USD</w:t>
            </w:r>
          </w:p>
        </w:tc>
        <w:tc>
          <w:tcPr>
            <w:tcW w:w="1480" w:type="dxa"/>
            <w:vAlign w:val="bottom"/>
          </w:tcPr>
          <w:p>
            <w:pPr>
              <w:jc w:val="right"/>
              <w:spacing w:after="0"/>
              <w:rPr>
                <w:sz w:val="20"/>
                <w:szCs w:val="20"/>
                <w:color w:val="auto"/>
              </w:rPr>
            </w:pPr>
            <w:r>
              <w:rPr>
                <w:rFonts w:ascii="Arial" w:cs="Arial" w:eastAsia="Arial" w:hAnsi="Arial"/>
                <w:sz w:val="11"/>
                <w:szCs w:val="11"/>
                <w:color w:val="auto"/>
              </w:rPr>
              <w:t>624</w:t>
            </w:r>
          </w:p>
        </w:tc>
        <w:tc>
          <w:tcPr>
            <w:tcW w:w="1500" w:type="dxa"/>
            <w:vAlign w:val="bottom"/>
          </w:tcPr>
          <w:p>
            <w:pPr>
              <w:jc w:val="right"/>
              <w:spacing w:after="0"/>
              <w:rPr>
                <w:sz w:val="20"/>
                <w:szCs w:val="20"/>
                <w:color w:val="auto"/>
              </w:rPr>
            </w:pPr>
            <w:r>
              <w:rPr>
                <w:rFonts w:ascii="Arial" w:cs="Arial" w:eastAsia="Arial" w:hAnsi="Arial"/>
                <w:sz w:val="13"/>
                <w:szCs w:val="13"/>
                <w:color w:val="auto"/>
              </w:rPr>
              <w:t>2024</w:t>
            </w:r>
          </w:p>
        </w:tc>
      </w:tr>
      <w:tr>
        <w:trPr>
          <w:trHeight w:val="172"/>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Six-month LIBOR</w:t>
            </w:r>
          </w:p>
        </w:tc>
        <w:tc>
          <w:tcPr>
            <w:tcW w:w="2180" w:type="dxa"/>
            <w:vAlign w:val="bottom"/>
            <w:shd w:val="clear" w:color="auto" w:fill="CCEEFF"/>
          </w:tcPr>
          <w:p>
            <w:pPr>
              <w:spacing w:after="0"/>
              <w:rPr>
                <w:sz w:val="14"/>
                <w:szCs w:val="1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3"/>
                <w:szCs w:val="13"/>
                <w:color w:val="auto"/>
                <w:w w:val="94"/>
              </w:rPr>
              <w:t>USD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w:t>
            </w:r>
          </w:p>
        </w:tc>
      </w:tr>
      <w:tr>
        <w:trPr>
          <w:trHeight w:val="149"/>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180" w:type="dxa"/>
            <w:vAlign w:val="bottom"/>
          </w:tcPr>
          <w:p>
            <w:pPr>
              <w:spacing w:after="0"/>
              <w:rPr>
                <w:sz w:val="12"/>
                <w:szCs w:val="12"/>
                <w:color w:val="auto"/>
              </w:rPr>
            </w:pPr>
          </w:p>
        </w:tc>
        <w:tc>
          <w:tcPr>
            <w:tcW w:w="1480" w:type="dxa"/>
            <w:vAlign w:val="bottom"/>
          </w:tcPr>
          <w:p>
            <w:pPr>
              <w:ind w:left="1200"/>
              <w:spacing w:after="0" w:line="146" w:lineRule="exact"/>
              <w:rPr>
                <w:sz w:val="20"/>
                <w:szCs w:val="20"/>
                <w:color w:val="auto"/>
              </w:rPr>
            </w:pPr>
            <w:r>
              <w:rPr>
                <w:rFonts w:ascii="Arial" w:cs="Arial" w:eastAsia="Arial" w:hAnsi="Arial"/>
                <w:sz w:val="13"/>
                <w:szCs w:val="13"/>
                <w:color w:val="auto"/>
                <w:w w:val="94"/>
              </w:rPr>
              <w:t>USD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795</w:t>
            </w:r>
          </w:p>
        </w:tc>
        <w:tc>
          <w:tcPr>
            <w:tcW w:w="1500" w:type="dxa"/>
            <w:vAlign w:val="bottom"/>
          </w:tcPr>
          <w:p>
            <w:pPr>
              <w:spacing w:after="0"/>
              <w:rPr>
                <w:sz w:val="12"/>
                <w:szCs w:val="12"/>
                <w:color w:val="auto"/>
              </w:rPr>
            </w:pPr>
          </w:p>
        </w:tc>
      </w:tr>
      <w:tr>
        <w:trPr>
          <w:trHeight w:val="161"/>
        </w:trPr>
        <w:tc>
          <w:tcPr>
            <w:tcW w:w="46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0"/>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Cross currency swaps (in millions Euro)</w:t>
            </w:r>
          </w:p>
        </w:tc>
        <w:tc>
          <w:tcPr>
            <w:tcW w:w="2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4640" w:type="dxa"/>
            <w:vAlign w:val="bottom"/>
          </w:tcPr>
          <w:p>
            <w:pPr>
              <w:ind w:left="20"/>
              <w:spacing w:after="0"/>
              <w:rPr>
                <w:sz w:val="20"/>
                <w:szCs w:val="20"/>
                <w:color w:val="auto"/>
              </w:rPr>
            </w:pPr>
            <w:r>
              <w:rPr>
                <w:rFonts w:ascii="Arial" w:cs="Arial" w:eastAsia="Arial" w:hAnsi="Arial"/>
                <w:sz w:val="13"/>
                <w:szCs w:val="13"/>
                <w:color w:val="auto"/>
              </w:rPr>
              <w:t>Three-month LIBOR</w:t>
            </w:r>
          </w:p>
        </w:tc>
        <w:tc>
          <w:tcPr>
            <w:tcW w:w="2180" w:type="dxa"/>
            <w:vAlign w:val="bottom"/>
          </w:tcPr>
          <w:p>
            <w:pPr>
              <w:spacing w:after="0"/>
              <w:rPr>
                <w:sz w:val="14"/>
                <w:szCs w:val="14"/>
                <w:color w:val="auto"/>
              </w:rPr>
            </w:pPr>
          </w:p>
        </w:tc>
        <w:tc>
          <w:tcPr>
            <w:tcW w:w="1480" w:type="dxa"/>
            <w:vAlign w:val="bottom"/>
          </w:tcPr>
          <w:p>
            <w:pPr>
              <w:ind w:left="1200"/>
              <w:spacing w:after="0"/>
              <w:rPr>
                <w:sz w:val="20"/>
                <w:szCs w:val="20"/>
                <w:color w:val="auto"/>
              </w:rPr>
            </w:pPr>
            <w:r>
              <w:rPr>
                <w:rFonts w:ascii="Arial" w:cs="Arial" w:eastAsia="Arial" w:hAnsi="Arial"/>
                <w:sz w:val="13"/>
                <w:szCs w:val="13"/>
                <w:color w:val="auto"/>
                <w:w w:val="94"/>
              </w:rPr>
              <w:t>EUR</w:t>
            </w:r>
          </w:p>
        </w:tc>
        <w:tc>
          <w:tcPr>
            <w:tcW w:w="1480" w:type="dxa"/>
            <w:vAlign w:val="bottom"/>
          </w:tcPr>
          <w:p>
            <w:pPr>
              <w:jc w:val="right"/>
              <w:spacing w:after="0"/>
              <w:rPr>
                <w:sz w:val="20"/>
                <w:szCs w:val="20"/>
                <w:color w:val="auto"/>
              </w:rPr>
            </w:pPr>
            <w:r>
              <w:rPr>
                <w:rFonts w:ascii="Arial" w:cs="Arial" w:eastAsia="Arial" w:hAnsi="Arial"/>
                <w:sz w:val="11"/>
                <w:szCs w:val="11"/>
                <w:color w:val="auto"/>
              </w:rPr>
              <w:t>83</w:t>
            </w:r>
          </w:p>
        </w:tc>
        <w:tc>
          <w:tcPr>
            <w:tcW w:w="1500" w:type="dxa"/>
            <w:vAlign w:val="bottom"/>
          </w:tcPr>
          <w:p>
            <w:pPr>
              <w:jc w:val="right"/>
              <w:spacing w:after="0"/>
              <w:rPr>
                <w:sz w:val="20"/>
                <w:szCs w:val="20"/>
                <w:color w:val="auto"/>
              </w:rPr>
            </w:pPr>
            <w:r>
              <w:rPr>
                <w:rFonts w:ascii="Arial" w:cs="Arial" w:eastAsia="Arial" w:hAnsi="Arial"/>
                <w:sz w:val="13"/>
                <w:szCs w:val="13"/>
                <w:color w:val="auto"/>
              </w:rPr>
              <w:t>2024</w:t>
            </w:r>
          </w:p>
        </w:tc>
      </w:tr>
      <w:tr>
        <w:trPr>
          <w:trHeight w:val="172"/>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Six-month LIBOR</w:t>
            </w:r>
          </w:p>
        </w:tc>
        <w:tc>
          <w:tcPr>
            <w:tcW w:w="2180" w:type="dxa"/>
            <w:vAlign w:val="bottom"/>
            <w:shd w:val="clear" w:color="auto" w:fill="CCEEFF"/>
          </w:tcPr>
          <w:p>
            <w:pPr>
              <w:spacing w:after="0"/>
              <w:rPr>
                <w:sz w:val="14"/>
                <w:szCs w:val="1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3"/>
                <w:szCs w:val="13"/>
                <w:color w:val="auto"/>
                <w:w w:val="94"/>
              </w:rPr>
              <w:t>EUR</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w:t>
            </w:r>
          </w:p>
        </w:tc>
      </w:tr>
      <w:tr>
        <w:trPr>
          <w:trHeight w:val="16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Six-month LIBOR</w:t>
            </w:r>
          </w:p>
        </w:tc>
        <w:tc>
          <w:tcPr>
            <w:tcW w:w="21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ind w:left="1200"/>
              <w:spacing w:after="0"/>
              <w:rPr>
                <w:sz w:val="20"/>
                <w:szCs w:val="20"/>
                <w:color w:val="auto"/>
              </w:rPr>
            </w:pPr>
            <w:r>
              <w:rPr>
                <w:rFonts w:ascii="Arial" w:cs="Arial" w:eastAsia="Arial" w:hAnsi="Arial"/>
                <w:sz w:val="13"/>
                <w:szCs w:val="13"/>
                <w:color w:val="auto"/>
                <w:w w:val="94"/>
              </w:rPr>
              <w:t>EUR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2026</w:t>
            </w:r>
          </w:p>
        </w:tc>
      </w:tr>
      <w:tr>
        <w:trPr>
          <w:trHeight w:val="152"/>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180" w:type="dxa"/>
            <w:vAlign w:val="bottom"/>
            <w:shd w:val="clear" w:color="auto" w:fill="CCEEFF"/>
          </w:tcPr>
          <w:p>
            <w:pPr>
              <w:spacing w:after="0"/>
              <w:rPr>
                <w:sz w:val="13"/>
                <w:szCs w:val="13"/>
                <w:color w:val="auto"/>
              </w:rPr>
            </w:pPr>
          </w:p>
        </w:tc>
        <w:tc>
          <w:tcPr>
            <w:tcW w:w="1480" w:type="dxa"/>
            <w:vAlign w:val="bottom"/>
            <w:shd w:val="clear" w:color="auto" w:fill="CCEEFF"/>
          </w:tcPr>
          <w:p>
            <w:pPr>
              <w:ind w:left="1200"/>
              <w:spacing w:after="0" w:line="148" w:lineRule="exact"/>
              <w:rPr>
                <w:sz w:val="20"/>
                <w:szCs w:val="20"/>
                <w:color w:val="auto"/>
              </w:rPr>
            </w:pPr>
            <w:r>
              <w:rPr>
                <w:rFonts w:ascii="Arial" w:cs="Arial" w:eastAsia="Arial" w:hAnsi="Arial"/>
                <w:sz w:val="13"/>
                <w:szCs w:val="13"/>
                <w:color w:val="auto"/>
                <w:w w:val="94"/>
              </w:rPr>
              <w:t>EUR</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475</w:t>
            </w:r>
          </w:p>
        </w:tc>
        <w:tc>
          <w:tcPr>
            <w:tcW w:w="1500" w:type="dxa"/>
            <w:vAlign w:val="bottom"/>
            <w:shd w:val="clear" w:color="auto" w:fill="CCEEFF"/>
          </w:tcPr>
          <w:p>
            <w:pPr>
              <w:spacing w:after="0"/>
              <w:rPr>
                <w:sz w:val="13"/>
                <w:szCs w:val="13"/>
                <w:color w:val="auto"/>
              </w:rPr>
            </w:pPr>
          </w:p>
        </w:tc>
      </w:tr>
      <w:tr>
        <w:trPr>
          <w:trHeight w:val="708"/>
        </w:trPr>
        <w:tc>
          <w:tcPr>
            <w:tcW w:w="4640" w:type="dxa"/>
            <w:vAlign w:val="bottom"/>
          </w:tcPr>
          <w:p>
            <w:pPr>
              <w:spacing w:after="0"/>
              <w:rPr>
                <w:sz w:val="24"/>
                <w:szCs w:val="24"/>
                <w:color w:val="auto"/>
              </w:rPr>
            </w:pPr>
          </w:p>
        </w:tc>
        <w:tc>
          <w:tcPr>
            <w:tcW w:w="3660" w:type="dxa"/>
            <w:vAlign w:val="bottom"/>
            <w:gridSpan w:val="2"/>
          </w:tcPr>
          <w:p>
            <w:pPr>
              <w:ind w:left="880"/>
              <w:spacing w:after="0"/>
              <w:rPr>
                <w:sz w:val="20"/>
                <w:szCs w:val="20"/>
                <w:color w:val="auto"/>
              </w:rPr>
            </w:pPr>
            <w:r>
              <w:rPr>
                <w:rFonts w:ascii="Arial" w:cs="Arial" w:eastAsia="Arial" w:hAnsi="Arial"/>
                <w:sz w:val="13"/>
                <w:szCs w:val="13"/>
                <w:color w:val="auto"/>
              </w:rPr>
              <w:t>F-16</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0"/>
        </w:trPr>
        <w:tc>
          <w:tcPr>
            <w:tcW w:w="464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 Not Adopted: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not adopted the following new, revised or amended IFRS standards that have been issued by the IASB but not yet effective:</w:t>
      </w:r>
    </w:p>
    <w:p>
      <w:pPr>
        <w:spacing w:after="0" w:line="83" w:lineRule="exact"/>
        <w:rPr>
          <w:sz w:val="20"/>
          <w:szCs w:val="20"/>
          <w:color w:val="auto"/>
        </w:rPr>
      </w:pPr>
    </w:p>
    <w:p>
      <w:pPr>
        <w:ind w:left="500" w:hanging="240"/>
        <w:spacing w:after="0"/>
        <w:tabs>
          <w:tab w:leader="none" w:pos="500" w:val="left"/>
        </w:tabs>
        <w:numPr>
          <w:ilvl w:val="0"/>
          <w:numId w:val="84"/>
        </w:numPr>
        <w:rPr>
          <w:rFonts w:ascii="Arial" w:cs="Arial" w:eastAsia="Arial" w:hAnsi="Arial"/>
          <w:sz w:val="13"/>
          <w:szCs w:val="13"/>
          <w:i w:val="1"/>
          <w:iCs w:val="1"/>
          <w:color w:val="auto"/>
        </w:rPr>
      </w:pPr>
      <w:r>
        <w:rPr>
          <w:rFonts w:ascii="Arial" w:cs="Arial" w:eastAsia="Arial" w:hAnsi="Arial"/>
          <w:sz w:val="13"/>
          <w:szCs w:val="13"/>
          <w:i w:val="1"/>
          <w:iCs w:val="1"/>
          <w:color w:val="auto"/>
        </w:rPr>
        <w:t>Disclosure of Accounting Policies (Amendments to IAS 1 and IFRS Practice Statement 2) - Effective for annual periods beginning on or after January 01, 2023;</w:t>
      </w:r>
    </w:p>
    <w:p>
      <w:pPr>
        <w:spacing w:after="0" w:line="83" w:lineRule="exact"/>
        <w:rPr>
          <w:rFonts w:ascii="Arial" w:cs="Arial" w:eastAsia="Arial" w:hAnsi="Arial"/>
          <w:sz w:val="13"/>
          <w:szCs w:val="13"/>
          <w:i w:val="1"/>
          <w:iCs w:val="1"/>
          <w:color w:val="auto"/>
        </w:rPr>
      </w:pPr>
    </w:p>
    <w:p>
      <w:pPr>
        <w:ind w:left="500" w:hanging="240"/>
        <w:spacing w:after="0"/>
        <w:tabs>
          <w:tab w:leader="none" w:pos="500" w:val="left"/>
        </w:tabs>
        <w:numPr>
          <w:ilvl w:val="0"/>
          <w:numId w:val="84"/>
        </w:numPr>
        <w:rPr>
          <w:rFonts w:ascii="Arial" w:cs="Arial" w:eastAsia="Arial" w:hAnsi="Arial"/>
          <w:sz w:val="13"/>
          <w:szCs w:val="13"/>
          <w:i w:val="1"/>
          <w:iCs w:val="1"/>
          <w:color w:val="auto"/>
        </w:rPr>
      </w:pPr>
      <w:r>
        <w:rPr>
          <w:rFonts w:ascii="Arial" w:cs="Arial" w:eastAsia="Arial" w:hAnsi="Arial"/>
          <w:sz w:val="13"/>
          <w:szCs w:val="13"/>
          <w:i w:val="1"/>
          <w:iCs w:val="1"/>
          <w:color w:val="auto"/>
        </w:rPr>
        <w:t>Definition of Accounting Estimates (Amendments to IAS 8) - Effective for annual periods beginning on or after January 01, 2023;</w:t>
      </w:r>
    </w:p>
    <w:p>
      <w:pPr>
        <w:spacing w:after="0" w:line="94" w:lineRule="exact"/>
        <w:rPr>
          <w:rFonts w:ascii="Arial" w:cs="Arial" w:eastAsia="Arial" w:hAnsi="Arial"/>
          <w:sz w:val="13"/>
          <w:szCs w:val="13"/>
          <w:i w:val="1"/>
          <w:iCs w:val="1"/>
          <w:color w:val="auto"/>
        </w:rPr>
      </w:pPr>
    </w:p>
    <w:p>
      <w:pPr>
        <w:ind w:left="500" w:hanging="240"/>
        <w:spacing w:after="0"/>
        <w:tabs>
          <w:tab w:leader="none" w:pos="500" w:val="left"/>
        </w:tabs>
        <w:numPr>
          <w:ilvl w:val="0"/>
          <w:numId w:val="84"/>
        </w:numPr>
        <w:rPr>
          <w:rFonts w:ascii="Arial" w:cs="Arial" w:eastAsia="Arial" w:hAnsi="Arial"/>
          <w:sz w:val="13"/>
          <w:szCs w:val="13"/>
          <w:i w:val="1"/>
          <w:iCs w:val="1"/>
          <w:color w:val="auto"/>
        </w:rPr>
      </w:pPr>
      <w:r>
        <w:rPr>
          <w:rFonts w:ascii="Arial" w:cs="Arial" w:eastAsia="Arial" w:hAnsi="Arial"/>
          <w:sz w:val="13"/>
          <w:szCs w:val="13"/>
          <w:i w:val="1"/>
          <w:iCs w:val="1"/>
          <w:color w:val="auto"/>
        </w:rPr>
        <w:t>Deferred Tax related to Assets and Liabilities arising from a Single Transaction - Amendments to IAS 12 - Effective for annual periods beginning on or after January 01, 2023;</w:t>
      </w:r>
    </w:p>
    <w:p>
      <w:pPr>
        <w:spacing w:after="0" w:line="83" w:lineRule="exact"/>
        <w:rPr>
          <w:rFonts w:ascii="Arial" w:cs="Arial" w:eastAsia="Arial" w:hAnsi="Arial"/>
          <w:sz w:val="13"/>
          <w:szCs w:val="13"/>
          <w:i w:val="1"/>
          <w:iCs w:val="1"/>
          <w:color w:val="auto"/>
        </w:rPr>
      </w:pPr>
    </w:p>
    <w:p>
      <w:pPr>
        <w:ind w:left="500" w:hanging="240"/>
        <w:spacing w:after="0"/>
        <w:tabs>
          <w:tab w:leader="none" w:pos="500" w:val="left"/>
        </w:tabs>
        <w:numPr>
          <w:ilvl w:val="0"/>
          <w:numId w:val="84"/>
        </w:numPr>
        <w:rPr>
          <w:rFonts w:ascii="Arial" w:cs="Arial" w:eastAsia="Arial" w:hAnsi="Arial"/>
          <w:sz w:val="13"/>
          <w:szCs w:val="13"/>
          <w:color w:val="auto"/>
        </w:rPr>
      </w:pPr>
      <w:r>
        <w:rPr>
          <w:rFonts w:ascii="Arial" w:cs="Arial" w:eastAsia="Arial" w:hAnsi="Arial"/>
          <w:sz w:val="13"/>
          <w:szCs w:val="13"/>
          <w:i w:val="1"/>
          <w:iCs w:val="1"/>
          <w:color w:val="auto"/>
        </w:rPr>
        <w:t>Non-current Liabilities with Covenants - Amendments to IAS 1 - Effective for annual periods beginning on or after January 01, 2024;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84"/>
        </w:numPr>
        <w:rPr>
          <w:rFonts w:ascii="Arial" w:cs="Arial" w:eastAsia="Arial" w:hAnsi="Arial"/>
          <w:sz w:val="13"/>
          <w:szCs w:val="13"/>
          <w:i w:val="1"/>
          <w:iCs w:val="1"/>
          <w:color w:val="auto"/>
        </w:rPr>
      </w:pPr>
      <w:r>
        <w:rPr>
          <w:rFonts w:ascii="Arial" w:cs="Arial" w:eastAsia="Arial" w:hAnsi="Arial"/>
          <w:sz w:val="13"/>
          <w:szCs w:val="13"/>
          <w:i w:val="1"/>
          <w:iCs w:val="1"/>
          <w:color w:val="auto"/>
        </w:rPr>
        <w:t>Lease Liability in a Sale and Leaseback - Amendments to IFRS 16 - Effective for annual periods beginning on or after January 01, 2024.</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of the date the accompanying financial statements were authorized for issue, the Company continues to evaluate the impact on its financial position and performance as a result of the initial adoption of the aforementioned standards or interpretations and related applicable period. The Company does not anticipate the impacts of the standards effective for annual periods beginning on or after January 01, 2023 to have a material impact on the financial statements.</w:t>
      </w:r>
    </w:p>
    <w:p>
      <w:pPr>
        <w:spacing w:after="0" w:line="33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Revenue Recognition</w:t>
      </w:r>
      <w:r>
        <w:rPr>
          <w:rFonts w:ascii="Arial" w:cs="Arial" w:eastAsia="Arial" w:hAnsi="Arial"/>
          <w:sz w:val="13"/>
          <w:szCs w:val="13"/>
          <w:color w:val="auto"/>
        </w:rPr>
        <w:t>—The Company derives revenue primarily from fabricating semiconductor wafers using the Company’s manufacturing processes for the Company’s customers based on their</w:t>
      </w:r>
      <w:r>
        <w:rPr>
          <w:rFonts w:ascii="Arial" w:cs="Arial" w:eastAsia="Arial" w:hAnsi="Arial"/>
          <w:sz w:val="13"/>
          <w:szCs w:val="13"/>
          <w:b w:val="1"/>
          <w:bCs w:val="1"/>
          <w:color w:val="auto"/>
        </w:rPr>
        <w:t xml:space="preserve"> </w:t>
      </w:r>
      <w:r>
        <w:rPr>
          <w:rFonts w:ascii="Arial" w:cs="Arial" w:eastAsia="Arial" w:hAnsi="Arial"/>
          <w:sz w:val="13"/>
          <w:szCs w:val="13"/>
          <w:color w:val="auto"/>
        </w:rPr>
        <w:t>own or third parties’ proprietary integrated circuit designs and, to a lesser extent, from design, mask making, bumping, probing, assembly and testing services.</w:t>
      </w:r>
    </w:p>
    <w:p>
      <w:pPr>
        <w:spacing w:after="0" w:line="72"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The Company recognizes revenue from contracts with customers by applying the following steps: (i) identify the contracts with the customers; (ii) identify performance obligations in the contracts; (iii) determine the transaction price; (iv) allocate the transaction price to the performance obligations per the contracts; and (v) recognize revenue when (or as) the entity satisfies a performance obligation.</w:t>
      </w:r>
    </w:p>
    <w:p>
      <w:pPr>
        <w:spacing w:after="0" w:line="5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majority of the Company’s revenue is derived from contracts with customers for wafer fabrication and engineering and other pre-fabrication services such as rendering of non-recurring engineering (“NRE”) services and mask production. The Company accounts for a contract with a customer when it has approval and commitment from parties, the rights and obligations of the parties are identified, payments terms are identified, the contract has commercial substance, and collectability of consideration is probable.</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The Company generally requires a purchase order from all of its customers, to which the Company responds with an order acknowledgement and a copy of the Company’s standard terms and conditions. The Company also enters into master supply agreements (“MSA”) with certain of its customers that may specify additional terms and conditions, such as pricing formulas based on volume, volume discounts, calculation of yield adjustments, indemnifications, transfer of title and risk of loss, and payment terms. Under these agreements, volumes are usually not guaranteed. The Company also requires a purchase order from its customers with which it has MSAs for specific products and quantities. As a result, the Company has concluded that the combination of a purchase order and order acknowledgement, including the Company’s standard terms and conditions, and the MSA, if applicable, create enforceable rights and obligations between the Company and its customers.</w:t>
      </w:r>
    </w:p>
    <w:p>
      <w:pPr>
        <w:spacing w:after="0" w:line="7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discussed in Note 4, a change in cancellation terms in certain wafer orders during the year ended December 31, 2020, resulted in the Company no longer meeting the criteria to account for revenue recognition from contracts with customers over time. As such, the Company recognizes revenue for such modified wafer orders at the point at which control of the wafers is transferred to the customer, which is determined to be at the point of wafer shipment from the Company’s facilities or delivery to the customer location.</w:t>
      </w:r>
    </w:p>
    <w:p>
      <w:pPr>
        <w:spacing w:after="0" w:line="9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Company estimates the variable consideration related to volume rebates and yield adjustments for certain contracts that may be refundable to customers through the issuance of a credit note, and accordingly, recognizes revenue in accordance with the pattern applicable to the performance obligation, subject to a constraint. The Company determines the amounts to be recognized based on the amount of potential refund required by the contract, historical experience and other surrounding facts and circumstances. These potential revenue adjustments are accrued and netted against accounts receivable on the consolidated statements of financial position.</w:t>
      </w:r>
    </w:p>
    <w:p>
      <w:pPr>
        <w:spacing w:after="0" w:line="7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 contract asset (“unbilled accounts receivables”) is recognized when the Company has recognized revenue, but not issued an invoice for payment. The Company has determined that unbilled receivables are not considered a significant financing component of the Company’s contracts. Contract assets are included in receivables, prepayments and other assets and transferred to receivables when invoiced (See Note 15).</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 contract liability is recognized when the Company receives payments in advance of the satisfaction of performance obligations and are included in deferred revenue on the consolidated statements of financial position (See Note 24).This includes upfront non-refundable capacity access fees under certain long-term supply agreements with customers which are accounted for as additional wafer price considerations and recognized as revenue upon satisfaction of performance obligations for wafers over the expected term of the agreements.</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Costs to obtain a contract are incremental direct costs incurred to obtain a contract with a customer, including sales commissions, and are capitalized if material. Costs to fulfill a contract include costs directly related to a contract or specific anticipated contract (e.g., certain design costs) that generate or enhance the Company’s ability to satisfy the Company’s performance obligations under these contracts. These costs are capitalized to the extent they are expected to be recovered from the associated contract and are material.</w:t>
      </w:r>
    </w:p>
    <w:p>
      <w:pPr>
        <w:spacing w:after="0" w:line="33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b w:val="1"/>
          <w:bCs w:val="1"/>
          <w:color w:val="auto"/>
        </w:rPr>
        <w:t>Inventory Valuation</w:t>
      </w:r>
      <w:r>
        <w:rPr>
          <w:rFonts w:ascii="Arial" w:cs="Arial" w:eastAsia="Arial" w:hAnsi="Arial"/>
          <w:sz w:val="13"/>
          <w:szCs w:val="13"/>
          <w:color w:val="auto"/>
        </w:rPr>
        <w:t>—Inventories are stated at standard cost adjusted to the lower of cost or net realizable value. The Company measures the cost of its inventory based on a standard cost process</w:t>
      </w:r>
      <w:r>
        <w:rPr>
          <w:rFonts w:ascii="Arial" w:cs="Arial" w:eastAsia="Arial" w:hAnsi="Arial"/>
          <w:sz w:val="13"/>
          <w:szCs w:val="13"/>
          <w:b w:val="1"/>
          <w:bCs w:val="1"/>
          <w:color w:val="auto"/>
        </w:rPr>
        <w:t xml:space="preserve"> </w:t>
      </w:r>
      <w:r>
        <w:rPr>
          <w:rFonts w:ascii="Arial" w:cs="Arial" w:eastAsia="Arial" w:hAnsi="Arial"/>
          <w:sz w:val="13"/>
          <w:szCs w:val="13"/>
          <w:color w:val="auto"/>
        </w:rPr>
        <w:t>with appropriate adjustments for purchasing and manufacturing variances, which approximates weighted average cost.</w:t>
      </w:r>
    </w:p>
    <w:p>
      <w:pPr>
        <w:spacing w:after="0" w:line="5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Inventory allowances are made on an item-by-item basis, except where it may be appropriate to group similar or related items. An allowance is made for the estimated losses due to obsolescence based on expected future demand and market conditions. Net realizable value is the estimated selling price in the ordinary course of business, less estimated costs of completion and the estimated costs necessary to make the sale.</w:t>
      </w:r>
    </w:p>
    <w:p>
      <w:pPr>
        <w:spacing w:after="0" w:line="33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color w:val="auto"/>
        </w:rPr>
        <w:t>Share-based compensation</w:t>
      </w:r>
      <w:r>
        <w:rPr>
          <w:rFonts w:ascii="Arial" w:cs="Arial" w:eastAsia="Arial" w:hAnsi="Arial"/>
          <w:sz w:val="13"/>
          <w:szCs w:val="13"/>
          <w:color w:val="auto"/>
        </w:rPr>
        <w:t>—Share-based compensation expense related to share awards is recognized based on the fair value of the awards granted. The fair value of each award is estimated on</w:t>
      </w:r>
      <w:r>
        <w:rPr>
          <w:rFonts w:ascii="Arial" w:cs="Arial" w:eastAsia="Arial" w:hAnsi="Arial"/>
          <w:sz w:val="13"/>
          <w:szCs w:val="13"/>
          <w:b w:val="1"/>
          <w:bCs w:val="1"/>
          <w:color w:val="auto"/>
        </w:rPr>
        <w:t xml:space="preserve"> </w:t>
      </w:r>
      <w:r>
        <w:rPr>
          <w:rFonts w:ascii="Arial" w:cs="Arial" w:eastAsia="Arial" w:hAnsi="Arial"/>
          <w:sz w:val="13"/>
          <w:szCs w:val="13"/>
          <w:color w:val="auto"/>
        </w:rPr>
        <w:t>the grant date using the Black-Scholes option pricing model for options and the Monte Carlo simulation model for the Performance Share Units (“PSUs”). Both models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option,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 options are probable of vesting, the Company recognizes expense on a graded attribution basis for each tranche of the award over the period from the grant date to the later of the one-year anniversary of estimated time following a liquidity event or the legal vesting dates (see Note 29).</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grant date fair value of equity-settled share-based payment awards granted to employee is recognized as an employee benefit expense, with a corresponding increase in equity, over the vesting period of the awards, The amount recognized as an expense is adjusted to reflected the number of awards for which the service and non-market performance conditions are expected to be met, such that the amount ultimately recognized as an expense is based on the number of awards that meet the service and non-market performance conditions at the vesting date. For share-based payment awards with non-vesting conditions, the grant date fair value of the share-based payment is measured to reflect such conditions and there is no true-up for differences between expected and actual performance.</w:t>
      </w:r>
    </w:p>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principles of modification accounting are applied when new share-based payment is granted as a replacement for another share-based payment that is cancelled. When modification accounting is applied, the entity accounts for any incremental fair value in addition to the grant-date fair value of the original award. In the case of a replacement, the incremental fair value is the difference between the fair value of the replacement award and the net fair value of the cancelled award, both measured at the date on which the replacement award is issued. The net fair value is the fair value of the cancelled award measured immediately before the cancellation, less any payment made to the employees on cancellation.</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 package of modifications might include several changes to the terms of a grant, some of which are favorable to the employee and some not. In the event the net effect is not beneficial to the employee, cancellation accounting will be applied. Cancellations or settlements of equity-settled share-based payments during the vesting period by the Company are accounted for as accelerated vesting; therefore, the amount that would otherwise have been recognized for services received is recognized immediately.</w:t>
      </w:r>
    </w:p>
    <w:p>
      <w:pPr>
        <w:spacing w:after="0" w:line="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preparation of the consolidated financial statements in conformity with IFRS requires management to make judgments, estimates and assumptions that affect the application of accounting policies and the reported amounts of assets, liabilities,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income and expenses as well as the disclosure of commitments and contingencies. Actual results may differ from these estimates and such differences may be material to the consolidated financial statements.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i w:val="1"/>
          <w:iCs w:val="1"/>
          <w:color w:val="auto"/>
        </w:rPr>
        <w:t>Enterprise Value</w:t>
      </w:r>
      <w:r>
        <w:rPr>
          <w:rFonts w:ascii="Arial" w:cs="Arial" w:eastAsia="Arial" w:hAnsi="Arial"/>
          <w:sz w:val="13"/>
          <w:szCs w:val="13"/>
          <w:color w:val="auto"/>
        </w:rPr>
        <w:t>—Given the absence of a public trading market of the Company’s ordinary shares prior to the initial public offering, and in accordance with the American Institute of Certified Public</w:t>
      </w:r>
      <w:r>
        <w:rPr>
          <w:rFonts w:ascii="Arial" w:cs="Arial" w:eastAsia="Arial" w:hAnsi="Arial"/>
          <w:sz w:val="13"/>
          <w:szCs w:val="13"/>
          <w:i w:val="1"/>
          <w:iCs w:val="1"/>
          <w:color w:val="auto"/>
        </w:rPr>
        <w:t xml:space="preserve"> </w:t>
      </w:r>
      <w:r>
        <w:rPr>
          <w:rFonts w:ascii="Arial" w:cs="Arial" w:eastAsia="Arial" w:hAnsi="Arial"/>
          <w:sz w:val="13"/>
          <w:szCs w:val="13"/>
          <w:color w:val="auto"/>
        </w:rPr>
        <w:t>Accountants Practice Aid, Valuation of Privately-Held Company Equity Securities Issued as Compensation, the Company’s board of directors exercised reasonable judgment and considered numerous objective and subjective factors to determine the best estimate of the fair value of the Company’s ordinary shares at each grant date. These factors include:</w:t>
      </w:r>
    </w:p>
    <w:p>
      <w:pPr>
        <w:spacing w:after="0" w:line="69" w:lineRule="exact"/>
        <w:rPr>
          <w:sz w:val="20"/>
          <w:szCs w:val="20"/>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valuations of the Company’s ordinary shares performed by independent third-party specialists;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lack of marketability of the Company’s ordinary shares;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Company’s actual operating and financial performance;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current business conditions and projections;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hiring of key personnel and the experience of the Company’s management;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history of the Company and the introduction of new products;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Company’s stage of development;</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market performance of comparable publicly traded companies;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U.S. and global capital market conditions.</w:t>
      </w:r>
    </w:p>
    <w:p>
      <w:pPr>
        <w:spacing w:after="0" w:line="8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valuing the Company’s ordinary shares, management determined the equity value of the Company’s business using various valuation methods including combinations of income and market approaches.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the Company’s industry or similar business operations as of each valuation date and is adjusted to reflect the risks inherent in the Company’s cash flows. For the market approach, the Company reviews the performance of a set of guideline comparable public companies, and considers the guideline companies’ various financial characteristics, including size, profitability, balance sheet strength, and diversification as compared to the Company. Subsequent to IPO, the fair value of the ordinary shares is determined based on market share price.</w:t>
      </w:r>
    </w:p>
    <w:p>
      <w:pPr>
        <w:spacing w:after="0" w:line="8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Application of these approaches involves the use of estimates, judgment, and assumptions that are highly complex and subjective, such as those regarding the Company’s expected future revenue, expenses, and future cash flows, discount rates, market multiples, and the selection of comparable companies. Changes in any or all of these estimates and assumptions or the relationships between those assumptions impact the Company’s valuations as of each valuation date and may have a material impact on the valuation of the Company’s ordinary shares.</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b w:val="1"/>
          <w:bCs w:val="1"/>
          <w:color w:val="auto"/>
        </w:rPr>
        <w:t>Impairment Assessment of Non-Financial Assets</w:t>
      </w:r>
      <w:r>
        <w:rPr>
          <w:rFonts w:ascii="Arial" w:cs="Arial" w:eastAsia="Arial" w:hAnsi="Arial"/>
          <w:sz w:val="13"/>
          <w:szCs w:val="13"/>
          <w:color w:val="auto"/>
        </w:rPr>
        <w:t>—Impairment exists when the carrying value of an asset or CGU exceeds its recoverable amount, which is the higher of its fair value less costs of</w:t>
      </w:r>
      <w:r>
        <w:rPr>
          <w:rFonts w:ascii="Arial" w:cs="Arial" w:eastAsia="Arial" w:hAnsi="Arial"/>
          <w:sz w:val="13"/>
          <w:szCs w:val="13"/>
          <w:b w:val="1"/>
          <w:bCs w:val="1"/>
          <w:color w:val="auto"/>
        </w:rPr>
        <w:t xml:space="preserve"> </w:t>
      </w:r>
      <w:r>
        <w:rPr>
          <w:rFonts w:ascii="Arial" w:cs="Arial" w:eastAsia="Arial" w:hAnsi="Arial"/>
          <w:sz w:val="13"/>
          <w:szCs w:val="13"/>
          <w:color w:val="auto"/>
        </w:rPr>
        <w:t>disposal and its value in use. The fair value less costs to sell calculation is based on a discounted cash flow analysis that a potential buyer would perform in determining a transaction value of the CGU less incremental costs for disposing of the asset. The value in use calculation is based on a discounted cash flow model. When preparing the discounted cash flow analysis, the Company makes subjective judgments in determining the independent cash flows that can be related to a specific CGU based on its asset usage model and manufacturing capabilities in addition to the discount rate used in the analysis. In addition, because subjective judgments are made regarding the remaining useful lives of assets and expected future revenue and expenses associated with the assets, changes in these estimates based on changes in economic conditions or business strategies could result in material impairment charges in future periods.</w:t>
      </w:r>
    </w:p>
    <w:p>
      <w:pPr>
        <w:spacing w:after="0" w:line="33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b w:val="1"/>
          <w:bCs w:val="1"/>
          <w:color w:val="auto"/>
        </w:rPr>
        <w:t>Income Taxes and Realization of Deferred Income Tax Asset</w:t>
      </w:r>
      <w:r>
        <w:rPr>
          <w:rFonts w:ascii="Arial" w:cs="Arial" w:eastAsia="Arial" w:hAnsi="Arial"/>
          <w:sz w:val="13"/>
          <w:szCs w:val="13"/>
          <w:color w:val="auto"/>
        </w:rPr>
        <w:t>—In determining taxable income for financial statement reporting purposes, management makes certain estimates and judgments</w:t>
      </w:r>
      <w:r>
        <w:rPr>
          <w:rFonts w:ascii="Arial" w:cs="Arial" w:eastAsia="Arial" w:hAnsi="Arial"/>
          <w:sz w:val="13"/>
          <w:szCs w:val="13"/>
          <w:b w:val="1"/>
          <w:bCs w:val="1"/>
          <w:color w:val="auto"/>
        </w:rPr>
        <w:t xml:space="preserve"> </w:t>
      </w:r>
      <w:r>
        <w:rPr>
          <w:rFonts w:ascii="Arial" w:cs="Arial" w:eastAsia="Arial" w:hAnsi="Arial"/>
          <w:sz w:val="13"/>
          <w:szCs w:val="13"/>
          <w:color w:val="auto"/>
        </w:rPr>
        <w:t>specific to taxation issues. These estimates and judgments are applied in the calculation of certain tax liabilities and in the determination of the recoverability of deferred tax assets, which arise from temporary differences between the recognition of assets and liabilities for income tax and financial statement reporting purposes.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Deferred taxes are recognized for unused losses, among other factors, to the extent that it is probable that taxable profit will be available against which the losses can be utilized.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This evaluation requires the exercise of judgment with respect to, among other things, benefits that could be realized from available tax strategies and future taxable income, as well as other positive and negative factors. The ultimate realization of deferred tax assets is dependent upon, among other things, the Company’s ability to generate future taxable income that is sufficient to utilize loss carry-forwards or tax credits before their expiration or the Company’s ability to implement prudent and feasible tax planning strategies.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If estimates of projected future taxable income and benefits from available tax strategies are reduced as a result of a change in the assessment or due to other factors, or if changes in current tax regulations are enacted that impose restrictions on the timing or extent of the Company’s ability to utilize net operating losses and tax credit carry-forwards in the future, the Company may be required to reduce the amount of total deferred tax assets resulting in a decrease of total assets. Likewise, a change in the tax rates applicable in the various jurisdictions or unfavorable outcomes of any ongoing tax audits could have a material impact on the future tax provisions in the periods in which these changes could occur.</w:t>
      </w:r>
    </w:p>
    <w:p>
      <w:pPr>
        <w:spacing w:after="0" w:line="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the calculation of tax liabilities involves dealing with uncertainties in the application of complex tax rules and the potential for future adjustment of uncertain tax positions by the tax authorities in the countries in which the Company operates. If estimates of these taxes are greater or less than actual results, an additional tax benefit or charge may result.</w:t>
      </w:r>
    </w:p>
    <w:p>
      <w:pPr>
        <w:spacing w:after="0" w:line="338" w:lineRule="exact"/>
        <w:rPr>
          <w:sz w:val="20"/>
          <w:szCs w:val="20"/>
          <w:color w:val="auto"/>
        </w:rPr>
      </w:pPr>
    </w:p>
    <w:p>
      <w:pPr>
        <w:jc w:val="both"/>
        <w:spacing w:after="0" w:line="288" w:lineRule="auto"/>
        <w:rPr>
          <w:sz w:val="20"/>
          <w:szCs w:val="20"/>
          <w:color w:val="auto"/>
        </w:rPr>
      </w:pPr>
      <w:r>
        <w:rPr>
          <w:rFonts w:ascii="Arial" w:cs="Arial" w:eastAsia="Arial" w:hAnsi="Arial"/>
          <w:sz w:val="12"/>
          <w:szCs w:val="12"/>
          <w:b w:val="1"/>
          <w:bCs w:val="1"/>
          <w:color w:val="auto"/>
        </w:rPr>
        <w:t>Changes in estimates</w:t>
      </w:r>
      <w:r>
        <w:rPr>
          <w:rFonts w:ascii="Arial" w:cs="Arial" w:eastAsia="Arial" w:hAnsi="Arial"/>
          <w:sz w:val="12"/>
          <w:szCs w:val="12"/>
          <w:color w:val="auto"/>
        </w:rPr>
        <w:t>—We regularly assess the estimated useful lives of our property, plant, and equipment. Based on our assessment of the longer product life cycles, the versatility of production</w:t>
      </w:r>
      <w:r>
        <w:rPr>
          <w:rFonts w:ascii="Arial" w:cs="Arial" w:eastAsia="Arial" w:hAnsi="Arial"/>
          <w:sz w:val="12"/>
          <w:szCs w:val="12"/>
          <w:b w:val="1"/>
          <w:bCs w:val="1"/>
          <w:color w:val="auto"/>
        </w:rPr>
        <w:t xml:space="preserve"> </w:t>
      </w:r>
      <w:r>
        <w:rPr>
          <w:rFonts w:ascii="Arial" w:cs="Arial" w:eastAsia="Arial" w:hAnsi="Arial"/>
          <w:sz w:val="12"/>
          <w:szCs w:val="12"/>
          <w:color w:val="auto"/>
        </w:rPr>
        <w:t>equipment to provide better flexibility to meet changes in customer demands, and the ability to re-use production equipment over several technology cycles, we revised the estimated useful lives of our 200mm and 300mm production equipment from 5 and 8 years, respectively, to 10 years, beginning the first quarter of 2021. As a result, this benefited loss before income taxes by approximately $628 million for the year ended December 31, 2021. This change increased the Company’s total basic and diluted earnings per share by approximately $1.24 for the year ended December 31, 2021.</w:t>
      </w:r>
    </w:p>
    <w:p>
      <w:pPr>
        <w:spacing w:after="0" w:line="208" w:lineRule="exact"/>
        <w:rPr>
          <w:sz w:val="20"/>
          <w:szCs w:val="20"/>
          <w:color w:val="auto"/>
        </w:rPr>
      </w:pPr>
    </w:p>
    <w:p>
      <w:pPr>
        <w:ind w:left="260" w:hanging="255"/>
        <w:spacing w:after="0"/>
        <w:tabs>
          <w:tab w:leader="none" w:pos="260"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Net Revenue</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following table presents the Company’s revenue disaggregated based on revenue source and timing of revenue recognition. The Company believes these categories best depict how the nature and timing of revenue.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Borders>
              <w:bottom w:val="single" w:sz="8" w:color="CCEEFF"/>
            </w:tcBorders>
          </w:tcPr>
          <w:p>
            <w:pPr>
              <w:spacing w:after="0"/>
              <w:rPr>
                <w:sz w:val="14"/>
                <w:szCs w:val="14"/>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32"/>
        </w:trPr>
        <w:tc>
          <w:tcPr>
            <w:tcW w:w="20" w:type="dxa"/>
            <w:vAlign w:val="bottom"/>
            <w:shd w:val="clear" w:color="auto" w:fill="CCEEFF"/>
          </w:tcPr>
          <w:p>
            <w:pPr>
              <w:spacing w:after="0"/>
              <w:rPr>
                <w:sz w:val="11"/>
                <w:szCs w:val="11"/>
                <w:color w:val="auto"/>
              </w:rPr>
            </w:pPr>
          </w:p>
        </w:tc>
        <w:tc>
          <w:tcPr>
            <w:tcW w:w="6640" w:type="dxa"/>
            <w:vAlign w:val="bottom"/>
            <w:gridSpan w:val="3"/>
            <w:shd w:val="clear" w:color="auto" w:fill="CCEEFF"/>
          </w:tcPr>
          <w:p>
            <w:pPr>
              <w:spacing w:after="0" w:line="120" w:lineRule="exact"/>
              <w:rPr>
                <w:sz w:val="20"/>
                <w:szCs w:val="20"/>
                <w:color w:val="auto"/>
              </w:rPr>
            </w:pPr>
            <w:r>
              <w:rPr>
                <w:rFonts w:ascii="Arial" w:cs="Arial" w:eastAsia="Arial" w:hAnsi="Arial"/>
                <w:sz w:val="13"/>
                <w:szCs w:val="13"/>
                <w:color w:val="auto"/>
              </w:rPr>
              <w:t>Type of goods and services:</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Wafer fabrication</w:t>
            </w:r>
          </w:p>
        </w:tc>
        <w:tc>
          <w:tcPr>
            <w:tcW w:w="5060" w:type="dxa"/>
            <w:vAlign w:val="bottom"/>
            <w:tcBorders>
              <w:top w:val="single" w:sz="8" w:color="CCEEFF"/>
            </w:tcBorders>
            <w:gridSpan w:val="2"/>
          </w:tcPr>
          <w:p>
            <w:pPr>
              <w:spacing w:after="0"/>
              <w:rPr>
                <w:sz w:val="14"/>
                <w:szCs w:val="14"/>
                <w:color w:val="auto"/>
              </w:rPr>
            </w:pPr>
          </w:p>
        </w:tc>
        <w:tc>
          <w:tcPr>
            <w:tcW w:w="340" w:type="dxa"/>
            <w:vAlign w:val="bottom"/>
            <w:tcBorders>
              <w:top w:val="single" w:sz="8" w:color="CCEEFF"/>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7,627</w:t>
            </w: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6,204</w:t>
            </w: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4,440</w:t>
            </w:r>
          </w:p>
        </w:tc>
      </w:tr>
      <w:tr>
        <w:trPr>
          <w:trHeight w:val="170"/>
        </w:trPr>
        <w:tc>
          <w:tcPr>
            <w:tcW w:w="20" w:type="dxa"/>
            <w:vAlign w:val="bottom"/>
            <w:shd w:val="clear" w:color="auto" w:fill="CCEEFF"/>
          </w:tcPr>
          <w:p>
            <w:pPr>
              <w:spacing w:after="0"/>
              <w:rPr>
                <w:sz w:val="14"/>
                <w:szCs w:val="14"/>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Engineering and other pre-fabrication services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w:t>
            </w:r>
          </w:p>
        </w:tc>
      </w:tr>
      <w:tr>
        <w:trPr>
          <w:trHeight w:val="162"/>
        </w:trPr>
        <w:tc>
          <w:tcPr>
            <w:tcW w:w="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8,108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6,585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4,851</w:t>
            </w:r>
          </w:p>
        </w:tc>
      </w:tr>
      <w:tr>
        <w:trPr>
          <w:trHeight w:val="192"/>
        </w:trPr>
        <w:tc>
          <w:tcPr>
            <w:tcW w:w="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38"/>
        </w:trPr>
        <w:tc>
          <w:tcPr>
            <w:tcW w:w="20" w:type="dxa"/>
            <w:vAlign w:val="bottom"/>
          </w:tcPr>
          <w:p>
            <w:pPr>
              <w:spacing w:after="0"/>
              <w:rPr>
                <w:sz w:val="11"/>
                <w:szCs w:val="11"/>
                <w:color w:val="auto"/>
              </w:rPr>
            </w:pPr>
          </w:p>
        </w:tc>
        <w:tc>
          <w:tcPr>
            <w:tcW w:w="6640" w:type="dxa"/>
            <w:vAlign w:val="bottom"/>
            <w:gridSpan w:val="3"/>
          </w:tcPr>
          <w:p>
            <w:pPr>
              <w:spacing w:after="0" w:line="138" w:lineRule="exact"/>
              <w:rPr>
                <w:sz w:val="20"/>
                <w:szCs w:val="20"/>
                <w:color w:val="auto"/>
              </w:rPr>
            </w:pPr>
            <w:r>
              <w:rPr>
                <w:rFonts w:ascii="Arial" w:cs="Arial" w:eastAsia="Arial" w:hAnsi="Arial"/>
                <w:sz w:val="13"/>
                <w:szCs w:val="13"/>
                <w:color w:val="auto"/>
              </w:rPr>
              <w:t>Timing of revenue recognition:</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Revenue recognized over time</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4,228</w:t>
            </w:r>
          </w:p>
        </w:tc>
      </w:tr>
      <w:tr>
        <w:trPr>
          <w:trHeight w:val="168"/>
        </w:trPr>
        <w:tc>
          <w:tcPr>
            <w:tcW w:w="20" w:type="dxa"/>
            <w:vAlign w:val="bottom"/>
            <w:tcBorders>
              <w:bottom w:val="single" w:sz="8" w:color="CCEEFF"/>
            </w:tcBorders>
          </w:tcPr>
          <w:p>
            <w:pPr>
              <w:spacing w:after="0"/>
              <w:rPr>
                <w:sz w:val="14"/>
                <w:szCs w:val="14"/>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Revenue recognized at a point in time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7,663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6,228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w:t>
            </w: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8,108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6,585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December 31, 2020, due to operational and commercial reasons, the Company modified the cancellation terms of its contracts with customers that are applicable to wafer fabrication products.</w:t>
      </w:r>
    </w:p>
    <w:p>
      <w:pPr>
        <w:spacing w:after="0" w:line="36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As a result, the Company no longer has an enforceable right to payment covering cost incurred plus a reasonable profit margin for work completed to date when a customer cancels its wafers purchase order at any stage of production. The change was effective to all wafer outstanding purchase orders as at the date of contract modification and future purchase orders thereafter. The contract modification had no impact on the originally agreed wafer volume, the related wafer price, and other terms and conditions of its existing contracts with customers. Likewise, the modification did not have an impact to its contracts to provide NRE services to the customers’ specifications; therefore, the Company continuously recognizes revenue as it delivers the NRE service as a percentage of costs incurred over total expected costs. Prior to the contract modification, the Company satisfied its performance obligations over time because of the customer’s contractual obligation to pay for work completed to date with a reasonable profit. The change in cancellation terms substantively modified the contracts with customers. As a result, the Company no longer meets the criteria to account for revenue recognition from contracts with customers over time on the outstanding purchase orders at the contract modification date and future orders thereafter. Consequently, the Company recognizes revenue on the impacted outstanding wafers orders and future orders at the point at which control of the wafers is transferred to the customer, which is determined to be at the point of wafer shipment from the Company’s facilities or delivery to the customer location, as determined by the agreed shipping terms.</w:t>
      </w:r>
    </w:p>
    <w:p>
      <w:pPr>
        <w:spacing w:after="0" w:line="8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2020, the Company recognized a cumulative decrease in revenue of $315 million and a corresponding decrease in unbilled accounts receivable, and a cumulative decrease in cost of revenue of $226 million and a corresponding increase in inventories, with a net decrease in gross margin of $60 million on the impacted outstanding purchase orders on the date of contract modification.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5.</w:t>
        <w:tab/>
        <w:t>Cost of Revenue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63"/>
        </w:trPr>
        <w:tc>
          <w:tcPr>
            <w:tcW w:w="6660" w:type="dxa"/>
            <w:vAlign w:val="bottom"/>
            <w:shd w:val="clear" w:color="auto" w:fill="CCEEFF"/>
          </w:tcPr>
          <w:p>
            <w:pPr>
              <w:ind w:left="20"/>
              <w:spacing w:after="0" w:line="163" w:lineRule="exact"/>
              <w:rPr>
                <w:sz w:val="20"/>
                <w:szCs w:val="20"/>
                <w:color w:val="auto"/>
              </w:rPr>
            </w:pPr>
            <w:r>
              <w:rPr>
                <w:rFonts w:ascii="Arial" w:cs="Arial" w:eastAsia="Arial" w:hAnsi="Arial"/>
                <w:sz w:val="13"/>
                <w:szCs w:val="13"/>
                <w:color w:val="auto"/>
              </w:rPr>
              <w:t xml:space="preserve">Depreciation of PPE and amortization of intangible assets </w:t>
            </w:r>
            <w:r>
              <w:rPr>
                <w:rFonts w:ascii="Arial" w:cs="Arial" w:eastAsia="Arial" w:hAnsi="Arial"/>
                <w:sz w:val="16"/>
                <w:szCs w:val="16"/>
                <w:color w:val="auto"/>
                <w:vertAlign w:val="superscript"/>
              </w:rPr>
              <w:t>(1)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w:t>
            </w:r>
          </w:p>
        </w:tc>
        <w:tc>
          <w:tcPr>
            <w:tcW w:w="42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2,187</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Inventory changes and materials costs and other</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1,834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1,187</w:t>
            </w:r>
          </w:p>
        </w:tc>
      </w:tr>
      <w:tr>
        <w:trPr>
          <w:trHeight w:val="172"/>
        </w:trPr>
        <w:tc>
          <w:tcPr>
            <w:tcW w:w="666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Staff costs, maintenance costs, and utilities</w:t>
            </w:r>
            <w:r>
              <w:rPr>
                <w:rFonts w:ascii="Arial" w:cs="Arial" w:eastAsia="Arial" w:hAnsi="Arial"/>
                <w:sz w:val="16"/>
                <w:szCs w:val="16"/>
                <w:color w:val="auto"/>
                <w:vertAlign w:val="superscript"/>
              </w:rPr>
              <w:t>(2)</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2,424</w:t>
            </w:r>
          </w:p>
        </w:tc>
        <w:tc>
          <w:tcPr>
            <w:tcW w:w="80" w:type="dxa"/>
            <w:vAlign w:val="bottom"/>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2,189</w:t>
            </w:r>
          </w:p>
        </w:tc>
      </w:tr>
      <w:tr>
        <w:trPr>
          <w:trHeight w:val="160"/>
        </w:trPr>
        <w:tc>
          <w:tcPr>
            <w:tcW w:w="666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5,869</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5,572</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5,563</w:t>
            </w:r>
          </w:p>
        </w:tc>
      </w:tr>
    </w:tbl>
    <w:p>
      <w:pPr>
        <w:spacing w:after="0" w:line="127" w:lineRule="exact"/>
        <w:rPr>
          <w:sz w:val="20"/>
          <w:szCs w:val="20"/>
          <w:color w:val="auto"/>
        </w:rPr>
      </w:pPr>
    </w:p>
    <w:p>
      <w:pPr>
        <w:ind w:left="640" w:hanging="253"/>
        <w:spacing w:after="0"/>
        <w:tabs>
          <w:tab w:leader="none" w:pos="640" w:val="left"/>
        </w:tabs>
        <w:numPr>
          <w:ilvl w:val="1"/>
          <w:numId w:val="87"/>
        </w:numPr>
        <w:rPr>
          <w:rFonts w:ascii="Arial" w:cs="Arial" w:eastAsia="Arial" w:hAnsi="Arial"/>
          <w:sz w:val="15"/>
          <w:szCs w:val="15"/>
          <w:color w:val="auto"/>
          <w:vertAlign w:val="superscript"/>
        </w:rPr>
      </w:pPr>
      <w:r>
        <w:rPr>
          <w:rFonts w:ascii="Arial" w:cs="Arial" w:eastAsia="Arial" w:hAnsi="Arial"/>
          <w:sz w:val="11"/>
          <w:szCs w:val="11"/>
          <w:color w:val="auto"/>
        </w:rPr>
        <w:t>Amounts are net of amortization of government grants relating to assets. See Note 12 for the detailed movements of property, plant and equipment.</w:t>
      </w:r>
    </w:p>
    <w:p>
      <w:pPr>
        <w:spacing w:after="0" w:line="1" w:lineRule="exact"/>
        <w:rPr>
          <w:rFonts w:ascii="Arial" w:cs="Arial" w:eastAsia="Arial" w:hAnsi="Arial"/>
          <w:sz w:val="15"/>
          <w:szCs w:val="15"/>
          <w:color w:val="auto"/>
          <w:vertAlign w:val="superscript"/>
        </w:rPr>
      </w:pPr>
    </w:p>
    <w:p>
      <w:pPr>
        <w:ind w:left="640" w:hanging="253"/>
        <w:spacing w:after="0" w:line="189" w:lineRule="auto"/>
        <w:tabs>
          <w:tab w:leader="none" w:pos="640" w:val="left"/>
        </w:tabs>
        <w:numPr>
          <w:ilvl w:val="1"/>
          <w:numId w:val="87"/>
        </w:numPr>
        <w:rPr>
          <w:rFonts w:ascii="Arial" w:cs="Arial" w:eastAsia="Arial" w:hAnsi="Arial"/>
          <w:sz w:val="15"/>
          <w:szCs w:val="15"/>
          <w:color w:val="auto"/>
          <w:vertAlign w:val="superscript"/>
        </w:rPr>
      </w:pPr>
      <w:r>
        <w:rPr>
          <w:rFonts w:ascii="Arial" w:cs="Arial" w:eastAsia="Arial" w:hAnsi="Arial"/>
          <w:sz w:val="11"/>
          <w:szCs w:val="11"/>
          <w:color w:val="auto"/>
        </w:rPr>
        <w:t>Staff costs, maintenance costs, and utilities costs include share-based compensation of $64 million, $55 million and $0 for share options for the year ended December 31, 2022, 2021 and 2020, respectively.</w:t>
      </w:r>
    </w:p>
    <w:p>
      <w:pPr>
        <w:spacing w:after="0" w:line="238"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Research and Development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63"/>
        </w:trPr>
        <w:tc>
          <w:tcPr>
            <w:tcW w:w="6660" w:type="dxa"/>
            <w:vAlign w:val="bottom"/>
            <w:shd w:val="clear" w:color="auto" w:fill="CCEEFF"/>
          </w:tcPr>
          <w:p>
            <w:pPr>
              <w:ind w:left="20"/>
              <w:spacing w:after="0" w:line="163" w:lineRule="exact"/>
              <w:rPr>
                <w:sz w:val="20"/>
                <w:szCs w:val="20"/>
                <w:color w:val="auto"/>
              </w:rPr>
            </w:pPr>
            <w:r>
              <w:rPr>
                <w:rFonts w:ascii="Arial" w:cs="Arial" w:eastAsia="Arial" w:hAnsi="Arial"/>
                <w:sz w:val="13"/>
                <w:szCs w:val="13"/>
                <w:color w:val="auto"/>
              </w:rPr>
              <w:t>Staff costs, maintenance costs, and utilities</w:t>
            </w:r>
            <w:r>
              <w:rPr>
                <w:rFonts w:ascii="Arial" w:cs="Arial" w:eastAsia="Arial" w:hAnsi="Arial"/>
                <w:sz w:val="16"/>
                <w:szCs w:val="16"/>
                <w:color w:val="auto"/>
                <w:vertAlign w:val="superscript"/>
              </w:rPr>
              <w:t>(1)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Depreciation of PPE and amortization of intangible assets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220</w:t>
            </w:r>
          </w:p>
        </w:tc>
      </w:tr>
      <w:tr>
        <w:trPr>
          <w:trHeight w:val="172"/>
        </w:trPr>
        <w:tc>
          <w:tcPr>
            <w:tcW w:w="666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16"/>
                <w:szCs w:val="16"/>
                <w:color w:val="auto"/>
                <w:vertAlign w:val="superscript"/>
              </w:rPr>
              <w:t>(2)</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0"/>
        </w:trPr>
        <w:tc>
          <w:tcPr>
            <w:tcW w:w="666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482</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478</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476</w:t>
            </w:r>
          </w:p>
        </w:tc>
      </w:tr>
    </w:tbl>
    <w:p>
      <w:pPr>
        <w:spacing w:after="0" w:line="118" w:lineRule="exact"/>
        <w:rPr>
          <w:sz w:val="20"/>
          <w:szCs w:val="20"/>
          <w:color w:val="auto"/>
        </w:rPr>
      </w:pPr>
    </w:p>
    <w:p>
      <w:pPr>
        <w:ind w:left="640" w:hanging="253"/>
        <w:spacing w:after="0"/>
        <w:tabs>
          <w:tab w:leader="none" w:pos="640" w:val="left"/>
        </w:tabs>
        <w:numPr>
          <w:ilvl w:val="1"/>
          <w:numId w:val="89"/>
        </w:numPr>
        <w:rPr>
          <w:rFonts w:ascii="Arial" w:cs="Arial" w:eastAsia="Arial" w:hAnsi="Arial"/>
          <w:sz w:val="15"/>
          <w:szCs w:val="15"/>
          <w:color w:val="auto"/>
          <w:vertAlign w:val="superscript"/>
        </w:rPr>
      </w:pPr>
      <w:r>
        <w:rPr>
          <w:rFonts w:ascii="Arial" w:cs="Arial" w:eastAsia="Arial" w:hAnsi="Arial"/>
          <w:sz w:val="11"/>
          <w:szCs w:val="11"/>
          <w:color w:val="auto"/>
        </w:rPr>
        <w:t>Staff costs, maintenance costs, and utilities costs include share-based compensation of $27 million, $22 million and $0 for share options for the year ended December 31, 2022, 2021 and 2020, respectively.</w:t>
      </w:r>
    </w:p>
    <w:p>
      <w:pPr>
        <w:ind w:left="640" w:hanging="253"/>
        <w:spacing w:after="0"/>
        <w:tabs>
          <w:tab w:leader="none" w:pos="640" w:val="left"/>
        </w:tabs>
        <w:numPr>
          <w:ilvl w:val="1"/>
          <w:numId w:val="89"/>
        </w:numPr>
        <w:rPr>
          <w:rFonts w:ascii="Arial" w:cs="Arial" w:eastAsia="Arial" w:hAnsi="Arial"/>
          <w:sz w:val="7"/>
          <w:szCs w:val="7"/>
          <w:color w:val="auto"/>
        </w:rPr>
      </w:pPr>
      <w:r>
        <w:rPr>
          <w:rFonts w:ascii="Arial" w:cs="Arial" w:eastAsia="Arial" w:hAnsi="Arial"/>
          <w:sz w:val="11"/>
          <w:szCs w:val="11"/>
          <w:color w:val="auto"/>
        </w:rPr>
        <w:t>Other primarily includes material costs and net (income) expenses related to research funding agreements and wafer, labor, software license costs allocated (to) and from cost of revenue.</w:t>
      </w:r>
    </w:p>
    <w:p>
      <w:pPr>
        <w:spacing w:after="0" w:line="184" w:lineRule="exact"/>
        <w:rPr>
          <w:rFonts w:ascii="Arial" w:cs="Arial" w:eastAsia="Arial" w:hAnsi="Arial"/>
          <w:sz w:val="7"/>
          <w:szCs w:val="7"/>
          <w:color w:val="auto"/>
        </w:rPr>
      </w:pPr>
    </w:p>
    <w:p>
      <w:pPr>
        <w:ind w:left="260" w:hanging="255"/>
        <w:spacing w:after="0"/>
        <w:tabs>
          <w:tab w:leader="none" w:pos="26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Selling, General and Administrative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63"/>
        </w:trPr>
        <w:tc>
          <w:tcPr>
            <w:tcW w:w="6660" w:type="dxa"/>
            <w:vAlign w:val="bottom"/>
            <w:shd w:val="clear" w:color="auto" w:fill="CCEEFF"/>
          </w:tcPr>
          <w:p>
            <w:pPr>
              <w:ind w:left="20"/>
              <w:spacing w:after="0" w:line="163" w:lineRule="exact"/>
              <w:rPr>
                <w:sz w:val="20"/>
                <w:szCs w:val="20"/>
                <w:color w:val="auto"/>
              </w:rPr>
            </w:pPr>
            <w:r>
              <w:rPr>
                <w:rFonts w:ascii="Arial" w:cs="Arial" w:eastAsia="Arial" w:hAnsi="Arial"/>
                <w:sz w:val="13"/>
                <w:szCs w:val="13"/>
                <w:color w:val="auto"/>
              </w:rPr>
              <w:t xml:space="preserve">Staff costs, maintenance costs, and utilities </w:t>
            </w:r>
            <w:r>
              <w:rPr>
                <w:rFonts w:ascii="Arial" w:cs="Arial" w:eastAsia="Arial" w:hAnsi="Arial"/>
                <w:sz w:val="16"/>
                <w:szCs w:val="16"/>
                <w:color w:val="auto"/>
                <w:vertAlign w:val="superscript"/>
              </w:rPr>
              <w:t>(1)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Depreciation of PPE and amortization of intangible assets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115</w:t>
            </w:r>
          </w:p>
        </w:tc>
      </w:tr>
      <w:tr>
        <w:trPr>
          <w:trHeight w:val="172"/>
        </w:trPr>
        <w:tc>
          <w:tcPr>
            <w:tcW w:w="666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16"/>
                <w:szCs w:val="16"/>
                <w:color w:val="auto"/>
                <w:vertAlign w:val="superscript"/>
              </w:rPr>
              <w:t>(2)</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0"/>
        </w:trPr>
        <w:tc>
          <w:tcPr>
            <w:tcW w:w="666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496</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595</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445</w:t>
            </w:r>
          </w:p>
        </w:tc>
      </w:tr>
    </w:tbl>
    <w:p>
      <w:pPr>
        <w:spacing w:after="0" w:line="152" w:lineRule="exact"/>
        <w:rPr>
          <w:sz w:val="20"/>
          <w:szCs w:val="20"/>
          <w:color w:val="auto"/>
        </w:rPr>
      </w:pPr>
    </w:p>
    <w:p>
      <w:pPr>
        <w:ind w:left="640" w:hanging="253"/>
        <w:spacing w:after="0" w:line="260" w:lineRule="auto"/>
        <w:tabs>
          <w:tab w:leader="none" w:pos="634" w:val="left"/>
        </w:tabs>
        <w:numPr>
          <w:ilvl w:val="1"/>
          <w:numId w:val="91"/>
        </w:numPr>
        <w:rPr>
          <w:rFonts w:ascii="Arial" w:cs="Arial" w:eastAsia="Arial" w:hAnsi="Arial"/>
          <w:sz w:val="7"/>
          <w:szCs w:val="7"/>
          <w:color w:val="auto"/>
        </w:rPr>
      </w:pPr>
      <w:r>
        <w:rPr>
          <w:rFonts w:ascii="Arial" w:cs="Arial" w:eastAsia="Arial" w:hAnsi="Arial"/>
          <w:sz w:val="11"/>
          <w:szCs w:val="11"/>
          <w:color w:val="auto"/>
        </w:rPr>
        <w:t>Staff costs, maintenance costs, and utilities costs include share-based payments of $92 million, $152 million and $1 million for share options for the year ended December 31, 2022, 2021 and 2020, respectively. See Note 3 for further discussion on the timing of expense recognition.</w:t>
      </w:r>
    </w:p>
    <w:p>
      <w:pPr>
        <w:ind w:left="640" w:hanging="253"/>
        <w:spacing w:after="0" w:line="191" w:lineRule="auto"/>
        <w:tabs>
          <w:tab w:leader="none" w:pos="640" w:val="left"/>
        </w:tabs>
        <w:numPr>
          <w:ilvl w:val="1"/>
          <w:numId w:val="91"/>
        </w:numPr>
        <w:rPr>
          <w:rFonts w:ascii="Arial" w:cs="Arial" w:eastAsia="Arial" w:hAnsi="Arial"/>
          <w:sz w:val="15"/>
          <w:szCs w:val="15"/>
          <w:color w:val="auto"/>
          <w:vertAlign w:val="superscript"/>
        </w:rPr>
      </w:pPr>
      <w:r>
        <w:rPr>
          <w:rFonts w:ascii="Arial" w:cs="Arial" w:eastAsia="Arial" w:hAnsi="Arial"/>
          <w:sz w:val="11"/>
          <w:szCs w:val="11"/>
          <w:color w:val="auto"/>
        </w:rPr>
        <w:t>Other primarily includes net professional charges, marketing expenses and facility costs. Real estate transfer taxes are also included in Other.</w:t>
      </w:r>
    </w:p>
    <w:p>
      <w:pPr>
        <w:spacing w:after="0" w:line="238"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the fourth quarter 2022, the Company’s management approved and commenced a restructuring plan aimed to realign the Company’s business and strategic priorities. This worldwide restructuring plan included a reduction in the number of full-time employees, as well as a reduction in leased workspaces and engagement of consultants for strategic support.</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incurred $94 million of restructuring charges in 2022 which includes $3 million of accelerated share-based compensation expense. These expenses are included in restructuring charges in the Company’s consolidated statements of operations, and unpaid amounts are included in provisions within current liabilities on the consolidated statements of financial position. The accelerated share-based compensation of $3 million impacted equity.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The changes to the restructuring provisions recorded on the consolidated statements of financial position as of December 31, 2022, are summarized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49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b w:val="1"/>
                <w:bCs w:val="1"/>
                <w:color w:val="auto"/>
              </w:rPr>
              <w:t>2022</w:t>
            </w:r>
          </w:p>
        </w:tc>
      </w:tr>
      <w:tr>
        <w:trPr>
          <w:trHeight w:val="163"/>
        </w:trPr>
        <w:tc>
          <w:tcPr>
            <w:tcW w:w="4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Beginning balance as of December 31, 2021</w:t>
            </w:r>
          </w:p>
        </w:tc>
        <w:tc>
          <w:tcPr>
            <w:tcW w:w="4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r>
      <w:tr>
        <w:trPr>
          <w:trHeight w:val="168"/>
        </w:trPr>
        <w:tc>
          <w:tcPr>
            <w:tcW w:w="4080" w:type="dxa"/>
            <w:vAlign w:val="bottom"/>
          </w:tcPr>
          <w:p>
            <w:pPr>
              <w:ind w:left="20"/>
              <w:spacing w:after="0"/>
              <w:rPr>
                <w:sz w:val="20"/>
                <w:szCs w:val="20"/>
                <w:color w:val="auto"/>
              </w:rPr>
            </w:pPr>
            <w:r>
              <w:rPr>
                <w:rFonts w:ascii="Arial" w:cs="Arial" w:eastAsia="Arial" w:hAnsi="Arial"/>
                <w:sz w:val="13"/>
                <w:szCs w:val="13"/>
                <w:color w:val="auto"/>
              </w:rPr>
              <w:t>Provision</w:t>
            </w:r>
          </w:p>
        </w:tc>
        <w:tc>
          <w:tcPr>
            <w:tcW w:w="5480" w:type="dxa"/>
            <w:vAlign w:val="bottom"/>
            <w:gridSpan w:val="2"/>
          </w:tcPr>
          <w:p>
            <w:pPr>
              <w:jc w:val="right"/>
              <w:ind w:right="376"/>
              <w:spacing w:after="0"/>
              <w:rPr>
                <w:sz w:val="20"/>
                <w:szCs w:val="20"/>
                <w:color w:val="auto"/>
              </w:rPr>
            </w:pPr>
            <w:r>
              <w:rPr>
                <w:rFonts w:ascii="Arial" w:cs="Arial" w:eastAsia="Arial" w:hAnsi="Arial"/>
                <w:sz w:val="13"/>
                <w:szCs w:val="13"/>
                <w:color w:val="auto"/>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72"/>
        </w:trPr>
        <w:tc>
          <w:tcPr>
            <w:tcW w:w="4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paid</w:t>
            </w:r>
          </w:p>
        </w:tc>
        <w:tc>
          <w:tcPr>
            <w:tcW w:w="5480" w:type="dxa"/>
            <w:vAlign w:val="bottom"/>
            <w:gridSpan w:val="2"/>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0"/>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Ending balance as of December 31, 2022</w:t>
            </w:r>
          </w:p>
        </w:tc>
        <w:tc>
          <w:tcPr>
            <w:tcW w:w="49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w:t>
            </w:r>
          </w:p>
        </w:tc>
      </w:tr>
      <w:tr>
        <w:trPr>
          <w:trHeight w:val="708"/>
        </w:trPr>
        <w:tc>
          <w:tcPr>
            <w:tcW w:w="4080" w:type="dxa"/>
            <w:vAlign w:val="bottom"/>
          </w:tcPr>
          <w:p>
            <w:pPr>
              <w:spacing w:after="0"/>
              <w:rPr>
                <w:sz w:val="24"/>
                <w:szCs w:val="24"/>
                <w:color w:val="auto"/>
              </w:rPr>
            </w:pPr>
          </w:p>
        </w:tc>
        <w:tc>
          <w:tcPr>
            <w:tcW w:w="5480" w:type="dxa"/>
            <w:vAlign w:val="bottom"/>
            <w:gridSpan w:val="2"/>
          </w:tcPr>
          <w:p>
            <w:pPr>
              <w:jc w:val="right"/>
              <w:ind w:right="3716"/>
              <w:spacing w:after="0"/>
              <w:rPr>
                <w:sz w:val="20"/>
                <w:szCs w:val="20"/>
                <w:color w:val="auto"/>
              </w:rPr>
            </w:pPr>
            <w:r>
              <w:rPr>
                <w:rFonts w:ascii="Arial" w:cs="Arial" w:eastAsia="Arial" w:hAnsi="Arial"/>
                <w:sz w:val="13"/>
                <w:szCs w:val="13"/>
                <w:color w:val="auto"/>
              </w:rPr>
              <w:t>F-21</w:t>
            </w:r>
          </w:p>
        </w:tc>
        <w:tc>
          <w:tcPr>
            <w:tcW w:w="1720" w:type="dxa"/>
            <w:vAlign w:val="bottom"/>
          </w:tcPr>
          <w:p>
            <w:pPr>
              <w:spacing w:after="0"/>
              <w:rPr>
                <w:sz w:val="24"/>
                <w:szCs w:val="24"/>
                <w:color w:val="auto"/>
              </w:rPr>
            </w:pPr>
          </w:p>
        </w:tc>
      </w:tr>
      <w:tr>
        <w:trPr>
          <w:trHeight w:val="80"/>
        </w:trPr>
        <w:tc>
          <w:tcPr>
            <w:tcW w:w="4080" w:type="dxa"/>
            <w:vAlign w:val="bottom"/>
            <w:tcBorders>
              <w:bottom w:val="single" w:sz="8" w:color="9A9A9A"/>
            </w:tcBorders>
          </w:tcPr>
          <w:p>
            <w:pPr>
              <w:spacing w:after="0"/>
              <w:rPr>
                <w:sz w:val="6"/>
                <w:szCs w:val="6"/>
                <w:color w:val="auto"/>
              </w:rPr>
            </w:pPr>
          </w:p>
        </w:tc>
        <w:tc>
          <w:tcPr>
            <w:tcW w:w="49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3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actual costs that the Company will incur may differ from these estimates based on the timing required to complete the restructuring plan, the number of people invoiced and the final termination benefits. The Company expects to complete the restructuring initiative over the next twelve months.</w:t>
      </w:r>
    </w:p>
    <w:p>
      <w:pPr>
        <w:spacing w:after="0" w:line="200" w:lineRule="exact"/>
        <w:rPr>
          <w:sz w:val="20"/>
          <w:szCs w:val="20"/>
          <w:color w:val="auto"/>
        </w:rPr>
      </w:pPr>
    </w:p>
    <w:p>
      <w:pPr>
        <w:spacing w:after="0" w:line="233"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b w:val="1"/>
          <w:bCs w:val="1"/>
          <w:color w:val="auto"/>
        </w:rPr>
        <w:t>9.</w:t>
        <w:tab/>
        <w:t>Finance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63"/>
        </w:trPr>
        <w:tc>
          <w:tcPr>
            <w:tcW w:w="66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Interest on long-term debt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Interest on lease obligations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 fees and amortization of debt issuance costs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6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Accretion costs and other</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finance expenses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154</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Gain on Sale of a Business</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April 2019, the Company entered into an Asset Purchase Agreement with Semiconductor Components Industries, LLC (“ON Semiconductor”) pursuant to which the Company agreed to transfer substantially all the assets and employees related to our East Fishkill (“EFK”) business. On December 31, 2022, the Company completed the sale of the EFK business for a total purchase price of $406 million, of which $170 million was received in prior years, and the remaining $236 million received in January 2023. The Company recognized a gain upon the completion of the sale amounting to $403 million after derecognition of net liabilities of $9 million.</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the breakdown of the net liabilities that were derecognized: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60"/>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2022</w:t>
            </w:r>
          </w:p>
        </w:tc>
      </w:tr>
      <w:tr>
        <w:trPr>
          <w:trHeight w:val="150"/>
        </w:trPr>
        <w:tc>
          <w:tcPr>
            <w:tcW w:w="66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Property, plant and equipment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r>
      <w:tr>
        <w:trPr>
          <w:trHeight w:val="16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Inventories</w:t>
            </w:r>
          </w:p>
        </w:tc>
        <w:tc>
          <w:tcPr>
            <w:tcW w:w="34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r>
      <w:tr>
        <w:trPr>
          <w:trHeight w:val="15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126</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Lease liabilities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(47)</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and non-current liabilities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w:t>
            </w:r>
          </w:p>
        </w:tc>
      </w:tr>
      <w:tr>
        <w:trPr>
          <w:trHeight w:val="14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34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(135)</w:t>
            </w:r>
          </w:p>
        </w:tc>
      </w:tr>
      <w:tr>
        <w:trPr>
          <w:trHeight w:val="15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Liabilities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w:t>
            </w:r>
          </w:p>
        </w:tc>
      </w:tr>
      <w:tr>
        <w:trPr>
          <w:trHeight w:val="856"/>
        </w:trPr>
        <w:tc>
          <w:tcPr>
            <w:tcW w:w="6660" w:type="dxa"/>
            <w:vAlign w:val="bottom"/>
          </w:tcPr>
          <w:p>
            <w:pPr>
              <w:spacing w:after="0"/>
              <w:rPr>
                <w:sz w:val="20"/>
                <w:szCs w:val="20"/>
                <w:color w:val="auto"/>
              </w:rPr>
            </w:pPr>
            <w:r>
              <w:rPr>
                <w:rFonts w:ascii="Arial" w:cs="Arial" w:eastAsia="Arial" w:hAnsi="Arial"/>
                <w:sz w:val="13"/>
                <w:szCs w:val="13"/>
                <w:b w:val="1"/>
                <w:bCs w:val="1"/>
                <w:color w:val="auto"/>
              </w:rPr>
              <w:t>11. Other Income (Expense), Net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2020</w:t>
            </w:r>
          </w:p>
        </w:tc>
      </w:tr>
      <w:tr>
        <w:trPr>
          <w:trHeight w:val="163"/>
        </w:trPr>
        <w:tc>
          <w:tcPr>
            <w:tcW w:w="6660" w:type="dxa"/>
            <w:vAlign w:val="bottom"/>
            <w:shd w:val="clear" w:color="auto" w:fill="CCEEFF"/>
          </w:tcPr>
          <w:p>
            <w:pPr>
              <w:ind w:left="20"/>
              <w:spacing w:after="0" w:line="163" w:lineRule="exact"/>
              <w:rPr>
                <w:sz w:val="20"/>
                <w:szCs w:val="20"/>
                <w:color w:val="auto"/>
              </w:rPr>
            </w:pPr>
            <w:r>
              <w:rPr>
                <w:rFonts w:ascii="Arial" w:cs="Arial" w:eastAsia="Arial" w:hAnsi="Arial"/>
                <w:sz w:val="13"/>
                <w:szCs w:val="13"/>
                <w:color w:val="auto"/>
              </w:rPr>
              <w:t>Gain on legal settlement</w:t>
            </w:r>
            <w:r>
              <w:rPr>
                <w:rFonts w:ascii="Arial" w:cs="Arial" w:eastAsia="Arial" w:hAnsi="Arial"/>
                <w:sz w:val="16"/>
                <w:szCs w:val="16"/>
                <w:color w:val="auto"/>
                <w:vertAlign w:val="superscript"/>
              </w:rPr>
              <w:t>(1)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Gain on remeasurement of existing equity interests</w:t>
            </w:r>
          </w:p>
        </w:tc>
        <w:tc>
          <w:tcPr>
            <w:tcW w:w="3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2"/>
        </w:trPr>
        <w:tc>
          <w:tcPr>
            <w:tcW w:w="666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(2)</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Total other income (expense), net</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(8)</w:t>
            </w:r>
          </w:p>
        </w:tc>
        <w:tc>
          <w:tcPr>
            <w:tcW w:w="80" w:type="dxa"/>
            <w:vAlign w:val="bottom"/>
          </w:tcPr>
          <w:p>
            <w:pPr>
              <w:spacing w:after="0"/>
              <w:rPr>
                <w:sz w:val="13"/>
                <w:szCs w:val="13"/>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442</w:t>
            </w:r>
          </w:p>
        </w:tc>
      </w:tr>
    </w:tbl>
    <w:p>
      <w:pPr>
        <w:spacing w:after="0" w:line="127" w:lineRule="exact"/>
        <w:rPr>
          <w:sz w:val="20"/>
          <w:szCs w:val="20"/>
          <w:color w:val="auto"/>
        </w:rPr>
      </w:pPr>
    </w:p>
    <w:p>
      <w:pPr>
        <w:ind w:left="640" w:hanging="253"/>
        <w:spacing w:after="0"/>
        <w:tabs>
          <w:tab w:leader="none" w:pos="640" w:val="left"/>
        </w:tabs>
        <w:numPr>
          <w:ilvl w:val="0"/>
          <w:numId w:val="93"/>
        </w:numPr>
        <w:rPr>
          <w:rFonts w:ascii="Arial" w:cs="Arial" w:eastAsia="Arial" w:hAnsi="Arial"/>
          <w:sz w:val="15"/>
          <w:szCs w:val="15"/>
          <w:color w:val="auto"/>
          <w:vertAlign w:val="superscript"/>
        </w:rPr>
      </w:pPr>
      <w:r>
        <w:rPr>
          <w:rFonts w:ascii="Arial" w:cs="Arial" w:eastAsia="Arial" w:hAnsi="Arial"/>
          <w:sz w:val="11"/>
          <w:szCs w:val="11"/>
          <w:color w:val="auto"/>
        </w:rPr>
        <w:t>On April 10, 2020, under the terms of a settlement agreement, the Company received a settlement and recorded total gains of $294 million related to this settlement for the year ended December 31, 2020.</w:t>
      </w:r>
    </w:p>
    <w:p>
      <w:pPr>
        <w:spacing w:after="0" w:line="60" w:lineRule="exact"/>
        <w:rPr>
          <w:rFonts w:ascii="Arial" w:cs="Arial" w:eastAsia="Arial" w:hAnsi="Arial"/>
          <w:sz w:val="15"/>
          <w:szCs w:val="15"/>
          <w:color w:val="auto"/>
          <w:vertAlign w:val="superscript"/>
        </w:rPr>
      </w:pPr>
    </w:p>
    <w:p>
      <w:pPr>
        <w:ind w:left="520" w:hanging="133"/>
        <w:spacing w:after="0"/>
        <w:tabs>
          <w:tab w:leader="none" w:pos="520" w:val="left"/>
        </w:tabs>
        <w:numPr>
          <w:ilvl w:val="0"/>
          <w:numId w:val="93"/>
        </w:numPr>
        <w:rPr>
          <w:rFonts w:ascii="Arial" w:cs="Arial" w:eastAsia="Arial" w:hAnsi="Arial"/>
          <w:sz w:val="15"/>
          <w:szCs w:val="15"/>
          <w:color w:val="auto"/>
          <w:vertAlign w:val="superscript"/>
        </w:rPr>
      </w:pPr>
      <w:r>
        <w:rPr>
          <w:rFonts w:ascii="Arial" w:cs="Arial" w:eastAsia="Arial" w:hAnsi="Arial"/>
          <w:sz w:val="11"/>
          <w:szCs w:val="11"/>
          <w:color w:val="auto"/>
        </w:rPr>
        <w:t>Relates primarily to share of profits of joint ventures, gains and losses related to hedging activities and gains on the sales of property, plant and equipment and intangible assets.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Property, Plant And Equipment</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0"/>
                <w:szCs w:val="10"/>
                <w:color w:val="auto"/>
              </w:rPr>
            </w:pPr>
          </w:p>
        </w:tc>
        <w:tc>
          <w:tcPr>
            <w:tcW w:w="1120" w:type="dxa"/>
            <w:vAlign w:val="bottom"/>
          </w:tcPr>
          <w:p>
            <w:pPr>
              <w:jc w:val="center"/>
              <w:ind w:left="243"/>
              <w:spacing w:after="0"/>
              <w:rPr>
                <w:sz w:val="20"/>
                <w:szCs w:val="20"/>
                <w:color w:val="auto"/>
              </w:rPr>
            </w:pPr>
            <w:r>
              <w:rPr>
                <w:rFonts w:ascii="Arial" w:cs="Arial" w:eastAsia="Arial" w:hAnsi="Arial"/>
                <w:sz w:val="11"/>
                <w:szCs w:val="11"/>
                <w:b w:val="1"/>
                <w:bCs w:val="1"/>
                <w:color w:val="auto"/>
              </w:rPr>
              <w:t>Land and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Building and</w:t>
            </w: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Construction</w:t>
            </w: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jc w:val="center"/>
              <w:ind w:left="223"/>
              <w:spacing w:after="0" w:line="117" w:lineRule="exact"/>
              <w:rPr>
                <w:sz w:val="20"/>
                <w:szCs w:val="20"/>
                <w:color w:val="auto"/>
              </w:rPr>
            </w:pPr>
            <w:r>
              <w:rPr>
                <w:rFonts w:ascii="Arial" w:cs="Arial" w:eastAsia="Arial" w:hAnsi="Arial"/>
                <w:sz w:val="11"/>
                <w:szCs w:val="11"/>
                <w:b w:val="1"/>
                <w:bCs w:val="1"/>
                <w:color w:val="auto"/>
              </w:rPr>
              <w:t>Land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Leasehold</w:t>
            </w:r>
          </w:p>
        </w:tc>
        <w:tc>
          <w:tcPr>
            <w:tcW w:w="260" w:type="dxa"/>
            <w:vAlign w:val="bottom"/>
          </w:tcPr>
          <w:p>
            <w:pPr>
              <w:spacing w:after="0"/>
              <w:rPr>
                <w:sz w:val="10"/>
                <w:szCs w:val="10"/>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Equipment</w:t>
            </w:r>
          </w:p>
        </w:tc>
        <w:tc>
          <w:tcPr>
            <w:tcW w:w="240" w:type="dxa"/>
            <w:vAlign w:val="bottom"/>
          </w:tcPr>
          <w:p>
            <w:pPr>
              <w:spacing w:after="0"/>
              <w:rPr>
                <w:sz w:val="10"/>
                <w:szCs w:val="10"/>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Computer</w:t>
            </w:r>
          </w:p>
        </w:tc>
        <w:tc>
          <w:tcPr>
            <w:tcW w:w="2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50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480" w:type="dxa"/>
            <w:vAlign w:val="bottom"/>
            <w:tcBorders>
              <w:bottom w:val="single" w:sz="8" w:color="CCEEFF"/>
            </w:tcBorders>
            <w:vMerge w:val="continue"/>
          </w:tcPr>
          <w:p>
            <w:pPr>
              <w:spacing w:after="0"/>
              <w:rPr>
                <w:sz w:val="12"/>
                <w:szCs w:val="12"/>
                <w:color w:val="auto"/>
              </w:rPr>
            </w:pPr>
          </w:p>
        </w:tc>
        <w:tc>
          <w:tcPr>
            <w:tcW w:w="112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b w:val="1"/>
                <w:bCs w:val="1"/>
                <w:color w:val="auto"/>
              </w:rPr>
              <w:t>Improvements</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Improvements</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in Progress</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Cost</w:t>
            </w: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2020</w:t>
            </w:r>
          </w:p>
        </w:tc>
        <w:tc>
          <w:tcPr>
            <w:tcW w:w="1120" w:type="dxa"/>
            <w:vAlign w:val="bottom"/>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Pr>
          <w:p>
            <w:pPr>
              <w:jc w:val="right"/>
              <w:ind w:right="3"/>
              <w:spacing w:after="0"/>
              <w:rPr>
                <w:sz w:val="20"/>
                <w:szCs w:val="20"/>
                <w:color w:val="auto"/>
              </w:rPr>
            </w:pPr>
            <w:r>
              <w:rPr>
                <w:rFonts w:ascii="Arial" w:cs="Arial" w:eastAsia="Arial" w:hAnsi="Arial"/>
                <w:sz w:val="11"/>
                <w:szCs w:val="11"/>
                <w:b w:val="1"/>
                <w:bCs w:val="1"/>
                <w:color w:val="auto"/>
              </w:rPr>
              <w:t>104</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7,441</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22,039</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411</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451</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30,446</w:t>
            </w: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r>
              <w:rPr>
                <w:rFonts w:ascii="Arial" w:cs="Arial" w:eastAsia="Arial" w:hAnsi="Arial"/>
                <w:sz w:val="7"/>
                <w:szCs w:val="7"/>
                <w:color w:val="auto"/>
              </w:rPr>
              <w:t>(1)</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1,925</w:t>
            </w: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1"/>
                <w:szCs w:val="11"/>
                <w:color w:val="auto"/>
              </w:rPr>
              <w:t>Transfers from construction in progress</w:t>
            </w:r>
          </w:p>
        </w:tc>
        <w:tc>
          <w:tcPr>
            <w:tcW w:w="11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116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Disposals</w:t>
            </w:r>
          </w:p>
        </w:tc>
        <w:tc>
          <w:tcPr>
            <w:tcW w:w="1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(423)</w:t>
            </w: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1"/>
                <w:szCs w:val="11"/>
                <w:color w:val="auto"/>
              </w:rPr>
              <w:t>Effects of exchange rate changes</w:t>
            </w:r>
          </w:p>
        </w:tc>
        <w:tc>
          <w:tcPr>
            <w:tcW w:w="11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(34)</w:t>
            </w:r>
          </w:p>
        </w:tc>
        <w:tc>
          <w:tcPr>
            <w:tcW w:w="0" w:type="dxa"/>
            <w:vAlign w:val="bottom"/>
          </w:tcPr>
          <w:p>
            <w:pPr>
              <w:spacing w:after="0"/>
              <w:rPr>
                <w:sz w:val="1"/>
                <w:szCs w:val="1"/>
                <w:color w:val="auto"/>
              </w:rPr>
            </w:pPr>
          </w:p>
        </w:tc>
      </w:tr>
      <w:tr>
        <w:trPr>
          <w:trHeight w:val="154"/>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 of December 31, 2021</w:t>
            </w:r>
          </w:p>
        </w:tc>
        <w:tc>
          <w:tcPr>
            <w:tcW w:w="11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7,576</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22,350</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1,423</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31,914</w:t>
            </w: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1"/>
                <w:szCs w:val="11"/>
                <w:color w:val="auto"/>
              </w:rPr>
              <w:t>Additions</w:t>
            </w:r>
            <w:r>
              <w:rPr>
                <w:rFonts w:ascii="Arial" w:cs="Arial" w:eastAsia="Arial" w:hAnsi="Arial"/>
                <w:sz w:val="7"/>
                <w:szCs w:val="7"/>
                <w:color w:val="auto"/>
              </w:rPr>
              <w:t>(1)</w:t>
            </w:r>
          </w:p>
        </w:tc>
        <w:tc>
          <w:tcPr>
            <w:tcW w:w="11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3,564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3,658</w:t>
            </w: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Transfers from construction in progress</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1"/>
                <w:szCs w:val="11"/>
                <w:color w:val="auto"/>
              </w:rPr>
              <w:t>Disposals</w:t>
            </w: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(1,169)</w:t>
            </w: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w:t>
            </w: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4"/>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2022</w:t>
            </w:r>
          </w:p>
        </w:tc>
        <w:tc>
          <w:tcPr>
            <w:tcW w:w="112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122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7,867</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22,569</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3,384</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34,381</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48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Accumulated Depreciation and Impairment</w:t>
            </w:r>
          </w:p>
        </w:tc>
        <w:tc>
          <w:tcPr>
            <w:tcW w:w="1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2020</w:t>
            </w:r>
          </w:p>
        </w:tc>
        <w:tc>
          <w:tcPr>
            <w:tcW w:w="1120" w:type="dxa"/>
            <w:vAlign w:val="bottom"/>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Pr>
          <w:p>
            <w:pPr>
              <w:jc w:val="right"/>
              <w:ind w:right="3"/>
              <w:spacing w:after="0"/>
              <w:rPr>
                <w:sz w:val="20"/>
                <w:szCs w:val="20"/>
                <w:color w:val="auto"/>
              </w:rPr>
            </w:pPr>
            <w:r>
              <w:rPr>
                <w:rFonts w:ascii="Arial" w:cs="Arial" w:eastAsia="Arial" w:hAnsi="Arial"/>
                <w:sz w:val="11"/>
                <w:szCs w:val="11"/>
                <w:b w:val="1"/>
                <w:bCs w:val="1"/>
                <w:color w:val="auto"/>
              </w:rPr>
              <w:t>31</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3,866</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17,952</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364</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7</w:t>
            </w:r>
          </w:p>
        </w:tc>
        <w:tc>
          <w:tcPr>
            <w:tcW w:w="1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22,220</w:t>
            </w: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r>
              <w:rPr>
                <w:rFonts w:ascii="Arial" w:cs="Arial" w:eastAsia="Arial" w:hAnsi="Arial"/>
                <w:sz w:val="7"/>
                <w:szCs w:val="7"/>
                <w:color w:val="auto"/>
              </w:rPr>
              <w:t>(1)</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1,411</w:t>
            </w: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1"/>
                <w:szCs w:val="11"/>
                <w:color w:val="auto"/>
              </w:rPr>
              <w:t>Disposals</w:t>
            </w:r>
          </w:p>
        </w:tc>
        <w:tc>
          <w:tcPr>
            <w:tcW w:w="11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(411)</w:t>
            </w: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Effects of exchange rate changes</w:t>
            </w:r>
          </w:p>
        </w:tc>
        <w:tc>
          <w:tcPr>
            <w:tcW w:w="11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w:t>
            </w:r>
          </w:p>
        </w:tc>
        <w:tc>
          <w:tcPr>
            <w:tcW w:w="0" w:type="dxa"/>
            <w:vAlign w:val="bottom"/>
          </w:tcPr>
          <w:p>
            <w:pPr>
              <w:spacing w:after="0"/>
              <w:rPr>
                <w:sz w:val="1"/>
                <w:szCs w:val="1"/>
                <w:color w:val="auto"/>
              </w:rPr>
            </w:pPr>
          </w:p>
        </w:tc>
      </w:tr>
      <w:tr>
        <w:trPr>
          <w:trHeight w:val="146"/>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2021</w:t>
            </w:r>
          </w:p>
        </w:tc>
        <w:tc>
          <w:tcPr>
            <w:tcW w:w="1120" w:type="dxa"/>
            <w:vAlign w:val="bottom"/>
            <w:tcBorders>
              <w:top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37</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4,266</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18,507</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384</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w:t>
            </w:r>
          </w:p>
        </w:tc>
        <w:tc>
          <w:tcPr>
            <w:tcW w:w="100" w:type="dxa"/>
            <w:vAlign w:val="bottom"/>
          </w:tcPr>
          <w:p>
            <w:pPr>
              <w:spacing w:after="0"/>
              <w:rPr>
                <w:sz w:val="12"/>
                <w:szCs w:val="12"/>
                <w:color w:val="auto"/>
              </w:rPr>
            </w:pPr>
          </w:p>
        </w:tc>
        <w:tc>
          <w:tcPr>
            <w:tcW w:w="320" w:type="dxa"/>
            <w:vAlign w:val="bottom"/>
            <w:tcBorders>
              <w:top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23,201</w:t>
            </w: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r>
              <w:rPr>
                <w:rFonts w:ascii="Arial" w:cs="Arial" w:eastAsia="Arial" w:hAnsi="Arial"/>
                <w:sz w:val="7"/>
                <w:szCs w:val="7"/>
                <w:color w:val="auto"/>
              </w:rPr>
              <w:t>(1)</w:t>
            </w: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1,447</w:t>
            </w: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1"/>
                <w:szCs w:val="11"/>
                <w:color w:val="auto"/>
              </w:rPr>
              <w:t>Disposals</w:t>
            </w:r>
          </w:p>
        </w:tc>
        <w:tc>
          <w:tcPr>
            <w:tcW w:w="1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(674)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(858)</w:t>
            </w:r>
          </w:p>
        </w:tc>
        <w:tc>
          <w:tcPr>
            <w:tcW w:w="0" w:type="dxa"/>
            <w:vAlign w:val="bottom"/>
          </w:tcPr>
          <w:p>
            <w:pPr>
              <w:spacing w:after="0"/>
              <w:rPr>
                <w:sz w:val="1"/>
                <w:szCs w:val="1"/>
                <w:color w:val="auto"/>
              </w:rPr>
            </w:pPr>
          </w:p>
        </w:tc>
      </w:tr>
      <w:tr>
        <w:trPr>
          <w:trHeight w:val="159"/>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w:t>
            </w:r>
          </w:p>
        </w:tc>
        <w:tc>
          <w:tcPr>
            <w:tcW w:w="1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4"/>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2022</w:t>
            </w:r>
          </w:p>
        </w:tc>
        <w:tc>
          <w:tcPr>
            <w:tcW w:w="112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4,544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18,804</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23,785</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Net book value as of December 31, 2021</w:t>
            </w:r>
          </w:p>
        </w:tc>
        <w:tc>
          <w:tcPr>
            <w:tcW w:w="1120" w:type="dxa"/>
            <w:vAlign w:val="bottom"/>
            <w:tcBorders>
              <w:bottom w:val="single" w:sz="8" w:color="auto"/>
            </w:tcBorders>
          </w:tcPr>
          <w:p>
            <w:pPr>
              <w:jc w:val="right"/>
              <w:ind w:right="983"/>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93</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3,310</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3,843</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51</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1,416</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8,713</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48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4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Net book value as of December 31, 2022</w:t>
            </w:r>
          </w:p>
        </w:tc>
        <w:tc>
          <w:tcPr>
            <w:tcW w:w="1120" w:type="dxa"/>
            <w:vAlign w:val="bottom"/>
            <w:tcBorders>
              <w:bottom w:val="single" w:sz="8" w:color="auto"/>
            </w:tcBorders>
          </w:tcPr>
          <w:p>
            <w:pPr>
              <w:jc w:val="right"/>
              <w:ind w:right="983"/>
              <w:spacing w:after="0" w:line="122" w:lineRule="exact"/>
              <w:rPr>
                <w:sz w:val="20"/>
                <w:szCs w:val="20"/>
                <w:color w:val="auto"/>
              </w:rPr>
            </w:pPr>
            <w:r>
              <w:rPr>
                <w:rFonts w:ascii="Arial" w:cs="Arial" w:eastAsia="Arial" w:hAnsi="Arial"/>
                <w:sz w:val="11"/>
                <w:szCs w:val="11"/>
                <w:b w:val="1"/>
                <w:bCs w:val="1"/>
                <w:color w:val="auto"/>
                <w:w w:val="97"/>
              </w:rPr>
              <w:t>$</w:t>
            </w:r>
          </w:p>
        </w:tc>
        <w:tc>
          <w:tcPr>
            <w:tcW w:w="280" w:type="dxa"/>
            <w:vAlign w:val="bottom"/>
            <w:tcBorders>
              <w:bottom w:val="single" w:sz="8" w:color="auto"/>
            </w:tcBorders>
          </w:tcPr>
          <w:p>
            <w:pPr>
              <w:jc w:val="right"/>
              <w:ind w:right="3"/>
              <w:spacing w:after="0" w:line="122" w:lineRule="exact"/>
              <w:rPr>
                <w:sz w:val="20"/>
                <w:szCs w:val="20"/>
                <w:color w:val="auto"/>
              </w:rPr>
            </w:pPr>
            <w:r>
              <w:rPr>
                <w:rFonts w:ascii="Arial" w:cs="Arial" w:eastAsia="Arial" w:hAnsi="Arial"/>
                <w:sz w:val="11"/>
                <w:szCs w:val="11"/>
                <w:b w:val="1"/>
                <w:bCs w:val="1"/>
                <w:color w:val="auto"/>
              </w:rPr>
              <w:t>83</w:t>
            </w:r>
          </w:p>
        </w:tc>
        <w:tc>
          <w:tcPr>
            <w:tcW w:w="80" w:type="dxa"/>
            <w:vAlign w:val="bottom"/>
          </w:tcPr>
          <w:p>
            <w:pPr>
              <w:spacing w:after="0"/>
              <w:rPr>
                <w:sz w:val="10"/>
                <w:szCs w:val="10"/>
                <w:color w:val="auto"/>
              </w:rPr>
            </w:pPr>
          </w:p>
        </w:tc>
        <w:tc>
          <w:tcPr>
            <w:tcW w:w="200" w:type="dxa"/>
            <w:vAlign w:val="bottom"/>
            <w:tcBorders>
              <w:bottom w:val="single" w:sz="8" w:color="auto"/>
            </w:tcBorders>
          </w:tcPr>
          <w:p>
            <w:pPr>
              <w:jc w:val="right"/>
              <w:ind w:right="63"/>
              <w:spacing w:after="0" w:line="122" w:lineRule="exact"/>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3,323</w:t>
            </w:r>
          </w:p>
        </w:tc>
        <w:tc>
          <w:tcPr>
            <w:tcW w:w="80" w:type="dxa"/>
            <w:vAlign w:val="bottom"/>
          </w:tcPr>
          <w:p>
            <w:pPr>
              <w:spacing w:after="0"/>
              <w:rPr>
                <w:sz w:val="10"/>
                <w:szCs w:val="10"/>
                <w:color w:val="auto"/>
              </w:rPr>
            </w:pPr>
          </w:p>
        </w:tc>
        <w:tc>
          <w:tcPr>
            <w:tcW w:w="260" w:type="dxa"/>
            <w:vAlign w:val="bottom"/>
            <w:tcBorders>
              <w:bottom w:val="single" w:sz="8" w:color="auto"/>
            </w:tcBorders>
          </w:tcPr>
          <w:p>
            <w:pPr>
              <w:jc w:val="right"/>
              <w:ind w:right="123"/>
              <w:spacing w:after="0" w:line="122" w:lineRule="exact"/>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3,765</w:t>
            </w:r>
          </w:p>
        </w:tc>
        <w:tc>
          <w:tcPr>
            <w:tcW w:w="100" w:type="dxa"/>
            <w:vAlign w:val="bottom"/>
          </w:tcPr>
          <w:p>
            <w:pPr>
              <w:spacing w:after="0"/>
              <w:rPr>
                <w:sz w:val="10"/>
                <w:szCs w:val="10"/>
                <w:color w:val="auto"/>
              </w:rPr>
            </w:pPr>
          </w:p>
        </w:tc>
        <w:tc>
          <w:tcPr>
            <w:tcW w:w="240" w:type="dxa"/>
            <w:vAlign w:val="bottom"/>
            <w:tcBorders>
              <w:bottom w:val="single" w:sz="8" w:color="auto"/>
            </w:tcBorders>
          </w:tcPr>
          <w:p>
            <w:pPr>
              <w:jc w:val="right"/>
              <w:ind w:right="103"/>
              <w:spacing w:after="0" w:line="122" w:lineRule="exact"/>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48</w:t>
            </w:r>
          </w:p>
        </w:tc>
        <w:tc>
          <w:tcPr>
            <w:tcW w:w="80" w:type="dxa"/>
            <w:vAlign w:val="bottom"/>
          </w:tcPr>
          <w:p>
            <w:pPr>
              <w:spacing w:after="0"/>
              <w:rPr>
                <w:sz w:val="10"/>
                <w:szCs w:val="10"/>
                <w:color w:val="auto"/>
              </w:rPr>
            </w:pPr>
          </w:p>
        </w:tc>
        <w:tc>
          <w:tcPr>
            <w:tcW w:w="220" w:type="dxa"/>
            <w:vAlign w:val="bottom"/>
            <w:tcBorders>
              <w:bottom w:val="single" w:sz="8" w:color="auto"/>
            </w:tcBorders>
          </w:tcPr>
          <w:p>
            <w:pPr>
              <w:jc w:val="right"/>
              <w:ind w:right="83"/>
              <w:spacing w:after="0" w:line="122" w:lineRule="exact"/>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3,377</w:t>
            </w:r>
          </w:p>
        </w:tc>
        <w:tc>
          <w:tcPr>
            <w:tcW w:w="100" w:type="dxa"/>
            <w:vAlign w:val="bottom"/>
          </w:tcPr>
          <w:p>
            <w:pPr>
              <w:spacing w:after="0"/>
              <w:rPr>
                <w:sz w:val="10"/>
                <w:szCs w:val="10"/>
                <w:color w:val="auto"/>
              </w:rPr>
            </w:pPr>
          </w:p>
        </w:tc>
        <w:tc>
          <w:tcPr>
            <w:tcW w:w="320" w:type="dxa"/>
            <w:vAlign w:val="bottom"/>
            <w:tcBorders>
              <w:bottom w:val="single" w:sz="8" w:color="auto"/>
            </w:tcBorders>
          </w:tcPr>
          <w:p>
            <w:pPr>
              <w:jc w:val="right"/>
              <w:ind w:right="183"/>
              <w:spacing w:after="0" w:line="122" w:lineRule="exact"/>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10,596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640" w:hanging="253"/>
        <w:spacing w:after="0" w:line="220" w:lineRule="auto"/>
        <w:tabs>
          <w:tab w:leader="none" w:pos="727" w:val="left"/>
        </w:tabs>
        <w:numPr>
          <w:ilvl w:val="0"/>
          <w:numId w:val="94"/>
        </w:numPr>
        <w:rPr>
          <w:rFonts w:ascii="Arial" w:cs="Arial" w:eastAsia="Arial" w:hAnsi="Arial"/>
          <w:sz w:val="17"/>
          <w:szCs w:val="17"/>
          <w:color w:val="auto"/>
          <w:vertAlign w:val="superscript"/>
        </w:rPr>
      </w:pPr>
      <w:r>
        <w:rPr>
          <w:rFonts w:ascii="Arial" w:cs="Arial" w:eastAsia="Arial" w:hAnsi="Arial"/>
          <w:sz w:val="11"/>
          <w:szCs w:val="11"/>
          <w:color w:val="auto"/>
        </w:rPr>
        <w:t>The Company earned investment tax credits related to the Company’s construction of a wafer fabrication facility in Saratoga County, New York (which were netted against additions relating to Building and Leasehold Improvements and Equipment). These credits were generally earned based on when the related assets were placed in service. The Company recorded the investment tax credits as a reduction of property and equipment costs. As of December 31, 2022, and 2021, the investment tax credits included in property and equipment amounted to $179 million and $214 million, respectively.</w:t>
      </w:r>
    </w:p>
    <w:p>
      <w:pPr>
        <w:spacing w:after="0" w:line="2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gross amount of assets recorded under right-of-use (“ROU”) leases, which are included in property, plant and equipment amounted to $888 million and $907 million as of December 31, 2022 and 2021, respectively. The net carrying value of ROU leases amounted to $282 million and $305 million as of December 31, 2022 and 2021, respectively. Amortization of ROU assets is included in depreciation expense. Depreciation expense for the years ended December 31, 2022, 2021 and 2020 for all ROU assets was $82 million, $81 million and $57 million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expenses on property, plant and equipment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0"/>
        </w:trPr>
        <w:tc>
          <w:tcPr>
            <w:tcW w:w="210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1,377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
              <w:spacing w:after="0"/>
              <w:rPr>
                <w:sz w:val="20"/>
                <w:szCs w:val="20"/>
                <w:color w:val="auto"/>
              </w:rPr>
            </w:pPr>
            <w:r>
              <w:rPr>
                <w:rFonts w:ascii="Arial" w:cs="Arial" w:eastAsia="Arial" w:hAnsi="Arial"/>
                <w:sz w:val="11"/>
                <w:szCs w:val="11"/>
                <w:color w:val="auto"/>
              </w:rPr>
              <w:t>1,309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jc w:val="right"/>
              <w:ind w:right="20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1"/>
              <w:spacing w:after="0"/>
              <w:rPr>
                <w:sz w:val="20"/>
                <w:szCs w:val="20"/>
                <w:color w:val="auto"/>
              </w:rPr>
            </w:pPr>
            <w:r>
              <w:rPr>
                <w:rFonts w:ascii="Arial" w:cs="Arial" w:eastAsia="Arial" w:hAnsi="Arial"/>
                <w:sz w:val="13"/>
                <w:szCs w:val="13"/>
                <w:color w:val="auto"/>
              </w:rPr>
              <w:t>2,087</w:t>
            </w:r>
          </w:p>
        </w:tc>
        <w:tc>
          <w:tcPr>
            <w:tcW w:w="0" w:type="dxa"/>
            <w:vAlign w:val="bottom"/>
          </w:tcPr>
          <w:p>
            <w:pPr>
              <w:spacing w:after="0"/>
              <w:rPr>
                <w:sz w:val="1"/>
                <w:szCs w:val="1"/>
                <w:color w:val="auto"/>
              </w:rPr>
            </w:pPr>
          </w:p>
        </w:tc>
      </w:tr>
      <w:tr>
        <w:trPr>
          <w:trHeight w:val="172"/>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Research and development expenses</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73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8"/>
        </w:trPr>
        <w:tc>
          <w:tcPr>
            <w:tcW w:w="3640" w:type="dxa"/>
            <w:vAlign w:val="bottom"/>
            <w:tcBorders>
              <w:bottom w:val="single" w:sz="8" w:color="CCEEFF"/>
            </w:tcBorders>
            <w:gridSpan w:val="4"/>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color w:val="auto"/>
              </w:rPr>
              <w:t>29</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b w:val="1"/>
                <w:bCs w:val="1"/>
                <w:color w:val="auto"/>
              </w:rPr>
              <w:t>1,447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b w:val="1"/>
                <w:bCs w:val="1"/>
                <w:color w:val="auto"/>
              </w:rPr>
              <w:t>1,411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tcBorders>
              <w:bottom w:val="single" w:sz="8" w:color="auto"/>
            </w:tcBorders>
            <w:gridSpan w:val="2"/>
            <w:shd w:val="clear" w:color="auto" w:fill="CCEEFF"/>
          </w:tcPr>
          <w:p>
            <w:pPr>
              <w:jc w:val="right"/>
              <w:ind w:right="203"/>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b w:val="1"/>
                <w:bCs w:val="1"/>
                <w:color w:val="auto"/>
              </w:rPr>
              <w:t>2,238</w:t>
            </w:r>
          </w:p>
        </w:tc>
        <w:tc>
          <w:tcPr>
            <w:tcW w:w="0" w:type="dxa"/>
            <w:vAlign w:val="bottom"/>
          </w:tcPr>
          <w:p>
            <w:pPr>
              <w:spacing w:after="0"/>
              <w:rPr>
                <w:sz w:val="1"/>
                <w:szCs w:val="1"/>
                <w:color w:val="auto"/>
              </w:rPr>
            </w:pPr>
          </w:p>
        </w:tc>
      </w:tr>
      <w:tr>
        <w:trPr>
          <w:trHeight w:val="474"/>
        </w:trPr>
        <w:tc>
          <w:tcPr>
            <w:tcW w:w="2320" w:type="dxa"/>
            <w:vAlign w:val="bottom"/>
            <w:gridSpan w:val="2"/>
          </w:tcPr>
          <w:p>
            <w:pPr>
              <w:spacing w:after="0"/>
              <w:rPr>
                <w:sz w:val="20"/>
                <w:szCs w:val="20"/>
                <w:color w:val="auto"/>
              </w:rPr>
            </w:pPr>
            <w:r>
              <w:rPr>
                <w:rFonts w:ascii="Arial" w:cs="Arial" w:eastAsia="Arial" w:hAnsi="Arial"/>
                <w:sz w:val="13"/>
                <w:szCs w:val="13"/>
                <w:b w:val="1"/>
                <w:bCs w:val="1"/>
                <w:color w:val="auto"/>
              </w:rPr>
              <w:t>13. Goodwill and Intangible Assets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Technology,</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Cost (in millions)</w:t>
            </w:r>
          </w:p>
        </w:tc>
        <w:tc>
          <w:tcPr>
            <w:tcW w:w="220" w:type="dxa"/>
            <w:vAlign w:val="bottom"/>
          </w:tcPr>
          <w:p>
            <w:pPr>
              <w:spacing w:after="0"/>
              <w:rPr>
                <w:sz w:val="10"/>
                <w:szCs w:val="10"/>
                <w:color w:val="auto"/>
              </w:rPr>
            </w:pPr>
          </w:p>
        </w:tc>
        <w:tc>
          <w:tcPr>
            <w:tcW w:w="132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Licenses and</w:t>
            </w:r>
          </w:p>
        </w:tc>
        <w:tc>
          <w:tcPr>
            <w:tcW w:w="280" w:type="dxa"/>
            <w:vAlign w:val="bottom"/>
          </w:tcPr>
          <w:p>
            <w:pPr>
              <w:spacing w:after="0"/>
              <w:rPr>
                <w:sz w:val="10"/>
                <w:szCs w:val="10"/>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Software</w:t>
            </w:r>
          </w:p>
        </w:tc>
        <w:tc>
          <w:tcPr>
            <w:tcW w:w="300" w:type="dxa"/>
            <w:vAlign w:val="bottom"/>
          </w:tcPr>
          <w:p>
            <w:pPr>
              <w:spacing w:after="0"/>
              <w:rPr>
                <w:sz w:val="10"/>
                <w:szCs w:val="10"/>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Patents</w:t>
            </w:r>
          </w:p>
        </w:tc>
        <w:tc>
          <w:tcPr>
            <w:tcW w:w="60" w:type="dxa"/>
            <w:vAlign w:val="bottom"/>
          </w:tcPr>
          <w:p>
            <w:pPr>
              <w:spacing w:after="0"/>
              <w:rPr>
                <w:sz w:val="10"/>
                <w:szCs w:val="10"/>
                <w:color w:val="auto"/>
              </w:rPr>
            </w:pPr>
          </w:p>
        </w:tc>
        <w:tc>
          <w:tcPr>
            <w:tcW w:w="100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Goodwill</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vMerge w:val="restart"/>
          </w:tcPr>
          <w:p>
            <w:pPr>
              <w:ind w:left="560"/>
              <w:spacing w:after="0"/>
              <w:rPr>
                <w:sz w:val="20"/>
                <w:szCs w:val="20"/>
                <w:color w:val="auto"/>
              </w:rPr>
            </w:pPr>
            <w:r>
              <w:rPr>
                <w:rFonts w:ascii="Arial" w:cs="Arial" w:eastAsia="Arial" w:hAnsi="Arial"/>
                <w:sz w:val="11"/>
                <w:szCs w:val="11"/>
                <w:b w:val="1"/>
                <w:bCs w:val="1"/>
                <w:color w:val="auto"/>
              </w:rPr>
              <w:t>Others</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restart"/>
          </w:tcPr>
          <w:p>
            <w:pPr>
              <w:jc w:val="right"/>
              <w:ind w:right="54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1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Similar Rights</w:t>
            </w: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10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100" w:type="dxa"/>
            <w:vAlign w:val="bottom"/>
          </w:tcPr>
          <w:p>
            <w:pPr>
              <w:ind w:left="20"/>
              <w:spacing w:after="0"/>
              <w:rPr>
                <w:sz w:val="20"/>
                <w:szCs w:val="20"/>
                <w:color w:val="auto"/>
              </w:rPr>
            </w:pPr>
            <w:r>
              <w:rPr>
                <w:rFonts w:ascii="Arial" w:cs="Arial" w:eastAsia="Arial" w:hAnsi="Arial"/>
                <w:sz w:val="11"/>
                <w:szCs w:val="11"/>
                <w:color w:val="auto"/>
              </w:rPr>
              <w:t>As of December 31, 2020</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1,249</w:t>
            </w:r>
          </w:p>
        </w:tc>
        <w:tc>
          <w:tcPr>
            <w:tcW w:w="8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280</w:t>
            </w:r>
          </w:p>
        </w:tc>
        <w:tc>
          <w:tcPr>
            <w:tcW w:w="8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234</w:t>
            </w:r>
          </w:p>
        </w:tc>
        <w:tc>
          <w:tcPr>
            <w:tcW w:w="20" w:type="dxa"/>
            <w:vAlign w:val="bottom"/>
          </w:tcPr>
          <w:p>
            <w:pPr>
              <w:spacing w:after="0"/>
              <w:rPr>
                <w:sz w:val="12"/>
                <w:szCs w:val="12"/>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132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183"/>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1,913</w:t>
            </w: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55"/>
        </w:trPr>
        <w:tc>
          <w:tcPr>
            <w:tcW w:w="2100" w:type="dxa"/>
            <w:vAlign w:val="bottom"/>
          </w:tcPr>
          <w:p>
            <w:pPr>
              <w:ind w:left="20"/>
              <w:spacing w:after="0"/>
              <w:rPr>
                <w:sz w:val="20"/>
                <w:szCs w:val="20"/>
                <w:color w:val="auto"/>
              </w:rPr>
            </w:pPr>
            <w:r>
              <w:rPr>
                <w:rFonts w:ascii="Arial" w:cs="Arial" w:eastAsia="Arial" w:hAnsi="Arial"/>
                <w:sz w:val="11"/>
                <w:szCs w:val="11"/>
                <w:color w:val="auto"/>
              </w:rPr>
              <w:t>Disposals</w:t>
            </w:r>
          </w:p>
        </w:tc>
        <w:tc>
          <w:tcPr>
            <w:tcW w:w="2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54"/>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As of December 31, 2021</w:t>
            </w:r>
          </w:p>
        </w:tc>
        <w:tc>
          <w:tcPr>
            <w:tcW w:w="2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1,202</w:t>
            </w:r>
          </w:p>
        </w:tc>
        <w:tc>
          <w:tcPr>
            <w:tcW w:w="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284</w:t>
            </w: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229</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1,865</w:t>
            </w:r>
          </w:p>
        </w:tc>
        <w:tc>
          <w:tcPr>
            <w:tcW w:w="0" w:type="dxa"/>
            <w:vAlign w:val="bottom"/>
          </w:tcPr>
          <w:p>
            <w:pPr>
              <w:spacing w:after="0"/>
              <w:rPr>
                <w:sz w:val="1"/>
                <w:szCs w:val="1"/>
                <w:color w:val="auto"/>
              </w:rPr>
            </w:pPr>
          </w:p>
        </w:tc>
      </w:tr>
      <w:tr>
        <w:trPr>
          <w:trHeight w:val="155"/>
        </w:trPr>
        <w:tc>
          <w:tcPr>
            <w:tcW w:w="2100" w:type="dxa"/>
            <w:vAlign w:val="bottom"/>
          </w:tcPr>
          <w:p>
            <w:pPr>
              <w:ind w:left="20"/>
              <w:spacing w:after="0"/>
              <w:rPr>
                <w:sz w:val="20"/>
                <w:szCs w:val="20"/>
                <w:color w:val="auto"/>
              </w:rPr>
            </w:pPr>
            <w:r>
              <w:rPr>
                <w:rFonts w:ascii="Arial" w:cs="Arial" w:eastAsia="Arial" w:hAnsi="Arial"/>
                <w:sz w:val="11"/>
                <w:szCs w:val="11"/>
                <w:color w:val="auto"/>
              </w:rPr>
              <w:t>Additions</w:t>
            </w:r>
          </w:p>
        </w:tc>
        <w:tc>
          <w:tcPr>
            <w:tcW w:w="22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62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Disposals</w:t>
            </w:r>
          </w:p>
        </w:tc>
        <w:tc>
          <w:tcPr>
            <w:tcW w:w="2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46"/>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2022</w:t>
            </w: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b w:val="1"/>
                <w:bCs w:val="1"/>
                <w:color w:val="auto"/>
              </w:rPr>
              <w:t>1,217</w:t>
            </w:r>
          </w:p>
        </w:tc>
        <w:tc>
          <w:tcPr>
            <w:tcW w:w="8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368</w:t>
            </w:r>
          </w:p>
        </w:tc>
        <w:tc>
          <w:tcPr>
            <w:tcW w:w="8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226</w:t>
            </w:r>
          </w:p>
        </w:tc>
        <w:tc>
          <w:tcPr>
            <w:tcW w:w="20" w:type="dxa"/>
            <w:vAlign w:val="bottom"/>
          </w:tcPr>
          <w:p>
            <w:pPr>
              <w:spacing w:after="0"/>
              <w:rPr>
                <w:sz w:val="12"/>
                <w:szCs w:val="12"/>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137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1,966</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Accumulated Amortization</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 of December 31, 2020</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186</w:t>
            </w:r>
          </w:p>
        </w:tc>
        <w:tc>
          <w:tcPr>
            <w:tcW w:w="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1,365</w:t>
            </w:r>
          </w:p>
        </w:tc>
        <w:tc>
          <w:tcPr>
            <w:tcW w:w="0" w:type="dxa"/>
            <w:vAlign w:val="bottom"/>
          </w:tcPr>
          <w:p>
            <w:pPr>
              <w:spacing w:after="0"/>
              <w:rPr>
                <w:sz w:val="1"/>
                <w:szCs w:val="1"/>
                <w:color w:val="auto"/>
              </w:rPr>
            </w:pPr>
          </w:p>
        </w:tc>
      </w:tr>
      <w:tr>
        <w:trPr>
          <w:trHeight w:val="155"/>
        </w:trPr>
        <w:tc>
          <w:tcPr>
            <w:tcW w:w="2100" w:type="dxa"/>
            <w:vAlign w:val="bottom"/>
          </w:tcPr>
          <w:p>
            <w:pPr>
              <w:ind w:left="20"/>
              <w:spacing w:after="0"/>
              <w:rPr>
                <w:sz w:val="20"/>
                <w:szCs w:val="20"/>
                <w:color w:val="auto"/>
              </w:rPr>
            </w:pPr>
            <w:r>
              <w:rPr>
                <w:rFonts w:ascii="Arial" w:cs="Arial" w:eastAsia="Arial" w:hAnsi="Arial"/>
                <w:sz w:val="11"/>
                <w:szCs w:val="11"/>
                <w:color w:val="auto"/>
              </w:rPr>
              <w:t>Additions</w:t>
            </w:r>
          </w:p>
        </w:tc>
        <w:tc>
          <w:tcPr>
            <w:tcW w:w="22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162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Disposals</w:t>
            </w: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50"/>
        </w:trPr>
        <w:tc>
          <w:tcPr>
            <w:tcW w:w="2100" w:type="dxa"/>
            <w:vAlign w:val="bottom"/>
          </w:tcPr>
          <w:p>
            <w:pPr>
              <w:ind w:left="20"/>
              <w:spacing w:after="0"/>
              <w:rPr>
                <w:sz w:val="20"/>
                <w:szCs w:val="20"/>
                <w:color w:val="auto"/>
              </w:rPr>
            </w:pPr>
            <w:r>
              <w:rPr>
                <w:rFonts w:ascii="Arial" w:cs="Arial" w:eastAsia="Arial" w:hAnsi="Arial"/>
                <w:sz w:val="11"/>
                <w:szCs w:val="11"/>
                <w:color w:val="auto"/>
              </w:rPr>
              <w:t>As of December 31, 2021</w:t>
            </w: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867</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278</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212</w:t>
            </w: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131</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1,488</w:t>
            </w: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w:t>
            </w:r>
          </w:p>
        </w:tc>
        <w:tc>
          <w:tcPr>
            <w:tcW w:w="0" w:type="dxa"/>
            <w:vAlign w:val="bottom"/>
          </w:tcPr>
          <w:p>
            <w:pPr>
              <w:spacing w:after="0"/>
              <w:rPr>
                <w:sz w:val="1"/>
                <w:szCs w:val="1"/>
                <w:color w:val="auto"/>
              </w:rPr>
            </w:pPr>
          </w:p>
        </w:tc>
      </w:tr>
      <w:tr>
        <w:trPr>
          <w:trHeight w:val="155"/>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Disposals</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 of December 31, 2022</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276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225</w:t>
            </w:r>
          </w:p>
        </w:tc>
        <w:tc>
          <w:tcPr>
            <w:tcW w:w="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1"/>
                <w:szCs w:val="11"/>
                <w:b w:val="1"/>
                <w:bCs w:val="1"/>
                <w:color w:val="auto"/>
              </w:rPr>
              <w:t>$</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3"/>
              <w:spacing w:after="0"/>
              <w:rPr>
                <w:sz w:val="20"/>
                <w:szCs w:val="20"/>
                <w:color w:val="auto"/>
              </w:rPr>
            </w:pPr>
            <w:r>
              <w:rPr>
                <w:rFonts w:ascii="Arial" w:cs="Arial" w:eastAsia="Arial" w:hAnsi="Arial"/>
                <w:sz w:val="11"/>
                <w:szCs w:val="11"/>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1,603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0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Net book value as of December 31,</w:t>
            </w: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2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335</w:t>
            </w:r>
          </w:p>
        </w:tc>
        <w:tc>
          <w:tcPr>
            <w:tcW w:w="8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w:t>
            </w: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1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w:t>
            </w:r>
          </w:p>
        </w:tc>
        <w:tc>
          <w:tcPr>
            <w:tcW w:w="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80"/>
              <w:spacing w:after="0"/>
              <w:rPr>
                <w:sz w:val="20"/>
                <w:szCs w:val="20"/>
                <w:color w:val="auto"/>
              </w:rPr>
            </w:pPr>
            <w:r>
              <w:rPr>
                <w:rFonts w:ascii="Arial" w:cs="Arial" w:eastAsia="Arial" w:hAnsi="Arial"/>
                <w:sz w:val="11"/>
                <w:szCs w:val="11"/>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3"/>
              <w:spacing w:after="0"/>
              <w:rPr>
                <w:sz w:val="20"/>
                <w:szCs w:val="20"/>
                <w:color w:val="auto"/>
              </w:rPr>
            </w:pPr>
            <w:r>
              <w:rPr>
                <w:rFonts w:ascii="Arial" w:cs="Arial" w:eastAsia="Arial" w:hAnsi="Arial"/>
                <w:sz w:val="11"/>
                <w:szCs w:val="11"/>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377</w:t>
            </w:r>
          </w:p>
        </w:tc>
        <w:tc>
          <w:tcPr>
            <w:tcW w:w="0" w:type="dxa"/>
            <w:vAlign w:val="bottom"/>
          </w:tcPr>
          <w:p>
            <w:pPr>
              <w:spacing w:after="0"/>
              <w:rPr>
                <w:sz w:val="1"/>
                <w:szCs w:val="1"/>
                <w:color w:val="auto"/>
              </w:rPr>
            </w:pPr>
          </w:p>
        </w:tc>
      </w:tr>
      <w:tr>
        <w:trPr>
          <w:trHeight w:val="147"/>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2021</w:t>
            </w:r>
          </w:p>
        </w:tc>
        <w:tc>
          <w:tcPr>
            <w:tcW w:w="220" w:type="dxa"/>
            <w:vAlign w:val="bottom"/>
            <w:vMerge w:val="continue"/>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100" w:type="dxa"/>
            <w:vAlign w:val="bottom"/>
            <w:shd w:val="clear" w:color="auto" w:fill="CCEEFF"/>
          </w:tcPr>
          <w:p>
            <w:pPr>
              <w:ind w:left="20"/>
              <w:spacing w:after="0" w:line="79" w:lineRule="exact"/>
              <w:rPr>
                <w:sz w:val="20"/>
                <w:szCs w:val="20"/>
                <w:color w:val="auto"/>
              </w:rPr>
            </w:pPr>
            <w:r>
              <w:rPr>
                <w:rFonts w:ascii="Arial" w:cs="Arial" w:eastAsia="Arial" w:hAnsi="Arial"/>
                <w:sz w:val="9"/>
                <w:szCs w:val="9"/>
                <w:b w:val="1"/>
                <w:bCs w:val="1"/>
                <w:color w:val="auto"/>
              </w:rPr>
              <w:t>Net book value as of December 31,</w:t>
            </w: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2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246</w:t>
            </w:r>
          </w:p>
        </w:tc>
        <w:tc>
          <w:tcPr>
            <w:tcW w:w="80" w:type="dxa"/>
            <w:vAlign w:val="bottom"/>
            <w:shd w:val="clear" w:color="auto" w:fill="CCEEFF"/>
          </w:tcPr>
          <w:p>
            <w:pPr>
              <w:spacing w:after="0"/>
              <w:rPr>
                <w:sz w:val="6"/>
                <w:szCs w:val="6"/>
                <w:color w:val="auto"/>
              </w:rPr>
            </w:pPr>
          </w:p>
        </w:tc>
        <w:tc>
          <w:tcPr>
            <w:tcW w:w="280" w:type="dxa"/>
            <w:vAlign w:val="bottom"/>
            <w:vMerge w:val="restart"/>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92</w:t>
            </w:r>
          </w:p>
        </w:tc>
        <w:tc>
          <w:tcPr>
            <w:tcW w:w="80" w:type="dxa"/>
            <w:vAlign w:val="bottom"/>
            <w:shd w:val="clear" w:color="auto" w:fill="CCEEFF"/>
          </w:tcPr>
          <w:p>
            <w:pPr>
              <w:spacing w:after="0"/>
              <w:rPr>
                <w:sz w:val="6"/>
                <w:szCs w:val="6"/>
                <w:color w:val="auto"/>
              </w:rPr>
            </w:pPr>
          </w:p>
        </w:tc>
        <w:tc>
          <w:tcPr>
            <w:tcW w:w="300" w:type="dxa"/>
            <w:vAlign w:val="bottom"/>
            <w:vMerge w:val="restart"/>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1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w:t>
            </w:r>
          </w:p>
        </w:tc>
        <w:tc>
          <w:tcPr>
            <w:tcW w:w="20" w:type="dxa"/>
            <w:vAlign w:val="bottom"/>
            <w:shd w:val="clear" w:color="auto" w:fill="CCEEFF"/>
          </w:tcPr>
          <w:p>
            <w:pPr>
              <w:spacing w:after="0"/>
              <w:rPr>
                <w:sz w:val="6"/>
                <w:szCs w:val="6"/>
                <w:color w:val="auto"/>
              </w:rPr>
            </w:pPr>
          </w:p>
        </w:tc>
        <w:tc>
          <w:tcPr>
            <w:tcW w:w="60" w:type="dxa"/>
            <w:vAlign w:val="bottom"/>
            <w:vMerge w:val="restart"/>
            <w:shd w:val="clear" w:color="auto" w:fill="CCEEFF"/>
          </w:tcPr>
          <w:p>
            <w:pPr>
              <w:spacing w:after="0"/>
              <w:rPr>
                <w:sz w:val="6"/>
                <w:szCs w:val="6"/>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18</w:t>
            </w: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vMerge w:val="restart"/>
            <w:shd w:val="clear" w:color="auto" w:fill="CCEEFF"/>
          </w:tcPr>
          <w:p>
            <w:pPr>
              <w:spacing w:after="0"/>
              <w:rPr>
                <w:sz w:val="6"/>
                <w:szCs w:val="6"/>
                <w:color w:val="auto"/>
              </w:rPr>
            </w:pPr>
          </w:p>
        </w:tc>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6</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vMerge w:val="restart"/>
            <w:shd w:val="clear" w:color="auto" w:fill="CCEEFF"/>
          </w:tcPr>
          <w:p>
            <w:pPr>
              <w:spacing w:after="0"/>
              <w:rPr>
                <w:sz w:val="6"/>
                <w:szCs w:val="6"/>
                <w:color w:val="auto"/>
              </w:rPr>
            </w:pPr>
          </w:p>
        </w:tc>
        <w:tc>
          <w:tcPr>
            <w:tcW w:w="320" w:type="dxa"/>
            <w:vAlign w:val="bottom"/>
            <w:vMerge w:val="restart"/>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363</w:t>
            </w:r>
          </w:p>
        </w:tc>
        <w:tc>
          <w:tcPr>
            <w:tcW w:w="0" w:type="dxa"/>
            <w:vAlign w:val="bottom"/>
          </w:tcPr>
          <w:p>
            <w:pPr>
              <w:spacing w:after="0"/>
              <w:rPr>
                <w:sz w:val="1"/>
                <w:szCs w:val="1"/>
                <w:color w:val="auto"/>
              </w:rPr>
            </w:pPr>
          </w:p>
        </w:tc>
      </w:tr>
      <w:tr>
        <w:trPr>
          <w:trHeight w:val="14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2022</w:t>
            </w: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12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vMerge w:val="continue"/>
            <w:shd w:val="clear" w:color="auto" w:fill="CCEEFF"/>
          </w:tcPr>
          <w:p>
            <w:pPr>
              <w:spacing w:after="0"/>
              <w:rPr>
                <w:sz w:val="12"/>
                <w:szCs w:val="12"/>
                <w:color w:val="auto"/>
              </w:rPr>
            </w:pPr>
          </w:p>
        </w:tc>
        <w:tc>
          <w:tcPr>
            <w:tcW w:w="11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116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1000" w:type="dxa"/>
            <w:vAlign w:val="bottom"/>
            <w:tcBorders>
              <w:bottom w:val="single" w:sz="8" w:color="auto"/>
            </w:tcBorders>
            <w:vMerge w:val="continue"/>
            <w:shd w:val="clear" w:color="auto" w:fill="CCEEFF"/>
          </w:tcPr>
          <w:p>
            <w:pPr>
              <w:spacing w:after="0"/>
              <w:rPr>
                <w:sz w:val="12"/>
                <w:szCs w:val="12"/>
                <w:color w:val="auto"/>
              </w:rPr>
            </w:pPr>
          </w:p>
        </w:tc>
        <w:tc>
          <w:tcPr>
            <w:tcW w:w="4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1000" w:type="dxa"/>
            <w:vAlign w:val="bottom"/>
            <w:tcBorders>
              <w:bottom w:val="single" w:sz="8" w:color="auto"/>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vMerge w:val="continue"/>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11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640" w:type="dxa"/>
            <w:vAlign w:val="bottom"/>
            <w:gridSpan w:val="4"/>
          </w:tcPr>
          <w:p>
            <w:pPr>
              <w:spacing w:after="0"/>
              <w:rPr>
                <w:sz w:val="20"/>
                <w:szCs w:val="20"/>
                <w:color w:val="auto"/>
              </w:rPr>
            </w:pPr>
            <w:r>
              <w:rPr>
                <w:rFonts w:ascii="Arial" w:cs="Arial" w:eastAsia="Arial" w:hAnsi="Arial"/>
                <w:sz w:val="13"/>
                <w:szCs w:val="13"/>
                <w:color w:val="auto"/>
              </w:rPr>
              <w:t>Amortization expenses on intangible assets are as follows: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Cost of revenue</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91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113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8"/>
        </w:trPr>
        <w:tc>
          <w:tcPr>
            <w:tcW w:w="232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 expenses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ind w:right="2"/>
              <w:spacing w:after="0"/>
              <w:rPr>
                <w:sz w:val="20"/>
                <w:szCs w:val="20"/>
                <w:color w:val="auto"/>
              </w:rPr>
            </w:pPr>
            <w:r>
              <w:rPr>
                <w:rFonts w:ascii="Arial" w:cs="Arial" w:eastAsia="Arial" w:hAnsi="Arial"/>
                <w:sz w:val="13"/>
                <w:szCs w:val="13"/>
                <w:color w:val="auto"/>
              </w:rPr>
              <w:t>70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Arial" w:cs="Arial" w:eastAsia="Arial" w:hAnsi="Arial"/>
                <w:sz w:val="13"/>
                <w:szCs w:val="13"/>
                <w:color w:val="auto"/>
              </w:rPr>
              <w:t>74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72"/>
        </w:trPr>
        <w:tc>
          <w:tcPr>
            <w:tcW w:w="36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20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0"/>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176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284</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Income Taxes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For tax reporting purposes, the Company consolidates its entities under GLOBALFOUNDRIES Inc., a Cayman Islands entity as described in Note 1. Accordingly, the Company has presented the domestic portion of the disclosures below based on its country of domicile in the Cayman Islands.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a Cayman Islands corporation, the Company’s domestic statutory income tax rate is 0.00%. The difference between the Company’s domestic statutory income tax rate and its (provision) benefit for income taxes is due to the effect of the tax rates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the other jurisdictions in which the Company operates. Principally, for the years ended December 31, 2022 and 2021, the Company is subject to United States’ federal and state taxes with a combined statutory tax rate of 22.1% and 22.1%, respectively; German corporation and trade taxes with a combined statutory tax rate of 31.6%; and Singapore’s statutory tax rate of 17%.</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Income tax benefit (expense)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64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0"/>
        </w:trPr>
        <w:tc>
          <w:tcPr>
            <w:tcW w:w="64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Current income tax expense:</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440" w:type="dxa"/>
            <w:vAlign w:val="bottom"/>
          </w:tcPr>
          <w:p>
            <w:pPr>
              <w:ind w:left="260"/>
              <w:spacing w:after="0"/>
              <w:rPr>
                <w:sz w:val="20"/>
                <w:szCs w:val="20"/>
                <w:color w:val="auto"/>
              </w:rPr>
            </w:pPr>
            <w:r>
              <w:rPr>
                <w:rFonts w:ascii="Arial" w:cs="Arial" w:eastAsia="Arial" w:hAnsi="Arial"/>
                <w:sz w:val="13"/>
                <w:szCs w:val="13"/>
                <w:color w:val="auto"/>
              </w:rPr>
              <w:t>Current income tax benefit (expense)</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Arial" w:cs="Arial" w:eastAsia="Arial" w:hAnsi="Arial"/>
                <w:sz w:val="13"/>
                <w:szCs w:val="13"/>
                <w:color w:val="auto"/>
                <w:w w:val="94"/>
              </w:rPr>
              <w:t>(14)</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260" w:type="dxa"/>
            <w:vAlign w:val="bottom"/>
            <w:gridSpan w:val="3"/>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Adjustments in respect of current income tax of previous year</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Arial" w:cs="Arial" w:eastAsia="Arial" w:hAnsi="Arial"/>
                <w:sz w:val="13"/>
                <w:szCs w:val="13"/>
                <w:color w:val="auto"/>
              </w:rPr>
              <w:t>Deferred tax</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operating and investment allowance carryforwards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4"/>
              </w:rPr>
              <w:t>(44)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8"/>
        </w:trPr>
        <w:tc>
          <w:tcPr>
            <w:tcW w:w="6440" w:type="dxa"/>
            <w:vAlign w:val="bottom"/>
          </w:tcPr>
          <w:p>
            <w:pPr>
              <w:ind w:left="200"/>
              <w:spacing w:after="0"/>
              <w:rPr>
                <w:sz w:val="20"/>
                <w:szCs w:val="20"/>
                <w:color w:val="auto"/>
              </w:rPr>
            </w:pPr>
            <w:r>
              <w:rPr>
                <w:rFonts w:ascii="Arial" w:cs="Arial" w:eastAsia="Arial" w:hAnsi="Arial"/>
                <w:sz w:val="13"/>
                <w:szCs w:val="13"/>
                <w:color w:val="auto"/>
              </w:rPr>
              <w:t>Currency effect on non-monetary assets of subsidiary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Arial" w:cs="Arial" w:eastAsia="Arial" w:hAnsi="Arial"/>
                <w:sz w:val="13"/>
                <w:szCs w:val="13"/>
                <w:color w:val="auto"/>
                <w:w w:val="94"/>
              </w:rPr>
              <w:t>(12)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3"/>
                <w:szCs w:val="13"/>
                <w:color w:val="auto"/>
              </w:rPr>
              <w:t>(37)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change in temporary differences</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w w:val="94"/>
              </w:rPr>
              <w:t>(11)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0"/>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Income tax benefit (expense) reported in the consolidated statements of operations</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(86)</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(78)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w:t>
            </w:r>
          </w:p>
        </w:tc>
        <w:tc>
          <w:tcPr>
            <w:tcW w:w="0" w:type="dxa"/>
            <w:vAlign w:val="bottom"/>
          </w:tcPr>
          <w:p>
            <w:pPr>
              <w:spacing w:after="0"/>
              <w:rPr>
                <w:sz w:val="1"/>
                <w:szCs w:val="1"/>
                <w:color w:val="auto"/>
              </w:rPr>
            </w:pPr>
          </w:p>
        </w:tc>
      </w:tr>
      <w:tr>
        <w:trPr>
          <w:trHeight w:val="390"/>
        </w:trPr>
        <w:tc>
          <w:tcPr>
            <w:tcW w:w="7880" w:type="dxa"/>
            <w:vAlign w:val="bottom"/>
            <w:gridSpan w:val="4"/>
          </w:tcPr>
          <w:p>
            <w:pPr>
              <w:spacing w:after="0"/>
              <w:rPr>
                <w:sz w:val="20"/>
                <w:szCs w:val="20"/>
                <w:color w:val="auto"/>
              </w:rPr>
            </w:pPr>
            <w:r>
              <w:rPr>
                <w:rFonts w:ascii="Arial" w:cs="Arial" w:eastAsia="Arial" w:hAnsi="Arial"/>
                <w:sz w:val="13"/>
                <w:szCs w:val="13"/>
                <w:color w:val="auto"/>
              </w:rPr>
              <w:t>A reconciliation between tax benefit and accounting profit multiplied by the Company’s statutory rate of 0.0% is as follows: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96"/>
              <w:spacing w:after="0"/>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64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1"/>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(1,365)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440" w:type="dxa"/>
            <w:vAlign w:val="bottom"/>
          </w:tcPr>
          <w:p>
            <w:pPr>
              <w:ind w:left="20"/>
              <w:spacing w:after="0" w:line="130" w:lineRule="exact"/>
              <w:rPr>
                <w:sz w:val="20"/>
                <w:szCs w:val="20"/>
                <w:color w:val="auto"/>
              </w:rPr>
            </w:pPr>
            <w:r>
              <w:rPr>
                <w:rFonts w:ascii="Arial" w:cs="Arial" w:eastAsia="Arial" w:hAnsi="Arial"/>
                <w:sz w:val="13"/>
                <w:szCs w:val="13"/>
                <w:color w:val="auto"/>
              </w:rPr>
              <w:t>Tax at Enacted Statutory Rate</w:t>
            </w:r>
          </w:p>
        </w:tc>
        <w:tc>
          <w:tcPr>
            <w:tcW w:w="220" w:type="dxa"/>
            <w:vAlign w:val="bottom"/>
          </w:tcPr>
          <w:p>
            <w:pPr>
              <w:jc w:val="right"/>
              <w:ind w:right="76"/>
              <w:spacing w:after="0" w:line="130"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1"/>
                <w:szCs w:val="11"/>
                <w:color w:val="auto"/>
              </w:rPr>
            </w:pPr>
          </w:p>
        </w:tc>
        <w:tc>
          <w:tcPr>
            <w:tcW w:w="110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340" w:type="dxa"/>
            <w:vAlign w:val="bottom"/>
            <w:gridSpan w:val="4"/>
          </w:tcPr>
          <w:p>
            <w:pPr>
              <w:jc w:val="right"/>
              <w:ind w:right="60"/>
              <w:spacing w:after="0" w:line="130"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340" w:type="dxa"/>
            <w:vAlign w:val="bottom"/>
            <w:gridSpan w:val="2"/>
          </w:tcPr>
          <w:p>
            <w:pPr>
              <w:jc w:val="right"/>
              <w:ind w:right="240"/>
              <w:spacing w:after="0" w:line="130" w:lineRule="exact"/>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116"/>
              <w:spacing w:after="0" w:line="130" w:lineRule="exact"/>
              <w:rPr>
                <w:sz w:val="20"/>
                <w:szCs w:val="20"/>
                <w:color w:val="auto"/>
              </w:rPr>
            </w:pPr>
            <w:r>
              <w:rPr>
                <w:rFonts w:ascii="Arial" w:cs="Arial" w:eastAsia="Arial" w:hAnsi="Arial"/>
                <w:sz w:val="13"/>
                <w:szCs w:val="13"/>
                <w:color w:val="auto"/>
                <w:w w:val="82"/>
              </w:rPr>
              <w:t>$</w:t>
            </w:r>
          </w:p>
        </w:tc>
        <w:tc>
          <w:tcPr>
            <w:tcW w:w="1300" w:type="dxa"/>
            <w:vAlign w:val="bottom"/>
          </w:tcPr>
          <w:p>
            <w:pPr>
              <w:jc w:val="right"/>
              <w:ind w:right="96"/>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tax rate differential</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Arial" w:cs="Arial" w:eastAsia="Arial" w:hAnsi="Arial"/>
                <w:sz w:val="13"/>
                <w:szCs w:val="13"/>
                <w:color w:val="auto"/>
              </w:rPr>
              <w:t>Adjustments in respect to current income tax of previous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Government grants exempt from tax</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Arial" w:cs="Arial" w:eastAsia="Arial" w:hAnsi="Arial"/>
                <w:sz w:val="13"/>
                <w:szCs w:val="13"/>
                <w:color w:val="auto"/>
              </w:rPr>
              <w:t>Deductible expense for tax purpose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Impact of unrecognized deferred tax assets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Arial" w:cs="Arial" w:eastAsia="Arial" w:hAnsi="Arial"/>
                <w:sz w:val="13"/>
                <w:szCs w:val="13"/>
                <w:color w:val="auto"/>
              </w:rPr>
              <w:t>Non-deductible expenses for tax purposes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Effects of foreign exchange gains (loss)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Arial" w:cs="Arial" w:eastAsia="Arial" w:hAnsi="Arial"/>
                <w:sz w:val="13"/>
                <w:szCs w:val="13"/>
                <w:color w:val="auto"/>
              </w:rPr>
              <w:t>Impact of change in liability for uncertain tax positions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Withholding Tax</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8"/>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effects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3"/>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tax benefit (expense)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w:t>
            </w: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82"/>
              </w:rPr>
              <w:t>$</w:t>
            </w:r>
          </w:p>
        </w:tc>
        <w:tc>
          <w:tcPr>
            <w:tcW w:w="1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(78)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gridSpan w:val="2"/>
            <w:shd w:val="clear" w:color="auto" w:fill="CCEEFF"/>
          </w:tcPr>
          <w:p>
            <w:pPr>
              <w:jc w:val="right"/>
              <w:ind w:right="116"/>
              <w:spacing w:after="0"/>
              <w:rPr>
                <w:sz w:val="20"/>
                <w:szCs w:val="20"/>
                <w:color w:val="auto"/>
              </w:rPr>
            </w:pPr>
            <w:r>
              <w:rPr>
                <w:rFonts w:ascii="Arial" w:cs="Arial" w:eastAsia="Arial" w:hAnsi="Arial"/>
                <w:sz w:val="10"/>
                <w:szCs w:val="10"/>
                <w:b w:val="1"/>
                <w:bCs w:val="1"/>
                <w:color w:val="auto"/>
                <w:w w:val="71"/>
              </w:rPr>
              <w:t>$</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12</w:t>
            </w:r>
          </w:p>
        </w:tc>
        <w:tc>
          <w:tcPr>
            <w:tcW w:w="0" w:type="dxa"/>
            <w:vAlign w:val="bottom"/>
          </w:tcPr>
          <w:p>
            <w:pPr>
              <w:spacing w:after="0"/>
              <w:rPr>
                <w:sz w:val="1"/>
                <w:szCs w:val="1"/>
                <w:color w:val="auto"/>
              </w:rPr>
            </w:pPr>
          </w:p>
        </w:tc>
      </w:tr>
      <w:tr>
        <w:trPr>
          <w:trHeight w:val="160"/>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Effective income tax rate</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(5.6)%</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44.3 %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(0.9)%</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The Company has determined that it is probable that 100% of deferred tax assets can be realized in Singapore. The Company has determined that realization of deferred taxes associated with loss carryforwards is limited to reserves for uncertain tax positions in the United States that would generate future taxable income, and deferred tax assets resulting from consolidation of AMTC and BAC.</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2020, Singapore recorded a tax benefit of $64 million (included under “Foreign tax rate differential” of $59 million) relating to a revaluation of deferred tax liabilities after satisfying investment conditions necessary for an extension of a lower tax rate incentive during the year. The conditions that were required for the reduced tax rate related to fixed asset investment, increased wafer production, targeted research projects, and increased employment.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In 2020, the Company recorded withholding tax amounting to $34 million, triggered primarily from a legal settlement.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20" w:type="dxa"/>
            <w:vAlign w:val="bottom"/>
          </w:tcPr>
          <w:p>
            <w:pPr>
              <w:spacing w:after="0"/>
              <w:rPr>
                <w:sz w:val="20"/>
                <w:szCs w:val="20"/>
                <w:color w:val="auto"/>
              </w:rPr>
            </w:pPr>
            <w:r>
              <w:rPr>
                <w:rFonts w:ascii="Arial" w:cs="Arial" w:eastAsia="Arial" w:hAnsi="Arial"/>
                <w:sz w:val="13"/>
                <w:szCs w:val="13"/>
                <w:color w:val="auto"/>
              </w:rPr>
              <w:t>Components of the Company’s deferred tax assets and liabilities are attributable as follows:</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8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Accelerated depreciation on property, plant and equipment</w:t>
            </w:r>
          </w:p>
        </w:tc>
        <w:tc>
          <w:tcPr>
            <w:tcW w:w="120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Losses, credits and investment allowances available for offsetting against future taxable income</w:t>
            </w: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277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Inventory</w:t>
            </w: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Currency effect</w:t>
            </w:r>
          </w:p>
        </w:tc>
        <w:tc>
          <w:tcPr>
            <w:tcW w:w="12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w:t>
            </w:r>
          </w:p>
        </w:tc>
        <w:tc>
          <w:tcPr>
            <w:tcW w:w="1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 assets</w:t>
            </w: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351</w:t>
            </w:r>
          </w:p>
        </w:tc>
        <w:tc>
          <w:tcPr>
            <w:tcW w:w="0" w:type="dxa"/>
            <w:vAlign w:val="bottom"/>
          </w:tcPr>
          <w:p>
            <w:pPr>
              <w:spacing w:after="0"/>
              <w:rPr>
                <w:sz w:val="1"/>
                <w:szCs w:val="1"/>
                <w:color w:val="auto"/>
              </w:rPr>
            </w:pPr>
          </w:p>
        </w:tc>
      </w:tr>
    </w:tbl>
    <w:p>
      <w:pPr>
        <w:spacing w:after="0" w:line="352" w:lineRule="exact"/>
        <w:rPr>
          <w:sz w:val="20"/>
          <w:szCs w:val="20"/>
          <w:color w:val="auto"/>
        </w:rPr>
      </w:pPr>
    </w:p>
    <w:p>
      <w:pPr>
        <w:ind w:right="360"/>
        <w:spacing w:after="0" w:line="244" w:lineRule="auto"/>
        <w:rPr>
          <w:sz w:val="20"/>
          <w:szCs w:val="20"/>
          <w:color w:val="auto"/>
        </w:rPr>
      </w:pPr>
      <w:r>
        <w:rPr>
          <w:rFonts w:ascii="Arial" w:cs="Arial" w:eastAsia="Arial" w:hAnsi="Arial"/>
          <w:sz w:val="13"/>
          <w:szCs w:val="13"/>
          <w:color w:val="auto"/>
        </w:rPr>
        <w:t>The net deferred tax assets as of December 31, 2022 have been adjusted to reflect a change in classification methodology primarily impacting accrued expenses and accelerated depreciation on property, plant and equipment. There is no change to presentation for balances as of December 31,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20" w:type="dxa"/>
            <w:vAlign w:val="bottom"/>
          </w:tcPr>
          <w:p>
            <w:pPr>
              <w:spacing w:after="0"/>
              <w:rPr>
                <w:sz w:val="20"/>
                <w:szCs w:val="20"/>
                <w:color w:val="auto"/>
              </w:rPr>
            </w:pPr>
            <w:r>
              <w:rPr>
                <w:rFonts w:ascii="Arial" w:cs="Arial" w:eastAsia="Arial" w:hAnsi="Arial"/>
                <w:sz w:val="13"/>
                <w:szCs w:val="13"/>
                <w:color w:val="auto"/>
              </w:rPr>
              <w:t>The classification of the net deferred tax assets (liabilities) in the statements of financial position is as follows:</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8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120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70"/>
        </w:trPr>
        <w:tc>
          <w:tcPr>
            <w:tcW w:w="822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Deferred tax liabilities</w:t>
            </w:r>
            <w:r>
              <w:rPr>
                <w:rFonts w:ascii="Arial" w:cs="Arial" w:eastAsia="Arial" w:hAnsi="Arial"/>
                <w:sz w:val="16"/>
                <w:szCs w:val="16"/>
                <w:color w:val="auto"/>
                <w:vertAlign w:val="superscript"/>
              </w:rPr>
              <w:t>(1)</w:t>
            </w: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 assets</w:t>
            </w:r>
          </w:p>
        </w:tc>
        <w:tc>
          <w:tcPr>
            <w:tcW w:w="120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266</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351</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20" w:hanging="115"/>
        <w:spacing w:after="0"/>
        <w:tabs>
          <w:tab w:leader="none" w:pos="120" w:val="left"/>
        </w:tabs>
        <w:numPr>
          <w:ilvl w:val="0"/>
          <w:numId w:val="95"/>
        </w:numPr>
        <w:rPr>
          <w:rFonts w:ascii="Arial" w:cs="Arial" w:eastAsia="Arial" w:hAnsi="Arial"/>
          <w:sz w:val="14"/>
          <w:szCs w:val="14"/>
          <w:color w:val="auto"/>
          <w:vertAlign w:val="superscript"/>
        </w:rPr>
      </w:pPr>
      <w:r>
        <w:rPr>
          <w:rFonts w:ascii="Arial" w:cs="Arial" w:eastAsia="Arial" w:hAnsi="Arial"/>
          <w:sz w:val="11"/>
          <w:szCs w:val="11"/>
          <w:color w:val="auto"/>
        </w:rPr>
        <w:t>Included in Other non-current liabilities in the statements of financial position.</w:t>
      </w:r>
    </w:p>
    <w:p>
      <w:pPr>
        <w:spacing w:after="0" w:line="27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Total unrecognized deferred tax assets as of December 31, 2022 and 2021 was $3,708 million and $3,355 million, respectively. The Company does not anticipate any significant changes to the total amounts of unrecognized deferred tax assets within the next 12 months of the reporting date. Deferred tax assets have not been recognized in respect to these items because it is not probable that future taxable profit will be available against which the Company can utilize the benefits.</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of December 31, 2022 and 2021, the Company has accumulated corporate losses in Germany of $1,132 million and $1,182 million, respectively, and trade tax losses in Germany of $851 million and $898 million, respectively. Except for a fully deductible base amount, utilization of German net operating loss carryforwards is limited to 60% of taxable income in any one year. German net operating losses do not expire with the passage of time, but may forfeit partially or completely as a result of legal entity restructurings.</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of December 31, 2022 and 2021, the Company has unutilized capital allowances on the property and equipment held in Singapore of $713 million and $1,169 million, respectively, and unutilized tax losses available for carryforward of $58 million and $58 million, respectively. Under Singapore tax law, unutilized capital allowances and unutilized tax losses are deductible to the extent of income available. Unutilized capital allowances and unutilized tax losses can be carried forward indefinitely subject to compliance with the conditions that there is no substantial change in shareholders and no change in the Company’s principal activities, where applicable. As of December 31, 2022 and 2021, the Company has investment allowances of $843 million and $843 million, respectively in Singapore which can be carried forward indefinitely. These carryforward tax attributes have been fully recognized as deferred tax assets.</w:t>
      </w:r>
    </w:p>
    <w:p>
      <w:pPr>
        <w:spacing w:after="0" w:line="76"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As of December 31, 2022 and 2021, the Company has gross operating loss carryforwards in the United States of $7,307 million and $8,066 million, respectively; $5,762 million will expire in years 2029 through 2037. As of December 31, 2022 and 2021, the Company has $822 million and $854 million, respectively of California gross operating loss carryforwards and, in the other states in which it operates, it has gross operating loss carryforwards of $885 million and $963 million, respectively. The state carryforwards expire beginning in 2023. In addition, the Company has U.S. research and development tax credit carryforwards of $157 million and $146 million for the years December 31, 2022 and 2021, respectively, that will expire in years 2030 through 2042. The Company has California research and development tax credits of $17 million and $15 million as of December 31, 2022 and 2021, respectively, that do not expire. In addition, the Company has nonrefundable New York Empire Zone credit carryforwards of $1,115 million and $1,115 million as of December 31, 2022 and 2021, respectively, that do not expire. Five other states have research and development tax credits, Texas, Minnesota, Vermont, North Carolina, and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New Jersey for which the Company has calculated a total credit carryforward of $8 million and $8 million for the years December 31, 2022 and 2021, respectively. These credits have a carryforward that expire between 2030 through 2042. These carryforward attributes have not been recognized as deferred tax assets.</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At December 31, 2022 and 2021, no deferred tax liabilities were recorded for taxes that would be payable on the undistributed earnings of the Company’s subsidiaries. It is the Company’s intention to indefinitely reinvest the undistributed earnings of its foreign subsidiaries. The cash that is permanently reinvested is typically used to expand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20" w:type="dxa"/>
            <w:vAlign w:val="bottom"/>
          </w:tcPr>
          <w:p>
            <w:pPr>
              <w:spacing w:after="0"/>
              <w:rPr>
                <w:sz w:val="20"/>
                <w:szCs w:val="20"/>
                <w:color w:val="auto"/>
              </w:rPr>
            </w:pPr>
            <w:r>
              <w:rPr>
                <w:rFonts w:ascii="Arial" w:cs="Arial" w:eastAsia="Arial" w:hAnsi="Arial"/>
                <w:sz w:val="13"/>
                <w:szCs w:val="13"/>
                <w:color w:val="auto"/>
              </w:rPr>
              <w:t>A reconciliation of deferred taxes, net is as follows:</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12"/>
        </w:trPr>
        <w:tc>
          <w:tcPr>
            <w:tcW w:w="8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92"/>
        </w:trPr>
        <w:tc>
          <w:tcPr>
            <w:tcW w:w="8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Beginning balance</w:t>
            </w:r>
          </w:p>
        </w:tc>
        <w:tc>
          <w:tcPr>
            <w:tcW w:w="1200" w:type="dxa"/>
            <w:vAlign w:val="bottom"/>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351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435</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expense recognized to consolidated statements of operations</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Tax benefit (expense) recognized to other comprehensive income (loss)</w:t>
            </w: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Uncertain tax positions and others</w:t>
            </w:r>
          </w:p>
        </w:tc>
        <w:tc>
          <w:tcPr>
            <w:tcW w:w="1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Ending balance</w:t>
            </w:r>
          </w:p>
        </w:tc>
        <w:tc>
          <w:tcPr>
            <w:tcW w:w="120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3"/>
                <w:szCs w:val="13"/>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266</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and 2021, the Company’s current tax receivables were $1 million and $0, respectively, related to its subsidiaries in Europe.</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of December 31, 2022 and 2021, the Company’s current income tax payable of $14 million and $14 million, respectively, is composed of $2 million, $3 million, $9 million and $2 million, $3 million, $9 million for entities incorporated in Europe, the United States/Cayman Islands and Singapore, respectively. The current income tax payable amounts include the following uncertain tax provisions: $0 in the United States for December 31, 2022 and $0 for December 31, 2021; $8 million and $9 million in Singapore for December 31, 2022 and 2021; $3 million and $ 0 in Europe for December 31, 2022 and 2021, respectively, for exposure arising from unutilized capital allowances and domestic related party transactions. Europe had no current income taxable amounts included in uncertain tax provisions for either December 31, 2022 or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Pr>
          <w:p>
            <w:pPr>
              <w:spacing w:after="0"/>
              <w:rPr>
                <w:sz w:val="20"/>
                <w:szCs w:val="20"/>
                <w:color w:val="auto"/>
              </w:rPr>
            </w:pPr>
            <w:r>
              <w:rPr>
                <w:rFonts w:ascii="Arial" w:cs="Arial" w:eastAsia="Arial" w:hAnsi="Arial"/>
                <w:sz w:val="13"/>
                <w:szCs w:val="13"/>
                <w:b w:val="1"/>
                <w:bCs w:val="1"/>
                <w:color w:val="auto"/>
              </w:rPr>
              <w:t>15. Receivables, Prepayments and Other Assets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52"/>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Pr>
          <w:p>
            <w:pPr>
              <w:spacing w:after="0"/>
              <w:rPr>
                <w:sz w:val="24"/>
                <w:szCs w:val="24"/>
                <w:color w:val="auto"/>
              </w:rPr>
            </w:pPr>
          </w:p>
        </w:tc>
        <w:tc>
          <w:tcPr>
            <w:tcW w:w="1360" w:type="dxa"/>
            <w:vAlign w:val="bottom"/>
          </w:tcPr>
          <w:p>
            <w:pPr>
              <w:jc w:val="right"/>
              <w:ind w:right="96"/>
              <w:spacing w:after="0"/>
              <w:rPr>
                <w:sz w:val="20"/>
                <w:szCs w:val="20"/>
                <w:color w:val="auto"/>
              </w:rPr>
            </w:pPr>
            <w:r>
              <w:rPr>
                <w:rFonts w:ascii="Arial" w:cs="Arial" w:eastAsia="Arial" w:hAnsi="Arial"/>
                <w:sz w:val="13"/>
                <w:szCs w:val="13"/>
                <w:b w:val="1"/>
                <w:bCs w:val="1"/>
                <w:color w:val="auto"/>
              </w:rPr>
              <w:t>December 31, 2021</w:t>
            </w:r>
          </w:p>
        </w:tc>
      </w:tr>
      <w:tr>
        <w:trPr>
          <w:trHeight w:val="152"/>
        </w:trPr>
        <w:tc>
          <w:tcPr>
            <w:tcW w:w="82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w:t>
            </w: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70"/>
        </w:trPr>
        <w:tc>
          <w:tcPr>
            <w:tcW w:w="8220" w:type="dxa"/>
            <w:vAlign w:val="bottom"/>
          </w:tcPr>
          <w:p>
            <w:pPr>
              <w:ind w:left="100"/>
              <w:spacing w:after="0" w:line="170" w:lineRule="exact"/>
              <w:rPr>
                <w:sz w:val="20"/>
                <w:szCs w:val="20"/>
                <w:color w:val="auto"/>
              </w:rPr>
            </w:pPr>
            <w:r>
              <w:rPr>
                <w:rFonts w:ascii="Arial" w:cs="Arial" w:eastAsia="Arial" w:hAnsi="Arial"/>
                <w:sz w:val="13"/>
                <w:szCs w:val="13"/>
                <w:color w:val="auto"/>
              </w:rPr>
              <w:t>Trade receivables, other than related parties</w:t>
            </w:r>
            <w:r>
              <w:rPr>
                <w:rFonts w:ascii="Arial" w:cs="Arial" w:eastAsia="Arial" w:hAnsi="Arial"/>
                <w:sz w:val="16"/>
                <w:szCs w:val="16"/>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824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872</w:t>
            </w:r>
          </w:p>
        </w:tc>
      </w:tr>
      <w:tr>
        <w:trPr>
          <w:trHeight w:val="170"/>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receivables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70"/>
        </w:trPr>
        <w:tc>
          <w:tcPr>
            <w:tcW w:w="8220" w:type="dxa"/>
            <w:vAlign w:val="bottom"/>
          </w:tcPr>
          <w:p>
            <w:pPr>
              <w:ind w:left="100"/>
              <w:spacing w:after="0" w:line="170" w:lineRule="exact"/>
              <w:rPr>
                <w:sz w:val="20"/>
                <w:szCs w:val="20"/>
                <w:color w:val="auto"/>
              </w:rPr>
            </w:pPr>
            <w:r>
              <w:rPr>
                <w:rFonts w:ascii="Arial" w:cs="Arial" w:eastAsia="Arial" w:hAnsi="Arial"/>
                <w:sz w:val="13"/>
                <w:szCs w:val="13"/>
                <w:color w:val="auto"/>
              </w:rPr>
              <w:t>Unbilled accounts receivable</w:t>
            </w:r>
            <w:r>
              <w:rPr>
                <w:rFonts w:ascii="Arial" w:cs="Arial" w:eastAsia="Arial" w:hAnsi="Arial"/>
                <w:sz w:val="16"/>
                <w:szCs w:val="16"/>
                <w:color w:val="auto"/>
                <w:vertAlign w:val="superscript"/>
              </w:rPr>
              <w:t>(2)</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70"/>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Receivables from government grant</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68"/>
        </w:trPr>
        <w:tc>
          <w:tcPr>
            <w:tcW w:w="8220" w:type="dxa"/>
            <w:vAlign w:val="bottom"/>
          </w:tcPr>
          <w:p>
            <w:pPr>
              <w:ind w:left="100"/>
              <w:spacing w:after="0"/>
              <w:rPr>
                <w:sz w:val="20"/>
                <w:szCs w:val="20"/>
                <w:color w:val="auto"/>
              </w:rPr>
            </w:pPr>
            <w:r>
              <w:rPr>
                <w:rFonts w:ascii="Arial" w:cs="Arial" w:eastAsia="Arial" w:hAnsi="Arial"/>
                <w:sz w:val="13"/>
                <w:szCs w:val="13"/>
                <w:color w:val="auto"/>
              </w:rPr>
              <w:t>Receivables from related parties (Note 28)</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0"/>
        </w:trPr>
        <w:tc>
          <w:tcPr>
            <w:tcW w:w="8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current financial assets</w:t>
            </w: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1,487</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1,231</w:t>
            </w:r>
          </w:p>
        </w:tc>
      </w:tr>
      <w:tr>
        <w:trPr>
          <w:trHeight w:val="150"/>
        </w:trPr>
        <w:tc>
          <w:tcPr>
            <w:tcW w:w="82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Non-current:</w:t>
            </w:r>
          </w:p>
        </w:tc>
        <w:tc>
          <w:tcPr>
            <w:tcW w:w="6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0"/>
        </w:trPr>
        <w:tc>
          <w:tcPr>
            <w:tcW w:w="8220" w:type="dxa"/>
            <w:vAlign w:val="bottom"/>
          </w:tcPr>
          <w:p>
            <w:pPr>
              <w:ind w:left="100"/>
              <w:spacing w:after="0" w:line="170" w:lineRule="exact"/>
              <w:rPr>
                <w:sz w:val="20"/>
                <w:szCs w:val="20"/>
                <w:color w:val="auto"/>
              </w:rPr>
            </w:pPr>
            <w:r>
              <w:rPr>
                <w:rFonts w:ascii="Arial" w:cs="Arial" w:eastAsia="Arial" w:hAnsi="Arial"/>
                <w:sz w:val="13"/>
                <w:szCs w:val="13"/>
                <w:color w:val="auto"/>
              </w:rPr>
              <w:t>Advances to suppliers</w:t>
            </w:r>
            <w:r>
              <w:rPr>
                <w:rFonts w:ascii="Arial" w:cs="Arial" w:eastAsia="Arial" w:hAnsi="Arial"/>
                <w:sz w:val="16"/>
                <w:szCs w:val="16"/>
                <w:color w:val="auto"/>
                <w:vertAlign w:val="superscript"/>
              </w:rPr>
              <w:t>(3)</w:t>
            </w: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199</w:t>
            </w:r>
          </w:p>
        </w:tc>
      </w:tr>
      <w:tr>
        <w:trPr>
          <w:trHeight w:val="170"/>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Non-trade receivables</w:t>
            </w: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8"/>
        </w:trPr>
        <w:tc>
          <w:tcPr>
            <w:tcW w:w="8220" w:type="dxa"/>
            <w:vAlign w:val="bottom"/>
          </w:tcPr>
          <w:p>
            <w:pPr>
              <w:ind w:left="100"/>
              <w:spacing w:after="0"/>
              <w:rPr>
                <w:sz w:val="20"/>
                <w:szCs w:val="20"/>
                <w:color w:val="auto"/>
              </w:rPr>
            </w:pPr>
            <w:r>
              <w:rPr>
                <w:rFonts w:ascii="Arial" w:cs="Arial" w:eastAsia="Arial" w:hAnsi="Arial"/>
                <w:sz w:val="13"/>
                <w:szCs w:val="13"/>
                <w:color w:val="auto"/>
              </w:rPr>
              <w:t>Payment in Lieu of Tax (“PILOT”’) Bonds</w:t>
            </w: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2"/>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6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281</w:t>
            </w:r>
          </w:p>
        </w:tc>
        <w:tc>
          <w:tcPr>
            <w:tcW w:w="80" w:type="dxa"/>
            <w:vAlign w:val="bottom"/>
          </w:tcPr>
          <w:p>
            <w:pPr>
              <w:spacing w:after="0"/>
              <w:rPr>
                <w:sz w:val="13"/>
                <w:szCs w:val="13"/>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254</w:t>
            </w:r>
          </w:p>
        </w:tc>
      </w:tr>
    </w:tbl>
    <w:p>
      <w:pPr>
        <w:spacing w:after="0" w:line="200" w:lineRule="exact"/>
        <w:rPr>
          <w:sz w:val="20"/>
          <w:szCs w:val="20"/>
          <w:color w:val="auto"/>
        </w:rPr>
      </w:pPr>
    </w:p>
    <w:p>
      <w:pPr>
        <w:spacing w:after="0" w:line="228" w:lineRule="exact"/>
        <w:rPr>
          <w:sz w:val="20"/>
          <w:szCs w:val="20"/>
          <w:color w:val="auto"/>
        </w:rPr>
      </w:pPr>
    </w:p>
    <w:p>
      <w:pPr>
        <w:ind w:left="520" w:hanging="260"/>
        <w:spacing w:after="0" w:line="220" w:lineRule="auto"/>
        <w:tabs>
          <w:tab w:leader="none" w:pos="514"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auto"/>
        </w:rPr>
        <w:t>The Company’s trade receivables, other than related parties, are all classified as current and are expected to be collected within one year. The Company’s provision for sales returns was not material for either for the years ended December 31, 2022 or 2021. See the table below for the aging of the Company’s trade receivables, other than related parties.</w:t>
      </w:r>
    </w:p>
    <w:p>
      <w:pPr>
        <w:spacing w:after="0" w:line="1" w:lineRule="exact"/>
        <w:rPr>
          <w:rFonts w:ascii="Arial" w:cs="Arial" w:eastAsia="Arial" w:hAnsi="Arial"/>
          <w:sz w:val="15"/>
          <w:szCs w:val="15"/>
          <w:color w:val="auto"/>
          <w:vertAlign w:val="superscript"/>
        </w:rPr>
      </w:pPr>
    </w:p>
    <w:p>
      <w:pPr>
        <w:ind w:left="520" w:hanging="260"/>
        <w:spacing w:after="0" w:line="211" w:lineRule="auto"/>
        <w:tabs>
          <w:tab w:leader="none" w:pos="514"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auto"/>
        </w:rPr>
        <w:t>Unbilled accounts receivable represents amounts recognized on revenue contracts less associated advances and progress billings. These amounts will be billed in accordance with the agreed-upon contractual terms or upon shipment of products or rendering services.</w:t>
      </w:r>
    </w:p>
    <w:p>
      <w:pPr>
        <w:ind w:left="500" w:hanging="240"/>
        <w:spacing w:after="0" w:line="191" w:lineRule="auto"/>
        <w:tabs>
          <w:tab w:leader="none" w:pos="500"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auto"/>
        </w:rPr>
        <w:t>Primarily represents advances to supplier to offset against future purchases.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20" w:type="dxa"/>
            <w:vAlign w:val="bottom"/>
          </w:tcPr>
          <w:p>
            <w:pPr>
              <w:spacing w:after="0"/>
              <w:rPr>
                <w:sz w:val="20"/>
                <w:szCs w:val="20"/>
                <w:color w:val="auto"/>
              </w:rPr>
            </w:pPr>
            <w:r>
              <w:rPr>
                <w:rFonts w:ascii="Arial" w:cs="Arial" w:eastAsia="Arial" w:hAnsi="Arial"/>
                <w:sz w:val="13"/>
                <w:szCs w:val="13"/>
                <w:color w:val="auto"/>
              </w:rPr>
              <w:t>The following table presents the activities in unbilled accounts receivable as of December 31, 2022 and 2021:</w:t>
            </w: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12"/>
        </w:trPr>
        <w:tc>
          <w:tcPr>
            <w:tcW w:w="8220" w:type="dxa"/>
            <w:vAlign w:val="bottom"/>
          </w:tcPr>
          <w:p>
            <w:pPr>
              <w:spacing w:after="0"/>
              <w:rPr>
                <w:sz w:val="24"/>
                <w:szCs w:val="24"/>
                <w:color w:val="auto"/>
              </w:rPr>
            </w:pPr>
          </w:p>
        </w:tc>
        <w:tc>
          <w:tcPr>
            <w:tcW w:w="1160" w:type="dxa"/>
            <w:vAlign w:val="bottom"/>
          </w:tcPr>
          <w:p>
            <w:pPr>
              <w:jc w:val="center"/>
              <w:ind w:left="276"/>
              <w:spacing w:after="0"/>
              <w:rPr>
                <w:sz w:val="20"/>
                <w:szCs w:val="20"/>
                <w:color w:val="auto"/>
              </w:rPr>
            </w:pPr>
            <w:r>
              <w:rPr>
                <w:rFonts w:ascii="Arial" w:cs="Arial" w:eastAsia="Arial" w:hAnsi="Arial"/>
                <w:sz w:val="13"/>
                <w:szCs w:val="13"/>
                <w:b w:val="1"/>
                <w:bCs w:val="1"/>
                <w:color w:val="auto"/>
                <w:w w:val="96"/>
              </w:rPr>
              <w:t>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December 31,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2021</w:t>
            </w: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Revenue recognized during the year</w:t>
            </w:r>
          </w:p>
        </w:tc>
        <w:tc>
          <w:tcPr>
            <w:tcW w:w="1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invoiced</w:t>
            </w: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Other</w:t>
            </w:r>
          </w:p>
        </w:tc>
        <w:tc>
          <w:tcPr>
            <w:tcW w:w="11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6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Ending balance</w:t>
            </w:r>
          </w:p>
        </w:tc>
        <w:tc>
          <w:tcPr>
            <w:tcW w:w="116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w:t>
            </w:r>
          </w:p>
        </w:tc>
      </w:tr>
      <w:tr>
        <w:trPr>
          <w:trHeight w:val="389"/>
        </w:trPr>
        <w:tc>
          <w:tcPr>
            <w:tcW w:w="8220" w:type="dxa"/>
            <w:vAlign w:val="bottom"/>
          </w:tcPr>
          <w:p>
            <w:pPr>
              <w:spacing w:after="0"/>
              <w:rPr>
                <w:sz w:val="20"/>
                <w:szCs w:val="20"/>
                <w:color w:val="auto"/>
              </w:rPr>
            </w:pPr>
            <w:r>
              <w:rPr>
                <w:rFonts w:ascii="Arial" w:cs="Arial" w:eastAsia="Arial" w:hAnsi="Arial"/>
                <w:sz w:val="13"/>
                <w:szCs w:val="13"/>
                <w:color w:val="auto"/>
              </w:rPr>
              <w:t>The following table presents the aging of accounts receivable as of December 31, 2022 and 2021:</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2"/>
        </w:trPr>
        <w:tc>
          <w:tcPr>
            <w:tcW w:w="8220" w:type="dxa"/>
            <w:vAlign w:val="bottom"/>
          </w:tcPr>
          <w:p>
            <w:pPr>
              <w:spacing w:after="0"/>
              <w:rPr>
                <w:sz w:val="24"/>
                <w:szCs w:val="24"/>
                <w:color w:val="auto"/>
              </w:rPr>
            </w:pPr>
          </w:p>
        </w:tc>
        <w:tc>
          <w:tcPr>
            <w:tcW w:w="1160" w:type="dxa"/>
            <w:vAlign w:val="bottom"/>
          </w:tcPr>
          <w:p>
            <w:pPr>
              <w:jc w:val="center"/>
              <w:ind w:left="276"/>
              <w:spacing w:after="0"/>
              <w:rPr>
                <w:sz w:val="20"/>
                <w:szCs w:val="20"/>
                <w:color w:val="auto"/>
              </w:rPr>
            </w:pPr>
            <w:r>
              <w:rPr>
                <w:rFonts w:ascii="Arial" w:cs="Arial" w:eastAsia="Arial" w:hAnsi="Arial"/>
                <w:sz w:val="13"/>
                <w:szCs w:val="13"/>
                <w:b w:val="1"/>
                <w:bCs w:val="1"/>
                <w:color w:val="auto"/>
                <w:w w:val="96"/>
              </w:rPr>
              <w:t>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December 31,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2021</w:t>
            </w: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neither past due nor impaired</w:t>
            </w: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Receivables past due—not impaired individually:</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than 30 days</w:t>
            </w: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31 to 60 days</w:t>
            </w:r>
          </w:p>
        </w:tc>
        <w:tc>
          <w:tcPr>
            <w:tcW w:w="1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61 to 90 days</w:t>
            </w: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90 to 120 days</w:t>
            </w:r>
          </w:p>
        </w:tc>
        <w:tc>
          <w:tcPr>
            <w:tcW w:w="11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82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872</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Inventories</w:t>
      </w:r>
    </w:p>
    <w:p>
      <w:pPr>
        <w:spacing w:after="0" w:line="100"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The Company records inventories at the lower of cost or net realizable value for finished goods, work-in-progress, raw materials, and supplies. The Company makes inventory write-downs on an item-by-item basis, except where it may be appropriate to group similar or related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3"/>
                <w:szCs w:val="13"/>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December 31,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2021</w:t>
            </w: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Work in progress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Raw materials and supplies</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260</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Inventory reserves</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1,339</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1,121</w:t>
            </w:r>
          </w:p>
        </w:tc>
      </w:tr>
      <w:tr>
        <w:trPr>
          <w:trHeight w:val="390"/>
        </w:trPr>
        <w:tc>
          <w:tcPr>
            <w:tcW w:w="8220" w:type="dxa"/>
            <w:vAlign w:val="bottom"/>
          </w:tcPr>
          <w:p>
            <w:pPr>
              <w:spacing w:after="0"/>
              <w:rPr>
                <w:sz w:val="20"/>
                <w:szCs w:val="20"/>
                <w:color w:val="auto"/>
              </w:rPr>
            </w:pPr>
            <w:r>
              <w:rPr>
                <w:rFonts w:ascii="Arial" w:cs="Arial" w:eastAsia="Arial" w:hAnsi="Arial"/>
                <w:sz w:val="13"/>
                <w:szCs w:val="13"/>
                <w:color w:val="auto"/>
              </w:rPr>
              <w:t>The following table presents the movement in the inventory reserves: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2"/>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24"/>
                <w:szCs w:val="24"/>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December 31,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2021</w:t>
            </w: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r>
      <w:tr>
        <w:trPr>
          <w:trHeight w:val="170"/>
        </w:trPr>
        <w:tc>
          <w:tcPr>
            <w:tcW w:w="8220" w:type="dxa"/>
            <w:vAlign w:val="bottom"/>
          </w:tcPr>
          <w:p>
            <w:pPr>
              <w:ind w:left="20"/>
              <w:spacing w:after="0" w:line="170" w:lineRule="exact"/>
              <w:rPr>
                <w:sz w:val="20"/>
                <w:szCs w:val="20"/>
                <w:color w:val="auto"/>
              </w:rPr>
            </w:pPr>
            <w:r>
              <w:rPr>
                <w:rFonts w:ascii="Arial" w:cs="Arial" w:eastAsia="Arial" w:hAnsi="Arial"/>
                <w:sz w:val="13"/>
                <w:szCs w:val="13"/>
                <w:color w:val="auto"/>
              </w:rPr>
              <w:t>Additions</w:t>
            </w:r>
            <w:r>
              <w:rPr>
                <w:rFonts w:ascii="Arial" w:cs="Arial" w:eastAsia="Arial" w:hAnsi="Arial"/>
                <w:sz w:val="16"/>
                <w:szCs w:val="16"/>
                <w:color w:val="auto"/>
                <w:vertAlign w:val="superscript"/>
              </w:rPr>
              <w:t>(1)</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Written-off and scrapped</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Elimination of reserves upon sale of inventory</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w:t>
            </w:r>
          </w:p>
        </w:tc>
      </w:tr>
      <w:tr>
        <w:trPr>
          <w:trHeight w:val="16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Ending balance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r>
    </w:tbl>
    <w:p>
      <w:pPr>
        <w:spacing w:after="0" w:line="163" w:lineRule="exact"/>
        <w:rPr>
          <w:sz w:val="20"/>
          <w:szCs w:val="20"/>
          <w:color w:val="auto"/>
        </w:rPr>
      </w:pPr>
    </w:p>
    <w:p>
      <w:pPr>
        <w:ind w:left="520" w:hanging="260"/>
        <w:spacing w:after="0" w:line="220" w:lineRule="auto"/>
        <w:tabs>
          <w:tab w:leader="none" w:pos="514" w:val="left"/>
        </w:tabs>
        <w:numPr>
          <w:ilvl w:val="0"/>
          <w:numId w:val="97"/>
        </w:numPr>
        <w:rPr>
          <w:rFonts w:ascii="Arial" w:cs="Arial" w:eastAsia="Arial" w:hAnsi="Arial"/>
          <w:sz w:val="15"/>
          <w:szCs w:val="15"/>
          <w:color w:val="auto"/>
          <w:vertAlign w:val="superscript"/>
        </w:rPr>
      </w:pPr>
      <w:r>
        <w:rPr>
          <w:rFonts w:ascii="Arial" w:cs="Arial" w:eastAsia="Arial" w:hAnsi="Arial"/>
          <w:sz w:val="11"/>
          <w:szCs w:val="11"/>
          <w:color w:val="auto"/>
        </w:rPr>
        <w:t>This includes additional inventory reserve of $26 million arising from the adjustment to cost of revenue recorded by the Company in 2021 in conjunction with the modification of its customer contracts as discussed in Note 4.</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Other Financial Assets And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foreign currency forward contracts are outstanding at December 31, 2021 and 2022 (in millions, except average foreign currency/US$):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8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0"/>
                <w:szCs w:val="10"/>
                <w:b w:val="1"/>
                <w:bCs w:val="1"/>
                <w:color w:val="auto"/>
              </w:rPr>
              <w:t>Fair Value of Derivative Instruments</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720" w:type="dxa"/>
            <w:vAlign w:val="bottom"/>
          </w:tcPr>
          <w:p>
            <w:pPr>
              <w:jc w:val="center"/>
              <w:ind w:left="151"/>
              <w:spacing w:after="0" w:line="96" w:lineRule="exact"/>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8"/>
                <w:szCs w:val="8"/>
                <w:color w:val="auto"/>
              </w:rPr>
            </w:pPr>
          </w:p>
        </w:tc>
        <w:tc>
          <w:tcPr>
            <w:tcW w:w="760" w:type="dxa"/>
            <w:vAlign w:val="bottom"/>
          </w:tcPr>
          <w:p>
            <w:pPr>
              <w:jc w:val="center"/>
              <w:ind w:left="131"/>
              <w:spacing w:after="0" w:line="96" w:lineRule="exact"/>
              <w:rPr>
                <w:sz w:val="20"/>
                <w:szCs w:val="20"/>
                <w:color w:val="auto"/>
              </w:rPr>
            </w:pPr>
            <w:r>
              <w:rPr>
                <w:rFonts w:ascii="Arial" w:cs="Arial" w:eastAsia="Arial" w:hAnsi="Arial"/>
                <w:sz w:val="10"/>
                <w:szCs w:val="10"/>
                <w:b w:val="1"/>
                <w:bCs w:val="1"/>
                <w:color w:val="auto"/>
                <w:w w:val="97"/>
              </w:rPr>
              <w:t>Other</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center"/>
              <w:ind w:right="91"/>
              <w:spacing w:after="0" w:line="96" w:lineRule="exact"/>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8"/>
                <w:szCs w:val="8"/>
                <w:color w:val="auto"/>
              </w:rPr>
            </w:pPr>
          </w:p>
        </w:tc>
        <w:tc>
          <w:tcPr>
            <w:tcW w:w="800" w:type="dxa"/>
            <w:vAlign w:val="bottom"/>
          </w:tcPr>
          <w:p>
            <w:pPr>
              <w:jc w:val="center"/>
              <w:ind w:right="91"/>
              <w:spacing w:after="0" w:line="96" w:lineRule="exact"/>
              <w:rPr>
                <w:sz w:val="20"/>
                <w:szCs w:val="20"/>
                <w:color w:val="auto"/>
              </w:rPr>
            </w:pPr>
            <w:r>
              <w:rPr>
                <w:rFonts w:ascii="Arial" w:cs="Arial" w:eastAsia="Arial" w:hAnsi="Arial"/>
                <w:sz w:val="10"/>
                <w:szCs w:val="10"/>
                <w:b w:val="1"/>
                <w:bCs w:val="1"/>
                <w:color w:val="auto"/>
                <w:w w:val="97"/>
              </w:rPr>
              <w:t>Other</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jc w:val="center"/>
              <w:ind w:right="91"/>
              <w:spacing w:after="0" w:line="96" w:lineRule="exact"/>
              <w:rPr>
                <w:sz w:val="20"/>
                <w:szCs w:val="20"/>
                <w:color w:val="auto"/>
              </w:rPr>
            </w:pPr>
            <w:r>
              <w:rPr>
                <w:rFonts w:ascii="Arial" w:cs="Arial" w:eastAsia="Arial" w:hAnsi="Arial"/>
                <w:sz w:val="10"/>
                <w:szCs w:val="10"/>
                <w:b w:val="1"/>
                <w:bCs w:val="1"/>
                <w:color w:val="auto"/>
              </w:rPr>
              <w:t>Average</w:t>
            </w:r>
          </w:p>
        </w:tc>
        <w:tc>
          <w:tcPr>
            <w:tcW w:w="1080" w:type="dxa"/>
            <w:vAlign w:val="bottom"/>
            <w:vMerge w:val="restart"/>
          </w:tcPr>
          <w:p>
            <w:pPr>
              <w:jc w:val="center"/>
              <w:ind w:right="211"/>
              <w:spacing w:after="0"/>
              <w:rPr>
                <w:sz w:val="20"/>
                <w:szCs w:val="20"/>
                <w:color w:val="auto"/>
              </w:rPr>
            </w:pPr>
            <w:r>
              <w:rPr>
                <w:rFonts w:ascii="Arial" w:cs="Arial" w:eastAsia="Arial" w:hAnsi="Arial"/>
                <w:sz w:val="10"/>
                <w:szCs w:val="10"/>
                <w:b w:val="1"/>
                <w:bCs w:val="1"/>
                <w:color w:val="auto"/>
                <w:w w:val="96"/>
              </w:rPr>
              <w:t>Average</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720" w:type="dxa"/>
            <w:vAlign w:val="bottom"/>
          </w:tcPr>
          <w:p>
            <w:pPr>
              <w:jc w:val="center"/>
              <w:ind w:left="151"/>
              <w:spacing w:after="0" w:line="96" w:lineRule="exact"/>
              <w:rPr>
                <w:sz w:val="20"/>
                <w:szCs w:val="20"/>
                <w:color w:val="auto"/>
              </w:rPr>
            </w:pPr>
            <w:r>
              <w:rPr>
                <w:rFonts w:ascii="Arial" w:cs="Arial" w:eastAsia="Arial" w:hAnsi="Arial"/>
                <w:sz w:val="10"/>
                <w:szCs w:val="10"/>
                <w:b w:val="1"/>
                <w:bCs w:val="1"/>
                <w:color w:val="auto"/>
                <w:w w:val="99"/>
              </w:rPr>
              <w:t>Current</w:t>
            </w:r>
          </w:p>
        </w:tc>
        <w:tc>
          <w:tcPr>
            <w:tcW w:w="180" w:type="dxa"/>
            <w:vAlign w:val="bottom"/>
          </w:tcPr>
          <w:p>
            <w:pPr>
              <w:spacing w:after="0"/>
              <w:rPr>
                <w:sz w:val="8"/>
                <w:szCs w:val="8"/>
                <w:color w:val="auto"/>
              </w:rPr>
            </w:pPr>
          </w:p>
        </w:tc>
        <w:tc>
          <w:tcPr>
            <w:tcW w:w="760" w:type="dxa"/>
            <w:vAlign w:val="bottom"/>
          </w:tcPr>
          <w:p>
            <w:pPr>
              <w:jc w:val="center"/>
              <w:ind w:left="131"/>
              <w:spacing w:after="0" w:line="96" w:lineRule="exact"/>
              <w:rPr>
                <w:sz w:val="20"/>
                <w:szCs w:val="20"/>
                <w:color w:val="auto"/>
              </w:rPr>
            </w:pPr>
            <w:r>
              <w:rPr>
                <w:rFonts w:ascii="Arial" w:cs="Arial" w:eastAsia="Arial" w:hAnsi="Arial"/>
                <w:sz w:val="10"/>
                <w:szCs w:val="10"/>
                <w:b w:val="1"/>
                <w:bCs w:val="1"/>
                <w:color w:val="auto"/>
              </w:rPr>
              <w:t>Non-current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center"/>
              <w:ind w:right="111"/>
              <w:spacing w:after="0" w:line="96" w:lineRule="exact"/>
              <w:rPr>
                <w:sz w:val="20"/>
                <w:szCs w:val="20"/>
                <w:color w:val="auto"/>
              </w:rPr>
            </w:pPr>
            <w:r>
              <w:rPr>
                <w:rFonts w:ascii="Arial" w:cs="Arial" w:eastAsia="Arial" w:hAnsi="Arial"/>
                <w:sz w:val="10"/>
                <w:szCs w:val="10"/>
                <w:b w:val="1"/>
                <w:bCs w:val="1"/>
                <w:color w:val="auto"/>
                <w:w w:val="99"/>
              </w:rPr>
              <w:t>Current</w:t>
            </w:r>
          </w:p>
        </w:tc>
        <w:tc>
          <w:tcPr>
            <w:tcW w:w="120" w:type="dxa"/>
            <w:vAlign w:val="bottom"/>
          </w:tcPr>
          <w:p>
            <w:pPr>
              <w:spacing w:after="0"/>
              <w:rPr>
                <w:sz w:val="8"/>
                <w:szCs w:val="8"/>
                <w:color w:val="auto"/>
              </w:rPr>
            </w:pPr>
          </w:p>
        </w:tc>
        <w:tc>
          <w:tcPr>
            <w:tcW w:w="800" w:type="dxa"/>
            <w:vAlign w:val="bottom"/>
          </w:tcPr>
          <w:p>
            <w:pPr>
              <w:jc w:val="center"/>
              <w:ind w:right="71"/>
              <w:spacing w:after="0" w:line="96" w:lineRule="exact"/>
              <w:rPr>
                <w:sz w:val="20"/>
                <w:szCs w:val="20"/>
                <w:color w:val="auto"/>
              </w:rPr>
            </w:pPr>
            <w:r>
              <w:rPr>
                <w:rFonts w:ascii="Arial" w:cs="Arial" w:eastAsia="Arial" w:hAnsi="Arial"/>
                <w:sz w:val="10"/>
                <w:szCs w:val="10"/>
                <w:b w:val="1"/>
                <w:bCs w:val="1"/>
                <w:color w:val="auto"/>
                <w:w w:val="97"/>
              </w:rPr>
              <w:t>Non-current</w:t>
            </w:r>
          </w:p>
        </w:tc>
        <w:tc>
          <w:tcPr>
            <w:tcW w:w="160" w:type="dxa"/>
            <w:vAlign w:val="bottom"/>
          </w:tcPr>
          <w:p>
            <w:pPr>
              <w:spacing w:after="0"/>
              <w:rPr>
                <w:sz w:val="8"/>
                <w:szCs w:val="8"/>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0"/>
                <w:szCs w:val="10"/>
                <w:b w:val="1"/>
                <w:bCs w:val="1"/>
                <w:color w:val="auto"/>
              </w:rPr>
              <w:t>Notional</w:t>
            </w:r>
          </w:p>
        </w:tc>
        <w:tc>
          <w:tcPr>
            <w:tcW w:w="1060" w:type="dxa"/>
            <w:vAlign w:val="bottom"/>
          </w:tcPr>
          <w:p>
            <w:pPr>
              <w:jc w:val="center"/>
              <w:ind w:right="91"/>
              <w:spacing w:after="0" w:line="96" w:lineRule="exact"/>
              <w:rPr>
                <w:sz w:val="20"/>
                <w:szCs w:val="20"/>
                <w:color w:val="auto"/>
              </w:rPr>
            </w:pPr>
            <w:r>
              <w:rPr>
                <w:rFonts w:ascii="Arial" w:cs="Arial" w:eastAsia="Arial" w:hAnsi="Arial"/>
                <w:sz w:val="10"/>
                <w:szCs w:val="10"/>
                <w:b w:val="1"/>
                <w:bCs w:val="1"/>
                <w:color w:val="auto"/>
                <w:w w:val="98"/>
              </w:rPr>
              <w:t>Foreign</w:t>
            </w:r>
          </w:p>
        </w:tc>
        <w:tc>
          <w:tcPr>
            <w:tcW w:w="10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720" w:type="dxa"/>
            <w:vAlign w:val="bottom"/>
          </w:tcPr>
          <w:p>
            <w:pPr>
              <w:jc w:val="center"/>
              <w:ind w:left="151"/>
              <w:spacing w:after="0" w:line="96" w:lineRule="exact"/>
              <w:rPr>
                <w:sz w:val="20"/>
                <w:szCs w:val="20"/>
                <w:color w:val="auto"/>
              </w:rPr>
            </w:pPr>
            <w:r>
              <w:rPr>
                <w:rFonts w:ascii="Arial" w:cs="Arial" w:eastAsia="Arial" w:hAnsi="Arial"/>
                <w:sz w:val="10"/>
                <w:szCs w:val="10"/>
                <w:b w:val="1"/>
                <w:bCs w:val="1"/>
                <w:color w:val="auto"/>
              </w:rPr>
              <w:t>Financial</w:t>
            </w:r>
          </w:p>
        </w:tc>
        <w:tc>
          <w:tcPr>
            <w:tcW w:w="180" w:type="dxa"/>
            <w:vAlign w:val="bottom"/>
          </w:tcPr>
          <w:p>
            <w:pPr>
              <w:spacing w:after="0"/>
              <w:rPr>
                <w:sz w:val="8"/>
                <w:szCs w:val="8"/>
                <w:color w:val="auto"/>
              </w:rPr>
            </w:pPr>
          </w:p>
        </w:tc>
        <w:tc>
          <w:tcPr>
            <w:tcW w:w="760" w:type="dxa"/>
            <w:vAlign w:val="bottom"/>
          </w:tcPr>
          <w:p>
            <w:pPr>
              <w:jc w:val="center"/>
              <w:ind w:left="131"/>
              <w:spacing w:after="0" w:line="96" w:lineRule="exact"/>
              <w:rPr>
                <w:sz w:val="20"/>
                <w:szCs w:val="20"/>
                <w:color w:val="auto"/>
              </w:rPr>
            </w:pPr>
            <w:r>
              <w:rPr>
                <w:rFonts w:ascii="Arial" w:cs="Arial" w:eastAsia="Arial" w:hAnsi="Arial"/>
                <w:sz w:val="10"/>
                <w:szCs w:val="10"/>
                <w:b w:val="1"/>
                <w:bCs w:val="1"/>
                <w:color w:val="auto"/>
                <w:w w:val="96"/>
              </w:rPr>
              <w:t>Financial</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center"/>
              <w:ind w:right="111"/>
              <w:spacing w:after="0" w:line="96" w:lineRule="exact"/>
              <w:rPr>
                <w:sz w:val="20"/>
                <w:szCs w:val="20"/>
                <w:color w:val="auto"/>
              </w:rPr>
            </w:pPr>
            <w:r>
              <w:rPr>
                <w:rFonts w:ascii="Arial" w:cs="Arial" w:eastAsia="Arial" w:hAnsi="Arial"/>
                <w:sz w:val="10"/>
                <w:szCs w:val="10"/>
                <w:b w:val="1"/>
                <w:bCs w:val="1"/>
                <w:color w:val="auto"/>
              </w:rPr>
              <w:t>Financial</w:t>
            </w:r>
          </w:p>
        </w:tc>
        <w:tc>
          <w:tcPr>
            <w:tcW w:w="120" w:type="dxa"/>
            <w:vAlign w:val="bottom"/>
          </w:tcPr>
          <w:p>
            <w:pPr>
              <w:spacing w:after="0"/>
              <w:rPr>
                <w:sz w:val="8"/>
                <w:szCs w:val="8"/>
                <w:color w:val="auto"/>
              </w:rPr>
            </w:pPr>
          </w:p>
        </w:tc>
        <w:tc>
          <w:tcPr>
            <w:tcW w:w="800" w:type="dxa"/>
            <w:vAlign w:val="bottom"/>
          </w:tcPr>
          <w:p>
            <w:pPr>
              <w:jc w:val="center"/>
              <w:ind w:right="71"/>
              <w:spacing w:after="0" w:line="96" w:lineRule="exact"/>
              <w:rPr>
                <w:sz w:val="20"/>
                <w:szCs w:val="20"/>
                <w:color w:val="auto"/>
              </w:rPr>
            </w:pPr>
            <w:r>
              <w:rPr>
                <w:rFonts w:ascii="Arial" w:cs="Arial" w:eastAsia="Arial" w:hAnsi="Arial"/>
                <w:sz w:val="10"/>
                <w:szCs w:val="10"/>
                <w:b w:val="1"/>
                <w:bCs w:val="1"/>
                <w:color w:val="auto"/>
              </w:rPr>
              <w:t>Financial</w:t>
            </w: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60" w:type="dxa"/>
            <w:vAlign w:val="bottom"/>
          </w:tcPr>
          <w:p>
            <w:pPr>
              <w:jc w:val="center"/>
              <w:ind w:right="71"/>
              <w:spacing w:after="0" w:line="96" w:lineRule="exact"/>
              <w:rPr>
                <w:sz w:val="20"/>
                <w:szCs w:val="20"/>
                <w:color w:val="auto"/>
              </w:rPr>
            </w:pPr>
            <w:r>
              <w:rPr>
                <w:rFonts w:ascii="Arial" w:cs="Arial" w:eastAsia="Arial" w:hAnsi="Arial"/>
                <w:sz w:val="10"/>
                <w:szCs w:val="10"/>
                <w:b w:val="1"/>
                <w:bCs w:val="1"/>
                <w:color w:val="auto"/>
                <w:w w:val="98"/>
              </w:rPr>
              <w:t>Currency/</w:t>
            </w:r>
          </w:p>
        </w:tc>
        <w:tc>
          <w:tcPr>
            <w:tcW w:w="1080" w:type="dxa"/>
            <w:vAlign w:val="bottom"/>
          </w:tcPr>
          <w:p>
            <w:pPr>
              <w:jc w:val="center"/>
              <w:ind w:right="231"/>
              <w:spacing w:after="0" w:line="96" w:lineRule="exact"/>
              <w:rPr>
                <w:sz w:val="20"/>
                <w:szCs w:val="20"/>
                <w:color w:val="auto"/>
              </w:rPr>
            </w:pPr>
            <w:r>
              <w:rPr>
                <w:rFonts w:ascii="Arial" w:cs="Arial" w:eastAsia="Arial" w:hAnsi="Arial"/>
                <w:sz w:val="10"/>
                <w:szCs w:val="10"/>
                <w:b w:val="1"/>
                <w:bCs w:val="1"/>
                <w:color w:val="auto"/>
              </w:rPr>
              <w:t>Strike</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Derivative Instruments</w:t>
            </w:r>
          </w:p>
        </w:tc>
        <w:tc>
          <w:tcPr>
            <w:tcW w:w="720" w:type="dxa"/>
            <w:vAlign w:val="bottom"/>
            <w:tcBorders>
              <w:bottom w:val="single" w:sz="8" w:color="auto"/>
            </w:tcBorders>
          </w:tcPr>
          <w:p>
            <w:pPr>
              <w:jc w:val="center"/>
              <w:ind w:left="151"/>
              <w:spacing w:after="0"/>
              <w:rPr>
                <w:sz w:val="20"/>
                <w:szCs w:val="20"/>
                <w:color w:val="auto"/>
              </w:rPr>
            </w:pPr>
            <w:r>
              <w:rPr>
                <w:rFonts w:ascii="Arial" w:cs="Arial" w:eastAsia="Arial" w:hAnsi="Arial"/>
                <w:sz w:val="10"/>
                <w:szCs w:val="10"/>
                <w:b w:val="1"/>
                <w:bCs w:val="1"/>
                <w:color w:val="auto"/>
                <w:w w:val="97"/>
              </w:rPr>
              <w:t>Assets</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b w:val="1"/>
                <w:bCs w:val="1"/>
                <w:color w:val="auto"/>
              </w:rPr>
              <w:t>Assets</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w w:val="99"/>
              </w:rPr>
              <w:t>Liabilities</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w w:val="99"/>
              </w:rPr>
              <w:t>Liabilities</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Amount</w:t>
            </w:r>
          </w:p>
        </w:tc>
        <w:tc>
          <w:tcPr>
            <w:tcW w:w="106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rPr>
              <w:t>US$</w:t>
            </w:r>
          </w:p>
        </w:tc>
        <w:tc>
          <w:tcPr>
            <w:tcW w:w="1080" w:type="dxa"/>
            <w:vAlign w:val="bottom"/>
            <w:tcBorders>
              <w:bottom w:val="single" w:sz="8" w:color="auto"/>
            </w:tcBorders>
          </w:tcPr>
          <w:p>
            <w:pPr>
              <w:jc w:val="center"/>
              <w:ind w:right="231"/>
              <w:spacing w:after="0"/>
              <w:rPr>
                <w:sz w:val="20"/>
                <w:szCs w:val="20"/>
                <w:color w:val="auto"/>
              </w:rPr>
            </w:pPr>
            <w:r>
              <w:rPr>
                <w:rFonts w:ascii="Arial" w:cs="Arial" w:eastAsia="Arial" w:hAnsi="Arial"/>
                <w:sz w:val="10"/>
                <w:szCs w:val="10"/>
                <w:b w:val="1"/>
                <w:bCs w:val="1"/>
                <w:color w:val="auto"/>
                <w:w w:val="97"/>
              </w:rPr>
              <w:t>Price</w:t>
            </w: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29"/>
        </w:trPr>
        <w:tc>
          <w:tcPr>
            <w:tcW w:w="3800" w:type="dxa"/>
            <w:vAlign w:val="bottom"/>
          </w:tcPr>
          <w:p>
            <w:pPr>
              <w:ind w:left="20"/>
              <w:spacing w:after="0"/>
              <w:rPr>
                <w:sz w:val="20"/>
                <w:szCs w:val="20"/>
                <w:color w:val="auto"/>
              </w:rPr>
            </w:pPr>
            <w:r>
              <w:rPr>
                <w:rFonts w:ascii="Arial" w:cs="Arial" w:eastAsia="Arial" w:hAnsi="Arial"/>
                <w:sz w:val="10"/>
                <w:szCs w:val="10"/>
                <w:color w:val="auto"/>
              </w:rPr>
              <w:t>Outstanding as of December 31, 2021:</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Forward contracts:</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Euro forward contracts (receive euros/pay US$)</w:t>
            </w:r>
          </w:p>
        </w:tc>
        <w:tc>
          <w:tcPr>
            <w:tcW w:w="720" w:type="dxa"/>
            <w:vAlign w:val="bottom"/>
          </w:tcPr>
          <w:p>
            <w:pPr>
              <w:jc w:val="right"/>
              <w:ind w:right="591"/>
              <w:spacing w:after="0"/>
              <w:rPr>
                <w:sz w:val="20"/>
                <w:szCs w:val="20"/>
                <w:color w:val="auto"/>
              </w:rPr>
            </w:pPr>
            <w:r>
              <w:rPr>
                <w:rFonts w:ascii="Arial" w:cs="Arial" w:eastAsia="Arial" w:hAnsi="Arial"/>
                <w:sz w:val="10"/>
                <w:szCs w:val="10"/>
                <w:color w:val="auto"/>
              </w:rPr>
              <w:t>$</w:t>
            </w:r>
          </w:p>
        </w:tc>
        <w:tc>
          <w:tcPr>
            <w:tcW w:w="180" w:type="dxa"/>
            <w:vAlign w:val="bottom"/>
          </w:tcPr>
          <w:p>
            <w:pPr>
              <w:jc w:val="right"/>
              <w:spacing w:after="0"/>
              <w:rPr>
                <w:sz w:val="20"/>
                <w:szCs w:val="20"/>
                <w:color w:val="auto"/>
              </w:rPr>
            </w:pPr>
            <w:r>
              <w:rPr>
                <w:rFonts w:ascii="Arial" w:cs="Arial" w:eastAsia="Arial" w:hAnsi="Arial"/>
                <w:sz w:val="10"/>
                <w:szCs w:val="10"/>
                <w:color w:val="auto"/>
              </w:rPr>
              <w:t>4</w:t>
            </w:r>
          </w:p>
        </w:tc>
        <w:tc>
          <w:tcPr>
            <w:tcW w:w="760" w:type="dxa"/>
            <w:vAlign w:val="bottom"/>
          </w:tcPr>
          <w:p>
            <w:pPr>
              <w:jc w:val="right"/>
              <w:ind w:right="631"/>
              <w:spacing w:after="0"/>
              <w:rPr>
                <w:sz w:val="20"/>
                <w:szCs w:val="20"/>
                <w:color w:val="auto"/>
              </w:rPr>
            </w:pPr>
            <w:r>
              <w:rPr>
                <w:rFonts w:ascii="Arial" w:cs="Arial" w:eastAsia="Arial" w:hAnsi="Arial"/>
                <w:sz w:val="10"/>
                <w:szCs w:val="10"/>
                <w:color w:val="auto"/>
              </w:rPr>
              <w:t>$</w:t>
            </w:r>
          </w:p>
        </w:tc>
        <w:tc>
          <w:tcPr>
            <w:tcW w:w="16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(38)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1,240</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0.86</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2022 - 2023</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Singapore dollar forward contracts (receive Singapore$/pay US$)</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858</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1.35</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2022</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Japanese yen forward contracts (receive Japanese yen/pay US$)</w:t>
            </w:r>
          </w:p>
        </w:tc>
        <w:tc>
          <w:tcPr>
            <w:tcW w:w="7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2</w:t>
            </w:r>
          </w:p>
        </w:tc>
        <w:tc>
          <w:tcPr>
            <w:tcW w:w="76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w:t>
            </w:r>
          </w:p>
        </w:tc>
        <w:tc>
          <w:tcPr>
            <w:tcW w:w="1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300</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112.77</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2022 - 2023</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rate swaps</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993</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0.382% - 1.731%</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2023 - 2026</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Cross currency swaps (receive euros/pay US$)</w:t>
            </w:r>
          </w:p>
        </w:tc>
        <w:tc>
          <w:tcPr>
            <w:tcW w:w="7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551</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0.89</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3.834% - 4.182%</w:t>
            </w:r>
          </w:p>
        </w:tc>
        <w:tc>
          <w:tcPr>
            <w:tcW w:w="780" w:type="dxa"/>
            <w:vAlign w:val="bottom"/>
          </w:tcPr>
          <w:p>
            <w:pPr>
              <w:jc w:val="right"/>
              <w:spacing w:after="0"/>
              <w:rPr>
                <w:sz w:val="20"/>
                <w:szCs w:val="20"/>
                <w:color w:val="auto"/>
              </w:rPr>
            </w:pPr>
            <w:r>
              <w:rPr>
                <w:rFonts w:ascii="Arial" w:cs="Arial" w:eastAsia="Arial" w:hAnsi="Arial"/>
                <w:sz w:val="10"/>
                <w:szCs w:val="10"/>
                <w:color w:val="auto"/>
              </w:rPr>
              <w:t>2024 - 2026</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Cross currency swaps (receive Singapore $/pay US$)</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1.37</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1.830% - 1.941%</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3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Commodity hedge</w:t>
            </w: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w:t>
            </w:r>
          </w:p>
        </w:tc>
        <w:tc>
          <w:tcPr>
            <w:tcW w:w="1060" w:type="dxa"/>
            <w:vAlign w:val="bottom"/>
            <w:tcBorders>
              <w:bottom w:val="single" w:sz="8" w:color="CCEEFF"/>
            </w:tcBorders>
          </w:tcPr>
          <w:p>
            <w:pPr>
              <w:jc w:val="right"/>
              <w:ind w:right="15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CCEEFF"/>
            </w:tcBorders>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2022 - 2023</w:t>
            </w:r>
          </w:p>
        </w:tc>
        <w:tc>
          <w:tcPr>
            <w:tcW w:w="0" w:type="dxa"/>
            <w:vAlign w:val="bottom"/>
          </w:tcPr>
          <w:p>
            <w:pPr>
              <w:spacing w:after="0"/>
              <w:rPr>
                <w:sz w:val="1"/>
                <w:szCs w:val="1"/>
                <w:color w:val="auto"/>
              </w:rPr>
            </w:pPr>
          </w:p>
        </w:tc>
      </w:tr>
      <w:tr>
        <w:trPr>
          <w:trHeight w:val="129"/>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w:t>
            </w:r>
          </w:p>
        </w:tc>
        <w:tc>
          <w:tcPr>
            <w:tcW w:w="72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76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4,147</w:t>
            </w:r>
          </w:p>
        </w:tc>
        <w:tc>
          <w:tcPr>
            <w:tcW w:w="10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Outstanding as of December 31, 2022:</w:t>
            </w: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Forward contracts: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Euro forward contracts (receive Euros/Pay US$)</w:t>
            </w:r>
          </w:p>
        </w:tc>
        <w:tc>
          <w:tcPr>
            <w:tcW w:w="720" w:type="dxa"/>
            <w:vAlign w:val="bottom"/>
            <w:shd w:val="clear" w:color="auto" w:fill="CCEEFF"/>
          </w:tcPr>
          <w:p>
            <w:pPr>
              <w:jc w:val="right"/>
              <w:ind w:right="591"/>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760" w:type="dxa"/>
            <w:vAlign w:val="bottom"/>
            <w:shd w:val="clear" w:color="auto" w:fill="CCEEFF"/>
          </w:tcPr>
          <w:p>
            <w:pPr>
              <w:jc w:val="right"/>
              <w:ind w:right="63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0.94</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2023 - 2024</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Singapore dollar forward contracts (receive Singapore$/pay US$)</w:t>
            </w:r>
          </w:p>
        </w:tc>
        <w:tc>
          <w:tcPr>
            <w:tcW w:w="7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15</w:t>
            </w:r>
          </w:p>
        </w:tc>
        <w:tc>
          <w:tcPr>
            <w:tcW w:w="76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496</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1.37</w:t>
            </w:r>
          </w:p>
        </w:tc>
        <w:tc>
          <w:tcPr>
            <w:tcW w:w="10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Japanese yen forward contracts (receive Japanese yen/pay US$)</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127.22</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2023 - 2024</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Interest rate swaps</w:t>
            </w:r>
          </w:p>
        </w:tc>
        <w:tc>
          <w:tcPr>
            <w:tcW w:w="7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89"/>
              </w:rPr>
              <w:t>42</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795</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0.382% - 1.731%</w:t>
            </w:r>
          </w:p>
        </w:tc>
        <w:tc>
          <w:tcPr>
            <w:tcW w:w="780" w:type="dxa"/>
            <w:vAlign w:val="bottom"/>
          </w:tcPr>
          <w:p>
            <w:pPr>
              <w:jc w:val="right"/>
              <w:spacing w:after="0"/>
              <w:rPr>
                <w:sz w:val="20"/>
                <w:szCs w:val="20"/>
                <w:color w:val="auto"/>
              </w:rPr>
            </w:pPr>
            <w:r>
              <w:rPr>
                <w:rFonts w:ascii="Arial" w:cs="Arial" w:eastAsia="Arial" w:hAnsi="Arial"/>
                <w:sz w:val="10"/>
                <w:szCs w:val="10"/>
                <w:color w:val="auto"/>
              </w:rPr>
              <w:t>2023 - 2026</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Cross currency swaps (receive euros/pay US$)</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535</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0.89</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3.834% - 4.182%</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2024 - 2026</w:t>
            </w:r>
          </w:p>
        </w:tc>
        <w:tc>
          <w:tcPr>
            <w:tcW w:w="0" w:type="dxa"/>
            <w:vAlign w:val="bottom"/>
          </w:tcPr>
          <w:p>
            <w:pPr>
              <w:spacing w:after="0"/>
              <w:rPr>
                <w:sz w:val="1"/>
                <w:szCs w:val="1"/>
                <w:color w:val="auto"/>
              </w:rPr>
            </w:pPr>
          </w:p>
        </w:tc>
      </w:tr>
      <w:tr>
        <w:trPr>
          <w:trHeight w:val="131"/>
        </w:trPr>
        <w:tc>
          <w:tcPr>
            <w:tcW w:w="3800" w:type="dxa"/>
            <w:vAlign w:val="bottom"/>
          </w:tcPr>
          <w:p>
            <w:pPr>
              <w:ind w:left="20"/>
              <w:spacing w:after="0"/>
              <w:rPr>
                <w:sz w:val="20"/>
                <w:szCs w:val="20"/>
                <w:color w:val="auto"/>
              </w:rPr>
            </w:pPr>
            <w:r>
              <w:rPr>
                <w:rFonts w:ascii="Arial" w:cs="Arial" w:eastAsia="Arial" w:hAnsi="Arial"/>
                <w:sz w:val="10"/>
                <w:szCs w:val="10"/>
                <w:color w:val="auto"/>
              </w:rPr>
              <w:t>Cross currency swaps (receive Singapore $/pay US$)</w:t>
            </w:r>
          </w:p>
        </w:tc>
        <w:tc>
          <w:tcPr>
            <w:tcW w:w="7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89"/>
              </w:rPr>
              <w:t>51</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796</w:t>
            </w:r>
          </w:p>
        </w:tc>
        <w:tc>
          <w:tcPr>
            <w:tcW w:w="1060" w:type="dxa"/>
            <w:vAlign w:val="bottom"/>
          </w:tcPr>
          <w:p>
            <w:pPr>
              <w:jc w:val="right"/>
              <w:ind w:right="151"/>
              <w:spacing w:after="0"/>
              <w:rPr>
                <w:sz w:val="20"/>
                <w:szCs w:val="20"/>
                <w:color w:val="auto"/>
              </w:rPr>
            </w:pPr>
            <w:r>
              <w:rPr>
                <w:rFonts w:ascii="Arial" w:cs="Arial" w:eastAsia="Arial" w:hAnsi="Arial"/>
                <w:sz w:val="10"/>
                <w:szCs w:val="10"/>
                <w:color w:val="auto"/>
              </w:rPr>
              <w:t>1.37</w:t>
            </w:r>
          </w:p>
        </w:tc>
        <w:tc>
          <w:tcPr>
            <w:tcW w:w="1080" w:type="dxa"/>
            <w:vAlign w:val="bottom"/>
          </w:tcPr>
          <w:p>
            <w:pPr>
              <w:jc w:val="right"/>
              <w:ind w:right="91"/>
              <w:spacing w:after="0"/>
              <w:rPr>
                <w:sz w:val="20"/>
                <w:szCs w:val="20"/>
                <w:color w:val="auto"/>
              </w:rPr>
            </w:pPr>
            <w:r>
              <w:rPr>
                <w:rFonts w:ascii="Arial" w:cs="Arial" w:eastAsia="Arial" w:hAnsi="Arial"/>
                <w:sz w:val="10"/>
                <w:szCs w:val="10"/>
                <w:color w:val="auto"/>
              </w:rPr>
              <w:t>1.830% - 1.941%</w:t>
            </w:r>
          </w:p>
        </w:tc>
        <w:tc>
          <w:tcPr>
            <w:tcW w:w="780" w:type="dxa"/>
            <w:vAlign w:val="bottom"/>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Commodity hedge</w:t>
            </w:r>
          </w:p>
        </w:tc>
        <w:tc>
          <w:tcPr>
            <w:tcW w:w="7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512.56</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21"/>
        </w:trPr>
        <w:tc>
          <w:tcPr>
            <w:tcW w:w="380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72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w:t>
            </w:r>
          </w:p>
        </w:tc>
        <w:tc>
          <w:tcPr>
            <w:tcW w:w="760" w:type="dxa"/>
            <w:vAlign w:val="bottom"/>
            <w:tcBorders>
              <w:bottom w:val="single" w:sz="8" w:color="auto"/>
            </w:tcBorders>
          </w:tcPr>
          <w:p>
            <w:pPr>
              <w:jc w:val="right"/>
              <w:ind w:right="63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98</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4,108</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fair values and locations of these derivative instruments recorded in the consolidated statements of financial position: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Fair Value of Derivative Instruments</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20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b w:val="1"/>
                <w:bCs w:val="1"/>
                <w:color w:val="auto"/>
                <w:w w:val="96"/>
              </w:rPr>
              <w:t>Assets Derivatives</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Borders>
              <w:bottom w:val="single" w:sz="8" w:color="auto"/>
            </w:tcBorders>
            <w:gridSpan w:val="4"/>
          </w:tcPr>
          <w:p>
            <w:pPr>
              <w:ind w:left="980"/>
              <w:spacing w:after="0"/>
              <w:rPr>
                <w:sz w:val="20"/>
                <w:szCs w:val="20"/>
                <w:color w:val="auto"/>
              </w:rPr>
            </w:pPr>
            <w:r>
              <w:rPr>
                <w:rFonts w:ascii="Arial" w:cs="Arial" w:eastAsia="Arial" w:hAnsi="Arial"/>
                <w:sz w:val="13"/>
                <w:szCs w:val="13"/>
                <w:b w:val="1"/>
                <w:bCs w:val="1"/>
                <w:color w:val="auto"/>
              </w:rPr>
              <w:t>Liabilities Derivatives</w:t>
            </w:r>
          </w:p>
        </w:tc>
        <w:tc>
          <w:tcPr>
            <w:tcW w:w="0" w:type="dxa"/>
            <w:vAlign w:val="bottom"/>
          </w:tcPr>
          <w:p>
            <w:pPr>
              <w:spacing w:after="0"/>
              <w:rPr>
                <w:sz w:val="1"/>
                <w:szCs w:val="1"/>
                <w:color w:val="auto"/>
              </w:rPr>
            </w:pPr>
          </w:p>
        </w:tc>
      </w:tr>
      <w:tr>
        <w:trPr>
          <w:trHeight w:val="118"/>
        </w:trPr>
        <w:tc>
          <w:tcPr>
            <w:tcW w:w="4720" w:type="dxa"/>
            <w:vAlign w:val="bottom"/>
          </w:tcPr>
          <w:p>
            <w:pPr>
              <w:spacing w:after="0"/>
              <w:rPr>
                <w:sz w:val="10"/>
                <w:szCs w:val="10"/>
                <w:color w:val="auto"/>
              </w:rPr>
            </w:pPr>
          </w:p>
        </w:tc>
        <w:tc>
          <w:tcPr>
            <w:tcW w:w="2200" w:type="dxa"/>
            <w:vAlign w:val="bottom"/>
            <w:gridSpan w:val="3"/>
          </w:tcPr>
          <w:p>
            <w:pPr>
              <w:jc w:val="center"/>
              <w:ind w:right="336"/>
              <w:spacing w:after="0" w:line="118" w:lineRule="exact"/>
              <w:rPr>
                <w:sz w:val="20"/>
                <w:szCs w:val="20"/>
                <w:color w:val="auto"/>
              </w:rPr>
            </w:pPr>
            <w:r>
              <w:rPr>
                <w:rFonts w:ascii="Arial" w:cs="Arial" w:eastAsia="Arial" w:hAnsi="Arial"/>
                <w:sz w:val="13"/>
                <w:szCs w:val="13"/>
                <w:b w:val="1"/>
                <w:bCs w:val="1"/>
                <w:color w:val="auto"/>
                <w:w w:val="96"/>
              </w:rPr>
              <w:t>Statement of</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tcPr>
          <w:p>
            <w:pPr>
              <w:jc w:val="center"/>
              <w:ind w:right="80"/>
              <w:spacing w:after="0" w:line="118" w:lineRule="exact"/>
              <w:rPr>
                <w:sz w:val="20"/>
                <w:szCs w:val="20"/>
                <w:color w:val="auto"/>
              </w:rPr>
            </w:pPr>
            <w:r>
              <w:rPr>
                <w:rFonts w:ascii="Arial" w:cs="Arial" w:eastAsia="Arial" w:hAnsi="Arial"/>
                <w:sz w:val="13"/>
                <w:szCs w:val="13"/>
                <w:b w:val="1"/>
                <w:bCs w:val="1"/>
                <w:color w:val="auto"/>
                <w:w w:val="96"/>
              </w:rPr>
              <w:t>Statement of</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2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200" w:type="dxa"/>
            <w:vAlign w:val="bottom"/>
            <w:gridSpan w:val="3"/>
          </w:tcPr>
          <w:p>
            <w:pPr>
              <w:jc w:val="center"/>
              <w:ind w:right="336"/>
              <w:spacing w:after="0" w:line="128" w:lineRule="exact"/>
              <w:rPr>
                <w:sz w:val="20"/>
                <w:szCs w:val="20"/>
                <w:color w:val="auto"/>
              </w:rPr>
            </w:pPr>
            <w:r>
              <w:rPr>
                <w:rFonts w:ascii="Arial" w:cs="Arial" w:eastAsia="Arial" w:hAnsi="Arial"/>
                <w:sz w:val="13"/>
                <w:szCs w:val="13"/>
                <w:b w:val="1"/>
                <w:bCs w:val="1"/>
                <w:color w:val="auto"/>
                <w:w w:val="97"/>
              </w:rPr>
              <w:t>Financial Position</w:t>
            </w:r>
          </w:p>
        </w:tc>
        <w:tc>
          <w:tcPr>
            <w:tcW w:w="104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188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7"/>
              </w:rPr>
              <w:t>Financial Position</w:t>
            </w:r>
          </w:p>
        </w:tc>
        <w:tc>
          <w:tcPr>
            <w:tcW w:w="240" w:type="dxa"/>
            <w:vAlign w:val="bottom"/>
          </w:tcPr>
          <w:p>
            <w:pPr>
              <w:spacing w:after="0"/>
              <w:rPr>
                <w:sz w:val="11"/>
                <w:szCs w:val="11"/>
                <w:color w:val="auto"/>
              </w:rPr>
            </w:pPr>
          </w:p>
        </w:tc>
        <w:tc>
          <w:tcPr>
            <w:tcW w:w="112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200" w:type="dxa"/>
            <w:vAlign w:val="bottom"/>
            <w:gridSpan w:val="3"/>
          </w:tcPr>
          <w:p>
            <w:pPr>
              <w:jc w:val="center"/>
              <w:ind w:right="336"/>
              <w:spacing w:after="0"/>
              <w:rPr>
                <w:sz w:val="20"/>
                <w:szCs w:val="20"/>
                <w:color w:val="auto"/>
              </w:rPr>
            </w:pPr>
            <w:r>
              <w:rPr>
                <w:rFonts w:ascii="Arial" w:cs="Arial" w:eastAsia="Arial" w:hAnsi="Arial"/>
                <w:sz w:val="13"/>
                <w:szCs w:val="13"/>
                <w:b w:val="1"/>
                <w:bCs w:val="1"/>
                <w:color w:val="auto"/>
                <w:w w:val="95"/>
              </w:rPr>
              <w:t>Location</w:t>
            </w: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Location</w:t>
            </w: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72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As of December 31, 2021:</w:t>
            </w:r>
          </w:p>
        </w:tc>
        <w:tc>
          <w:tcPr>
            <w:tcW w:w="1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rPr>
                <w:sz w:val="20"/>
                <w:szCs w:val="20"/>
                <w:color w:val="auto"/>
              </w:rPr>
            </w:pPr>
            <w:r>
              <w:rPr>
                <w:rFonts w:ascii="Arial" w:cs="Arial" w:eastAsia="Arial" w:hAnsi="Arial"/>
                <w:sz w:val="13"/>
                <w:szCs w:val="13"/>
                <w:color w:val="auto"/>
              </w:rPr>
              <w:t>Derivatives designated as hedging instruments</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 foreign currency forward contracts</w:t>
            </w:r>
          </w:p>
        </w:tc>
        <w:tc>
          <w:tcPr>
            <w:tcW w:w="22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Other current financial assets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Other current financial</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spacing w:after="0"/>
              <w:rPr>
                <w:sz w:val="13"/>
                <w:szCs w:val="13"/>
                <w:color w:val="auto"/>
              </w:rPr>
            </w:pPr>
          </w:p>
        </w:tc>
        <w:tc>
          <w:tcPr>
            <w:tcW w:w="2200" w:type="dxa"/>
            <w:vAlign w:val="bottom"/>
            <w:gridSpan w:val="3"/>
            <w:shd w:val="clear" w:color="auto" w:fill="CCEEFF"/>
          </w:tcPr>
          <w:p>
            <w:pPr>
              <w:ind w:left="19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9"/>
        </w:trPr>
        <w:tc>
          <w:tcPr>
            <w:tcW w:w="4720" w:type="dxa"/>
            <w:vAlign w:val="bottom"/>
          </w:tcPr>
          <w:p>
            <w:pPr>
              <w:ind w:left="20"/>
              <w:spacing w:after="0" w:line="139" w:lineRule="exact"/>
              <w:rPr>
                <w:sz w:val="20"/>
                <w:szCs w:val="20"/>
                <w:color w:val="auto"/>
              </w:rPr>
            </w:pPr>
            <w:r>
              <w:rPr>
                <w:rFonts w:ascii="Arial" w:cs="Arial" w:eastAsia="Arial" w:hAnsi="Arial"/>
                <w:sz w:val="13"/>
                <w:szCs w:val="13"/>
                <w:color w:val="auto"/>
              </w:rPr>
              <w:t>- interest rate swaps</w:t>
            </w:r>
          </w:p>
        </w:tc>
        <w:tc>
          <w:tcPr>
            <w:tcW w:w="220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Other non-current financial</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Other non-current financial</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2200" w:type="dxa"/>
            <w:vAlign w:val="bottom"/>
            <w:gridSpan w:val="3"/>
          </w:tcPr>
          <w:p>
            <w:pPr>
              <w:ind w:left="20"/>
              <w:spacing w:after="0"/>
              <w:rPr>
                <w:sz w:val="20"/>
                <w:szCs w:val="20"/>
                <w:color w:val="auto"/>
              </w:rPr>
            </w:pPr>
            <w:r>
              <w:rPr>
                <w:rFonts w:ascii="Arial" w:cs="Arial" w:eastAsia="Arial" w:hAnsi="Arial"/>
                <w:sz w:val="13"/>
                <w:szCs w:val="13"/>
                <w:color w:val="auto"/>
              </w:rPr>
              <w:t>assets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 cross currency swaps</w:t>
            </w:r>
          </w:p>
        </w:tc>
        <w:tc>
          <w:tcPr>
            <w:tcW w:w="22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Other non-current financial</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Other non-current financial</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spacing w:after="0"/>
              <w:rPr>
                <w:sz w:val="13"/>
                <w:szCs w:val="13"/>
                <w:color w:val="auto"/>
              </w:rPr>
            </w:pPr>
          </w:p>
        </w:tc>
        <w:tc>
          <w:tcPr>
            <w:tcW w:w="2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9"/>
        </w:trPr>
        <w:tc>
          <w:tcPr>
            <w:tcW w:w="4720" w:type="dxa"/>
            <w:vAlign w:val="bottom"/>
          </w:tcPr>
          <w:p>
            <w:pPr>
              <w:ind w:left="20"/>
              <w:spacing w:after="0" w:line="139" w:lineRule="exact"/>
              <w:rPr>
                <w:sz w:val="20"/>
                <w:szCs w:val="20"/>
                <w:color w:val="auto"/>
              </w:rPr>
            </w:pPr>
            <w:r>
              <w:rPr>
                <w:rFonts w:ascii="Arial" w:cs="Arial" w:eastAsia="Arial" w:hAnsi="Arial"/>
                <w:sz w:val="13"/>
                <w:szCs w:val="13"/>
                <w:color w:val="auto"/>
              </w:rPr>
              <w:t>- commodity hedge</w:t>
            </w:r>
          </w:p>
        </w:tc>
        <w:tc>
          <w:tcPr>
            <w:tcW w:w="220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Other current financial assets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Other current financial</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1880" w:type="dxa"/>
            <w:vAlign w:val="bottom"/>
            <w:gridSpan w:val="2"/>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Other non-current financial</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Other non-current financial</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spacing w:after="0"/>
              <w:rPr>
                <w:sz w:val="13"/>
                <w:szCs w:val="13"/>
                <w:color w:val="auto"/>
              </w:rPr>
            </w:pPr>
          </w:p>
        </w:tc>
        <w:tc>
          <w:tcPr>
            <w:tcW w:w="2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rPr>
                <w:sz w:val="20"/>
                <w:szCs w:val="20"/>
                <w:color w:val="auto"/>
              </w:rPr>
            </w:pPr>
            <w:r>
              <w:rPr>
                <w:rFonts w:ascii="Arial" w:cs="Arial" w:eastAsia="Arial" w:hAnsi="Arial"/>
                <w:sz w:val="13"/>
                <w:szCs w:val="13"/>
                <w:color w:val="auto"/>
              </w:rPr>
              <w:t>Derivatives not designated as hedging instruments</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 foreign currency forward contracts</w:t>
            </w:r>
          </w:p>
        </w:tc>
        <w:tc>
          <w:tcPr>
            <w:tcW w:w="22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Other current financial assets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Other current financial</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derivatives</w:t>
            </w:r>
          </w:p>
        </w:tc>
        <w:tc>
          <w:tcPr>
            <w:tcW w:w="18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w:t>
            </w:r>
          </w:p>
        </w:tc>
        <w:tc>
          <w:tcPr>
            <w:tcW w:w="8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w:t>
            </w:r>
          </w:p>
        </w:tc>
        <w:tc>
          <w:tcPr>
            <w:tcW w:w="0" w:type="dxa"/>
            <w:vAlign w:val="bottom"/>
          </w:tcPr>
          <w:p>
            <w:pPr>
              <w:spacing w:after="0"/>
              <w:rPr>
                <w:sz w:val="1"/>
                <w:szCs w:val="1"/>
                <w:color w:val="auto"/>
              </w:rPr>
            </w:pPr>
          </w:p>
        </w:tc>
      </w:tr>
      <w:tr>
        <w:trPr>
          <w:trHeight w:val="150"/>
        </w:trPr>
        <w:tc>
          <w:tcPr>
            <w:tcW w:w="47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As of December 31, 2022:</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rPr>
                <w:sz w:val="20"/>
                <w:szCs w:val="20"/>
                <w:color w:val="auto"/>
              </w:rPr>
            </w:pPr>
            <w:r>
              <w:rPr>
                <w:rFonts w:ascii="Arial" w:cs="Arial" w:eastAsia="Arial" w:hAnsi="Arial"/>
                <w:sz w:val="13"/>
                <w:szCs w:val="13"/>
                <w:color w:val="auto"/>
              </w:rPr>
              <w:t>Derivatives designated as hedging instruments</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 foreign currency forward contracts</w:t>
            </w:r>
          </w:p>
        </w:tc>
        <w:tc>
          <w:tcPr>
            <w:tcW w:w="22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Other current financial assets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Other current financial</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spacing w:after="0"/>
              <w:rPr>
                <w:sz w:val="13"/>
                <w:szCs w:val="13"/>
                <w:color w:val="auto"/>
              </w:rPr>
            </w:pPr>
          </w:p>
        </w:tc>
        <w:tc>
          <w:tcPr>
            <w:tcW w:w="2200" w:type="dxa"/>
            <w:vAlign w:val="bottom"/>
            <w:gridSpan w:val="3"/>
            <w:shd w:val="clear" w:color="auto" w:fill="CCEEFF"/>
          </w:tcPr>
          <w:p>
            <w:pPr>
              <w:ind w:left="19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220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Other non-current financial</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2200" w:type="dxa"/>
            <w:vAlign w:val="bottom"/>
            <w:gridSpan w:val="3"/>
          </w:tcPr>
          <w:p>
            <w:pPr>
              <w:ind w:left="20"/>
              <w:spacing w:after="0"/>
              <w:rPr>
                <w:sz w:val="20"/>
                <w:szCs w:val="20"/>
                <w:color w:val="auto"/>
              </w:rPr>
            </w:pPr>
            <w:r>
              <w:rPr>
                <w:rFonts w:ascii="Arial" w:cs="Arial" w:eastAsia="Arial" w:hAnsi="Arial"/>
                <w:sz w:val="13"/>
                <w:szCs w:val="13"/>
                <w:color w:val="auto"/>
              </w:rPr>
              <w:t>assets</w:t>
            </w:r>
          </w:p>
        </w:tc>
        <w:tc>
          <w:tcPr>
            <w:tcW w:w="10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 interest rate swaps</w:t>
            </w:r>
          </w:p>
        </w:tc>
        <w:tc>
          <w:tcPr>
            <w:tcW w:w="22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Other non-current financial</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Other non-current financial</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spacing w:after="0"/>
              <w:rPr>
                <w:sz w:val="13"/>
                <w:szCs w:val="13"/>
                <w:color w:val="auto"/>
              </w:rPr>
            </w:pPr>
          </w:p>
        </w:tc>
        <w:tc>
          <w:tcPr>
            <w:tcW w:w="2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4720" w:type="dxa"/>
            <w:vAlign w:val="bottom"/>
          </w:tcPr>
          <w:p>
            <w:pPr>
              <w:ind w:left="20"/>
              <w:spacing w:after="0" w:line="139" w:lineRule="exact"/>
              <w:rPr>
                <w:sz w:val="20"/>
                <w:szCs w:val="20"/>
                <w:color w:val="auto"/>
              </w:rPr>
            </w:pPr>
            <w:r>
              <w:rPr>
                <w:rFonts w:ascii="Arial" w:cs="Arial" w:eastAsia="Arial" w:hAnsi="Arial"/>
                <w:sz w:val="13"/>
                <w:szCs w:val="13"/>
                <w:color w:val="auto"/>
              </w:rPr>
              <w:t>- cross currency swaps</w:t>
            </w:r>
          </w:p>
        </w:tc>
        <w:tc>
          <w:tcPr>
            <w:tcW w:w="220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Other non-current financial</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Other non-current financial</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2200" w:type="dxa"/>
            <w:vAlign w:val="bottom"/>
            <w:gridSpan w:val="3"/>
          </w:tcPr>
          <w:p>
            <w:pPr>
              <w:ind w:left="20"/>
              <w:spacing w:after="0"/>
              <w:rPr>
                <w:sz w:val="20"/>
                <w:szCs w:val="20"/>
                <w:color w:val="auto"/>
              </w:rPr>
            </w:pPr>
            <w:r>
              <w:rPr>
                <w:rFonts w:ascii="Arial" w:cs="Arial" w:eastAsia="Arial" w:hAnsi="Arial"/>
                <w:sz w:val="13"/>
                <w:szCs w:val="13"/>
                <w:color w:val="auto"/>
              </w:rPr>
              <w:t>assets</w:t>
            </w:r>
          </w:p>
        </w:tc>
        <w:tc>
          <w:tcPr>
            <w:tcW w:w="104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3"/>
                <w:szCs w:val="13"/>
                <w:color w:val="auto"/>
              </w:rPr>
            </w:pPr>
          </w:p>
        </w:tc>
        <w:tc>
          <w:tcPr>
            <w:tcW w:w="1880" w:type="dxa"/>
            <w:vAlign w:val="bottom"/>
            <w:gridSpan w:val="2"/>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 commodity hedge</w:t>
            </w:r>
          </w:p>
        </w:tc>
        <w:tc>
          <w:tcPr>
            <w:tcW w:w="22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Other current financial assets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Other current financial</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220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Other non-current financial</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Other non-current financial</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2200" w:type="dxa"/>
            <w:vAlign w:val="bottom"/>
            <w:gridSpan w:val="3"/>
          </w:tcPr>
          <w:p>
            <w:pPr>
              <w:ind w:left="20"/>
              <w:spacing w:after="0"/>
              <w:rPr>
                <w:sz w:val="20"/>
                <w:szCs w:val="20"/>
                <w:color w:val="auto"/>
              </w:rPr>
            </w:pPr>
            <w:r>
              <w:rPr>
                <w:rFonts w:ascii="Arial" w:cs="Arial" w:eastAsia="Arial" w:hAnsi="Arial"/>
                <w:sz w:val="13"/>
                <w:szCs w:val="13"/>
                <w:color w:val="auto"/>
              </w:rPr>
              <w:t>assets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80" w:type="dxa"/>
            <w:vAlign w:val="bottom"/>
            <w:gridSpan w:val="2"/>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Derivatives not designated as hedging instruments</w:t>
            </w: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720" w:type="dxa"/>
            <w:vAlign w:val="bottom"/>
          </w:tcPr>
          <w:p>
            <w:pPr>
              <w:ind w:left="20"/>
              <w:spacing w:after="0" w:line="139" w:lineRule="exact"/>
              <w:rPr>
                <w:sz w:val="20"/>
                <w:szCs w:val="20"/>
                <w:color w:val="auto"/>
              </w:rPr>
            </w:pPr>
            <w:r>
              <w:rPr>
                <w:rFonts w:ascii="Arial" w:cs="Arial" w:eastAsia="Arial" w:hAnsi="Arial"/>
                <w:sz w:val="13"/>
                <w:szCs w:val="13"/>
                <w:color w:val="auto"/>
              </w:rPr>
              <w:t>- foreign currency forward contracts</w:t>
            </w:r>
          </w:p>
        </w:tc>
        <w:tc>
          <w:tcPr>
            <w:tcW w:w="220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Other current financial assets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Other current financial</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2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3"/>
                <w:szCs w:val="13"/>
                <w:color w:val="auto"/>
              </w:rPr>
            </w:pPr>
          </w:p>
        </w:tc>
        <w:tc>
          <w:tcPr>
            <w:tcW w:w="18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liabilities</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derivatives</w:t>
            </w: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177</w:t>
            </w:r>
          </w:p>
        </w:tc>
        <w:tc>
          <w:tcPr>
            <w:tcW w:w="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w:t>
            </w:r>
          </w:p>
        </w:tc>
        <w:tc>
          <w:tcPr>
            <w:tcW w:w="0" w:type="dxa"/>
            <w:vAlign w:val="bottom"/>
          </w:tcPr>
          <w:p>
            <w:pPr>
              <w:spacing w:after="0"/>
              <w:rPr>
                <w:sz w:val="1"/>
                <w:szCs w:val="1"/>
                <w:color w:val="auto"/>
              </w:rPr>
            </w:pPr>
          </w:p>
        </w:tc>
      </w:tr>
      <w:tr>
        <w:trPr>
          <w:trHeight w:val="708"/>
        </w:trPr>
        <w:tc>
          <w:tcPr>
            <w:tcW w:w="4720" w:type="dxa"/>
            <w:vAlign w:val="bottom"/>
          </w:tcPr>
          <w:p>
            <w:pPr>
              <w:spacing w:after="0"/>
              <w:rPr>
                <w:sz w:val="24"/>
                <w:szCs w:val="24"/>
                <w:color w:val="auto"/>
              </w:rPr>
            </w:pPr>
          </w:p>
        </w:tc>
        <w:tc>
          <w:tcPr>
            <w:tcW w:w="2200" w:type="dxa"/>
            <w:vAlign w:val="bottom"/>
            <w:gridSpan w:val="3"/>
          </w:tcPr>
          <w:p>
            <w:pPr>
              <w:ind w:left="800"/>
              <w:spacing w:after="0"/>
              <w:rPr>
                <w:sz w:val="20"/>
                <w:szCs w:val="20"/>
                <w:color w:val="auto"/>
              </w:rPr>
            </w:pPr>
            <w:r>
              <w:rPr>
                <w:rFonts w:ascii="Arial" w:cs="Arial" w:eastAsia="Arial" w:hAnsi="Arial"/>
                <w:sz w:val="13"/>
                <w:szCs w:val="13"/>
                <w:color w:val="auto"/>
              </w:rPr>
              <w:t>F-31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72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effect of derivatives designated as hedging instruments on the consolidated statements of operations and comprehensive income (loss) (net of tax):</w:t>
      </w:r>
    </w:p>
    <w:p>
      <w:pPr>
        <w:spacing w:after="0" w:line="84"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As of December 31, 2022, the estimated amount of loss from cash flow hedges currently retained in consolidated statements of comprehensive income (loss) expected to be reclassified into consolidated statements of operations within the next 12 months is approximately $17 million.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980" w:type="dxa"/>
            <w:vAlign w:val="bottom"/>
            <w:vMerge w:val="restart"/>
          </w:tcPr>
          <w:p>
            <w:pPr>
              <w:jc w:val="center"/>
              <w:ind w:left="231"/>
              <w:spacing w:after="0"/>
              <w:rPr>
                <w:sz w:val="20"/>
                <w:szCs w:val="20"/>
                <w:color w:val="auto"/>
              </w:rPr>
            </w:pPr>
            <w:r>
              <w:rPr>
                <w:rFonts w:ascii="Arial" w:cs="Arial" w:eastAsia="Arial" w:hAnsi="Arial"/>
                <w:sz w:val="10"/>
                <w:szCs w:val="10"/>
                <w:b w:val="1"/>
                <w:bCs w:val="1"/>
                <w:color w:val="auto"/>
                <w:w w:val="99"/>
              </w:rPr>
              <w:t>Amount of</w:t>
            </w:r>
          </w:p>
        </w:tc>
        <w:tc>
          <w:tcPr>
            <w:tcW w:w="260" w:type="dxa"/>
            <w:vAlign w:val="bottom"/>
          </w:tcPr>
          <w:p>
            <w:pPr>
              <w:spacing w:after="0"/>
              <w:rPr>
                <w:sz w:val="10"/>
                <w:szCs w:val="10"/>
                <w:color w:val="auto"/>
              </w:rPr>
            </w:pPr>
          </w:p>
        </w:tc>
        <w:tc>
          <w:tcPr>
            <w:tcW w:w="1020" w:type="dxa"/>
            <w:vAlign w:val="bottom"/>
            <w:vMerge w:val="restart"/>
          </w:tcPr>
          <w:p>
            <w:pPr>
              <w:jc w:val="center"/>
              <w:ind w:left="191"/>
              <w:spacing w:after="0"/>
              <w:rPr>
                <w:sz w:val="20"/>
                <w:szCs w:val="20"/>
                <w:color w:val="auto"/>
              </w:rPr>
            </w:pPr>
            <w:r>
              <w:rPr>
                <w:rFonts w:ascii="Arial" w:cs="Arial" w:eastAsia="Arial" w:hAnsi="Arial"/>
                <w:sz w:val="10"/>
                <w:szCs w:val="10"/>
                <w:b w:val="1"/>
                <w:bCs w:val="1"/>
                <w:color w:val="auto"/>
                <w:w w:val="99"/>
              </w:rPr>
              <w:t>Amount of</w:t>
            </w: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31"/>
              <w:spacing w:after="0"/>
              <w:rPr>
                <w:sz w:val="20"/>
                <w:szCs w:val="20"/>
                <w:color w:val="auto"/>
              </w:rPr>
            </w:pPr>
            <w:r>
              <w:rPr>
                <w:rFonts w:ascii="Arial" w:cs="Arial" w:eastAsia="Arial" w:hAnsi="Arial"/>
                <w:sz w:val="10"/>
                <w:szCs w:val="10"/>
                <w:b w:val="1"/>
                <w:bCs w:val="1"/>
                <w:color w:val="auto"/>
                <w:w w:val="97"/>
              </w:rPr>
              <w:t>Amounts of</w:t>
            </w: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31"/>
              <w:spacing w:after="0" w:line="102" w:lineRule="exact"/>
              <w:rPr>
                <w:sz w:val="20"/>
                <w:szCs w:val="20"/>
                <w:color w:val="auto"/>
              </w:rPr>
            </w:pPr>
            <w:r>
              <w:rPr>
                <w:rFonts w:ascii="Arial" w:cs="Arial" w:eastAsia="Arial" w:hAnsi="Arial"/>
                <w:sz w:val="10"/>
                <w:szCs w:val="10"/>
                <w:b w:val="1"/>
                <w:bCs w:val="1"/>
                <w:color w:val="auto"/>
                <w:w w:val="93"/>
              </w:rPr>
              <w:t>Gains</w:t>
            </w: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restart"/>
          </w:tcPr>
          <w:p>
            <w:pPr>
              <w:jc w:val="center"/>
              <w:ind w:right="171"/>
              <w:spacing w:after="0"/>
              <w:rPr>
                <w:sz w:val="20"/>
                <w:szCs w:val="20"/>
                <w:color w:val="auto"/>
              </w:rPr>
            </w:pPr>
            <w:r>
              <w:rPr>
                <w:rFonts w:ascii="Arial" w:cs="Arial" w:eastAsia="Arial" w:hAnsi="Arial"/>
                <w:sz w:val="10"/>
                <w:szCs w:val="10"/>
                <w:b w:val="1"/>
                <w:bCs w:val="1"/>
                <w:color w:val="auto"/>
                <w:w w:val="99"/>
              </w:rPr>
              <w:t>Amount of</w:t>
            </w: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980" w:type="dxa"/>
            <w:vAlign w:val="bottom"/>
          </w:tcPr>
          <w:p>
            <w:pPr>
              <w:jc w:val="center"/>
              <w:ind w:left="211"/>
              <w:spacing w:after="0" w:line="96" w:lineRule="exact"/>
              <w:rPr>
                <w:sz w:val="20"/>
                <w:szCs w:val="20"/>
                <w:color w:val="auto"/>
              </w:rPr>
            </w:pPr>
            <w:r>
              <w:rPr>
                <w:rFonts w:ascii="Arial" w:cs="Arial" w:eastAsia="Arial" w:hAnsi="Arial"/>
                <w:sz w:val="10"/>
                <w:szCs w:val="10"/>
                <w:b w:val="1"/>
                <w:bCs w:val="1"/>
                <w:color w:val="auto"/>
              </w:rPr>
              <w:t>Gains</w:t>
            </w:r>
          </w:p>
        </w:tc>
        <w:tc>
          <w:tcPr>
            <w:tcW w:w="260" w:type="dxa"/>
            <w:vAlign w:val="bottom"/>
          </w:tcPr>
          <w:p>
            <w:pPr>
              <w:spacing w:after="0"/>
              <w:rPr>
                <w:sz w:val="8"/>
                <w:szCs w:val="8"/>
                <w:color w:val="auto"/>
              </w:rPr>
            </w:pPr>
          </w:p>
        </w:tc>
        <w:tc>
          <w:tcPr>
            <w:tcW w:w="1020" w:type="dxa"/>
            <w:vAlign w:val="bottom"/>
          </w:tcPr>
          <w:p>
            <w:pPr>
              <w:jc w:val="center"/>
              <w:ind w:left="191"/>
              <w:spacing w:after="0" w:line="96" w:lineRule="exact"/>
              <w:rPr>
                <w:sz w:val="20"/>
                <w:szCs w:val="20"/>
                <w:color w:val="auto"/>
              </w:rPr>
            </w:pPr>
            <w:r>
              <w:rPr>
                <w:rFonts w:ascii="Arial" w:cs="Arial" w:eastAsia="Arial" w:hAnsi="Arial"/>
                <w:sz w:val="10"/>
                <w:szCs w:val="10"/>
                <w:b w:val="1"/>
                <w:bCs w:val="1"/>
                <w:color w:val="auto"/>
                <w:w w:val="97"/>
              </w:rPr>
              <w:t>Gains (Losses)</w:t>
            </w:r>
          </w:p>
        </w:tc>
        <w:tc>
          <w:tcPr>
            <w:tcW w:w="22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Location of</w:t>
            </w:r>
          </w:p>
        </w:tc>
        <w:tc>
          <w:tcPr>
            <w:tcW w:w="200" w:type="dxa"/>
            <w:vAlign w:val="bottom"/>
          </w:tcPr>
          <w:p>
            <w:pPr>
              <w:spacing w:after="0"/>
              <w:rPr>
                <w:sz w:val="8"/>
                <w:szCs w:val="8"/>
                <w:color w:val="auto"/>
              </w:rPr>
            </w:pPr>
          </w:p>
        </w:tc>
        <w:tc>
          <w:tcPr>
            <w:tcW w:w="1040" w:type="dxa"/>
            <w:vAlign w:val="bottom"/>
          </w:tcPr>
          <w:p>
            <w:pPr>
              <w:jc w:val="center"/>
              <w:ind w:right="131"/>
              <w:spacing w:after="0" w:line="96" w:lineRule="exact"/>
              <w:rPr>
                <w:sz w:val="20"/>
                <w:szCs w:val="20"/>
                <w:color w:val="auto"/>
              </w:rPr>
            </w:pPr>
            <w:r>
              <w:rPr>
                <w:rFonts w:ascii="Arial" w:cs="Arial" w:eastAsia="Arial" w:hAnsi="Arial"/>
                <w:sz w:val="10"/>
                <w:szCs w:val="10"/>
                <w:b w:val="1"/>
                <w:bCs w:val="1"/>
                <w:color w:val="auto"/>
              </w:rPr>
              <w:t>(Losses)</w:t>
            </w: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980" w:type="dxa"/>
            <w:vAlign w:val="bottom"/>
          </w:tcPr>
          <w:p>
            <w:pPr>
              <w:jc w:val="center"/>
              <w:ind w:left="211"/>
              <w:spacing w:after="0" w:line="96" w:lineRule="exact"/>
              <w:rPr>
                <w:sz w:val="20"/>
                <w:szCs w:val="20"/>
                <w:color w:val="auto"/>
              </w:rPr>
            </w:pPr>
            <w:r>
              <w:rPr>
                <w:rFonts w:ascii="Arial" w:cs="Arial" w:eastAsia="Arial" w:hAnsi="Arial"/>
                <w:sz w:val="10"/>
                <w:szCs w:val="10"/>
                <w:b w:val="1"/>
                <w:bCs w:val="1"/>
                <w:color w:val="auto"/>
                <w:w w:val="97"/>
              </w:rPr>
              <w:t>(Losses)</w:t>
            </w:r>
          </w:p>
        </w:tc>
        <w:tc>
          <w:tcPr>
            <w:tcW w:w="260" w:type="dxa"/>
            <w:vAlign w:val="bottom"/>
          </w:tcPr>
          <w:p>
            <w:pPr>
              <w:spacing w:after="0"/>
              <w:rPr>
                <w:sz w:val="8"/>
                <w:szCs w:val="8"/>
                <w:color w:val="auto"/>
              </w:rPr>
            </w:pPr>
          </w:p>
        </w:tc>
        <w:tc>
          <w:tcPr>
            <w:tcW w:w="1020" w:type="dxa"/>
            <w:vAlign w:val="bottom"/>
          </w:tcPr>
          <w:p>
            <w:pPr>
              <w:jc w:val="center"/>
              <w:ind w:left="191"/>
              <w:spacing w:after="0" w:line="96" w:lineRule="exact"/>
              <w:rPr>
                <w:sz w:val="20"/>
                <w:szCs w:val="20"/>
                <w:color w:val="auto"/>
              </w:rPr>
            </w:pPr>
            <w:r>
              <w:rPr>
                <w:rFonts w:ascii="Arial" w:cs="Arial" w:eastAsia="Arial" w:hAnsi="Arial"/>
                <w:sz w:val="10"/>
                <w:szCs w:val="10"/>
                <w:b w:val="1"/>
                <w:bCs w:val="1"/>
                <w:color w:val="auto"/>
                <w:w w:val="99"/>
              </w:rPr>
              <w:t>Reclassified</w:t>
            </w:r>
          </w:p>
        </w:tc>
        <w:tc>
          <w:tcPr>
            <w:tcW w:w="2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31"/>
              <w:spacing w:after="0" w:line="96" w:lineRule="exact"/>
              <w:rPr>
                <w:sz w:val="20"/>
                <w:szCs w:val="20"/>
                <w:color w:val="auto"/>
              </w:rPr>
            </w:pPr>
            <w:r>
              <w:rPr>
                <w:rFonts w:ascii="Arial" w:cs="Arial" w:eastAsia="Arial" w:hAnsi="Arial"/>
                <w:sz w:val="10"/>
                <w:szCs w:val="10"/>
                <w:b w:val="1"/>
                <w:bCs w:val="1"/>
                <w:color w:val="auto"/>
                <w:w w:val="99"/>
              </w:rPr>
              <w:t>Reclassified</w:t>
            </w: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jc w:val="center"/>
              <w:ind w:right="171"/>
              <w:spacing w:after="0" w:line="96" w:lineRule="exact"/>
              <w:rPr>
                <w:sz w:val="20"/>
                <w:szCs w:val="20"/>
                <w:color w:val="auto"/>
              </w:rPr>
            </w:pPr>
            <w:r>
              <w:rPr>
                <w:rFonts w:ascii="Arial" w:cs="Arial" w:eastAsia="Arial" w:hAnsi="Arial"/>
                <w:sz w:val="10"/>
                <w:szCs w:val="10"/>
                <w:b w:val="1"/>
                <w:bCs w:val="1"/>
                <w:color w:val="auto"/>
                <w:w w:val="98"/>
              </w:rPr>
              <w:t>Gain</w:t>
            </w:r>
          </w:p>
        </w:tc>
        <w:tc>
          <w:tcPr>
            <w:tcW w:w="0" w:type="dxa"/>
            <w:vAlign w:val="bottom"/>
          </w:tcPr>
          <w:p>
            <w:pPr>
              <w:spacing w:after="0"/>
              <w:rPr>
                <w:sz w:val="1"/>
                <w:szCs w:val="1"/>
                <w:color w:val="auto"/>
              </w:rPr>
            </w:pPr>
          </w:p>
        </w:tc>
      </w:tr>
      <w:tr>
        <w:trPr>
          <w:trHeight w:val="106"/>
        </w:trPr>
        <w:tc>
          <w:tcPr>
            <w:tcW w:w="38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980" w:type="dxa"/>
            <w:vAlign w:val="bottom"/>
          </w:tcPr>
          <w:p>
            <w:pPr>
              <w:jc w:val="center"/>
              <w:ind w:left="211"/>
              <w:spacing w:after="0" w:line="106" w:lineRule="exact"/>
              <w:rPr>
                <w:sz w:val="20"/>
                <w:szCs w:val="20"/>
                <w:color w:val="auto"/>
              </w:rPr>
            </w:pPr>
            <w:r>
              <w:rPr>
                <w:rFonts w:ascii="Arial" w:cs="Arial" w:eastAsia="Arial" w:hAnsi="Arial"/>
                <w:sz w:val="10"/>
                <w:szCs w:val="10"/>
                <w:b w:val="1"/>
                <w:bCs w:val="1"/>
                <w:color w:val="auto"/>
              </w:rPr>
              <w:t>Recognized in</w:t>
            </w:r>
          </w:p>
        </w:tc>
        <w:tc>
          <w:tcPr>
            <w:tcW w:w="260" w:type="dxa"/>
            <w:vAlign w:val="bottom"/>
          </w:tcPr>
          <w:p>
            <w:pPr>
              <w:spacing w:after="0"/>
              <w:rPr>
                <w:sz w:val="9"/>
                <w:szCs w:val="9"/>
                <w:color w:val="auto"/>
              </w:rPr>
            </w:pPr>
          </w:p>
        </w:tc>
        <w:tc>
          <w:tcPr>
            <w:tcW w:w="1020" w:type="dxa"/>
            <w:vAlign w:val="bottom"/>
          </w:tcPr>
          <w:p>
            <w:pPr>
              <w:jc w:val="center"/>
              <w:ind w:left="191"/>
              <w:spacing w:after="0" w:line="106" w:lineRule="exact"/>
              <w:rPr>
                <w:sz w:val="20"/>
                <w:szCs w:val="20"/>
                <w:color w:val="auto"/>
              </w:rPr>
            </w:pPr>
            <w:r>
              <w:rPr>
                <w:rFonts w:ascii="Arial" w:cs="Arial" w:eastAsia="Arial" w:hAnsi="Arial"/>
                <w:sz w:val="10"/>
                <w:szCs w:val="10"/>
                <w:b w:val="1"/>
                <w:bCs w:val="1"/>
                <w:color w:val="auto"/>
                <w:w w:val="98"/>
              </w:rPr>
              <w:t>from</w:t>
            </w:r>
          </w:p>
        </w:tc>
        <w:tc>
          <w:tcPr>
            <w:tcW w:w="220" w:type="dxa"/>
            <w:vAlign w:val="bottom"/>
          </w:tcPr>
          <w:p>
            <w:pPr>
              <w:spacing w:after="0"/>
              <w:rPr>
                <w:sz w:val="9"/>
                <w:szCs w:val="9"/>
                <w:color w:val="auto"/>
              </w:rPr>
            </w:pPr>
          </w:p>
        </w:tc>
        <w:tc>
          <w:tcPr>
            <w:tcW w:w="124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7"/>
              </w:rPr>
              <w:t>Gains (Losses)</w:t>
            </w:r>
          </w:p>
        </w:tc>
        <w:tc>
          <w:tcPr>
            <w:tcW w:w="200" w:type="dxa"/>
            <w:vAlign w:val="bottom"/>
          </w:tcPr>
          <w:p>
            <w:pPr>
              <w:spacing w:after="0"/>
              <w:rPr>
                <w:sz w:val="9"/>
                <w:szCs w:val="9"/>
                <w:color w:val="auto"/>
              </w:rPr>
            </w:pPr>
          </w:p>
        </w:tc>
        <w:tc>
          <w:tcPr>
            <w:tcW w:w="1040" w:type="dxa"/>
            <w:vAlign w:val="bottom"/>
          </w:tcPr>
          <w:p>
            <w:pPr>
              <w:jc w:val="center"/>
              <w:ind w:right="131"/>
              <w:spacing w:after="0" w:line="106" w:lineRule="exact"/>
              <w:rPr>
                <w:sz w:val="20"/>
                <w:szCs w:val="20"/>
                <w:color w:val="auto"/>
              </w:rPr>
            </w:pPr>
            <w:r>
              <w:rPr>
                <w:rFonts w:ascii="Arial" w:cs="Arial" w:eastAsia="Arial" w:hAnsi="Arial"/>
                <w:sz w:val="10"/>
                <w:szCs w:val="10"/>
                <w:b w:val="1"/>
                <w:bCs w:val="1"/>
                <w:color w:val="auto"/>
                <w:w w:val="98"/>
              </w:rPr>
              <w:t>from</w:t>
            </w: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jc w:val="center"/>
              <w:ind w:right="171"/>
              <w:spacing w:after="0" w:line="106" w:lineRule="exact"/>
              <w:rPr>
                <w:sz w:val="20"/>
                <w:szCs w:val="20"/>
                <w:color w:val="auto"/>
              </w:rPr>
            </w:pPr>
            <w:r>
              <w:rPr>
                <w:rFonts w:ascii="Arial" w:cs="Arial" w:eastAsia="Arial" w:hAnsi="Arial"/>
                <w:sz w:val="10"/>
                <w:szCs w:val="10"/>
                <w:b w:val="1"/>
                <w:bCs w:val="1"/>
                <w:color w:val="auto"/>
              </w:rPr>
              <w:t>(Losses)</w:t>
            </w:r>
          </w:p>
        </w:tc>
        <w:tc>
          <w:tcPr>
            <w:tcW w:w="0" w:type="dxa"/>
            <w:vAlign w:val="bottom"/>
          </w:tcPr>
          <w:p>
            <w:pPr>
              <w:spacing w:after="0"/>
              <w:rPr>
                <w:sz w:val="1"/>
                <w:szCs w:val="1"/>
                <w:color w:val="auto"/>
              </w:rPr>
            </w:pPr>
          </w:p>
        </w:tc>
      </w:tr>
      <w:tr>
        <w:trPr>
          <w:trHeight w:val="70"/>
        </w:trPr>
        <w:tc>
          <w:tcPr>
            <w:tcW w:w="3800" w:type="dxa"/>
            <w:vAlign w:val="bottom"/>
            <w:vMerge w:val="continue"/>
          </w:tcPr>
          <w:p>
            <w:pPr>
              <w:spacing w:after="0"/>
              <w:rPr>
                <w:sz w:val="6"/>
                <w:szCs w:val="6"/>
                <w:color w:val="auto"/>
              </w:rPr>
            </w:pPr>
          </w:p>
        </w:tc>
        <w:tc>
          <w:tcPr>
            <w:tcW w:w="980" w:type="dxa"/>
            <w:vAlign w:val="bottom"/>
            <w:vMerge w:val="restart"/>
          </w:tcPr>
          <w:p>
            <w:pPr>
              <w:jc w:val="center"/>
              <w:ind w:left="231"/>
              <w:spacing w:after="0" w:line="96" w:lineRule="exact"/>
              <w:rPr>
                <w:sz w:val="20"/>
                <w:szCs w:val="20"/>
                <w:color w:val="auto"/>
              </w:rPr>
            </w:pPr>
            <w:r>
              <w:rPr>
                <w:rFonts w:ascii="Arial" w:cs="Arial" w:eastAsia="Arial" w:hAnsi="Arial"/>
                <w:sz w:val="10"/>
                <w:szCs w:val="10"/>
                <w:b w:val="1"/>
                <w:bCs w:val="1"/>
                <w:color w:val="auto"/>
                <w:w w:val="98"/>
              </w:rPr>
              <w:t>Accumulated</w:t>
            </w:r>
          </w:p>
        </w:tc>
        <w:tc>
          <w:tcPr>
            <w:tcW w:w="260" w:type="dxa"/>
            <w:vAlign w:val="bottom"/>
          </w:tcPr>
          <w:p>
            <w:pPr>
              <w:spacing w:after="0"/>
              <w:rPr>
                <w:sz w:val="6"/>
                <w:szCs w:val="6"/>
                <w:color w:val="auto"/>
              </w:rPr>
            </w:pPr>
          </w:p>
        </w:tc>
        <w:tc>
          <w:tcPr>
            <w:tcW w:w="1020" w:type="dxa"/>
            <w:vAlign w:val="bottom"/>
            <w:vMerge w:val="restart"/>
          </w:tcPr>
          <w:p>
            <w:pPr>
              <w:jc w:val="center"/>
              <w:ind w:left="191"/>
              <w:spacing w:after="0" w:line="96" w:lineRule="exact"/>
              <w:rPr>
                <w:sz w:val="20"/>
                <w:szCs w:val="20"/>
                <w:color w:val="auto"/>
              </w:rPr>
            </w:pPr>
            <w:r>
              <w:rPr>
                <w:rFonts w:ascii="Arial" w:cs="Arial" w:eastAsia="Arial" w:hAnsi="Arial"/>
                <w:sz w:val="10"/>
                <w:szCs w:val="10"/>
                <w:b w:val="1"/>
                <w:bCs w:val="1"/>
                <w:color w:val="auto"/>
                <w:w w:val="98"/>
              </w:rPr>
              <w:t>Accumulated</w:t>
            </w:r>
          </w:p>
        </w:tc>
        <w:tc>
          <w:tcPr>
            <w:tcW w:w="220" w:type="dxa"/>
            <w:vAlign w:val="bottom"/>
          </w:tcPr>
          <w:p>
            <w:pPr>
              <w:spacing w:after="0"/>
              <w:rPr>
                <w:sz w:val="6"/>
                <w:szCs w:val="6"/>
                <w:color w:val="auto"/>
              </w:rPr>
            </w:pPr>
          </w:p>
        </w:tc>
        <w:tc>
          <w:tcPr>
            <w:tcW w:w="1240" w:type="dxa"/>
            <w:vAlign w:val="bottom"/>
            <w:vMerge w:val="restart"/>
          </w:tcPr>
          <w:p>
            <w:pPr>
              <w:jc w:val="center"/>
              <w:spacing w:after="0" w:line="96" w:lineRule="exact"/>
              <w:rPr>
                <w:sz w:val="20"/>
                <w:szCs w:val="20"/>
                <w:color w:val="auto"/>
              </w:rPr>
            </w:pPr>
            <w:r>
              <w:rPr>
                <w:rFonts w:ascii="Arial" w:cs="Arial" w:eastAsia="Arial" w:hAnsi="Arial"/>
                <w:sz w:val="10"/>
                <w:szCs w:val="10"/>
                <w:b w:val="1"/>
                <w:bCs w:val="1"/>
                <w:color w:val="auto"/>
                <w:w w:val="98"/>
              </w:rPr>
              <w:t>Reclassified from</w:t>
            </w:r>
          </w:p>
        </w:tc>
        <w:tc>
          <w:tcPr>
            <w:tcW w:w="200" w:type="dxa"/>
            <w:vAlign w:val="bottom"/>
          </w:tcPr>
          <w:p>
            <w:pPr>
              <w:spacing w:after="0"/>
              <w:rPr>
                <w:sz w:val="6"/>
                <w:szCs w:val="6"/>
                <w:color w:val="auto"/>
              </w:rPr>
            </w:pPr>
          </w:p>
        </w:tc>
        <w:tc>
          <w:tcPr>
            <w:tcW w:w="1040" w:type="dxa"/>
            <w:vAlign w:val="bottom"/>
            <w:vMerge w:val="restart"/>
          </w:tcPr>
          <w:p>
            <w:pPr>
              <w:jc w:val="center"/>
              <w:ind w:right="131"/>
              <w:spacing w:after="0" w:line="96" w:lineRule="exact"/>
              <w:rPr>
                <w:sz w:val="20"/>
                <w:szCs w:val="20"/>
                <w:color w:val="auto"/>
              </w:rPr>
            </w:pPr>
            <w:r>
              <w:rPr>
                <w:rFonts w:ascii="Arial" w:cs="Arial" w:eastAsia="Arial" w:hAnsi="Arial"/>
                <w:sz w:val="10"/>
                <w:szCs w:val="10"/>
                <w:b w:val="1"/>
                <w:bCs w:val="1"/>
                <w:color w:val="auto"/>
                <w:w w:val="98"/>
              </w:rPr>
              <w:t>Accumulated</w:t>
            </w:r>
          </w:p>
        </w:tc>
        <w:tc>
          <w:tcPr>
            <w:tcW w:w="1260" w:type="dxa"/>
            <w:vAlign w:val="bottom"/>
            <w:vMerge w:val="restart"/>
          </w:tcPr>
          <w:p>
            <w:pPr>
              <w:jc w:val="center"/>
              <w:spacing w:after="0" w:line="96" w:lineRule="exact"/>
              <w:rPr>
                <w:sz w:val="20"/>
                <w:szCs w:val="20"/>
                <w:color w:val="auto"/>
              </w:rPr>
            </w:pPr>
            <w:r>
              <w:rPr>
                <w:rFonts w:ascii="Arial" w:cs="Arial" w:eastAsia="Arial" w:hAnsi="Arial"/>
                <w:sz w:val="10"/>
                <w:szCs w:val="10"/>
                <w:b w:val="1"/>
                <w:bCs w:val="1"/>
                <w:color w:val="auto"/>
                <w:w w:val="99"/>
              </w:rPr>
              <w:t>Location of Gains</w:t>
            </w:r>
          </w:p>
        </w:tc>
        <w:tc>
          <w:tcPr>
            <w:tcW w:w="220" w:type="dxa"/>
            <w:vAlign w:val="bottom"/>
          </w:tcPr>
          <w:p>
            <w:pPr>
              <w:spacing w:after="0"/>
              <w:rPr>
                <w:sz w:val="6"/>
                <w:szCs w:val="6"/>
                <w:color w:val="auto"/>
              </w:rPr>
            </w:pPr>
          </w:p>
        </w:tc>
        <w:tc>
          <w:tcPr>
            <w:tcW w:w="1040" w:type="dxa"/>
            <w:vAlign w:val="bottom"/>
            <w:vMerge w:val="restart"/>
          </w:tcPr>
          <w:p>
            <w:pPr>
              <w:jc w:val="center"/>
              <w:ind w:right="171"/>
              <w:spacing w:after="0" w:line="96" w:lineRule="exact"/>
              <w:rPr>
                <w:sz w:val="20"/>
                <w:szCs w:val="20"/>
                <w:color w:val="auto"/>
              </w:rPr>
            </w:pPr>
            <w:r>
              <w:rPr>
                <w:rFonts w:ascii="Arial" w:cs="Arial" w:eastAsia="Arial" w:hAnsi="Arial"/>
                <w:sz w:val="10"/>
                <w:szCs w:val="10"/>
                <w:b w:val="1"/>
                <w:bCs w:val="1"/>
                <w:color w:val="auto"/>
                <w:w w:val="96"/>
              </w:rPr>
              <w:t>Recognized</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800" w:type="dxa"/>
            <w:vAlign w:val="bottom"/>
          </w:tcPr>
          <w:p>
            <w:pPr>
              <w:spacing w:after="0"/>
              <w:rPr>
                <w:sz w:val="8"/>
                <w:szCs w:val="8"/>
                <w:color w:val="auto"/>
              </w:rPr>
            </w:pPr>
          </w:p>
        </w:tc>
        <w:tc>
          <w:tcPr>
            <w:tcW w:w="980" w:type="dxa"/>
            <w:vAlign w:val="bottom"/>
          </w:tcPr>
          <w:p>
            <w:pPr>
              <w:jc w:val="center"/>
              <w:ind w:left="231"/>
              <w:spacing w:after="0" w:line="96" w:lineRule="exact"/>
              <w:rPr>
                <w:sz w:val="20"/>
                <w:szCs w:val="20"/>
                <w:color w:val="auto"/>
              </w:rPr>
            </w:pPr>
            <w:r>
              <w:rPr>
                <w:rFonts w:ascii="Arial" w:cs="Arial" w:eastAsia="Arial" w:hAnsi="Arial"/>
                <w:sz w:val="10"/>
                <w:szCs w:val="10"/>
                <w:b w:val="1"/>
                <w:bCs w:val="1"/>
                <w:color w:val="auto"/>
              </w:rPr>
              <w:t>OCI</w:t>
            </w:r>
          </w:p>
        </w:tc>
        <w:tc>
          <w:tcPr>
            <w:tcW w:w="260" w:type="dxa"/>
            <w:vAlign w:val="bottom"/>
          </w:tcPr>
          <w:p>
            <w:pPr>
              <w:spacing w:after="0"/>
              <w:rPr>
                <w:sz w:val="8"/>
                <w:szCs w:val="8"/>
                <w:color w:val="auto"/>
              </w:rPr>
            </w:pPr>
          </w:p>
        </w:tc>
        <w:tc>
          <w:tcPr>
            <w:tcW w:w="1020" w:type="dxa"/>
            <w:vAlign w:val="bottom"/>
          </w:tcPr>
          <w:p>
            <w:pPr>
              <w:jc w:val="center"/>
              <w:ind w:left="171"/>
              <w:spacing w:after="0" w:line="96" w:lineRule="exact"/>
              <w:rPr>
                <w:sz w:val="20"/>
                <w:szCs w:val="20"/>
                <w:color w:val="auto"/>
              </w:rPr>
            </w:pPr>
            <w:r>
              <w:rPr>
                <w:rFonts w:ascii="Arial" w:cs="Arial" w:eastAsia="Arial" w:hAnsi="Arial"/>
                <w:sz w:val="10"/>
                <w:szCs w:val="10"/>
                <w:b w:val="1"/>
                <w:bCs w:val="1"/>
                <w:color w:val="auto"/>
                <w:w w:val="97"/>
              </w:rPr>
              <w:t>OCI to cost of</w:t>
            </w:r>
          </w:p>
        </w:tc>
        <w:tc>
          <w:tcPr>
            <w:tcW w:w="220" w:type="dxa"/>
            <w:vAlign w:val="bottom"/>
          </w:tcPr>
          <w:p>
            <w:pPr>
              <w:spacing w:after="0"/>
              <w:rPr>
                <w:sz w:val="8"/>
                <w:szCs w:val="8"/>
                <w:color w:val="auto"/>
              </w:rPr>
            </w:pPr>
          </w:p>
        </w:tc>
        <w:tc>
          <w:tcPr>
            <w:tcW w:w="12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8"/>
              </w:rPr>
              <w:t>Accumulated</w:t>
            </w:r>
          </w:p>
        </w:tc>
        <w:tc>
          <w:tcPr>
            <w:tcW w:w="200" w:type="dxa"/>
            <w:vAlign w:val="bottom"/>
          </w:tcPr>
          <w:p>
            <w:pPr>
              <w:spacing w:after="0"/>
              <w:rPr>
                <w:sz w:val="8"/>
                <w:szCs w:val="8"/>
                <w:color w:val="auto"/>
              </w:rPr>
            </w:pPr>
          </w:p>
        </w:tc>
        <w:tc>
          <w:tcPr>
            <w:tcW w:w="1040" w:type="dxa"/>
            <w:vAlign w:val="bottom"/>
          </w:tcPr>
          <w:p>
            <w:pPr>
              <w:jc w:val="center"/>
              <w:ind w:right="131"/>
              <w:spacing w:after="0" w:line="96" w:lineRule="exact"/>
              <w:rPr>
                <w:sz w:val="20"/>
                <w:szCs w:val="20"/>
                <w:color w:val="auto"/>
              </w:rPr>
            </w:pPr>
            <w:r>
              <w:rPr>
                <w:rFonts w:ascii="Arial" w:cs="Arial" w:eastAsia="Arial" w:hAnsi="Arial"/>
                <w:sz w:val="10"/>
                <w:szCs w:val="10"/>
                <w:b w:val="1"/>
                <w:bCs w:val="1"/>
                <w:color w:val="auto"/>
                <w:w w:val="97"/>
              </w:rPr>
              <w:t>OCI into</w:t>
            </w:r>
          </w:p>
        </w:tc>
        <w:tc>
          <w:tcPr>
            <w:tcW w:w="12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7"/>
              </w:rPr>
              <w:t>(Losses)</w:t>
            </w:r>
          </w:p>
        </w:tc>
        <w:tc>
          <w:tcPr>
            <w:tcW w:w="220" w:type="dxa"/>
            <w:vAlign w:val="bottom"/>
          </w:tcPr>
          <w:p>
            <w:pPr>
              <w:spacing w:after="0"/>
              <w:rPr>
                <w:sz w:val="8"/>
                <w:szCs w:val="8"/>
                <w:color w:val="auto"/>
              </w:rPr>
            </w:pPr>
          </w:p>
        </w:tc>
        <w:tc>
          <w:tcPr>
            <w:tcW w:w="1040" w:type="dxa"/>
            <w:vAlign w:val="bottom"/>
          </w:tcPr>
          <w:p>
            <w:pPr>
              <w:jc w:val="center"/>
              <w:ind w:right="171"/>
              <w:spacing w:after="0" w:line="96" w:lineRule="exact"/>
              <w:rPr>
                <w:sz w:val="20"/>
                <w:szCs w:val="20"/>
                <w:color w:val="auto"/>
              </w:rPr>
            </w:pPr>
            <w:r>
              <w:rPr>
                <w:rFonts w:ascii="Arial" w:cs="Arial" w:eastAsia="Arial" w:hAnsi="Arial"/>
                <w:sz w:val="10"/>
                <w:szCs w:val="10"/>
                <w:b w:val="1"/>
                <w:bCs w:val="1"/>
                <w:color w:val="auto"/>
                <w:w w:val="97"/>
              </w:rPr>
              <w:t>into</w:t>
            </w: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980" w:type="dxa"/>
            <w:vAlign w:val="bottom"/>
          </w:tcPr>
          <w:p>
            <w:pPr>
              <w:jc w:val="center"/>
              <w:ind w:left="211"/>
              <w:spacing w:after="0" w:line="96" w:lineRule="exact"/>
              <w:rPr>
                <w:sz w:val="20"/>
                <w:szCs w:val="20"/>
                <w:color w:val="auto"/>
              </w:rPr>
            </w:pPr>
            <w:r>
              <w:rPr>
                <w:rFonts w:ascii="Arial" w:cs="Arial" w:eastAsia="Arial" w:hAnsi="Arial"/>
                <w:sz w:val="10"/>
                <w:szCs w:val="10"/>
                <w:b w:val="1"/>
                <w:bCs w:val="1"/>
                <w:color w:val="auto"/>
                <w:w w:val="99"/>
              </w:rPr>
              <w:t>on Derivatives</w:t>
            </w:r>
          </w:p>
        </w:tc>
        <w:tc>
          <w:tcPr>
            <w:tcW w:w="260" w:type="dxa"/>
            <w:vAlign w:val="bottom"/>
          </w:tcPr>
          <w:p>
            <w:pPr>
              <w:spacing w:after="0"/>
              <w:rPr>
                <w:sz w:val="8"/>
                <w:szCs w:val="8"/>
                <w:color w:val="auto"/>
              </w:rPr>
            </w:pPr>
          </w:p>
        </w:tc>
        <w:tc>
          <w:tcPr>
            <w:tcW w:w="1020" w:type="dxa"/>
            <w:vAlign w:val="bottom"/>
          </w:tcPr>
          <w:p>
            <w:pPr>
              <w:jc w:val="center"/>
              <w:ind w:left="191"/>
              <w:spacing w:after="0" w:line="96" w:lineRule="exact"/>
              <w:rPr>
                <w:sz w:val="20"/>
                <w:szCs w:val="20"/>
                <w:color w:val="auto"/>
              </w:rPr>
            </w:pPr>
            <w:r>
              <w:rPr>
                <w:rFonts w:ascii="Arial" w:cs="Arial" w:eastAsia="Arial" w:hAnsi="Arial"/>
                <w:sz w:val="10"/>
                <w:szCs w:val="10"/>
                <w:b w:val="1"/>
                <w:bCs w:val="1"/>
                <w:color w:val="auto"/>
                <w:w w:val="95"/>
              </w:rPr>
              <w:t>Property,</w:t>
            </w:r>
          </w:p>
        </w:tc>
        <w:tc>
          <w:tcPr>
            <w:tcW w:w="220" w:type="dxa"/>
            <w:vAlign w:val="bottom"/>
          </w:tcPr>
          <w:p>
            <w:pPr>
              <w:spacing w:after="0"/>
              <w:rPr>
                <w:sz w:val="8"/>
                <w:szCs w:val="8"/>
                <w:color w:val="auto"/>
              </w:rPr>
            </w:pPr>
          </w:p>
        </w:tc>
        <w:tc>
          <w:tcPr>
            <w:tcW w:w="12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9"/>
              </w:rPr>
              <w:t>OCI into Income</w:t>
            </w:r>
          </w:p>
        </w:tc>
        <w:tc>
          <w:tcPr>
            <w:tcW w:w="200" w:type="dxa"/>
            <w:vAlign w:val="bottom"/>
          </w:tcPr>
          <w:p>
            <w:pPr>
              <w:spacing w:after="0"/>
              <w:rPr>
                <w:sz w:val="8"/>
                <w:szCs w:val="8"/>
                <w:color w:val="auto"/>
              </w:rPr>
            </w:pPr>
          </w:p>
        </w:tc>
        <w:tc>
          <w:tcPr>
            <w:tcW w:w="1040" w:type="dxa"/>
            <w:vAlign w:val="bottom"/>
          </w:tcPr>
          <w:p>
            <w:pPr>
              <w:jc w:val="center"/>
              <w:ind w:right="131"/>
              <w:spacing w:after="0" w:line="96" w:lineRule="exact"/>
              <w:rPr>
                <w:sz w:val="20"/>
                <w:szCs w:val="20"/>
                <w:color w:val="auto"/>
              </w:rPr>
            </w:pPr>
            <w:r>
              <w:rPr>
                <w:rFonts w:ascii="Arial" w:cs="Arial" w:eastAsia="Arial" w:hAnsi="Arial"/>
                <w:sz w:val="10"/>
                <w:szCs w:val="10"/>
                <w:b w:val="1"/>
                <w:bCs w:val="1"/>
                <w:color w:val="auto"/>
                <w:w w:val="96"/>
              </w:rPr>
              <w:t>Income</w:t>
            </w:r>
          </w:p>
        </w:tc>
        <w:tc>
          <w:tcPr>
            <w:tcW w:w="1260" w:type="dxa"/>
            <w:vAlign w:val="bottom"/>
          </w:tcPr>
          <w:p>
            <w:pPr>
              <w:jc w:val="center"/>
              <w:spacing w:after="0" w:line="96" w:lineRule="exact"/>
              <w:rPr>
                <w:sz w:val="20"/>
                <w:szCs w:val="20"/>
                <w:color w:val="auto"/>
              </w:rPr>
            </w:pPr>
            <w:r>
              <w:rPr>
                <w:rFonts w:ascii="Arial" w:cs="Arial" w:eastAsia="Arial" w:hAnsi="Arial"/>
                <w:sz w:val="10"/>
                <w:szCs w:val="10"/>
                <w:b w:val="1"/>
                <w:bCs w:val="1"/>
                <w:color w:val="auto"/>
              </w:rPr>
              <w:t>Recognized into</w:t>
            </w:r>
          </w:p>
        </w:tc>
        <w:tc>
          <w:tcPr>
            <w:tcW w:w="220" w:type="dxa"/>
            <w:vAlign w:val="bottom"/>
          </w:tcPr>
          <w:p>
            <w:pPr>
              <w:spacing w:after="0"/>
              <w:rPr>
                <w:sz w:val="8"/>
                <w:szCs w:val="8"/>
                <w:color w:val="auto"/>
              </w:rPr>
            </w:pPr>
          </w:p>
        </w:tc>
        <w:tc>
          <w:tcPr>
            <w:tcW w:w="1040" w:type="dxa"/>
            <w:vAlign w:val="bottom"/>
          </w:tcPr>
          <w:p>
            <w:pPr>
              <w:jc w:val="center"/>
              <w:ind w:right="171"/>
              <w:spacing w:after="0" w:line="96"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06"/>
        </w:trPr>
        <w:tc>
          <w:tcPr>
            <w:tcW w:w="3800" w:type="dxa"/>
            <w:vAlign w:val="bottom"/>
          </w:tcPr>
          <w:p>
            <w:pPr>
              <w:spacing w:after="0"/>
              <w:rPr>
                <w:sz w:val="9"/>
                <w:szCs w:val="9"/>
                <w:color w:val="auto"/>
              </w:rPr>
            </w:pPr>
          </w:p>
        </w:tc>
        <w:tc>
          <w:tcPr>
            <w:tcW w:w="980" w:type="dxa"/>
            <w:vAlign w:val="bottom"/>
          </w:tcPr>
          <w:p>
            <w:pPr>
              <w:jc w:val="center"/>
              <w:ind w:left="211"/>
              <w:spacing w:after="0" w:line="106" w:lineRule="exact"/>
              <w:rPr>
                <w:sz w:val="20"/>
                <w:szCs w:val="20"/>
                <w:color w:val="auto"/>
              </w:rPr>
            </w:pPr>
            <w:r>
              <w:rPr>
                <w:rFonts w:ascii="Arial" w:cs="Arial" w:eastAsia="Arial" w:hAnsi="Arial"/>
                <w:sz w:val="10"/>
                <w:szCs w:val="10"/>
                <w:b w:val="1"/>
                <w:bCs w:val="1"/>
                <w:color w:val="auto"/>
              </w:rPr>
              <w:t>(effective</w:t>
            </w:r>
          </w:p>
        </w:tc>
        <w:tc>
          <w:tcPr>
            <w:tcW w:w="260" w:type="dxa"/>
            <w:vAlign w:val="bottom"/>
          </w:tcPr>
          <w:p>
            <w:pPr>
              <w:spacing w:after="0"/>
              <w:rPr>
                <w:sz w:val="9"/>
                <w:szCs w:val="9"/>
                <w:color w:val="auto"/>
              </w:rPr>
            </w:pPr>
          </w:p>
        </w:tc>
        <w:tc>
          <w:tcPr>
            <w:tcW w:w="1020" w:type="dxa"/>
            <w:vAlign w:val="bottom"/>
          </w:tcPr>
          <w:p>
            <w:pPr>
              <w:jc w:val="center"/>
              <w:ind w:left="171"/>
              <w:spacing w:after="0" w:line="106" w:lineRule="exact"/>
              <w:rPr>
                <w:sz w:val="20"/>
                <w:szCs w:val="20"/>
                <w:color w:val="auto"/>
              </w:rPr>
            </w:pPr>
            <w:r>
              <w:rPr>
                <w:rFonts w:ascii="Arial" w:cs="Arial" w:eastAsia="Arial" w:hAnsi="Arial"/>
                <w:sz w:val="10"/>
                <w:szCs w:val="10"/>
                <w:b w:val="1"/>
                <w:bCs w:val="1"/>
                <w:color w:val="auto"/>
                <w:w w:val="97"/>
              </w:rPr>
              <w:t>Plant and</w:t>
            </w:r>
          </w:p>
        </w:tc>
        <w:tc>
          <w:tcPr>
            <w:tcW w:w="220" w:type="dxa"/>
            <w:vAlign w:val="bottom"/>
          </w:tcPr>
          <w:p>
            <w:pPr>
              <w:spacing w:after="0"/>
              <w:rPr>
                <w:sz w:val="9"/>
                <w:szCs w:val="9"/>
                <w:color w:val="auto"/>
              </w:rPr>
            </w:pPr>
          </w:p>
        </w:tc>
        <w:tc>
          <w:tcPr>
            <w:tcW w:w="124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7"/>
              </w:rPr>
              <w:t>(Effective</w:t>
            </w:r>
          </w:p>
        </w:tc>
        <w:tc>
          <w:tcPr>
            <w:tcW w:w="200" w:type="dxa"/>
            <w:vAlign w:val="bottom"/>
          </w:tcPr>
          <w:p>
            <w:pPr>
              <w:spacing w:after="0"/>
              <w:rPr>
                <w:sz w:val="9"/>
                <w:szCs w:val="9"/>
                <w:color w:val="auto"/>
              </w:rPr>
            </w:pPr>
          </w:p>
        </w:tc>
        <w:tc>
          <w:tcPr>
            <w:tcW w:w="1040" w:type="dxa"/>
            <w:vAlign w:val="bottom"/>
          </w:tcPr>
          <w:p>
            <w:pPr>
              <w:jc w:val="center"/>
              <w:ind w:right="131"/>
              <w:spacing w:after="0" w:line="106" w:lineRule="exact"/>
              <w:rPr>
                <w:sz w:val="20"/>
                <w:szCs w:val="20"/>
                <w:color w:val="auto"/>
              </w:rPr>
            </w:pPr>
            <w:r>
              <w:rPr>
                <w:rFonts w:ascii="Arial" w:cs="Arial" w:eastAsia="Arial" w:hAnsi="Arial"/>
                <w:sz w:val="10"/>
                <w:szCs w:val="10"/>
                <w:b w:val="1"/>
                <w:bCs w:val="1"/>
                <w:color w:val="auto"/>
              </w:rPr>
              <w:t>(Effective</w:t>
            </w:r>
          </w:p>
        </w:tc>
        <w:tc>
          <w:tcPr>
            <w:tcW w:w="126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9"/>
              </w:rPr>
              <w:t>Income (Ineffective</w:t>
            </w:r>
          </w:p>
        </w:tc>
        <w:tc>
          <w:tcPr>
            <w:tcW w:w="220" w:type="dxa"/>
            <w:vAlign w:val="bottom"/>
          </w:tcPr>
          <w:p>
            <w:pPr>
              <w:spacing w:after="0"/>
              <w:rPr>
                <w:sz w:val="9"/>
                <w:szCs w:val="9"/>
                <w:color w:val="auto"/>
              </w:rPr>
            </w:pPr>
          </w:p>
        </w:tc>
        <w:tc>
          <w:tcPr>
            <w:tcW w:w="1040" w:type="dxa"/>
            <w:vAlign w:val="bottom"/>
          </w:tcPr>
          <w:p>
            <w:pPr>
              <w:jc w:val="center"/>
              <w:ind w:right="151"/>
              <w:spacing w:after="0" w:line="106" w:lineRule="exact"/>
              <w:rPr>
                <w:sz w:val="20"/>
                <w:szCs w:val="20"/>
                <w:color w:val="auto"/>
              </w:rPr>
            </w:pPr>
            <w:r>
              <w:rPr>
                <w:rFonts w:ascii="Arial" w:cs="Arial" w:eastAsia="Arial" w:hAnsi="Arial"/>
                <w:sz w:val="10"/>
                <w:szCs w:val="10"/>
                <w:b w:val="1"/>
                <w:bCs w:val="1"/>
                <w:color w:val="auto"/>
                <w:w w:val="98"/>
              </w:rPr>
              <w:t>(Ineffective</w:t>
            </w:r>
          </w:p>
        </w:tc>
        <w:tc>
          <w:tcPr>
            <w:tcW w:w="0" w:type="dxa"/>
            <w:vAlign w:val="bottom"/>
          </w:tcPr>
          <w:p>
            <w:pPr>
              <w:spacing w:after="0"/>
              <w:rPr>
                <w:sz w:val="1"/>
                <w:szCs w:val="1"/>
                <w:color w:val="auto"/>
              </w:rPr>
            </w:pPr>
          </w:p>
        </w:tc>
      </w:tr>
      <w:tr>
        <w:trPr>
          <w:trHeight w:val="134"/>
        </w:trPr>
        <w:tc>
          <w:tcPr>
            <w:tcW w:w="38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ind w:left="231"/>
              <w:spacing w:after="0"/>
              <w:rPr>
                <w:sz w:val="20"/>
                <w:szCs w:val="20"/>
                <w:color w:val="auto"/>
              </w:rPr>
            </w:pPr>
            <w:r>
              <w:rPr>
                <w:rFonts w:ascii="Arial" w:cs="Arial" w:eastAsia="Arial" w:hAnsi="Arial"/>
                <w:sz w:val="10"/>
                <w:szCs w:val="10"/>
                <w:b w:val="1"/>
                <w:bCs w:val="1"/>
                <w:color w:val="auto"/>
                <w:w w:val="99"/>
              </w:rPr>
              <w:t>Portion)</w:t>
            </w: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left="171"/>
              <w:spacing w:after="0"/>
              <w:rPr>
                <w:sz w:val="20"/>
                <w:szCs w:val="20"/>
                <w:color w:val="auto"/>
              </w:rPr>
            </w:pPr>
            <w:r>
              <w:rPr>
                <w:rFonts w:ascii="Arial" w:cs="Arial" w:eastAsia="Arial" w:hAnsi="Arial"/>
                <w:sz w:val="10"/>
                <w:szCs w:val="10"/>
                <w:b w:val="1"/>
                <w:bCs w:val="1"/>
                <w:color w:val="auto"/>
              </w:rPr>
              <w:t>Equipment</w:t>
            </w: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Portion)</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31"/>
              <w:spacing w:after="0"/>
              <w:rPr>
                <w:sz w:val="20"/>
                <w:szCs w:val="20"/>
                <w:color w:val="auto"/>
              </w:rPr>
            </w:pPr>
            <w:r>
              <w:rPr>
                <w:rFonts w:ascii="Arial" w:cs="Arial" w:eastAsia="Arial" w:hAnsi="Arial"/>
                <w:sz w:val="10"/>
                <w:szCs w:val="10"/>
                <w:b w:val="1"/>
                <w:bCs w:val="1"/>
                <w:color w:val="auto"/>
                <w:w w:val="99"/>
              </w:rPr>
              <w:t>Portion)</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Portion)</w:t>
            </w: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71"/>
              <w:spacing w:after="0"/>
              <w:rPr>
                <w:sz w:val="20"/>
                <w:szCs w:val="20"/>
                <w:color w:val="auto"/>
              </w:rPr>
            </w:pPr>
            <w:r>
              <w:rPr>
                <w:rFonts w:ascii="Arial" w:cs="Arial" w:eastAsia="Arial" w:hAnsi="Arial"/>
                <w:sz w:val="10"/>
                <w:szCs w:val="10"/>
                <w:b w:val="1"/>
                <w:bCs w:val="1"/>
                <w:color w:val="auto"/>
                <w:w w:val="99"/>
              </w:rPr>
              <w:t>Portion)</w:t>
            </w:r>
          </w:p>
        </w:tc>
        <w:tc>
          <w:tcPr>
            <w:tcW w:w="0" w:type="dxa"/>
            <w:vAlign w:val="bottom"/>
          </w:tcPr>
          <w:p>
            <w:pPr>
              <w:spacing w:after="0"/>
              <w:rPr>
                <w:sz w:val="1"/>
                <w:szCs w:val="1"/>
                <w:color w:val="auto"/>
              </w:rPr>
            </w:pPr>
          </w:p>
        </w:tc>
      </w:tr>
      <w:tr>
        <w:trPr>
          <w:trHeight w:val="122"/>
        </w:trPr>
        <w:tc>
          <w:tcPr>
            <w:tcW w:w="380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b w:val="1"/>
                <w:bCs w:val="1"/>
                <w:color w:val="auto"/>
              </w:rPr>
              <w:t>Year ended December 31, 2021</w:t>
            </w:r>
          </w:p>
        </w:tc>
        <w:tc>
          <w:tcPr>
            <w:tcW w:w="9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ind w:left="20"/>
              <w:spacing w:after="0" w:line="112" w:lineRule="exact"/>
              <w:rPr>
                <w:sz w:val="20"/>
                <w:szCs w:val="20"/>
                <w:color w:val="auto"/>
              </w:rPr>
            </w:pPr>
            <w:r>
              <w:rPr>
                <w:rFonts w:ascii="Arial" w:cs="Arial" w:eastAsia="Arial" w:hAnsi="Arial"/>
                <w:sz w:val="10"/>
                <w:szCs w:val="10"/>
                <w:color w:val="auto"/>
              </w:rPr>
              <w:t>Cost of revenue and</w:t>
            </w: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ind w:left="20"/>
              <w:spacing w:after="0" w:line="112" w:lineRule="exact"/>
              <w:rPr>
                <w:sz w:val="20"/>
                <w:szCs w:val="20"/>
                <w:color w:val="auto"/>
              </w:rPr>
            </w:pPr>
            <w:r>
              <w:rPr>
                <w:rFonts w:ascii="Arial" w:cs="Arial" w:eastAsia="Arial" w:hAnsi="Arial"/>
                <w:sz w:val="10"/>
                <w:szCs w:val="10"/>
                <w:color w:val="auto"/>
              </w:rPr>
              <w:t>Selling, general and</w:t>
            </w: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800" w:type="dxa"/>
            <w:vAlign w:val="bottom"/>
          </w:tcPr>
          <w:p>
            <w:pPr>
              <w:ind w:left="20"/>
              <w:spacing w:after="0"/>
              <w:rPr>
                <w:sz w:val="20"/>
                <w:szCs w:val="20"/>
                <w:color w:val="auto"/>
              </w:rPr>
            </w:pPr>
            <w:r>
              <w:rPr>
                <w:rFonts w:ascii="Arial" w:cs="Arial" w:eastAsia="Arial" w:hAnsi="Arial"/>
                <w:sz w:val="10"/>
                <w:szCs w:val="10"/>
                <w:color w:val="auto"/>
                <w:w w:val="99"/>
              </w:rPr>
              <w:t>Derivatives designated as hedging instruments— Forward currency forward contracts</w:t>
            </w:r>
          </w:p>
        </w:tc>
        <w:tc>
          <w:tcPr>
            <w:tcW w:w="980" w:type="dxa"/>
            <w:vAlign w:val="bottom"/>
          </w:tcPr>
          <w:p>
            <w:pPr>
              <w:jc w:val="right"/>
              <w:ind w:right="851"/>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(76)</w:t>
            </w:r>
          </w:p>
        </w:tc>
        <w:tc>
          <w:tcPr>
            <w:tcW w:w="1020" w:type="dxa"/>
            <w:vAlign w:val="bottom"/>
          </w:tcPr>
          <w:p>
            <w:pPr>
              <w:jc w:val="right"/>
              <w:ind w:right="891"/>
              <w:spacing w:after="0"/>
              <w:rPr>
                <w:sz w:val="20"/>
                <w:szCs w:val="20"/>
                <w:color w:val="auto"/>
              </w:rPr>
            </w:pPr>
            <w:r>
              <w:rPr>
                <w:rFonts w:ascii="Arial" w:cs="Arial" w:eastAsia="Arial" w:hAnsi="Arial"/>
                <w:sz w:val="10"/>
                <w:szCs w:val="10"/>
                <w:color w:val="auto"/>
              </w:rPr>
              <w:t>$</w:t>
            </w:r>
          </w:p>
        </w:tc>
        <w:tc>
          <w:tcPr>
            <w:tcW w:w="1460" w:type="dxa"/>
            <w:vAlign w:val="bottom"/>
            <w:gridSpan w:val="2"/>
          </w:tcPr>
          <w:p>
            <w:pPr>
              <w:ind w:left="80"/>
              <w:spacing w:after="0"/>
              <w:rPr>
                <w:sz w:val="20"/>
                <w:szCs w:val="20"/>
                <w:color w:val="auto"/>
              </w:rPr>
            </w:pPr>
            <w:r>
              <w:rPr>
                <w:rFonts w:ascii="Arial" w:cs="Arial" w:eastAsia="Arial" w:hAnsi="Arial"/>
                <w:sz w:val="10"/>
                <w:szCs w:val="10"/>
                <w:color w:val="auto"/>
              </w:rPr>
              <w:t>(6) operating expenses</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11</w:t>
            </w:r>
          </w:p>
        </w:tc>
        <w:tc>
          <w:tcPr>
            <w:tcW w:w="1260" w:type="dxa"/>
            <w:vAlign w:val="bottom"/>
          </w:tcPr>
          <w:p>
            <w:pPr>
              <w:ind w:left="20"/>
              <w:spacing w:after="0"/>
              <w:rPr>
                <w:sz w:val="20"/>
                <w:szCs w:val="20"/>
                <w:color w:val="auto"/>
              </w:rPr>
            </w:pPr>
            <w:r>
              <w:rPr>
                <w:rFonts w:ascii="Arial" w:cs="Arial" w:eastAsia="Arial" w:hAnsi="Arial"/>
                <w:sz w:val="10"/>
                <w:szCs w:val="10"/>
                <w:color w:val="auto"/>
              </w:rPr>
              <w:t>administrative expenses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1"/>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19"/>
        </w:trPr>
        <w:tc>
          <w:tcPr>
            <w:tcW w:w="38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Selling, general and</w:t>
            </w: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Derivatives designated as hedging instruments— Interest rate swaps</w:t>
            </w: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Finance expense</w:t>
            </w:r>
          </w:p>
        </w:tc>
        <w:tc>
          <w:tcPr>
            <w:tcW w:w="2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jc w:val="right"/>
              <w:ind w:right="131"/>
              <w:spacing w:after="0"/>
              <w:rPr>
                <w:sz w:val="20"/>
                <w:szCs w:val="20"/>
                <w:color w:val="auto"/>
              </w:rPr>
            </w:pPr>
            <w:r>
              <w:rPr>
                <w:rFonts w:ascii="Arial" w:cs="Arial" w:eastAsia="Arial" w:hAnsi="Arial"/>
                <w:sz w:val="10"/>
                <w:szCs w:val="10"/>
                <w:color w:val="auto"/>
              </w:rPr>
              <w:t>(5) administrative expenses</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3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ind w:left="20"/>
              <w:spacing w:after="0" w:line="112" w:lineRule="exact"/>
              <w:rPr>
                <w:sz w:val="20"/>
                <w:szCs w:val="20"/>
                <w:color w:val="auto"/>
              </w:rPr>
            </w:pPr>
            <w:r>
              <w:rPr>
                <w:rFonts w:ascii="Arial" w:cs="Arial" w:eastAsia="Arial" w:hAnsi="Arial"/>
                <w:sz w:val="10"/>
                <w:szCs w:val="10"/>
                <w:color w:val="auto"/>
              </w:rPr>
              <w:t>Cost of revenue and</w:t>
            </w: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ind w:left="20"/>
              <w:spacing w:after="0" w:line="112" w:lineRule="exact"/>
              <w:rPr>
                <w:sz w:val="20"/>
                <w:szCs w:val="20"/>
                <w:color w:val="auto"/>
              </w:rPr>
            </w:pPr>
            <w:r>
              <w:rPr>
                <w:rFonts w:ascii="Arial" w:cs="Arial" w:eastAsia="Arial" w:hAnsi="Arial"/>
                <w:sz w:val="10"/>
                <w:szCs w:val="10"/>
                <w:color w:val="auto"/>
              </w:rPr>
              <w:t>Selling, general and</w:t>
            </w: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800" w:type="dxa"/>
            <w:vAlign w:val="bottom"/>
          </w:tcPr>
          <w:p>
            <w:pPr>
              <w:ind w:left="20"/>
              <w:spacing w:after="0"/>
              <w:rPr>
                <w:sz w:val="20"/>
                <w:szCs w:val="20"/>
                <w:color w:val="auto"/>
              </w:rPr>
            </w:pPr>
            <w:r>
              <w:rPr>
                <w:rFonts w:ascii="Arial" w:cs="Arial" w:eastAsia="Arial" w:hAnsi="Arial"/>
                <w:sz w:val="10"/>
                <w:szCs w:val="10"/>
                <w:color w:val="auto"/>
              </w:rPr>
              <w:t>Derivatives designated as hedging instruments— Cross currency swaps</w:t>
            </w:r>
          </w:p>
        </w:tc>
        <w:tc>
          <w:tcPr>
            <w:tcW w:w="98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(2)</w:t>
            </w:r>
          </w:p>
        </w:tc>
        <w:tc>
          <w:tcPr>
            <w:tcW w:w="1020" w:type="dxa"/>
            <w:vAlign w:val="bottom"/>
          </w:tcPr>
          <w:p>
            <w:pPr>
              <w:spacing w:after="0"/>
              <w:rPr>
                <w:sz w:val="10"/>
                <w:szCs w:val="10"/>
                <w:color w:val="auto"/>
              </w:rPr>
            </w:pPr>
          </w:p>
        </w:tc>
        <w:tc>
          <w:tcPr>
            <w:tcW w:w="220" w:type="dxa"/>
            <w:vAlign w:val="bottom"/>
          </w:tcPr>
          <w:p>
            <w:pPr>
              <w:ind w:left="80"/>
              <w:spacing w:after="0"/>
              <w:rPr>
                <w:sz w:val="20"/>
                <w:szCs w:val="20"/>
                <w:color w:val="auto"/>
              </w:rPr>
            </w:pPr>
            <w:r>
              <w:rPr>
                <w:rFonts w:ascii="Arial" w:cs="Arial" w:eastAsia="Arial" w:hAnsi="Arial"/>
                <w:sz w:val="10"/>
                <w:szCs w:val="10"/>
                <w:color w:val="auto"/>
              </w:rPr>
              <w:t>—</w:t>
            </w:r>
          </w:p>
        </w:tc>
        <w:tc>
          <w:tcPr>
            <w:tcW w:w="1240" w:type="dxa"/>
            <w:vAlign w:val="bottom"/>
          </w:tcPr>
          <w:p>
            <w:pPr>
              <w:ind w:left="20"/>
              <w:spacing w:after="0"/>
              <w:rPr>
                <w:sz w:val="20"/>
                <w:szCs w:val="20"/>
                <w:color w:val="auto"/>
              </w:rPr>
            </w:pPr>
            <w:r>
              <w:rPr>
                <w:rFonts w:ascii="Arial" w:cs="Arial" w:eastAsia="Arial" w:hAnsi="Arial"/>
                <w:sz w:val="10"/>
                <w:szCs w:val="10"/>
                <w:color w:val="auto"/>
              </w:rPr>
              <w:t>operating expenses</w:t>
            </w:r>
          </w:p>
        </w:tc>
        <w:tc>
          <w:tcPr>
            <w:tcW w:w="200" w:type="dxa"/>
            <w:vAlign w:val="bottom"/>
          </w:tcPr>
          <w:p>
            <w:pPr>
              <w:spacing w:after="0"/>
              <w:rPr>
                <w:sz w:val="10"/>
                <w:szCs w:val="10"/>
                <w:color w:val="auto"/>
              </w:rPr>
            </w:pPr>
          </w:p>
        </w:tc>
        <w:tc>
          <w:tcPr>
            <w:tcW w:w="2300" w:type="dxa"/>
            <w:vAlign w:val="bottom"/>
            <w:gridSpan w:val="2"/>
          </w:tcPr>
          <w:p>
            <w:pPr>
              <w:jc w:val="right"/>
              <w:ind w:right="131"/>
              <w:spacing w:after="0"/>
              <w:rPr>
                <w:sz w:val="20"/>
                <w:szCs w:val="20"/>
                <w:color w:val="auto"/>
              </w:rPr>
            </w:pPr>
            <w:r>
              <w:rPr>
                <w:rFonts w:ascii="Arial" w:cs="Arial" w:eastAsia="Arial" w:hAnsi="Arial"/>
                <w:sz w:val="10"/>
                <w:szCs w:val="10"/>
                <w:color w:val="auto"/>
              </w:rPr>
              <w:t>(10) administrative expenses</w:t>
            </w:r>
          </w:p>
        </w:tc>
        <w:tc>
          <w:tcPr>
            <w:tcW w:w="2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19"/>
        </w:trPr>
        <w:tc>
          <w:tcPr>
            <w:tcW w:w="38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Cost of revenue and</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Selling, general and</w:t>
            </w: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Derivatives designated as hedging instruments – Commodity hedge</w:t>
            </w:r>
          </w:p>
        </w:tc>
        <w:tc>
          <w:tcPr>
            <w:tcW w:w="98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102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operating expenses</w:t>
            </w: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1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administrative expenses</w:t>
            </w:r>
          </w:p>
        </w:tc>
        <w:tc>
          <w:tcPr>
            <w:tcW w:w="2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Year ended December 31, 2022</w:t>
            </w: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ind w:left="20"/>
              <w:spacing w:after="0" w:line="112" w:lineRule="exact"/>
              <w:rPr>
                <w:sz w:val="20"/>
                <w:szCs w:val="20"/>
                <w:color w:val="auto"/>
              </w:rPr>
            </w:pPr>
            <w:r>
              <w:rPr>
                <w:rFonts w:ascii="Arial" w:cs="Arial" w:eastAsia="Arial" w:hAnsi="Arial"/>
                <w:sz w:val="10"/>
                <w:szCs w:val="10"/>
                <w:color w:val="auto"/>
              </w:rPr>
              <w:t>Cost of revenue and</w:t>
            </w: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800" w:type="dxa"/>
            <w:vAlign w:val="bottom"/>
          </w:tcPr>
          <w:p>
            <w:pPr>
              <w:ind w:left="20"/>
              <w:spacing w:after="0"/>
              <w:rPr>
                <w:sz w:val="20"/>
                <w:szCs w:val="20"/>
                <w:color w:val="auto"/>
              </w:rPr>
            </w:pPr>
            <w:r>
              <w:rPr>
                <w:rFonts w:ascii="Arial" w:cs="Arial" w:eastAsia="Arial" w:hAnsi="Arial"/>
                <w:sz w:val="10"/>
                <w:szCs w:val="10"/>
                <w:color w:val="auto"/>
                <w:w w:val="99"/>
              </w:rPr>
              <w:t>Derivatives designated as hedging instruments— Forward currency forward contracts</w:t>
            </w:r>
          </w:p>
        </w:tc>
        <w:tc>
          <w:tcPr>
            <w:tcW w:w="980" w:type="dxa"/>
            <w:vAlign w:val="bottom"/>
          </w:tcPr>
          <w:p>
            <w:pPr>
              <w:jc w:val="right"/>
              <w:ind w:right="851"/>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w w:val="94"/>
              </w:rPr>
              <w:t>(105)</w:t>
            </w:r>
          </w:p>
        </w:tc>
        <w:tc>
          <w:tcPr>
            <w:tcW w:w="1020" w:type="dxa"/>
            <w:vAlign w:val="bottom"/>
          </w:tcPr>
          <w:p>
            <w:pPr>
              <w:jc w:val="right"/>
              <w:ind w:right="891"/>
              <w:spacing w:after="0"/>
              <w:rPr>
                <w:sz w:val="20"/>
                <w:szCs w:val="20"/>
                <w:color w:val="auto"/>
              </w:rPr>
            </w:pPr>
            <w:r>
              <w:rPr>
                <w:rFonts w:ascii="Arial" w:cs="Arial" w:eastAsia="Arial" w:hAnsi="Arial"/>
                <w:sz w:val="10"/>
                <w:szCs w:val="10"/>
                <w:color w:val="auto"/>
              </w:rPr>
              <w:t>$</w:t>
            </w:r>
          </w:p>
        </w:tc>
        <w:tc>
          <w:tcPr>
            <w:tcW w:w="1460" w:type="dxa"/>
            <w:vAlign w:val="bottom"/>
            <w:gridSpan w:val="2"/>
          </w:tcPr>
          <w:p>
            <w:pPr>
              <w:ind w:left="20"/>
              <w:spacing w:after="0"/>
              <w:rPr>
                <w:sz w:val="20"/>
                <w:szCs w:val="20"/>
                <w:color w:val="auto"/>
              </w:rPr>
            </w:pPr>
            <w:r>
              <w:rPr>
                <w:rFonts w:ascii="Arial" w:cs="Arial" w:eastAsia="Arial" w:hAnsi="Arial"/>
                <w:sz w:val="10"/>
                <w:szCs w:val="10"/>
                <w:color w:val="auto"/>
              </w:rPr>
              <w:t>(93) operating expenses</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(76)</w:t>
            </w:r>
          </w:p>
        </w:tc>
        <w:tc>
          <w:tcPr>
            <w:tcW w:w="1260" w:type="dxa"/>
            <w:vAlign w:val="bottom"/>
          </w:tcPr>
          <w:p>
            <w:pPr>
              <w:ind w:left="20"/>
              <w:spacing w:after="0"/>
              <w:rPr>
                <w:sz w:val="20"/>
                <w:szCs w:val="20"/>
                <w:color w:val="auto"/>
              </w:rPr>
            </w:pPr>
            <w:r>
              <w:rPr>
                <w:rFonts w:ascii="Arial" w:cs="Arial" w:eastAsia="Arial" w:hAnsi="Arial"/>
                <w:sz w:val="10"/>
                <w:szCs w:val="10"/>
                <w:color w:val="auto"/>
              </w:rPr>
              <w:t>Other income (expense)</w:t>
            </w:r>
          </w:p>
        </w:tc>
        <w:tc>
          <w:tcPr>
            <w:tcW w:w="2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Derivatives designated as hedging instruments— Interest rate swaps</w:t>
            </w: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Finance expense</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income (expense)</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3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ind w:left="20"/>
              <w:spacing w:after="0" w:line="112" w:lineRule="exact"/>
              <w:rPr>
                <w:sz w:val="20"/>
                <w:szCs w:val="20"/>
                <w:color w:val="auto"/>
              </w:rPr>
            </w:pPr>
            <w:r>
              <w:rPr>
                <w:rFonts w:ascii="Arial" w:cs="Arial" w:eastAsia="Arial" w:hAnsi="Arial"/>
                <w:sz w:val="10"/>
                <w:szCs w:val="10"/>
                <w:color w:val="auto"/>
              </w:rPr>
              <w:t>Cost of revenue and</w:t>
            </w: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800" w:type="dxa"/>
            <w:vAlign w:val="bottom"/>
          </w:tcPr>
          <w:p>
            <w:pPr>
              <w:ind w:left="20"/>
              <w:spacing w:after="0"/>
              <w:rPr>
                <w:sz w:val="20"/>
                <w:szCs w:val="20"/>
                <w:color w:val="auto"/>
              </w:rPr>
            </w:pPr>
            <w:r>
              <w:rPr>
                <w:rFonts w:ascii="Arial" w:cs="Arial" w:eastAsia="Arial" w:hAnsi="Arial"/>
                <w:sz w:val="10"/>
                <w:szCs w:val="10"/>
                <w:color w:val="auto"/>
              </w:rPr>
              <w:t>Derivatives designated as hedging instruments— Cross currency swaps</w:t>
            </w:r>
          </w:p>
        </w:tc>
        <w:tc>
          <w:tcPr>
            <w:tcW w:w="98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72</w:t>
            </w:r>
          </w:p>
        </w:tc>
        <w:tc>
          <w:tcPr>
            <w:tcW w:w="1020" w:type="dxa"/>
            <w:vAlign w:val="bottom"/>
          </w:tcPr>
          <w:p>
            <w:pPr>
              <w:spacing w:after="0"/>
              <w:rPr>
                <w:sz w:val="10"/>
                <w:szCs w:val="10"/>
                <w:color w:val="auto"/>
              </w:rPr>
            </w:pPr>
          </w:p>
        </w:tc>
        <w:tc>
          <w:tcPr>
            <w:tcW w:w="220" w:type="dxa"/>
            <w:vAlign w:val="bottom"/>
          </w:tcPr>
          <w:p>
            <w:pPr>
              <w:ind w:left="80"/>
              <w:spacing w:after="0"/>
              <w:rPr>
                <w:sz w:val="20"/>
                <w:szCs w:val="20"/>
                <w:color w:val="auto"/>
              </w:rPr>
            </w:pPr>
            <w:r>
              <w:rPr>
                <w:rFonts w:ascii="Arial" w:cs="Arial" w:eastAsia="Arial" w:hAnsi="Arial"/>
                <w:sz w:val="10"/>
                <w:szCs w:val="10"/>
                <w:color w:val="auto"/>
              </w:rPr>
              <w:t>—</w:t>
            </w:r>
          </w:p>
        </w:tc>
        <w:tc>
          <w:tcPr>
            <w:tcW w:w="1240" w:type="dxa"/>
            <w:vAlign w:val="bottom"/>
          </w:tcPr>
          <w:p>
            <w:pPr>
              <w:ind w:left="20"/>
              <w:spacing w:after="0"/>
              <w:rPr>
                <w:sz w:val="20"/>
                <w:szCs w:val="20"/>
                <w:color w:val="auto"/>
              </w:rPr>
            </w:pPr>
            <w:r>
              <w:rPr>
                <w:rFonts w:ascii="Arial" w:cs="Arial" w:eastAsia="Arial" w:hAnsi="Arial"/>
                <w:sz w:val="10"/>
                <w:szCs w:val="10"/>
                <w:color w:val="auto"/>
              </w:rPr>
              <w:t>operating expenses</w:t>
            </w:r>
          </w:p>
        </w:tc>
        <w:tc>
          <w:tcPr>
            <w:tcW w:w="20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1260" w:type="dxa"/>
            <w:vAlign w:val="bottom"/>
          </w:tcPr>
          <w:p>
            <w:pPr>
              <w:ind w:left="20"/>
              <w:spacing w:after="0"/>
              <w:rPr>
                <w:sz w:val="20"/>
                <w:szCs w:val="20"/>
                <w:color w:val="auto"/>
              </w:rPr>
            </w:pPr>
            <w:r>
              <w:rPr>
                <w:rFonts w:ascii="Arial" w:cs="Arial" w:eastAsia="Arial" w:hAnsi="Arial"/>
                <w:sz w:val="10"/>
                <w:szCs w:val="10"/>
                <w:color w:val="auto"/>
              </w:rPr>
              <w:t>Other income (expense)</w:t>
            </w:r>
          </w:p>
        </w:tc>
        <w:tc>
          <w:tcPr>
            <w:tcW w:w="220" w:type="dxa"/>
            <w:vAlign w:val="bottom"/>
          </w:tcPr>
          <w:p>
            <w:pPr>
              <w:spacing w:after="0"/>
              <w:rPr>
                <w:sz w:val="10"/>
                <w:szCs w:val="10"/>
                <w:color w:val="auto"/>
              </w:rPr>
            </w:pPr>
          </w:p>
        </w:tc>
        <w:tc>
          <w:tcPr>
            <w:tcW w:w="1040" w:type="dxa"/>
            <w:vAlign w:val="bottom"/>
          </w:tcPr>
          <w:p>
            <w:pPr>
              <w:jc w:val="right"/>
              <w:ind w:right="1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19"/>
        </w:trPr>
        <w:tc>
          <w:tcPr>
            <w:tcW w:w="38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Cost of revenue and</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Derivatives designated as hedging instruments – Commodity hedge</w:t>
            </w:r>
          </w:p>
        </w:tc>
        <w:tc>
          <w:tcPr>
            <w:tcW w:w="98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2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operating expenses</w:t>
            </w: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income (expense)</w:t>
            </w:r>
          </w:p>
        </w:tc>
        <w:tc>
          <w:tcPr>
            <w:tcW w:w="2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effect of derivatives not designated as hedging instruments on the consolidated statements of operations and comprehensive income (loss):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380" w:type="dxa"/>
            <w:vAlign w:val="bottom"/>
          </w:tcPr>
          <w:p>
            <w:pPr>
              <w:ind w:left="380"/>
              <w:spacing w:after="0"/>
              <w:rPr>
                <w:sz w:val="20"/>
                <w:szCs w:val="20"/>
                <w:color w:val="auto"/>
              </w:rPr>
            </w:pPr>
            <w:r>
              <w:rPr>
                <w:rFonts w:ascii="Arial" w:cs="Arial" w:eastAsia="Arial" w:hAnsi="Arial"/>
                <w:sz w:val="13"/>
                <w:szCs w:val="13"/>
                <w:b w:val="1"/>
                <w:bCs w:val="1"/>
                <w:color w:val="auto"/>
              </w:rPr>
              <w:t>Location of Gains (Losses)</w:t>
            </w:r>
          </w:p>
        </w:tc>
        <w:tc>
          <w:tcPr>
            <w:tcW w:w="240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Amount of Gains (Losses) Recognized</w:t>
            </w:r>
          </w:p>
        </w:tc>
      </w:tr>
      <w:tr>
        <w:trPr>
          <w:trHeight w:val="169"/>
        </w:trPr>
        <w:tc>
          <w:tcPr>
            <w:tcW w:w="520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1300" w:type="dxa"/>
            <w:vAlign w:val="bottom"/>
          </w:tcPr>
          <w:p>
            <w:pPr>
              <w:spacing w:after="0"/>
              <w:rPr>
                <w:sz w:val="14"/>
                <w:szCs w:val="14"/>
                <w:color w:val="auto"/>
              </w:rPr>
            </w:pPr>
          </w:p>
        </w:tc>
        <w:tc>
          <w:tcPr>
            <w:tcW w:w="23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Recognized in Income on Derivative</w:t>
            </w:r>
          </w:p>
        </w:tc>
        <w:tc>
          <w:tcPr>
            <w:tcW w:w="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in Income on Derivative</w:t>
            </w:r>
          </w:p>
        </w:tc>
      </w:tr>
      <w:tr>
        <w:trPr>
          <w:trHeight w:val="148"/>
        </w:trPr>
        <w:tc>
          <w:tcPr>
            <w:tcW w:w="5200" w:type="dxa"/>
            <w:vAlign w:val="bottom"/>
          </w:tcPr>
          <w:p>
            <w:pPr>
              <w:ind w:left="20"/>
              <w:spacing w:after="0" w:line="146" w:lineRule="exact"/>
              <w:rPr>
                <w:sz w:val="20"/>
                <w:szCs w:val="20"/>
                <w:color w:val="auto"/>
              </w:rPr>
            </w:pPr>
            <w:r>
              <w:rPr>
                <w:rFonts w:ascii="Arial" w:cs="Arial" w:eastAsia="Arial" w:hAnsi="Arial"/>
                <w:sz w:val="13"/>
                <w:szCs w:val="13"/>
                <w:color w:val="auto"/>
              </w:rPr>
              <w:t>Year ended December 31, 2020</w:t>
            </w:r>
          </w:p>
        </w:tc>
        <w:tc>
          <w:tcPr>
            <w:tcW w:w="1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5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Selling, general and administrative</w:t>
            </w:r>
          </w:p>
        </w:tc>
        <w:tc>
          <w:tcPr>
            <w:tcW w:w="2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r>
      <w:tr>
        <w:trPr>
          <w:trHeight w:val="155"/>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Derivatives not designed as hedging instruments—foreign currency forwards contracts</w:t>
            </w:r>
          </w:p>
        </w:tc>
        <w:tc>
          <w:tcPr>
            <w:tcW w:w="1300" w:type="dxa"/>
            <w:vAlign w:val="bottom"/>
            <w:shd w:val="clear" w:color="auto" w:fill="CCEEFF"/>
          </w:tcPr>
          <w:p>
            <w:pPr>
              <w:spacing w:after="0"/>
              <w:rPr>
                <w:sz w:val="13"/>
                <w:szCs w:val="13"/>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94"/>
        </w:trPr>
        <w:tc>
          <w:tcPr>
            <w:tcW w:w="5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70"/>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 ended December 31, 2021</w:t>
            </w:r>
          </w:p>
        </w:tc>
        <w:tc>
          <w:tcPr>
            <w:tcW w:w="1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r>
      <w:tr>
        <w:trPr>
          <w:trHeight w:val="139"/>
        </w:trPr>
        <w:tc>
          <w:tcPr>
            <w:tcW w:w="5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380" w:type="dxa"/>
            <w:vAlign w:val="bottom"/>
          </w:tcPr>
          <w:p>
            <w:pPr>
              <w:ind w:left="20"/>
              <w:spacing w:after="0" w:line="139" w:lineRule="exact"/>
              <w:rPr>
                <w:sz w:val="20"/>
                <w:szCs w:val="20"/>
                <w:color w:val="auto"/>
              </w:rPr>
            </w:pPr>
            <w:r>
              <w:rPr>
                <w:rFonts w:ascii="Arial" w:cs="Arial" w:eastAsia="Arial" w:hAnsi="Arial"/>
                <w:sz w:val="13"/>
                <w:szCs w:val="13"/>
                <w:color w:val="auto"/>
              </w:rPr>
              <w:t>Selling, general and administrative</w:t>
            </w: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5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Derivatives not designed as hedging instruments—foreign currency forwards contracts</w:t>
            </w:r>
          </w:p>
        </w:tc>
        <w:tc>
          <w:tcPr>
            <w:tcW w:w="1300" w:type="dxa"/>
            <w:vAlign w:val="bottom"/>
            <w:tcBorders>
              <w:bottom w:val="single" w:sz="8" w:color="CCEEFF"/>
            </w:tcBorders>
          </w:tcPr>
          <w:p>
            <w:pPr>
              <w:spacing w:after="0"/>
              <w:rPr>
                <w:sz w:val="13"/>
                <w:szCs w:val="13"/>
                <w:color w:val="auto"/>
              </w:rPr>
            </w:pPr>
          </w:p>
        </w:tc>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expenses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94"/>
        </w:trPr>
        <w:tc>
          <w:tcPr>
            <w:tcW w:w="5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r>
      <w:tr>
        <w:trPr>
          <w:trHeight w:val="168"/>
        </w:trPr>
        <w:tc>
          <w:tcPr>
            <w:tcW w:w="5200" w:type="dxa"/>
            <w:vAlign w:val="bottom"/>
          </w:tcPr>
          <w:p>
            <w:pPr>
              <w:ind w:left="20"/>
              <w:spacing w:after="0"/>
              <w:rPr>
                <w:sz w:val="20"/>
                <w:szCs w:val="20"/>
                <w:color w:val="auto"/>
              </w:rPr>
            </w:pPr>
            <w:r>
              <w:rPr>
                <w:rFonts w:ascii="Arial" w:cs="Arial" w:eastAsia="Arial" w:hAnsi="Arial"/>
                <w:sz w:val="13"/>
                <w:szCs w:val="13"/>
                <w:color w:val="auto"/>
              </w:rPr>
              <w:t>Year ended December 31, 2022</w:t>
            </w:r>
          </w:p>
        </w:tc>
        <w:tc>
          <w:tcPr>
            <w:tcW w:w="1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Derivatives not designed as hedging instruments—foreign currency forwards contracts</w:t>
            </w:r>
          </w:p>
        </w:tc>
        <w:tc>
          <w:tcPr>
            <w:tcW w:w="1300" w:type="dxa"/>
            <w:vAlign w:val="bottom"/>
            <w:shd w:val="clear" w:color="auto" w:fill="CCEEFF"/>
          </w:tcPr>
          <w:p>
            <w:pPr>
              <w:spacing w:after="0"/>
              <w:rPr>
                <w:sz w:val="14"/>
                <w:szCs w:val="1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697"/>
        </w:trPr>
        <w:tc>
          <w:tcPr>
            <w:tcW w:w="5200" w:type="dxa"/>
            <w:vAlign w:val="bottom"/>
          </w:tcPr>
          <w:p>
            <w:pPr>
              <w:spacing w:after="0"/>
              <w:rPr>
                <w:sz w:val="24"/>
                <w:szCs w:val="24"/>
                <w:color w:val="auto"/>
              </w:rPr>
            </w:pPr>
          </w:p>
        </w:tc>
        <w:tc>
          <w:tcPr>
            <w:tcW w:w="3680" w:type="dxa"/>
            <w:vAlign w:val="bottom"/>
            <w:gridSpan w:val="2"/>
          </w:tcPr>
          <w:p>
            <w:pPr>
              <w:ind w:left="320"/>
              <w:spacing w:after="0"/>
              <w:rPr>
                <w:sz w:val="20"/>
                <w:szCs w:val="20"/>
                <w:color w:val="auto"/>
              </w:rPr>
            </w:pPr>
            <w:r>
              <w:rPr>
                <w:rFonts w:ascii="Arial" w:cs="Arial" w:eastAsia="Arial" w:hAnsi="Arial"/>
                <w:sz w:val="13"/>
                <w:szCs w:val="13"/>
                <w:color w:val="auto"/>
              </w:rPr>
              <w:t>F-32</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91"/>
        </w:trPr>
        <w:tc>
          <w:tcPr>
            <w:tcW w:w="52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40" w:type="dxa"/>
            <w:vAlign w:val="bottom"/>
          </w:tcPr>
          <w:p>
            <w:pPr>
              <w:spacing w:after="0"/>
              <w:rPr>
                <w:sz w:val="20"/>
                <w:szCs w:val="20"/>
                <w:color w:val="auto"/>
              </w:rPr>
            </w:pPr>
            <w:r>
              <w:rPr>
                <w:rFonts w:ascii="Arial" w:cs="Arial" w:eastAsia="Arial" w:hAnsi="Arial"/>
                <w:sz w:val="13"/>
                <w:szCs w:val="13"/>
                <w:b w:val="1"/>
                <w:bCs w:val="1"/>
                <w:color w:val="auto"/>
              </w:rPr>
              <w:t>18. Cash And Cash Equivalents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24"/>
                <w:szCs w:val="24"/>
                <w:color w:val="auto"/>
              </w:rPr>
            </w:pPr>
          </w:p>
        </w:tc>
        <w:tc>
          <w:tcPr>
            <w:tcW w:w="1280" w:type="dxa"/>
            <w:vAlign w:val="bottom"/>
          </w:tcPr>
          <w:p>
            <w:pPr>
              <w:jc w:val="right"/>
              <w:ind w:right="2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0"/>
        </w:trPr>
        <w:tc>
          <w:tcPr>
            <w:tcW w:w="28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Cash balances on hand and at banks</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990</w:t>
            </w:r>
          </w:p>
        </w:tc>
        <w:tc>
          <w:tcPr>
            <w:tcW w:w="10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764</w:t>
            </w:r>
          </w:p>
        </w:tc>
        <w:tc>
          <w:tcPr>
            <w:tcW w:w="0" w:type="dxa"/>
            <w:vAlign w:val="bottom"/>
          </w:tcPr>
          <w:p>
            <w:pPr>
              <w:spacing w:after="0"/>
              <w:rPr>
                <w:sz w:val="1"/>
                <w:szCs w:val="1"/>
                <w:color w:val="auto"/>
              </w:rPr>
            </w:pPr>
          </w:p>
        </w:tc>
      </w:tr>
      <w:tr>
        <w:trPr>
          <w:trHeight w:val="168"/>
        </w:trPr>
        <w:tc>
          <w:tcPr>
            <w:tcW w:w="2840" w:type="dxa"/>
            <w:vAlign w:val="bottom"/>
          </w:tcPr>
          <w:p>
            <w:pPr>
              <w:ind w:left="20"/>
              <w:spacing w:after="0"/>
              <w:rPr>
                <w:sz w:val="20"/>
                <w:szCs w:val="20"/>
                <w:color w:val="auto"/>
              </w:rPr>
            </w:pPr>
            <w:r>
              <w:rPr>
                <w:rFonts w:ascii="Arial" w:cs="Arial" w:eastAsia="Arial" w:hAnsi="Arial"/>
                <w:sz w:val="13"/>
                <w:szCs w:val="13"/>
                <w:color w:val="auto"/>
              </w:rPr>
              <w:t>Investments in money market funds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953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2,150</w:t>
            </w:r>
          </w:p>
        </w:tc>
        <w:tc>
          <w:tcPr>
            <w:tcW w:w="0" w:type="dxa"/>
            <w:vAlign w:val="bottom"/>
          </w:tcPr>
          <w:p>
            <w:pPr>
              <w:spacing w:after="0"/>
              <w:rPr>
                <w:sz w:val="1"/>
                <w:szCs w:val="1"/>
                <w:color w:val="auto"/>
              </w:rPr>
            </w:pPr>
          </w:p>
        </w:tc>
      </w:tr>
      <w:tr>
        <w:trPr>
          <w:trHeight w:val="172"/>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Time deposits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401</w:t>
            </w:r>
          </w:p>
        </w:tc>
        <w:tc>
          <w:tcPr>
            <w:tcW w:w="1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8"/>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cash and cash equivalents</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3"/>
                <w:szCs w:val="13"/>
                <w:b w:val="1"/>
                <w:bCs w:val="1"/>
                <w:color w:val="auto"/>
              </w:rPr>
              <w:t>2,352</w:t>
            </w:r>
          </w:p>
        </w:tc>
        <w:tc>
          <w:tcPr>
            <w:tcW w:w="10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2,939</w:t>
            </w:r>
          </w:p>
        </w:tc>
        <w:tc>
          <w:tcPr>
            <w:tcW w:w="0" w:type="dxa"/>
            <w:vAlign w:val="bottom"/>
          </w:tcPr>
          <w:p>
            <w:pPr>
              <w:spacing w:after="0"/>
              <w:rPr>
                <w:sz w:val="1"/>
                <w:szCs w:val="1"/>
                <w:color w:val="auto"/>
              </w:rPr>
            </w:pPr>
          </w:p>
        </w:tc>
      </w:tr>
      <w:tr>
        <w:trPr>
          <w:trHeight w:val="304"/>
        </w:trPr>
        <w:tc>
          <w:tcPr>
            <w:tcW w:w="6520" w:type="dxa"/>
            <w:vAlign w:val="bottom"/>
            <w:gridSpan w:val="11"/>
          </w:tcPr>
          <w:p>
            <w:pPr>
              <w:spacing w:after="0"/>
              <w:rPr>
                <w:sz w:val="20"/>
                <w:szCs w:val="20"/>
                <w:color w:val="auto"/>
              </w:rPr>
            </w:pPr>
            <w:r>
              <w:rPr>
                <w:rFonts w:ascii="Arial" w:cs="Arial" w:eastAsia="Arial" w:hAnsi="Arial"/>
                <w:sz w:val="13"/>
                <w:szCs w:val="13"/>
                <w:color w:val="auto"/>
                <w:w w:val="99"/>
              </w:rPr>
              <w:t>Movements in cash and cash equivalents are presented in the Company’s consolidated statements of cash flows.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500" w:type="dxa"/>
            <w:vAlign w:val="bottom"/>
            <w:gridSpan w:val="8"/>
          </w:tcPr>
          <w:p>
            <w:pPr>
              <w:spacing w:after="0"/>
              <w:rPr>
                <w:sz w:val="20"/>
                <w:szCs w:val="20"/>
                <w:color w:val="auto"/>
              </w:rPr>
            </w:pPr>
            <w:r>
              <w:rPr>
                <w:rFonts w:ascii="Arial" w:cs="Arial" w:eastAsia="Arial" w:hAnsi="Arial"/>
                <w:sz w:val="13"/>
                <w:szCs w:val="13"/>
                <w:color w:val="auto"/>
                <w:w w:val="97"/>
              </w:rPr>
              <w:t>The following are the reconciliation of assets, liabilities and equity arising from financing activities: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Non-cash changes</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40" w:type="dxa"/>
            <w:vAlign w:val="bottom"/>
          </w:tcPr>
          <w:p>
            <w:pPr>
              <w:spacing w:after="0"/>
              <w:rPr>
                <w:sz w:val="9"/>
                <w:szCs w:val="9"/>
                <w:color w:val="auto"/>
              </w:rPr>
            </w:pPr>
          </w:p>
        </w:tc>
        <w:tc>
          <w:tcPr>
            <w:tcW w:w="120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rPr>
              <w:t>As of December 31,</w:t>
            </w:r>
          </w:p>
        </w:tc>
        <w:tc>
          <w:tcPr>
            <w:tcW w:w="180" w:type="dxa"/>
            <w:vAlign w:val="bottom"/>
          </w:tcPr>
          <w:p>
            <w:pPr>
              <w:spacing w:after="0"/>
              <w:rPr>
                <w:sz w:val="9"/>
                <w:szCs w:val="9"/>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6"/>
              </w:rPr>
              <w:t>Cash</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3"/>
          </w:tcPr>
          <w:p>
            <w:pPr>
              <w:jc w:val="center"/>
              <w:ind w:right="20"/>
              <w:spacing w:after="0" w:line="105" w:lineRule="exact"/>
              <w:rPr>
                <w:sz w:val="20"/>
                <w:szCs w:val="20"/>
                <w:color w:val="auto"/>
              </w:rPr>
            </w:pPr>
            <w:r>
              <w:rPr>
                <w:rFonts w:ascii="Arial" w:cs="Arial" w:eastAsia="Arial" w:hAnsi="Arial"/>
                <w:sz w:val="11"/>
                <w:szCs w:val="11"/>
                <w:b w:val="1"/>
                <w:bCs w:val="1"/>
                <w:color w:val="auto"/>
              </w:rPr>
              <w:t>As of</w:t>
            </w: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8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9"/>
              </w:rPr>
              <w:t>Foreign</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3"/>
          </w:tcPr>
          <w:p>
            <w:pPr>
              <w:jc w:val="center"/>
              <w:ind w:right="20"/>
              <w:spacing w:after="0" w:line="106" w:lineRule="exact"/>
              <w:rPr>
                <w:sz w:val="20"/>
                <w:szCs w:val="20"/>
                <w:color w:val="auto"/>
              </w:rPr>
            </w:pPr>
            <w:r>
              <w:rPr>
                <w:rFonts w:ascii="Arial" w:cs="Arial" w:eastAsia="Arial" w:hAnsi="Arial"/>
                <w:sz w:val="11"/>
                <w:szCs w:val="11"/>
                <w:b w:val="1"/>
                <w:bCs w:val="1"/>
                <w:color w:val="auto"/>
              </w:rPr>
              <w:t>December 31, 2021</w:t>
            </w: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rPr>
              <w:t>2020 Assets</w:t>
            </w:r>
          </w:p>
        </w:tc>
        <w:tc>
          <w:tcPr>
            <w:tcW w:w="180" w:type="dxa"/>
            <w:vAlign w:val="bottom"/>
          </w:tcPr>
          <w:p>
            <w:pPr>
              <w:spacing w:after="0"/>
              <w:rPr>
                <w:sz w:val="10"/>
                <w:szCs w:val="10"/>
                <w:color w:val="auto"/>
              </w:rPr>
            </w:pPr>
          </w:p>
        </w:tc>
        <w:tc>
          <w:tcPr>
            <w:tcW w:w="98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rPr>
              <w:t>Flows</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tcPr>
          <w:p>
            <w:pPr>
              <w:jc w:val="center"/>
              <w:ind w:right="20"/>
              <w:spacing w:after="0" w:line="117" w:lineRule="exact"/>
              <w:rPr>
                <w:sz w:val="20"/>
                <w:szCs w:val="20"/>
                <w:color w:val="auto"/>
              </w:rPr>
            </w:pPr>
            <w:r>
              <w:rPr>
                <w:rFonts w:ascii="Arial" w:cs="Arial" w:eastAsia="Arial" w:hAnsi="Arial"/>
                <w:sz w:val="11"/>
                <w:szCs w:val="11"/>
                <w:b w:val="1"/>
                <w:bCs w:val="1"/>
                <w:color w:val="auto"/>
                <w:w w:val="99"/>
              </w:rPr>
              <w:t>Assets</w:t>
            </w: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(Liabilities and</w:t>
            </w:r>
          </w:p>
        </w:tc>
        <w:tc>
          <w:tcPr>
            <w:tcW w:w="180" w:type="dxa"/>
            <w:vAlign w:val="bottom"/>
          </w:tcPr>
          <w:p>
            <w:pPr>
              <w:spacing w:after="0"/>
              <w:rPr>
                <w:sz w:val="10"/>
                <w:szCs w:val="10"/>
                <w:color w:val="auto"/>
              </w:rPr>
            </w:pPr>
          </w:p>
        </w:tc>
        <w:tc>
          <w:tcPr>
            <w:tcW w:w="98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rPr>
              <w:t>Inflows/</w:t>
            </w:r>
          </w:p>
        </w:tc>
        <w:tc>
          <w:tcPr>
            <w:tcW w:w="300" w:type="dxa"/>
            <w:vAlign w:val="bottom"/>
          </w:tcPr>
          <w:p>
            <w:pPr>
              <w:spacing w:after="0"/>
              <w:rPr>
                <w:sz w:val="10"/>
                <w:szCs w:val="10"/>
                <w:color w:val="auto"/>
              </w:rPr>
            </w:pPr>
          </w:p>
        </w:tc>
        <w:tc>
          <w:tcPr>
            <w:tcW w:w="78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Addition</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rPr>
              <w:t>exchange</w:t>
            </w:r>
          </w:p>
        </w:tc>
        <w:tc>
          <w:tcPr>
            <w:tcW w:w="22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1"/>
                <w:szCs w:val="11"/>
                <w:b w:val="1"/>
                <w:bCs w:val="1"/>
                <w:color w:val="auto"/>
              </w:rPr>
              <w:t>Others</w:t>
            </w:r>
          </w:p>
        </w:tc>
        <w:tc>
          <w:tcPr>
            <w:tcW w:w="80" w:type="dxa"/>
            <w:vAlign w:val="bottom"/>
            <w:vMerge w:val="restart"/>
          </w:tcPr>
          <w:p>
            <w:pPr>
              <w:spacing w:after="0"/>
              <w:rPr>
                <w:sz w:val="10"/>
                <w:szCs w:val="10"/>
                <w:color w:val="auto"/>
              </w:rPr>
            </w:pPr>
          </w:p>
        </w:tc>
        <w:tc>
          <w:tcPr>
            <w:tcW w:w="1140" w:type="dxa"/>
            <w:vAlign w:val="bottom"/>
            <w:gridSpan w:val="3"/>
          </w:tcPr>
          <w:p>
            <w:pPr>
              <w:jc w:val="center"/>
              <w:ind w:right="20"/>
              <w:spacing w:after="0" w:line="117" w:lineRule="exact"/>
              <w:rPr>
                <w:sz w:val="20"/>
                <w:szCs w:val="20"/>
                <w:color w:val="auto"/>
              </w:rPr>
            </w:pPr>
            <w:r>
              <w:rPr>
                <w:rFonts w:ascii="Arial" w:cs="Arial" w:eastAsia="Arial" w:hAnsi="Arial"/>
                <w:sz w:val="11"/>
                <w:szCs w:val="11"/>
                <w:b w:val="1"/>
                <w:bCs w:val="1"/>
                <w:color w:val="auto"/>
              </w:rPr>
              <w:t>(Liabilities and</w:t>
            </w: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Equity)</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rPr>
              <w:t>(Outflows)</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movement</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rPr>
              <w:t>Equity)</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40" w:type="dxa"/>
            <w:vAlign w:val="bottom"/>
          </w:tcPr>
          <w:p>
            <w:pPr>
              <w:ind w:left="20"/>
              <w:spacing w:after="0" w:line="159" w:lineRule="exact"/>
              <w:rPr>
                <w:sz w:val="20"/>
                <w:szCs w:val="20"/>
                <w:color w:val="auto"/>
              </w:rPr>
            </w:pPr>
            <w:r>
              <w:rPr>
                <w:rFonts w:ascii="Arial" w:cs="Arial" w:eastAsia="Arial" w:hAnsi="Arial"/>
                <w:sz w:val="11"/>
                <w:szCs w:val="11"/>
                <w:color w:val="auto"/>
              </w:rPr>
              <w:t>Government grants receivable</w:t>
            </w:r>
            <w:r>
              <w:rPr>
                <w:rFonts w:ascii="Arial" w:cs="Arial" w:eastAsia="Arial" w:hAnsi="Arial"/>
                <w:sz w:val="14"/>
                <w:szCs w:val="14"/>
                <w:color w:val="auto"/>
                <w:vertAlign w:val="superscript"/>
              </w:rPr>
              <w:t>(1)</w:t>
            </w:r>
          </w:p>
        </w:tc>
        <w:tc>
          <w:tcPr>
            <w:tcW w:w="12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30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47</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receivables</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(2,338)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264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51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(2,013)</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obligations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(426)</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rPr>
                <w:sz w:val="20"/>
                <w:szCs w:val="20"/>
                <w:color w:val="auto"/>
              </w:rPr>
            </w:pPr>
            <w:r>
              <w:rPr>
                <w:rFonts w:ascii="Arial" w:cs="Arial" w:eastAsia="Arial" w:hAnsi="Arial"/>
                <w:sz w:val="11"/>
                <w:szCs w:val="11"/>
                <w:color w:val="auto"/>
              </w:rPr>
              <w:t>Loan from shareholder</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(10,681)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10,113</w:t>
            </w:r>
          </w:p>
        </w:tc>
        <w:tc>
          <w:tcPr>
            <w:tcW w:w="80" w:type="dxa"/>
            <w:vAlign w:val="bottom"/>
          </w:tcPr>
          <w:p>
            <w:pPr>
              <w:spacing w:after="0"/>
              <w:rPr>
                <w:sz w:val="13"/>
                <w:szCs w:val="13"/>
                <w:color w:val="auto"/>
              </w:rPr>
            </w:pP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capital</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(11,708)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(1,443)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(10,113)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(223)</w:t>
            </w:r>
          </w:p>
        </w:tc>
        <w:tc>
          <w:tcPr>
            <w:tcW w:w="80" w:type="dxa"/>
            <w:vAlign w:val="bottom"/>
          </w:tcPr>
          <w:p>
            <w:pPr>
              <w:spacing w:after="0"/>
              <w:rPr>
                <w:sz w:val="13"/>
                <w:szCs w:val="13"/>
                <w:color w:val="auto"/>
              </w:rPr>
            </w:pP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(23,487)</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(25,094)</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(650)</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(10,104)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9,898</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(25,890)</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Non-cash changes</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rPr>
              <w:t>As of</w:t>
            </w:r>
          </w:p>
        </w:tc>
        <w:tc>
          <w:tcPr>
            <w:tcW w:w="220" w:type="dxa"/>
            <w:vAlign w:val="bottom"/>
          </w:tcPr>
          <w:p>
            <w:pPr>
              <w:spacing w:after="0"/>
              <w:rPr>
                <w:sz w:val="9"/>
                <w:szCs w:val="9"/>
                <w:color w:val="auto"/>
              </w:rPr>
            </w:pPr>
          </w:p>
        </w:tc>
        <w:tc>
          <w:tcPr>
            <w:tcW w:w="1100" w:type="dxa"/>
            <w:vAlign w:val="bottom"/>
            <w:gridSpan w:val="2"/>
          </w:tcPr>
          <w:p>
            <w:pPr>
              <w:jc w:val="center"/>
              <w:ind w:right="300"/>
              <w:spacing w:after="0" w:line="106" w:lineRule="exact"/>
              <w:rPr>
                <w:sz w:val="20"/>
                <w:szCs w:val="20"/>
                <w:color w:val="auto"/>
              </w:rPr>
            </w:pPr>
            <w:r>
              <w:rPr>
                <w:rFonts w:ascii="Arial" w:cs="Arial" w:eastAsia="Arial" w:hAnsi="Arial"/>
                <w:sz w:val="11"/>
                <w:szCs w:val="11"/>
                <w:b w:val="1"/>
                <w:bCs w:val="1"/>
                <w:color w:val="auto"/>
              </w:rPr>
              <w:t>Cash</w:t>
            </w: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Foreign</w:t>
            </w: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jc w:val="center"/>
              <w:ind w:right="63"/>
              <w:spacing w:after="0" w:line="106" w:lineRule="exact"/>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December 31, 2021</w:t>
            </w:r>
          </w:p>
        </w:tc>
        <w:tc>
          <w:tcPr>
            <w:tcW w:w="220" w:type="dxa"/>
            <w:vAlign w:val="bottom"/>
          </w:tcPr>
          <w:p>
            <w:pPr>
              <w:spacing w:after="0"/>
              <w:rPr>
                <w:sz w:val="10"/>
                <w:szCs w:val="10"/>
                <w:color w:val="auto"/>
              </w:rPr>
            </w:pPr>
          </w:p>
        </w:tc>
        <w:tc>
          <w:tcPr>
            <w:tcW w:w="1100" w:type="dxa"/>
            <w:vAlign w:val="bottom"/>
            <w:gridSpan w:val="2"/>
          </w:tcPr>
          <w:p>
            <w:pPr>
              <w:jc w:val="center"/>
              <w:ind w:right="300"/>
              <w:spacing w:after="0" w:line="117" w:lineRule="exact"/>
              <w:rPr>
                <w:sz w:val="20"/>
                <w:szCs w:val="20"/>
                <w:color w:val="auto"/>
              </w:rPr>
            </w:pPr>
            <w:r>
              <w:rPr>
                <w:rFonts w:ascii="Arial" w:cs="Arial" w:eastAsia="Arial" w:hAnsi="Arial"/>
                <w:sz w:val="11"/>
                <w:szCs w:val="11"/>
                <w:b w:val="1"/>
                <w:bCs w:val="1"/>
                <w:color w:val="auto"/>
              </w:rPr>
              <w:t>Flows</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43"/>
              <w:spacing w:after="0" w:line="117" w:lineRule="exact"/>
              <w:rPr>
                <w:sz w:val="20"/>
                <w:szCs w:val="20"/>
                <w:color w:val="auto"/>
              </w:rPr>
            </w:pPr>
            <w:r>
              <w:rPr>
                <w:rFonts w:ascii="Arial" w:cs="Arial" w:eastAsia="Arial" w:hAnsi="Arial"/>
                <w:sz w:val="11"/>
                <w:szCs w:val="11"/>
                <w:b w:val="1"/>
                <w:bCs w:val="1"/>
                <w:color w:val="auto"/>
              </w:rPr>
              <w:t>December 31, 2022</w:t>
            </w:r>
          </w:p>
        </w:tc>
        <w:tc>
          <w:tcPr>
            <w:tcW w:w="0" w:type="dxa"/>
            <w:vAlign w:val="bottom"/>
          </w:tcPr>
          <w:p>
            <w:pPr>
              <w:spacing w:after="0"/>
              <w:rPr>
                <w:sz w:val="1"/>
                <w:szCs w:val="1"/>
                <w:color w:val="auto"/>
              </w:rPr>
            </w:pPr>
          </w:p>
        </w:tc>
      </w:tr>
      <w:tr>
        <w:trPr>
          <w:trHeight w:val="116"/>
        </w:trPr>
        <w:tc>
          <w:tcPr>
            <w:tcW w:w="32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10"/>
                <w:szCs w:val="10"/>
                <w:color w:val="auto"/>
              </w:rPr>
            </w:pPr>
          </w:p>
        </w:tc>
        <w:tc>
          <w:tcPr>
            <w:tcW w:w="1280" w:type="dxa"/>
            <w:vAlign w:val="bottom"/>
            <w:gridSpan w:val="2"/>
          </w:tcPr>
          <w:p>
            <w:pPr>
              <w:jc w:val="center"/>
              <w:ind w:right="200"/>
              <w:spacing w:after="0" w:line="116" w:lineRule="exact"/>
              <w:rPr>
                <w:sz w:val="20"/>
                <w:szCs w:val="20"/>
                <w:color w:val="auto"/>
              </w:rPr>
            </w:pPr>
            <w:r>
              <w:rPr>
                <w:rFonts w:ascii="Arial" w:cs="Arial" w:eastAsia="Arial" w:hAnsi="Arial"/>
                <w:sz w:val="11"/>
                <w:szCs w:val="11"/>
                <w:b w:val="1"/>
                <w:bCs w:val="1"/>
                <w:color w:val="auto"/>
                <w:w w:val="99"/>
              </w:rPr>
              <w:t>Assets</w:t>
            </w:r>
          </w:p>
        </w:tc>
        <w:tc>
          <w:tcPr>
            <w:tcW w:w="220" w:type="dxa"/>
            <w:vAlign w:val="bottom"/>
          </w:tcPr>
          <w:p>
            <w:pPr>
              <w:spacing w:after="0"/>
              <w:rPr>
                <w:sz w:val="10"/>
                <w:szCs w:val="10"/>
                <w:color w:val="auto"/>
              </w:rPr>
            </w:pPr>
          </w:p>
        </w:tc>
        <w:tc>
          <w:tcPr>
            <w:tcW w:w="1100" w:type="dxa"/>
            <w:vAlign w:val="bottom"/>
            <w:gridSpan w:val="2"/>
          </w:tcPr>
          <w:p>
            <w:pPr>
              <w:jc w:val="center"/>
              <w:ind w:right="280"/>
              <w:spacing w:after="0" w:line="116" w:lineRule="exact"/>
              <w:rPr>
                <w:sz w:val="20"/>
                <w:szCs w:val="20"/>
                <w:color w:val="auto"/>
              </w:rPr>
            </w:pPr>
            <w:r>
              <w:rPr>
                <w:rFonts w:ascii="Arial" w:cs="Arial" w:eastAsia="Arial" w:hAnsi="Arial"/>
                <w:sz w:val="11"/>
                <w:szCs w:val="11"/>
                <w:b w:val="1"/>
                <w:bCs w:val="1"/>
                <w:color w:val="auto"/>
              </w:rPr>
              <w:t>Inflows/</w:t>
            </w:r>
          </w:p>
        </w:tc>
        <w:tc>
          <w:tcPr>
            <w:tcW w:w="240" w:type="dxa"/>
            <w:vAlign w:val="bottom"/>
          </w:tcPr>
          <w:p>
            <w:pPr>
              <w:spacing w:after="0"/>
              <w:rPr>
                <w:sz w:val="10"/>
                <w:szCs w:val="10"/>
                <w:color w:val="auto"/>
              </w:rPr>
            </w:pPr>
          </w:p>
        </w:tc>
        <w:tc>
          <w:tcPr>
            <w:tcW w:w="1020" w:type="dxa"/>
            <w:vAlign w:val="bottom"/>
            <w:vMerge w:val="restart"/>
          </w:tcPr>
          <w:p>
            <w:pPr>
              <w:jc w:val="right"/>
              <w:ind w:right="343"/>
              <w:spacing w:after="0"/>
              <w:rPr>
                <w:sz w:val="20"/>
                <w:szCs w:val="20"/>
                <w:color w:val="auto"/>
              </w:rPr>
            </w:pPr>
            <w:r>
              <w:rPr>
                <w:rFonts w:ascii="Arial" w:cs="Arial" w:eastAsia="Arial" w:hAnsi="Arial"/>
                <w:sz w:val="11"/>
                <w:szCs w:val="11"/>
                <w:b w:val="1"/>
                <w:bCs w:val="1"/>
                <w:color w:val="auto"/>
              </w:rPr>
              <w:t>Addition</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80"/>
              <w:spacing w:after="0" w:line="116" w:lineRule="exact"/>
              <w:rPr>
                <w:sz w:val="20"/>
                <w:szCs w:val="20"/>
                <w:color w:val="auto"/>
              </w:rPr>
            </w:pPr>
            <w:r>
              <w:rPr>
                <w:rFonts w:ascii="Arial" w:cs="Arial" w:eastAsia="Arial" w:hAnsi="Arial"/>
                <w:sz w:val="11"/>
                <w:szCs w:val="11"/>
                <w:b w:val="1"/>
                <w:bCs w:val="1"/>
                <w:color w:val="auto"/>
              </w:rPr>
              <w:t>exchange</w:t>
            </w:r>
          </w:p>
        </w:tc>
        <w:tc>
          <w:tcPr>
            <w:tcW w:w="260" w:type="dxa"/>
            <w:vAlign w:val="bottom"/>
          </w:tcPr>
          <w:p>
            <w:pPr>
              <w:spacing w:after="0"/>
              <w:rPr>
                <w:sz w:val="10"/>
                <w:szCs w:val="10"/>
                <w:color w:val="auto"/>
              </w:rPr>
            </w:pPr>
          </w:p>
        </w:tc>
        <w:tc>
          <w:tcPr>
            <w:tcW w:w="98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Others</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43"/>
              <w:spacing w:after="0" w:line="116" w:lineRule="exact"/>
              <w:rPr>
                <w:sz w:val="20"/>
                <w:szCs w:val="20"/>
                <w:color w:val="auto"/>
              </w:rPr>
            </w:pPr>
            <w:r>
              <w:rPr>
                <w:rFonts w:ascii="Arial" w:cs="Arial" w:eastAsia="Arial" w:hAnsi="Arial"/>
                <w:sz w:val="11"/>
                <w:szCs w:val="11"/>
                <w:b w:val="1"/>
                <w:bCs w:val="1"/>
                <w:color w:val="auto"/>
              </w:rPr>
              <w:t>Assets</w:t>
            </w:r>
          </w:p>
        </w:tc>
        <w:tc>
          <w:tcPr>
            <w:tcW w:w="0" w:type="dxa"/>
            <w:vAlign w:val="bottom"/>
          </w:tcPr>
          <w:p>
            <w:pPr>
              <w:spacing w:after="0"/>
              <w:rPr>
                <w:sz w:val="1"/>
                <w:szCs w:val="1"/>
                <w:color w:val="auto"/>
              </w:rPr>
            </w:pPr>
          </w:p>
        </w:tc>
      </w:tr>
      <w:tr>
        <w:trPr>
          <w:trHeight w:val="149"/>
        </w:trPr>
        <w:tc>
          <w:tcPr>
            <w:tcW w:w="3260" w:type="dxa"/>
            <w:vAlign w:val="bottom"/>
            <w:tcBorders>
              <w:bottom w:val="single" w:sz="8" w:color="CCEEFF"/>
            </w:tcBorders>
            <w:vMerge w:val="continue"/>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b w:val="1"/>
                <w:bCs w:val="1"/>
                <w:color w:val="auto"/>
              </w:rPr>
              <w:t>(Outflows)</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movement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0" w:type="dxa"/>
            <w:vAlign w:val="bottom"/>
          </w:tcPr>
          <w:p>
            <w:pPr>
              <w:spacing w:after="0"/>
              <w:rPr>
                <w:sz w:val="1"/>
                <w:szCs w:val="1"/>
                <w:color w:val="auto"/>
              </w:rPr>
            </w:pPr>
          </w:p>
        </w:tc>
      </w:tr>
      <w:tr>
        <w:trPr>
          <w:trHeight w:val="150"/>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5"/>
        </w:trPr>
        <w:tc>
          <w:tcPr>
            <w:tcW w:w="3260" w:type="dxa"/>
            <w:vAlign w:val="bottom"/>
          </w:tcPr>
          <w:p>
            <w:pPr>
              <w:ind w:left="20"/>
              <w:spacing w:after="0"/>
              <w:rPr>
                <w:sz w:val="20"/>
                <w:szCs w:val="20"/>
                <w:color w:val="auto"/>
              </w:rPr>
            </w:pPr>
            <w:r>
              <w:rPr>
                <w:rFonts w:ascii="Arial" w:cs="Arial" w:eastAsia="Arial" w:hAnsi="Arial"/>
                <w:sz w:val="11"/>
                <w:szCs w:val="11"/>
                <w:color w:val="auto"/>
              </w:rPr>
              <w:t>Government grants receivable</w:t>
            </w:r>
            <w:r>
              <w:rPr>
                <w:rFonts w:ascii="Arial" w:cs="Arial" w:eastAsia="Arial" w:hAnsi="Arial"/>
                <w:sz w:val="7"/>
                <w:szCs w:val="7"/>
                <w:color w:val="auto"/>
              </w:rPr>
              <w:t>(2)</w:t>
            </w:r>
          </w:p>
        </w:tc>
        <w:tc>
          <w:tcPr>
            <w:tcW w:w="1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receivables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5"/>
        </w:trPr>
        <w:tc>
          <w:tcPr>
            <w:tcW w:w="3260" w:type="dxa"/>
            <w:vAlign w:val="bottom"/>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(2,013)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(670)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(2,511)</w:t>
            </w: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obligations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0" w:type="dxa"/>
            <w:vAlign w:val="bottom"/>
          </w:tcPr>
          <w:p>
            <w:pPr>
              <w:spacing w:after="0"/>
              <w:rPr>
                <w:sz w:val="1"/>
                <w:szCs w:val="1"/>
                <w:color w:val="auto"/>
              </w:rPr>
            </w:pPr>
          </w:p>
        </w:tc>
      </w:tr>
      <w:tr>
        <w:trPr>
          <w:trHeight w:val="155"/>
        </w:trPr>
        <w:tc>
          <w:tcPr>
            <w:tcW w:w="3260" w:type="dxa"/>
            <w:vAlign w:val="bottom"/>
          </w:tcPr>
          <w:p>
            <w:pPr>
              <w:ind w:left="20"/>
              <w:spacing w:after="0"/>
              <w:rPr>
                <w:sz w:val="20"/>
                <w:szCs w:val="20"/>
                <w:color w:val="auto"/>
              </w:rPr>
            </w:pPr>
            <w:r>
              <w:rPr>
                <w:rFonts w:ascii="Arial" w:cs="Arial" w:eastAsia="Arial" w:hAnsi="Arial"/>
                <w:sz w:val="11"/>
                <w:szCs w:val="11"/>
                <w:color w:val="auto"/>
              </w:rPr>
              <w:t>Share capital</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Additional Paid-In Capital</w:t>
            </w:r>
            <w:r>
              <w:rPr>
                <w:rFonts w:ascii="Arial" w:cs="Arial" w:eastAsia="Arial" w:hAnsi="Arial"/>
                <w:sz w:val="7"/>
                <w:szCs w:val="7"/>
                <w:color w:val="auto"/>
              </w:rPr>
              <w:t>(3)</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(23,487)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(23,831)</w:t>
            </w:r>
          </w:p>
        </w:tc>
        <w:tc>
          <w:tcPr>
            <w:tcW w:w="0" w:type="dxa"/>
            <w:vAlign w:val="bottom"/>
          </w:tcPr>
          <w:p>
            <w:pPr>
              <w:spacing w:after="0"/>
              <w:rPr>
                <w:sz w:val="1"/>
                <w:szCs w:val="1"/>
                <w:color w:val="auto"/>
              </w:rPr>
            </w:pPr>
          </w:p>
        </w:tc>
      </w:tr>
      <w:tr>
        <w:trPr>
          <w:trHeight w:val="146"/>
        </w:trPr>
        <w:tc>
          <w:tcPr>
            <w:tcW w:w="326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(25,890)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(842)</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18</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(26,646)</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00" w:hanging="240"/>
        <w:spacing w:after="0"/>
        <w:tabs>
          <w:tab w:leader="none" w:pos="500" w:val="left"/>
        </w:tabs>
        <w:numPr>
          <w:ilvl w:val="0"/>
          <w:numId w:val="98"/>
        </w:numPr>
        <w:rPr>
          <w:rFonts w:ascii="Arial" w:cs="Arial" w:eastAsia="Arial" w:hAnsi="Arial"/>
          <w:sz w:val="15"/>
          <w:szCs w:val="15"/>
          <w:color w:val="auto"/>
          <w:vertAlign w:val="superscript"/>
        </w:rPr>
      </w:pPr>
      <w:r>
        <w:rPr>
          <w:rFonts w:ascii="Arial" w:cs="Arial" w:eastAsia="Arial" w:hAnsi="Arial"/>
          <w:sz w:val="11"/>
          <w:szCs w:val="11"/>
          <w:color w:val="auto"/>
        </w:rPr>
        <w:t>Government grant receivable amounting to $47 million is included in receivables, prepayments and other assets in the consolidated statements of financial position as of December 31, 2021</w:t>
      </w:r>
    </w:p>
    <w:p>
      <w:pPr>
        <w:spacing w:after="0" w:line="50" w:lineRule="exact"/>
        <w:rPr>
          <w:rFonts w:ascii="Arial" w:cs="Arial" w:eastAsia="Arial" w:hAnsi="Arial"/>
          <w:sz w:val="15"/>
          <w:szCs w:val="15"/>
          <w:color w:val="auto"/>
          <w:vertAlign w:val="superscript"/>
        </w:rPr>
      </w:pPr>
    </w:p>
    <w:p>
      <w:pPr>
        <w:ind w:left="500" w:hanging="240"/>
        <w:spacing w:after="0"/>
        <w:tabs>
          <w:tab w:leader="none" w:pos="500" w:val="left"/>
        </w:tabs>
        <w:numPr>
          <w:ilvl w:val="0"/>
          <w:numId w:val="98"/>
        </w:numPr>
        <w:rPr>
          <w:rFonts w:ascii="Arial" w:cs="Arial" w:eastAsia="Arial" w:hAnsi="Arial"/>
          <w:sz w:val="15"/>
          <w:szCs w:val="15"/>
          <w:color w:val="auto"/>
          <w:vertAlign w:val="superscript"/>
        </w:rPr>
      </w:pPr>
      <w:r>
        <w:rPr>
          <w:rFonts w:ascii="Arial" w:cs="Arial" w:eastAsia="Arial" w:hAnsi="Arial"/>
          <w:sz w:val="11"/>
          <w:szCs w:val="11"/>
          <w:color w:val="auto"/>
        </w:rPr>
        <w:t>Government grant receivable amounting to $52 million is included in receivables, prepayments and other assets in the consolidated statements of financial position as of December 31, 2022</w:t>
      </w:r>
    </w:p>
    <w:p>
      <w:pPr>
        <w:spacing w:after="0" w:line="86" w:lineRule="exact"/>
        <w:rPr>
          <w:rFonts w:ascii="Arial" w:cs="Arial" w:eastAsia="Arial" w:hAnsi="Arial"/>
          <w:sz w:val="15"/>
          <w:szCs w:val="15"/>
          <w:color w:val="auto"/>
          <w:vertAlign w:val="superscript"/>
        </w:rPr>
      </w:pPr>
    </w:p>
    <w:p>
      <w:pPr>
        <w:jc w:val="both"/>
        <w:ind w:left="520" w:hanging="260"/>
        <w:spacing w:after="0" w:line="226" w:lineRule="auto"/>
        <w:tabs>
          <w:tab w:leader="none" w:pos="514" w:val="left"/>
        </w:tabs>
        <w:numPr>
          <w:ilvl w:val="0"/>
          <w:numId w:val="98"/>
        </w:numPr>
        <w:rPr>
          <w:rFonts w:ascii="Arial" w:cs="Arial" w:eastAsia="Arial" w:hAnsi="Arial"/>
          <w:sz w:val="15"/>
          <w:szCs w:val="15"/>
          <w:color w:val="auto"/>
          <w:vertAlign w:val="superscript"/>
        </w:rPr>
      </w:pPr>
      <w:r>
        <w:rPr>
          <w:rFonts w:ascii="Arial" w:cs="Arial" w:eastAsia="Arial" w:hAnsi="Arial"/>
          <w:sz w:val="11"/>
          <w:szCs w:val="11"/>
          <w:color w:val="auto"/>
        </w:rPr>
        <w:t>On October 1, 2021, the Company’s board approved the conversion of the Shareholder Loans (defined below) to additional paid-in-capital, and on October 3, 2021, the Company executed an agreement with Mubadala Investment Company PJSC (“Mubadala”) to convert the remaining $10.1 billion of the Shareholder Loan balance into additional paid-in-capital (“the Conversion”). The Conversion did not have an impact on shares outstanding or have any dilutive effects, as no additional shares were issued.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20" w:type="dxa"/>
            <w:vAlign w:val="bottom"/>
          </w:tcPr>
          <w:p>
            <w:pPr>
              <w:spacing w:after="0"/>
              <w:rPr>
                <w:sz w:val="20"/>
                <w:szCs w:val="20"/>
                <w:color w:val="auto"/>
              </w:rPr>
            </w:pPr>
            <w:r>
              <w:rPr>
                <w:rFonts w:ascii="Arial" w:cs="Arial" w:eastAsia="Arial" w:hAnsi="Arial"/>
                <w:sz w:val="13"/>
                <w:szCs w:val="13"/>
                <w:color w:val="auto"/>
              </w:rPr>
              <w:t>Geographical concentration of cash and cash equivalents is as follows:</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12"/>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24"/>
                <w:szCs w:val="24"/>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of America</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Republic of Singapore</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1,485</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2,352</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2,939</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Issued Capital and Reserves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Capital</w:t>
      </w:r>
      <w:r>
        <w:rPr>
          <w:rFonts w:ascii="Arial" w:cs="Arial" w:eastAsia="Arial" w:hAnsi="Arial"/>
          <w:sz w:val="13"/>
          <w:szCs w:val="13"/>
          <w:color w:val="auto"/>
        </w:rPr>
        <w:t>— On September 12, 2021, the Company effected a 1-for-2 reverse share split, which was approved by our board of directors on September 9, 2021.</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On October 27, 2021, the Company completed an initial public offering, issuing 30,250,000 ordinary shares, as well as 1,595,744 ordinary shares in a concurrent private placement agreement.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there were 1,300 million ordinary shares and 200 million preferred shares with a par value of $0.02 authorized, and 548 million ordinary shares issued and outstanding.</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3"/>
          <w:szCs w:val="13"/>
          <w:b w:val="1"/>
          <w:bCs w:val="1"/>
          <w:color w:val="auto"/>
        </w:rPr>
        <w:t>Additional Paid-In Capital</w:t>
      </w:r>
      <w:r>
        <w:rPr>
          <w:rFonts w:ascii="Arial" w:cs="Arial" w:eastAsia="Arial" w:hAnsi="Arial"/>
          <w:sz w:val="13"/>
          <w:szCs w:val="13"/>
          <w:color w:val="auto"/>
        </w:rPr>
        <w:t>—Additional paid-in capital represents the excess of assets less liabilities contributed to GLOBALFOUNDRIES by shareholders over the share capital issued in exchange for</w:t>
      </w:r>
      <w:r>
        <w:rPr>
          <w:rFonts w:ascii="Arial" w:cs="Arial" w:eastAsia="Arial" w:hAnsi="Arial"/>
          <w:sz w:val="13"/>
          <w:szCs w:val="13"/>
          <w:b w:val="1"/>
          <w:bCs w:val="1"/>
          <w:color w:val="auto"/>
        </w:rPr>
        <w:t xml:space="preserve"> </w:t>
      </w:r>
      <w:r>
        <w:rPr>
          <w:rFonts w:ascii="Arial" w:cs="Arial" w:eastAsia="Arial" w:hAnsi="Arial"/>
          <w:sz w:val="13"/>
          <w:szCs w:val="13"/>
          <w:color w:val="auto"/>
        </w:rPr>
        <w:t>those contributions and share-based compensation charges for share-based payments.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Reserves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All other reserves as stated in the consolidated statements of changes in equity:</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Hedging Reserve</w:t>
      </w:r>
      <w:r>
        <w:rPr>
          <w:rFonts w:ascii="Arial" w:cs="Arial" w:eastAsia="Arial" w:hAnsi="Arial"/>
          <w:sz w:val="13"/>
          <w:szCs w:val="13"/>
          <w:color w:val="auto"/>
        </w:rPr>
        <w:t>—The cash flow hedge reserve contains the effective portion of the cash flow hedge relationships incurred as at the reporting date.</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3"/>
          <w:szCs w:val="13"/>
          <w:i w:val="1"/>
          <w:iCs w:val="1"/>
          <w:color w:val="auto"/>
        </w:rPr>
        <w:t>Foreign Currency Translation Reserve</w:t>
      </w:r>
      <w:r>
        <w:rPr>
          <w:rFonts w:ascii="Arial" w:cs="Arial" w:eastAsia="Arial" w:hAnsi="Arial"/>
          <w:sz w:val="13"/>
          <w:szCs w:val="13"/>
          <w:color w:val="auto"/>
        </w:rPr>
        <w:t>—The foreign currency translation reserve is used to record exchange differences arising from the translation of AMTC and BAC’s financial statements for</w:t>
      </w:r>
      <w:r>
        <w:rPr>
          <w:rFonts w:ascii="Arial" w:cs="Arial" w:eastAsia="Arial" w:hAnsi="Arial"/>
          <w:sz w:val="13"/>
          <w:szCs w:val="13"/>
          <w:i w:val="1"/>
          <w:iCs w:val="1"/>
          <w:color w:val="auto"/>
        </w:rPr>
        <w:t xml:space="preserve"> </w:t>
      </w:r>
      <w:r>
        <w:rPr>
          <w:rFonts w:ascii="Arial" w:cs="Arial" w:eastAsia="Arial" w:hAnsi="Arial"/>
          <w:sz w:val="13"/>
          <w:szCs w:val="13"/>
          <w:color w:val="auto"/>
        </w:rPr>
        <w:t>consolidation purpose.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Pr>
          <w:p>
            <w:pPr>
              <w:spacing w:after="0"/>
              <w:rPr>
                <w:sz w:val="20"/>
                <w:szCs w:val="20"/>
                <w:color w:val="auto"/>
              </w:rPr>
            </w:pPr>
            <w:r>
              <w:rPr>
                <w:rFonts w:ascii="Arial" w:cs="Arial" w:eastAsia="Arial" w:hAnsi="Arial"/>
                <w:sz w:val="13"/>
                <w:szCs w:val="13"/>
                <w:b w:val="1"/>
                <w:bCs w:val="1"/>
                <w:color w:val="auto"/>
              </w:rPr>
              <w:t>20. Long-Term Debt</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3"/>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24"/>
                <w:szCs w:val="24"/>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50"/>
        </w:trPr>
        <w:tc>
          <w:tcPr>
            <w:tcW w:w="82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Current:</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8"/>
        </w:trPr>
        <w:tc>
          <w:tcPr>
            <w:tcW w:w="8220" w:type="dxa"/>
            <w:vAlign w:val="bottom"/>
          </w:tcPr>
          <w:p>
            <w:pPr>
              <w:ind w:left="180"/>
              <w:spacing w:after="0"/>
              <w:rPr>
                <w:sz w:val="20"/>
                <w:szCs w:val="20"/>
                <w:color w:val="auto"/>
              </w:rPr>
            </w:pPr>
            <w:r>
              <w:rPr>
                <w:rFonts w:ascii="Arial" w:cs="Arial" w:eastAsia="Arial" w:hAnsi="Arial"/>
                <w:sz w:val="13"/>
                <w:szCs w:val="13"/>
                <w:color w:val="auto"/>
              </w:rPr>
              <w:t>Term loans</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297</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8220" w:type="dxa"/>
            <w:vAlign w:val="bottom"/>
          </w:tcPr>
          <w:p>
            <w:pPr>
              <w:ind w:left="180"/>
              <w:spacing w:after="0"/>
              <w:rPr>
                <w:sz w:val="20"/>
                <w:szCs w:val="20"/>
                <w:color w:val="auto"/>
              </w:rPr>
            </w:pPr>
            <w:r>
              <w:rPr>
                <w:rFonts w:ascii="Arial" w:cs="Arial" w:eastAsia="Arial" w:hAnsi="Arial"/>
                <w:sz w:val="13"/>
                <w:szCs w:val="13"/>
                <w:color w:val="auto"/>
              </w:rPr>
              <w:t>Term loans</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1,716</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2,511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The above balances are net of $12 million and $18 million of unamortized debt issuance costs for the years ended December 31, 2022 and 2021,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80" w:type="dxa"/>
            <w:vAlign w:val="bottom"/>
          </w:tcPr>
          <w:p>
            <w:pPr>
              <w:spacing w:after="0"/>
              <w:rPr>
                <w:sz w:val="20"/>
                <w:szCs w:val="20"/>
                <w:color w:val="auto"/>
              </w:rPr>
            </w:pPr>
            <w:r>
              <w:rPr>
                <w:rFonts w:ascii="Arial" w:cs="Arial" w:eastAsia="Arial" w:hAnsi="Arial"/>
                <w:sz w:val="13"/>
                <w:szCs w:val="13"/>
                <w:color w:val="auto"/>
              </w:rPr>
              <w:t>Movements in interest bearing borrowings during the reporting period were as follows:</w:t>
            </w: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352"/>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9"/>
              </w:rPr>
              <w:t>December 31, 2022</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December 31, 2021</w:t>
            </w:r>
          </w:p>
        </w:tc>
      </w:tr>
      <w:tr>
        <w:trPr>
          <w:trHeight w:val="163"/>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balance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2,338</w:t>
            </w:r>
          </w:p>
        </w:tc>
      </w:tr>
      <w:tr>
        <w:trPr>
          <w:trHeight w:val="168"/>
        </w:trPr>
        <w:tc>
          <w:tcPr>
            <w:tcW w:w="5180" w:type="dxa"/>
            <w:vAlign w:val="bottom"/>
          </w:tcPr>
          <w:p>
            <w:pPr>
              <w:ind w:left="20"/>
              <w:spacing w:after="0"/>
              <w:rPr>
                <w:sz w:val="20"/>
                <w:szCs w:val="20"/>
                <w:color w:val="auto"/>
              </w:rPr>
            </w:pPr>
            <w:r>
              <w:rPr>
                <w:rFonts w:ascii="Arial" w:cs="Arial" w:eastAsia="Arial" w:hAnsi="Arial"/>
                <w:sz w:val="13"/>
                <w:szCs w:val="13"/>
                <w:color w:val="auto"/>
              </w:rPr>
              <w:t>New loans and borrowings</w:t>
            </w: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618</w:t>
            </w:r>
          </w:p>
        </w:tc>
      </w:tr>
      <w:tr>
        <w:trPr>
          <w:trHeight w:val="172"/>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Repayments</w:t>
            </w:r>
          </w:p>
        </w:tc>
        <w:tc>
          <w:tcPr>
            <w:tcW w:w="3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r>
      <w:tr>
        <w:trPr>
          <w:trHeight w:val="16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30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r>
      <w:tr>
        <w:trPr>
          <w:trHeight w:val="162"/>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Ending balance</w:t>
            </w:r>
          </w:p>
        </w:tc>
        <w:tc>
          <w:tcPr>
            <w:tcW w:w="30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2,511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2,013</w:t>
            </w:r>
          </w:p>
        </w:tc>
      </w:tr>
      <w:tr>
        <w:trPr>
          <w:trHeight w:val="697"/>
        </w:trPr>
        <w:tc>
          <w:tcPr>
            <w:tcW w:w="5180" w:type="dxa"/>
            <w:vAlign w:val="bottom"/>
          </w:tcPr>
          <w:p>
            <w:pPr>
              <w:spacing w:after="0"/>
              <w:rPr>
                <w:sz w:val="24"/>
                <w:szCs w:val="24"/>
                <w:color w:val="auto"/>
              </w:rPr>
            </w:pPr>
          </w:p>
        </w:tc>
        <w:tc>
          <w:tcPr>
            <w:tcW w:w="3180" w:type="dxa"/>
            <w:vAlign w:val="bottom"/>
            <w:gridSpan w:val="2"/>
          </w:tcPr>
          <w:p>
            <w:pPr>
              <w:jc w:val="right"/>
              <w:ind w:right="2516"/>
              <w:spacing w:after="0"/>
              <w:rPr>
                <w:sz w:val="20"/>
                <w:szCs w:val="20"/>
                <w:color w:val="auto"/>
              </w:rPr>
            </w:pPr>
            <w:r>
              <w:rPr>
                <w:rFonts w:ascii="Arial" w:cs="Arial" w:eastAsia="Arial" w:hAnsi="Arial"/>
                <w:sz w:val="13"/>
                <w:szCs w:val="13"/>
                <w:color w:val="auto"/>
              </w:rPr>
              <w:t>F-34</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1"/>
        </w:trPr>
        <w:tc>
          <w:tcPr>
            <w:tcW w:w="5180" w:type="dxa"/>
            <w:vAlign w:val="bottom"/>
            <w:tcBorders>
              <w:bottom w:val="single" w:sz="8" w:color="9A9A9A"/>
            </w:tcBorders>
          </w:tcPr>
          <w:p>
            <w:pPr>
              <w:spacing w:after="0"/>
              <w:rPr>
                <w:sz w:val="7"/>
                <w:szCs w:val="7"/>
                <w:color w:val="auto"/>
              </w:rPr>
            </w:pPr>
          </w:p>
        </w:tc>
        <w:tc>
          <w:tcPr>
            <w:tcW w:w="3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Terms and Debt Repayment Schedule</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term loan facilities. The below arrangements are all considered to be secured.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60" w:type="dxa"/>
            <w:vAlign w:val="bottom"/>
            <w:vMerge w:val="restart"/>
          </w:tcPr>
          <w:p>
            <w:pPr>
              <w:jc w:val="center"/>
              <w:ind w:right="71"/>
              <w:spacing w:after="0"/>
              <w:rPr>
                <w:sz w:val="20"/>
                <w:szCs w:val="20"/>
                <w:color w:val="auto"/>
              </w:rPr>
            </w:pPr>
            <w:r>
              <w:rPr>
                <w:rFonts w:ascii="Arial" w:cs="Arial" w:eastAsia="Arial" w:hAnsi="Arial"/>
                <w:sz w:val="10"/>
                <w:szCs w:val="10"/>
                <w:b w:val="1"/>
                <w:bCs w:val="1"/>
                <w:color w:val="auto"/>
                <w:w w:val="99"/>
              </w:rPr>
              <w:t>Nominal Interest</w:t>
            </w:r>
          </w:p>
        </w:tc>
        <w:tc>
          <w:tcPr>
            <w:tcW w:w="1360" w:type="dxa"/>
            <w:vAlign w:val="bottom"/>
          </w:tcPr>
          <w:p>
            <w:pPr>
              <w:jc w:val="center"/>
              <w:ind w:right="31"/>
              <w:spacing w:after="0"/>
              <w:rPr>
                <w:sz w:val="20"/>
                <w:szCs w:val="20"/>
                <w:color w:val="auto"/>
              </w:rPr>
            </w:pPr>
            <w:r>
              <w:rPr>
                <w:rFonts w:ascii="Arial" w:cs="Arial" w:eastAsia="Arial" w:hAnsi="Arial"/>
                <w:sz w:val="10"/>
                <w:szCs w:val="10"/>
                <w:b w:val="1"/>
                <w:bCs w:val="1"/>
                <w:color w:val="auto"/>
                <w:w w:val="99"/>
              </w:rPr>
              <w:t>Interest</w:t>
            </w:r>
          </w:p>
        </w:tc>
        <w:tc>
          <w:tcPr>
            <w:tcW w:w="1340" w:type="dxa"/>
            <w:vAlign w:val="bottom"/>
          </w:tcPr>
          <w:p>
            <w:pPr>
              <w:jc w:val="center"/>
              <w:ind w:left="31"/>
              <w:spacing w:after="0"/>
              <w:rPr>
                <w:sz w:val="20"/>
                <w:szCs w:val="20"/>
                <w:color w:val="auto"/>
              </w:rPr>
            </w:pPr>
            <w:r>
              <w:rPr>
                <w:rFonts w:ascii="Arial" w:cs="Arial" w:eastAsia="Arial" w:hAnsi="Arial"/>
                <w:sz w:val="10"/>
                <w:szCs w:val="10"/>
                <w:b w:val="1"/>
                <w:bCs w:val="1"/>
                <w:color w:val="auto"/>
                <w:w w:val="99"/>
              </w:rPr>
              <w:t>Principal</w:t>
            </w:r>
          </w:p>
        </w:tc>
        <w:tc>
          <w:tcPr>
            <w:tcW w:w="1080" w:type="dxa"/>
            <w:vAlign w:val="bottom"/>
          </w:tcPr>
          <w:p>
            <w:pPr>
              <w:jc w:val="center"/>
              <w:ind w:left="31"/>
              <w:spacing w:after="0"/>
              <w:rPr>
                <w:sz w:val="20"/>
                <w:szCs w:val="20"/>
                <w:color w:val="auto"/>
              </w:rPr>
            </w:pPr>
            <w:r>
              <w:rPr>
                <w:rFonts w:ascii="Arial" w:cs="Arial" w:eastAsia="Arial" w:hAnsi="Arial"/>
                <w:sz w:val="10"/>
                <w:szCs w:val="10"/>
                <w:b w:val="1"/>
                <w:bCs w:val="1"/>
                <w:color w:val="auto"/>
                <w:w w:val="92"/>
              </w:rPr>
              <w:t>Year</w:t>
            </w:r>
          </w:p>
        </w:tc>
        <w:tc>
          <w:tcPr>
            <w:tcW w:w="1080" w:type="dxa"/>
            <w:vAlign w:val="bottom"/>
          </w:tcPr>
          <w:p>
            <w:pPr>
              <w:jc w:val="center"/>
              <w:ind w:right="91"/>
              <w:spacing w:after="0"/>
              <w:rPr>
                <w:sz w:val="20"/>
                <w:szCs w:val="20"/>
                <w:color w:val="auto"/>
              </w:rPr>
            </w:pPr>
            <w:r>
              <w:rPr>
                <w:rFonts w:ascii="Arial" w:cs="Arial" w:eastAsia="Arial" w:hAnsi="Arial"/>
                <w:sz w:val="10"/>
                <w:szCs w:val="10"/>
                <w:b w:val="1"/>
                <w:bCs w:val="1"/>
                <w:color w:val="auto"/>
                <w:w w:val="98"/>
              </w:rPr>
              <w:t>2022</w:t>
            </w:r>
          </w:p>
        </w:tc>
        <w:tc>
          <w:tcPr>
            <w:tcW w:w="860" w:type="dxa"/>
            <w:vAlign w:val="bottom"/>
          </w:tcPr>
          <w:p>
            <w:pPr>
              <w:jc w:val="center"/>
              <w:ind w:right="71"/>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360" w:type="dxa"/>
            <w:vAlign w:val="bottom"/>
          </w:tcPr>
          <w:p>
            <w:pPr>
              <w:jc w:val="center"/>
              <w:ind w:right="11"/>
              <w:spacing w:after="0" w:line="96" w:lineRule="exact"/>
              <w:rPr>
                <w:sz w:val="20"/>
                <w:szCs w:val="20"/>
                <w:color w:val="auto"/>
              </w:rPr>
            </w:pPr>
            <w:r>
              <w:rPr>
                <w:rFonts w:ascii="Arial" w:cs="Arial" w:eastAsia="Arial" w:hAnsi="Arial"/>
                <w:sz w:val="10"/>
                <w:szCs w:val="10"/>
                <w:b w:val="1"/>
                <w:bCs w:val="1"/>
                <w:color w:val="auto"/>
              </w:rPr>
              <w:t>Payment</w:t>
            </w:r>
          </w:p>
        </w:tc>
        <w:tc>
          <w:tcPr>
            <w:tcW w:w="1340" w:type="dxa"/>
            <w:vAlign w:val="bottom"/>
          </w:tcPr>
          <w:p>
            <w:pPr>
              <w:jc w:val="center"/>
              <w:ind w:left="51"/>
              <w:spacing w:after="0" w:line="96" w:lineRule="exact"/>
              <w:rPr>
                <w:sz w:val="20"/>
                <w:szCs w:val="20"/>
                <w:color w:val="auto"/>
              </w:rPr>
            </w:pPr>
            <w:r>
              <w:rPr>
                <w:rFonts w:ascii="Arial" w:cs="Arial" w:eastAsia="Arial" w:hAnsi="Arial"/>
                <w:sz w:val="10"/>
                <w:szCs w:val="10"/>
                <w:b w:val="1"/>
                <w:bCs w:val="1"/>
                <w:color w:val="auto"/>
                <w:w w:val="95"/>
              </w:rPr>
              <w:t>Payment</w:t>
            </w:r>
          </w:p>
        </w:tc>
        <w:tc>
          <w:tcPr>
            <w:tcW w:w="1080" w:type="dxa"/>
            <w:vAlign w:val="bottom"/>
          </w:tcPr>
          <w:p>
            <w:pPr>
              <w:jc w:val="center"/>
              <w:ind w:left="31"/>
              <w:spacing w:after="0" w:line="96" w:lineRule="exact"/>
              <w:rPr>
                <w:sz w:val="20"/>
                <w:szCs w:val="20"/>
                <w:color w:val="auto"/>
              </w:rPr>
            </w:pPr>
            <w:r>
              <w:rPr>
                <w:rFonts w:ascii="Arial" w:cs="Arial" w:eastAsia="Arial" w:hAnsi="Arial"/>
                <w:sz w:val="10"/>
                <w:szCs w:val="10"/>
                <w:b w:val="1"/>
                <w:bCs w:val="1"/>
                <w:color w:val="auto"/>
                <w:w w:val="84"/>
              </w:rPr>
              <w:t>of</w:t>
            </w:r>
          </w:p>
        </w:tc>
        <w:tc>
          <w:tcPr>
            <w:tcW w:w="1080" w:type="dxa"/>
            <w:vAlign w:val="bottom"/>
          </w:tcPr>
          <w:p>
            <w:pPr>
              <w:jc w:val="center"/>
              <w:ind w:right="71"/>
              <w:spacing w:after="0" w:line="96" w:lineRule="exact"/>
              <w:rPr>
                <w:sz w:val="20"/>
                <w:szCs w:val="20"/>
                <w:color w:val="auto"/>
              </w:rPr>
            </w:pPr>
            <w:r>
              <w:rPr>
                <w:rFonts w:ascii="Arial" w:cs="Arial" w:eastAsia="Arial" w:hAnsi="Arial"/>
                <w:sz w:val="10"/>
                <w:szCs w:val="10"/>
                <w:b w:val="1"/>
                <w:bCs w:val="1"/>
                <w:color w:val="auto"/>
                <w:w w:val="97"/>
              </w:rPr>
              <w:t>Carrying</w:t>
            </w:r>
          </w:p>
        </w:tc>
        <w:tc>
          <w:tcPr>
            <w:tcW w:w="860" w:type="dxa"/>
            <w:vAlign w:val="bottom"/>
          </w:tcPr>
          <w:p>
            <w:pPr>
              <w:jc w:val="center"/>
              <w:ind w:right="51"/>
              <w:spacing w:after="0" w:line="96" w:lineRule="exact"/>
              <w:rPr>
                <w:sz w:val="20"/>
                <w:szCs w:val="20"/>
                <w:color w:val="auto"/>
              </w:rPr>
            </w:pPr>
            <w:r>
              <w:rPr>
                <w:rFonts w:ascii="Arial" w:cs="Arial" w:eastAsia="Arial" w:hAnsi="Arial"/>
                <w:sz w:val="10"/>
                <w:szCs w:val="10"/>
                <w:b w:val="1"/>
                <w:bCs w:val="1"/>
                <w:color w:val="auto"/>
                <w:w w:val="97"/>
              </w:rPr>
              <w:t>Carrying</w:t>
            </w:r>
          </w:p>
        </w:tc>
        <w:tc>
          <w:tcPr>
            <w:tcW w:w="0" w:type="dxa"/>
            <w:vAlign w:val="bottom"/>
          </w:tcPr>
          <w:p>
            <w:pPr>
              <w:spacing w:after="0"/>
              <w:rPr>
                <w:sz w:val="1"/>
                <w:szCs w:val="1"/>
                <w:color w:val="auto"/>
              </w:rPr>
            </w:pPr>
          </w:p>
        </w:tc>
      </w:tr>
      <w:tr>
        <w:trPr>
          <w:trHeight w:val="141"/>
        </w:trPr>
        <w:tc>
          <w:tcPr>
            <w:tcW w:w="26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ind w:left="1060"/>
              <w:spacing w:after="0"/>
              <w:rPr>
                <w:sz w:val="20"/>
                <w:szCs w:val="20"/>
                <w:color w:val="auto"/>
              </w:rPr>
            </w:pPr>
            <w:r>
              <w:rPr>
                <w:rFonts w:ascii="Arial" w:cs="Arial" w:eastAsia="Arial" w:hAnsi="Arial"/>
                <w:sz w:val="10"/>
                <w:szCs w:val="10"/>
                <w:b w:val="1"/>
                <w:bCs w:val="1"/>
                <w:color w:val="auto"/>
              </w:rPr>
              <w:t>Description</w:t>
            </w:r>
          </w:p>
        </w:tc>
        <w:tc>
          <w:tcPr>
            <w:tcW w:w="1180" w:type="dxa"/>
            <w:vAlign w:val="bottom"/>
            <w:tcBorders>
              <w:bottom w:val="single" w:sz="8" w:color="auto"/>
            </w:tcBorders>
          </w:tcPr>
          <w:p>
            <w:pPr>
              <w:jc w:val="center"/>
              <w:ind w:left="171"/>
              <w:spacing w:after="0"/>
              <w:rPr>
                <w:sz w:val="20"/>
                <w:szCs w:val="20"/>
                <w:color w:val="auto"/>
              </w:rPr>
            </w:pPr>
            <w:r>
              <w:rPr>
                <w:rFonts w:ascii="Arial" w:cs="Arial" w:eastAsia="Arial" w:hAnsi="Arial"/>
                <w:sz w:val="10"/>
                <w:szCs w:val="10"/>
                <w:b w:val="1"/>
                <w:bCs w:val="1"/>
                <w:color w:val="auto"/>
              </w:rPr>
              <w:t>Currency</w:t>
            </w:r>
          </w:p>
        </w:tc>
        <w:tc>
          <w:tcPr>
            <w:tcW w:w="1460" w:type="dxa"/>
            <w:vAlign w:val="bottom"/>
            <w:tcBorders>
              <w:bottom w:val="single" w:sz="8" w:color="auto"/>
            </w:tcBorders>
          </w:tcPr>
          <w:p>
            <w:pPr>
              <w:jc w:val="center"/>
              <w:ind w:right="71"/>
              <w:spacing w:after="0"/>
              <w:rPr>
                <w:sz w:val="20"/>
                <w:szCs w:val="20"/>
                <w:color w:val="auto"/>
              </w:rPr>
            </w:pPr>
            <w:r>
              <w:rPr>
                <w:rFonts w:ascii="Arial" w:cs="Arial" w:eastAsia="Arial" w:hAnsi="Arial"/>
                <w:sz w:val="10"/>
                <w:szCs w:val="10"/>
                <w:b w:val="1"/>
                <w:bCs w:val="1"/>
                <w:color w:val="auto"/>
              </w:rPr>
              <w:t>Rate</w:t>
            </w:r>
          </w:p>
        </w:tc>
        <w:tc>
          <w:tcPr>
            <w:tcW w:w="1360" w:type="dxa"/>
            <w:vAlign w:val="bottom"/>
            <w:tcBorders>
              <w:bottom w:val="single" w:sz="8" w:color="auto"/>
            </w:tcBorders>
          </w:tcPr>
          <w:p>
            <w:pPr>
              <w:jc w:val="center"/>
              <w:ind w:right="11"/>
              <w:spacing w:after="0"/>
              <w:rPr>
                <w:sz w:val="20"/>
                <w:szCs w:val="20"/>
                <w:color w:val="auto"/>
              </w:rPr>
            </w:pPr>
            <w:r>
              <w:rPr>
                <w:rFonts w:ascii="Arial" w:cs="Arial" w:eastAsia="Arial" w:hAnsi="Arial"/>
                <w:sz w:val="10"/>
                <w:szCs w:val="10"/>
                <w:b w:val="1"/>
                <w:bCs w:val="1"/>
                <w:color w:val="auto"/>
                <w:w w:val="99"/>
              </w:rPr>
              <w:t>Terms</w:t>
            </w:r>
          </w:p>
        </w:tc>
        <w:tc>
          <w:tcPr>
            <w:tcW w:w="1340" w:type="dxa"/>
            <w:vAlign w:val="bottom"/>
            <w:tcBorders>
              <w:bottom w:val="single" w:sz="8" w:color="auto"/>
            </w:tcBorders>
          </w:tcPr>
          <w:p>
            <w:pPr>
              <w:jc w:val="center"/>
              <w:ind w:left="51"/>
              <w:spacing w:after="0"/>
              <w:rPr>
                <w:sz w:val="20"/>
                <w:szCs w:val="20"/>
                <w:color w:val="auto"/>
              </w:rPr>
            </w:pPr>
            <w:r>
              <w:rPr>
                <w:rFonts w:ascii="Arial" w:cs="Arial" w:eastAsia="Arial" w:hAnsi="Arial"/>
                <w:sz w:val="10"/>
                <w:szCs w:val="10"/>
                <w:b w:val="1"/>
                <w:bCs w:val="1"/>
                <w:color w:val="auto"/>
                <w:w w:val="93"/>
              </w:rPr>
              <w:t>Terms</w:t>
            </w:r>
          </w:p>
        </w:tc>
        <w:tc>
          <w:tcPr>
            <w:tcW w:w="108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b w:val="1"/>
                <w:bCs w:val="1"/>
                <w:color w:val="auto"/>
              </w:rPr>
              <w:t>Maturity</w:t>
            </w: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0"/>
                <w:szCs w:val="10"/>
                <w:b w:val="1"/>
                <w:bCs w:val="1"/>
                <w:color w:val="auto"/>
                <w:w w:val="95"/>
              </w:rPr>
              <w:t>Amount</w:t>
            </w:r>
          </w:p>
        </w:tc>
        <w:tc>
          <w:tcPr>
            <w:tcW w:w="860" w:type="dxa"/>
            <w:vAlign w:val="bottom"/>
            <w:tcBorders>
              <w:bottom w:val="single" w:sz="8" w:color="auto"/>
            </w:tcBorders>
          </w:tcPr>
          <w:p>
            <w:pPr>
              <w:jc w:val="center"/>
              <w:ind w:right="71"/>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6"/>
        </w:trPr>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8"/>
              </w:rPr>
              <w:t>2018</w:t>
            </w:r>
          </w:p>
        </w:tc>
        <w:tc>
          <w:tcPr>
            <w:tcW w:w="264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Tool Equipment Purchase and Lease Financing</w:t>
            </w:r>
            <w:r>
              <w:rPr>
                <w:rFonts w:ascii="Arial" w:cs="Arial" w:eastAsia="Arial" w:hAnsi="Arial"/>
                <w:sz w:val="12"/>
                <w:szCs w:val="12"/>
                <w:color w:val="auto"/>
                <w:vertAlign w:val="superscript"/>
              </w:rPr>
              <w:t>(1)</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shd w:val="clear" w:color="auto" w:fill="CCEEFF"/>
          </w:tcPr>
          <w:p>
            <w:pPr>
              <w:jc w:val="center"/>
              <w:ind w:right="71"/>
              <w:spacing w:after="0"/>
              <w:rPr>
                <w:sz w:val="20"/>
                <w:szCs w:val="20"/>
                <w:color w:val="auto"/>
              </w:rPr>
            </w:pPr>
            <w:r>
              <w:rPr>
                <w:rFonts w:ascii="Arial" w:cs="Arial" w:eastAsia="Arial" w:hAnsi="Arial"/>
                <w:sz w:val="10"/>
                <w:szCs w:val="10"/>
                <w:color w:val="auto"/>
              </w:rPr>
              <w:t>LIBOR + 1.60%</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Quarterly</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2023</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19</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138"/>
        </w:trPr>
        <w:tc>
          <w:tcPr>
            <w:tcW w:w="260" w:type="dxa"/>
            <w:vAlign w:val="bottom"/>
          </w:tcPr>
          <w:p>
            <w:pPr>
              <w:ind w:left="20"/>
              <w:spacing w:after="0"/>
              <w:rPr>
                <w:sz w:val="20"/>
                <w:szCs w:val="20"/>
                <w:color w:val="auto"/>
              </w:rPr>
            </w:pPr>
            <w:r>
              <w:rPr>
                <w:rFonts w:ascii="Arial" w:cs="Arial" w:eastAsia="Arial" w:hAnsi="Arial"/>
                <w:sz w:val="10"/>
                <w:szCs w:val="10"/>
                <w:color w:val="auto"/>
                <w:w w:val="98"/>
              </w:rPr>
              <w:t>2019</w:t>
            </w:r>
          </w:p>
        </w:tc>
        <w:tc>
          <w:tcPr>
            <w:tcW w:w="2640" w:type="dxa"/>
            <w:vAlign w:val="bottom"/>
          </w:tcPr>
          <w:p>
            <w:pPr>
              <w:spacing w:after="0"/>
              <w:rPr>
                <w:sz w:val="20"/>
                <w:szCs w:val="20"/>
                <w:color w:val="auto"/>
              </w:rPr>
            </w:pPr>
            <w:r>
              <w:rPr>
                <w:rFonts w:ascii="Arial" w:cs="Arial" w:eastAsia="Arial" w:hAnsi="Arial"/>
                <w:sz w:val="10"/>
                <w:szCs w:val="10"/>
                <w:color w:val="auto"/>
              </w:rPr>
              <w:t>Tool Equipment Purchase and Lease Financing</w:t>
            </w:r>
            <w:r>
              <w:rPr>
                <w:rFonts w:ascii="Arial" w:cs="Arial" w:eastAsia="Arial" w:hAnsi="Arial"/>
                <w:sz w:val="12"/>
                <w:szCs w:val="12"/>
                <w:color w:val="auto"/>
                <w:vertAlign w:val="superscript"/>
              </w:rPr>
              <w:t>(2)</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tcPr>
          <w:p>
            <w:pPr>
              <w:jc w:val="center"/>
              <w:ind w:right="71"/>
              <w:spacing w:after="0"/>
              <w:rPr>
                <w:sz w:val="20"/>
                <w:szCs w:val="20"/>
                <w:color w:val="auto"/>
              </w:rPr>
            </w:pPr>
            <w:r>
              <w:rPr>
                <w:rFonts w:ascii="Arial" w:cs="Arial" w:eastAsia="Arial" w:hAnsi="Arial"/>
                <w:sz w:val="10"/>
                <w:szCs w:val="10"/>
                <w:color w:val="auto"/>
              </w:rPr>
              <w:t>LIBOR + 1.75%</w:t>
            </w:r>
          </w:p>
        </w:tc>
        <w:tc>
          <w:tcPr>
            <w:tcW w:w="1360" w:type="dxa"/>
            <w:vAlign w:val="bottom"/>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Quarterly</w:t>
            </w:r>
          </w:p>
        </w:tc>
        <w:tc>
          <w:tcPr>
            <w:tcW w:w="1080" w:type="dxa"/>
            <w:vAlign w:val="bottom"/>
          </w:tcPr>
          <w:p>
            <w:pPr>
              <w:jc w:val="center"/>
              <w:ind w:left="51"/>
              <w:spacing w:after="0"/>
              <w:rPr>
                <w:sz w:val="20"/>
                <w:szCs w:val="20"/>
                <w:color w:val="auto"/>
              </w:rPr>
            </w:pPr>
            <w:r>
              <w:rPr>
                <w:rFonts w:ascii="Arial" w:cs="Arial" w:eastAsia="Arial" w:hAnsi="Arial"/>
                <w:sz w:val="10"/>
                <w:szCs w:val="10"/>
                <w:color w:val="auto"/>
                <w:w w:val="98"/>
              </w:rPr>
              <w:t>2024</w:t>
            </w:r>
          </w:p>
        </w:tc>
        <w:tc>
          <w:tcPr>
            <w:tcW w:w="1080" w:type="dxa"/>
            <w:vAlign w:val="bottom"/>
          </w:tcPr>
          <w:p>
            <w:pPr>
              <w:jc w:val="right"/>
              <w:ind w:right="111"/>
              <w:spacing w:after="0"/>
              <w:rPr>
                <w:sz w:val="20"/>
                <w:szCs w:val="20"/>
                <w:color w:val="auto"/>
              </w:rPr>
            </w:pPr>
            <w:r>
              <w:rPr>
                <w:rFonts w:ascii="Arial" w:cs="Arial" w:eastAsia="Arial" w:hAnsi="Arial"/>
                <w:sz w:val="10"/>
                <w:szCs w:val="10"/>
                <w:color w:val="auto"/>
              </w:rPr>
              <w:t>85</w:t>
            </w:r>
          </w:p>
        </w:tc>
        <w:tc>
          <w:tcPr>
            <w:tcW w:w="860" w:type="dxa"/>
            <w:vAlign w:val="bottom"/>
          </w:tcPr>
          <w:p>
            <w:pPr>
              <w:jc w:val="right"/>
              <w:spacing w:after="0"/>
              <w:rPr>
                <w:sz w:val="20"/>
                <w:szCs w:val="20"/>
                <w:color w:val="auto"/>
              </w:rPr>
            </w:pPr>
            <w:r>
              <w:rPr>
                <w:rFonts w:ascii="Arial" w:cs="Arial" w:eastAsia="Arial" w:hAnsi="Arial"/>
                <w:sz w:val="10"/>
                <w:szCs w:val="10"/>
                <w:color w:val="auto"/>
              </w:rPr>
              <w:t>84</w:t>
            </w:r>
          </w:p>
        </w:tc>
        <w:tc>
          <w:tcPr>
            <w:tcW w:w="0" w:type="dxa"/>
            <w:vAlign w:val="bottom"/>
          </w:tcPr>
          <w:p>
            <w:pPr>
              <w:spacing w:after="0"/>
              <w:rPr>
                <w:sz w:val="1"/>
                <w:szCs w:val="1"/>
                <w:color w:val="auto"/>
              </w:rPr>
            </w:pPr>
          </w:p>
        </w:tc>
      </w:tr>
      <w:tr>
        <w:trPr>
          <w:trHeight w:val="138"/>
        </w:trPr>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8"/>
              </w:rPr>
              <w:t>2019</w:t>
            </w:r>
          </w:p>
        </w:tc>
        <w:tc>
          <w:tcPr>
            <w:tcW w:w="2640" w:type="dxa"/>
            <w:vAlign w:val="bottom"/>
            <w:shd w:val="clear" w:color="auto" w:fill="CCEEFF"/>
          </w:tcPr>
          <w:p>
            <w:pPr>
              <w:spacing w:after="0"/>
              <w:rPr>
                <w:sz w:val="20"/>
                <w:szCs w:val="20"/>
                <w:color w:val="auto"/>
              </w:rPr>
            </w:pPr>
            <w:r>
              <w:rPr>
                <w:rFonts w:ascii="Arial" w:cs="Arial" w:eastAsia="Arial" w:hAnsi="Arial"/>
                <w:sz w:val="10"/>
                <w:szCs w:val="10"/>
                <w:color w:val="auto"/>
              </w:rPr>
              <w:t>USD Dresden Equipment Financing</w:t>
            </w:r>
            <w:r>
              <w:rPr>
                <w:rFonts w:ascii="Arial" w:cs="Arial" w:eastAsia="Arial" w:hAnsi="Arial"/>
                <w:sz w:val="12"/>
                <w:szCs w:val="12"/>
                <w:color w:val="auto"/>
                <w:vertAlign w:val="superscript"/>
              </w:rPr>
              <w:t>(3)</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shd w:val="clear" w:color="auto" w:fill="CCEEFF"/>
          </w:tcPr>
          <w:p>
            <w:pPr>
              <w:jc w:val="center"/>
              <w:ind w:right="71"/>
              <w:spacing w:after="0"/>
              <w:rPr>
                <w:sz w:val="20"/>
                <w:szCs w:val="20"/>
                <w:color w:val="auto"/>
              </w:rPr>
            </w:pPr>
            <w:r>
              <w:rPr>
                <w:rFonts w:ascii="Arial" w:cs="Arial" w:eastAsia="Arial" w:hAnsi="Arial"/>
                <w:sz w:val="10"/>
                <w:szCs w:val="10"/>
                <w:color w:val="auto"/>
              </w:rPr>
              <w:t>LIBOR + 1.75%</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Semi-Annual</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2024</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36</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138"/>
        </w:trPr>
        <w:tc>
          <w:tcPr>
            <w:tcW w:w="260" w:type="dxa"/>
            <w:vAlign w:val="bottom"/>
          </w:tcPr>
          <w:p>
            <w:pPr>
              <w:ind w:left="20"/>
              <w:spacing w:after="0"/>
              <w:rPr>
                <w:sz w:val="20"/>
                <w:szCs w:val="20"/>
                <w:color w:val="auto"/>
              </w:rPr>
            </w:pPr>
            <w:r>
              <w:rPr>
                <w:rFonts w:ascii="Arial" w:cs="Arial" w:eastAsia="Arial" w:hAnsi="Arial"/>
                <w:sz w:val="10"/>
                <w:szCs w:val="10"/>
                <w:color w:val="auto"/>
                <w:w w:val="98"/>
              </w:rPr>
              <w:t>2020</w:t>
            </w:r>
          </w:p>
        </w:tc>
        <w:tc>
          <w:tcPr>
            <w:tcW w:w="2640" w:type="dxa"/>
            <w:vAlign w:val="bottom"/>
          </w:tcPr>
          <w:p>
            <w:pPr>
              <w:spacing w:after="0"/>
              <w:rPr>
                <w:sz w:val="20"/>
                <w:szCs w:val="20"/>
                <w:color w:val="auto"/>
              </w:rPr>
            </w:pPr>
            <w:r>
              <w:rPr>
                <w:rFonts w:ascii="Arial" w:cs="Arial" w:eastAsia="Arial" w:hAnsi="Arial"/>
                <w:sz w:val="10"/>
                <w:szCs w:val="10"/>
                <w:color w:val="auto"/>
              </w:rPr>
              <w:t>USD Equipment Financing</w:t>
            </w:r>
            <w:r>
              <w:rPr>
                <w:rFonts w:ascii="Arial" w:cs="Arial" w:eastAsia="Arial" w:hAnsi="Arial"/>
                <w:sz w:val="12"/>
                <w:szCs w:val="12"/>
                <w:color w:val="auto"/>
                <w:vertAlign w:val="superscript"/>
              </w:rPr>
              <w:t>(4)</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tcPr>
          <w:p>
            <w:pPr>
              <w:jc w:val="center"/>
              <w:ind w:right="71"/>
              <w:spacing w:after="0"/>
              <w:rPr>
                <w:sz w:val="20"/>
                <w:szCs w:val="20"/>
                <w:color w:val="auto"/>
              </w:rPr>
            </w:pPr>
            <w:r>
              <w:rPr>
                <w:rFonts w:ascii="Arial" w:cs="Arial" w:eastAsia="Arial" w:hAnsi="Arial"/>
                <w:sz w:val="10"/>
                <w:szCs w:val="10"/>
                <w:color w:val="auto"/>
              </w:rPr>
              <w:t>LIBOR + 1.90%</w:t>
            </w:r>
          </w:p>
        </w:tc>
        <w:tc>
          <w:tcPr>
            <w:tcW w:w="1360" w:type="dxa"/>
            <w:vAlign w:val="bottom"/>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Quarterly</w:t>
            </w:r>
          </w:p>
        </w:tc>
        <w:tc>
          <w:tcPr>
            <w:tcW w:w="1080" w:type="dxa"/>
            <w:vAlign w:val="bottom"/>
          </w:tcPr>
          <w:p>
            <w:pPr>
              <w:jc w:val="center"/>
              <w:ind w:left="51"/>
              <w:spacing w:after="0"/>
              <w:rPr>
                <w:sz w:val="20"/>
                <w:szCs w:val="20"/>
                <w:color w:val="auto"/>
              </w:rPr>
            </w:pPr>
            <w:r>
              <w:rPr>
                <w:rFonts w:ascii="Arial" w:cs="Arial" w:eastAsia="Arial" w:hAnsi="Arial"/>
                <w:sz w:val="10"/>
                <w:szCs w:val="10"/>
                <w:color w:val="auto"/>
                <w:w w:val="98"/>
              </w:rPr>
              <w:t>2025</w:t>
            </w:r>
          </w:p>
        </w:tc>
        <w:tc>
          <w:tcPr>
            <w:tcW w:w="1080" w:type="dxa"/>
            <w:vAlign w:val="bottom"/>
          </w:tcPr>
          <w:p>
            <w:pPr>
              <w:jc w:val="right"/>
              <w:ind w:right="111"/>
              <w:spacing w:after="0"/>
              <w:rPr>
                <w:sz w:val="20"/>
                <w:szCs w:val="20"/>
                <w:color w:val="auto"/>
              </w:rPr>
            </w:pPr>
            <w:r>
              <w:rPr>
                <w:rFonts w:ascii="Arial" w:cs="Arial" w:eastAsia="Arial" w:hAnsi="Arial"/>
                <w:sz w:val="10"/>
                <w:szCs w:val="10"/>
                <w:color w:val="auto"/>
              </w:rPr>
              <w:t>59</w:t>
            </w:r>
          </w:p>
        </w:tc>
        <w:tc>
          <w:tcPr>
            <w:tcW w:w="860" w:type="dxa"/>
            <w:vAlign w:val="bottom"/>
          </w:tcPr>
          <w:p>
            <w:pPr>
              <w:jc w:val="right"/>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38"/>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2019 EUR Dresden Equipment Financing</w:t>
            </w:r>
            <w:r>
              <w:rPr>
                <w:rFonts w:ascii="Arial" w:cs="Arial" w:eastAsia="Arial" w:hAnsi="Arial"/>
                <w:sz w:val="12"/>
                <w:szCs w:val="12"/>
                <w:color w:val="auto"/>
                <w:vertAlign w:val="superscript"/>
              </w:rPr>
              <w:t>(3)</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EUR</w:t>
            </w:r>
          </w:p>
        </w:tc>
        <w:tc>
          <w:tcPr>
            <w:tcW w:w="1460" w:type="dxa"/>
            <w:vAlign w:val="bottom"/>
            <w:shd w:val="clear" w:color="auto" w:fill="CCEEFF"/>
          </w:tcPr>
          <w:p>
            <w:pPr>
              <w:jc w:val="center"/>
              <w:ind w:right="51"/>
              <w:spacing w:after="0"/>
              <w:rPr>
                <w:sz w:val="20"/>
                <w:szCs w:val="20"/>
                <w:color w:val="auto"/>
              </w:rPr>
            </w:pPr>
            <w:r>
              <w:rPr>
                <w:rFonts w:ascii="Arial" w:cs="Arial" w:eastAsia="Arial" w:hAnsi="Arial"/>
                <w:sz w:val="10"/>
                <w:szCs w:val="10"/>
                <w:color w:val="auto"/>
                <w:w w:val="98"/>
              </w:rPr>
              <w:t>EURIBOR + 1.75%</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Semi-Annual</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Semi-Annual</w:t>
            </w:r>
          </w:p>
        </w:tc>
        <w:tc>
          <w:tcPr>
            <w:tcW w:w="108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8"/>
              </w:rPr>
              <w:t>2026</w:t>
            </w: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13</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8"/>
        </w:trPr>
        <w:tc>
          <w:tcPr>
            <w:tcW w:w="2900" w:type="dxa"/>
            <w:vAlign w:val="bottom"/>
            <w:gridSpan w:val="2"/>
          </w:tcPr>
          <w:p>
            <w:pPr>
              <w:ind w:left="20"/>
              <w:spacing w:after="0"/>
              <w:rPr>
                <w:sz w:val="20"/>
                <w:szCs w:val="20"/>
                <w:color w:val="auto"/>
              </w:rPr>
            </w:pPr>
            <w:r>
              <w:rPr>
                <w:rFonts w:ascii="Arial" w:cs="Arial" w:eastAsia="Arial" w:hAnsi="Arial"/>
                <w:sz w:val="10"/>
                <w:szCs w:val="10"/>
                <w:color w:val="auto"/>
              </w:rPr>
              <w:t>Various</w:t>
            </w:r>
            <w:r>
              <w:rPr>
                <w:rFonts w:ascii="Arial" w:cs="Arial" w:eastAsia="Arial" w:hAnsi="Arial"/>
                <w:sz w:val="12"/>
                <w:szCs w:val="12"/>
                <w:color w:val="auto"/>
                <w:vertAlign w:val="superscript"/>
              </w:rPr>
              <w:t>(5)</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rPr>
              <w:t>EUR, USD</w:t>
            </w:r>
          </w:p>
        </w:tc>
        <w:tc>
          <w:tcPr>
            <w:tcW w:w="1460" w:type="dxa"/>
            <w:vAlign w:val="bottom"/>
          </w:tcPr>
          <w:p>
            <w:pPr>
              <w:jc w:val="center"/>
              <w:ind w:right="71"/>
              <w:spacing w:after="0"/>
              <w:rPr>
                <w:sz w:val="20"/>
                <w:szCs w:val="20"/>
                <w:color w:val="auto"/>
              </w:rPr>
            </w:pPr>
            <w:r>
              <w:rPr>
                <w:rFonts w:ascii="Arial" w:cs="Arial" w:eastAsia="Arial" w:hAnsi="Arial"/>
                <w:sz w:val="10"/>
                <w:szCs w:val="10"/>
                <w:color w:val="auto"/>
              </w:rPr>
              <w:t>Various</w:t>
            </w:r>
          </w:p>
        </w:tc>
        <w:tc>
          <w:tcPr>
            <w:tcW w:w="1360" w:type="dxa"/>
            <w:vAlign w:val="bottom"/>
          </w:tcPr>
          <w:p>
            <w:pPr>
              <w:jc w:val="center"/>
              <w:ind w:right="31"/>
              <w:spacing w:after="0"/>
              <w:rPr>
                <w:sz w:val="20"/>
                <w:szCs w:val="20"/>
                <w:color w:val="auto"/>
              </w:rPr>
            </w:pPr>
            <w:r>
              <w:rPr>
                <w:rFonts w:ascii="Arial" w:cs="Arial" w:eastAsia="Arial" w:hAnsi="Arial"/>
                <w:sz w:val="10"/>
                <w:szCs w:val="10"/>
                <w:color w:val="auto"/>
                <w:w w:val="94"/>
              </w:rPr>
              <w:t>Various</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4"/>
              </w:rPr>
              <w:t>Various</w:t>
            </w:r>
          </w:p>
        </w:tc>
        <w:tc>
          <w:tcPr>
            <w:tcW w:w="1080" w:type="dxa"/>
            <w:vAlign w:val="bottom"/>
          </w:tcPr>
          <w:p>
            <w:pPr>
              <w:jc w:val="center"/>
              <w:ind w:left="31"/>
              <w:spacing w:after="0"/>
              <w:rPr>
                <w:sz w:val="20"/>
                <w:szCs w:val="20"/>
                <w:color w:val="auto"/>
              </w:rPr>
            </w:pPr>
            <w:r>
              <w:rPr>
                <w:rFonts w:ascii="Arial" w:cs="Arial" w:eastAsia="Arial" w:hAnsi="Arial"/>
                <w:sz w:val="10"/>
                <w:szCs w:val="10"/>
                <w:color w:val="auto"/>
              </w:rPr>
              <w:t>2024-2026</w:t>
            </w:r>
          </w:p>
        </w:tc>
        <w:tc>
          <w:tcPr>
            <w:tcW w:w="1080" w:type="dxa"/>
            <w:vAlign w:val="bottom"/>
          </w:tcPr>
          <w:p>
            <w:pPr>
              <w:jc w:val="right"/>
              <w:ind w:right="111"/>
              <w:spacing w:after="0"/>
              <w:rPr>
                <w:sz w:val="20"/>
                <w:szCs w:val="20"/>
                <w:color w:val="auto"/>
              </w:rPr>
            </w:pPr>
            <w:r>
              <w:rPr>
                <w:rFonts w:ascii="Arial" w:cs="Arial" w:eastAsia="Arial" w:hAnsi="Arial"/>
                <w:sz w:val="10"/>
                <w:szCs w:val="10"/>
                <w:color w:val="auto"/>
              </w:rPr>
              <w:t>11</w:t>
            </w:r>
          </w:p>
        </w:tc>
        <w:tc>
          <w:tcPr>
            <w:tcW w:w="860" w:type="dxa"/>
            <w:vAlign w:val="bottom"/>
          </w:tcPr>
          <w:p>
            <w:pPr>
              <w:jc w:val="right"/>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Current total</w:t>
            </w:r>
          </w:p>
        </w:tc>
        <w:tc>
          <w:tcPr>
            <w:tcW w:w="11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223</w:t>
            </w: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297</w:t>
            </w:r>
          </w:p>
        </w:tc>
      </w:tr>
      <w:tr>
        <w:trPr>
          <w:trHeight w:val="111"/>
        </w:trPr>
        <w:tc>
          <w:tcPr>
            <w:tcW w:w="2900" w:type="dxa"/>
            <w:vAlign w:val="bottom"/>
            <w:gridSpan w:val="2"/>
          </w:tcPr>
          <w:p>
            <w:pPr>
              <w:ind w:left="20"/>
              <w:spacing w:after="0" w:line="104" w:lineRule="exact"/>
              <w:rPr>
                <w:sz w:val="20"/>
                <w:szCs w:val="20"/>
                <w:color w:val="auto"/>
              </w:rPr>
            </w:pPr>
            <w:r>
              <w:rPr>
                <w:rFonts w:ascii="Arial" w:cs="Arial" w:eastAsia="Arial" w:hAnsi="Arial"/>
                <w:sz w:val="10"/>
                <w:szCs w:val="10"/>
                <w:color w:val="auto"/>
              </w:rPr>
              <w:t>Non-current:</w:t>
            </w:r>
          </w:p>
        </w:tc>
        <w:tc>
          <w:tcPr>
            <w:tcW w:w="1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45"/>
        </w:trPr>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8"/>
              </w:rPr>
              <w:t>2019</w:t>
            </w:r>
          </w:p>
        </w:tc>
        <w:tc>
          <w:tcPr>
            <w:tcW w:w="2640" w:type="dxa"/>
            <w:vAlign w:val="bottom"/>
            <w:shd w:val="clear" w:color="auto" w:fill="CCEEFF"/>
          </w:tcPr>
          <w:p>
            <w:pPr>
              <w:spacing w:after="0"/>
              <w:rPr>
                <w:sz w:val="20"/>
                <w:szCs w:val="20"/>
                <w:color w:val="auto"/>
              </w:rPr>
            </w:pPr>
            <w:r>
              <w:rPr>
                <w:rFonts w:ascii="Arial" w:cs="Arial" w:eastAsia="Arial" w:hAnsi="Arial"/>
                <w:sz w:val="10"/>
                <w:szCs w:val="10"/>
                <w:color w:val="auto"/>
              </w:rPr>
              <w:t>Tool Equipment Purchase and Lease Financing</w:t>
            </w:r>
            <w:r>
              <w:rPr>
                <w:rFonts w:ascii="Arial" w:cs="Arial" w:eastAsia="Arial" w:hAnsi="Arial"/>
                <w:sz w:val="12"/>
                <w:szCs w:val="12"/>
                <w:color w:val="auto"/>
                <w:vertAlign w:val="superscript"/>
              </w:rPr>
              <w:t>(2)</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shd w:val="clear" w:color="auto" w:fill="CCEEFF"/>
          </w:tcPr>
          <w:p>
            <w:pPr>
              <w:jc w:val="center"/>
              <w:ind w:right="71"/>
              <w:spacing w:after="0"/>
              <w:rPr>
                <w:sz w:val="20"/>
                <w:szCs w:val="20"/>
                <w:color w:val="auto"/>
              </w:rPr>
            </w:pPr>
            <w:r>
              <w:rPr>
                <w:rFonts w:ascii="Arial" w:cs="Arial" w:eastAsia="Arial" w:hAnsi="Arial"/>
                <w:sz w:val="10"/>
                <w:szCs w:val="10"/>
                <w:color w:val="auto"/>
              </w:rPr>
              <w:t>LIBOR + 1.75%</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Quarterly</w:t>
            </w:r>
          </w:p>
        </w:tc>
        <w:tc>
          <w:tcPr>
            <w:tcW w:w="1060" w:type="dxa"/>
            <w:vAlign w:val="bottom"/>
            <w:shd w:val="clear" w:color="auto" w:fill="CCEEFF"/>
          </w:tcPr>
          <w:p>
            <w:pPr>
              <w:jc w:val="center"/>
              <w:ind w:left="71"/>
              <w:spacing w:after="0"/>
              <w:rPr>
                <w:sz w:val="20"/>
                <w:szCs w:val="20"/>
                <w:color w:val="auto"/>
              </w:rPr>
            </w:pPr>
            <w:r>
              <w:rPr>
                <w:rFonts w:ascii="Arial" w:cs="Arial" w:eastAsia="Arial" w:hAnsi="Arial"/>
                <w:sz w:val="10"/>
                <w:szCs w:val="10"/>
                <w:color w:val="auto"/>
                <w:w w:val="98"/>
              </w:rPr>
              <w:t>2024</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r>
      <w:tr>
        <w:trPr>
          <w:trHeight w:val="138"/>
        </w:trPr>
        <w:tc>
          <w:tcPr>
            <w:tcW w:w="260" w:type="dxa"/>
            <w:vAlign w:val="bottom"/>
          </w:tcPr>
          <w:p>
            <w:pPr>
              <w:ind w:left="20"/>
              <w:spacing w:after="0"/>
              <w:rPr>
                <w:sz w:val="20"/>
                <w:szCs w:val="20"/>
                <w:color w:val="auto"/>
              </w:rPr>
            </w:pPr>
            <w:r>
              <w:rPr>
                <w:rFonts w:ascii="Arial" w:cs="Arial" w:eastAsia="Arial" w:hAnsi="Arial"/>
                <w:sz w:val="10"/>
                <w:szCs w:val="10"/>
                <w:color w:val="auto"/>
                <w:w w:val="98"/>
              </w:rPr>
              <w:t>2019</w:t>
            </w:r>
          </w:p>
        </w:tc>
        <w:tc>
          <w:tcPr>
            <w:tcW w:w="2640" w:type="dxa"/>
            <w:vAlign w:val="bottom"/>
          </w:tcPr>
          <w:p>
            <w:pPr>
              <w:spacing w:after="0"/>
              <w:rPr>
                <w:sz w:val="20"/>
                <w:szCs w:val="20"/>
                <w:color w:val="auto"/>
              </w:rPr>
            </w:pPr>
            <w:r>
              <w:rPr>
                <w:rFonts w:ascii="Arial" w:cs="Arial" w:eastAsia="Arial" w:hAnsi="Arial"/>
                <w:sz w:val="10"/>
                <w:szCs w:val="10"/>
                <w:color w:val="auto"/>
              </w:rPr>
              <w:t>USD Dresden Equipment Financing</w:t>
            </w:r>
            <w:r>
              <w:rPr>
                <w:rFonts w:ascii="Arial" w:cs="Arial" w:eastAsia="Arial" w:hAnsi="Arial"/>
                <w:sz w:val="12"/>
                <w:szCs w:val="12"/>
                <w:color w:val="auto"/>
                <w:vertAlign w:val="superscript"/>
              </w:rPr>
              <w:t>(3)</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tcPr>
          <w:p>
            <w:pPr>
              <w:jc w:val="center"/>
              <w:ind w:right="71"/>
              <w:spacing w:after="0"/>
              <w:rPr>
                <w:sz w:val="20"/>
                <w:szCs w:val="20"/>
                <w:color w:val="auto"/>
              </w:rPr>
            </w:pPr>
            <w:r>
              <w:rPr>
                <w:rFonts w:ascii="Arial" w:cs="Arial" w:eastAsia="Arial" w:hAnsi="Arial"/>
                <w:sz w:val="10"/>
                <w:szCs w:val="10"/>
                <w:color w:val="auto"/>
              </w:rPr>
              <w:t>LIBOR + 2.25%</w:t>
            </w:r>
          </w:p>
        </w:tc>
        <w:tc>
          <w:tcPr>
            <w:tcW w:w="1360" w:type="dxa"/>
            <w:vAlign w:val="bottom"/>
          </w:tcPr>
          <w:p>
            <w:pPr>
              <w:jc w:val="center"/>
              <w:ind w:right="31"/>
              <w:spacing w:after="0"/>
              <w:rPr>
                <w:sz w:val="20"/>
                <w:szCs w:val="20"/>
                <w:color w:val="auto"/>
              </w:rPr>
            </w:pPr>
            <w:r>
              <w:rPr>
                <w:rFonts w:ascii="Arial" w:cs="Arial" w:eastAsia="Arial" w:hAnsi="Arial"/>
                <w:sz w:val="10"/>
                <w:szCs w:val="10"/>
                <w:color w:val="auto"/>
                <w:w w:val="97"/>
              </w:rPr>
              <w:t>Semi-Annual</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Semi-Annual</w:t>
            </w:r>
          </w:p>
        </w:tc>
        <w:tc>
          <w:tcPr>
            <w:tcW w:w="1060" w:type="dxa"/>
            <w:vAlign w:val="bottom"/>
          </w:tcPr>
          <w:p>
            <w:pPr>
              <w:jc w:val="center"/>
              <w:ind w:left="71"/>
              <w:spacing w:after="0"/>
              <w:rPr>
                <w:sz w:val="20"/>
                <w:szCs w:val="20"/>
                <w:color w:val="auto"/>
              </w:rPr>
            </w:pPr>
            <w:r>
              <w:rPr>
                <w:rFonts w:ascii="Arial" w:cs="Arial" w:eastAsia="Arial" w:hAnsi="Arial"/>
                <w:sz w:val="10"/>
                <w:szCs w:val="10"/>
                <w:color w:val="auto"/>
                <w:w w:val="98"/>
              </w:rPr>
              <w:t>2026</w:t>
            </w:r>
          </w:p>
        </w:tc>
        <w:tc>
          <w:tcPr>
            <w:tcW w:w="3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108</w:t>
            </w: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144</w:t>
            </w:r>
          </w:p>
        </w:tc>
      </w:tr>
      <w:tr>
        <w:trPr>
          <w:trHeight w:val="138"/>
        </w:trPr>
        <w:tc>
          <w:tcPr>
            <w:tcW w:w="2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8"/>
              </w:rPr>
              <w:t>2020</w:t>
            </w:r>
          </w:p>
        </w:tc>
        <w:tc>
          <w:tcPr>
            <w:tcW w:w="2640" w:type="dxa"/>
            <w:vAlign w:val="bottom"/>
            <w:shd w:val="clear" w:color="auto" w:fill="CCEEFF"/>
          </w:tcPr>
          <w:p>
            <w:pPr>
              <w:spacing w:after="0"/>
              <w:rPr>
                <w:sz w:val="20"/>
                <w:szCs w:val="20"/>
                <w:color w:val="auto"/>
              </w:rPr>
            </w:pPr>
            <w:r>
              <w:rPr>
                <w:rFonts w:ascii="Arial" w:cs="Arial" w:eastAsia="Arial" w:hAnsi="Arial"/>
                <w:sz w:val="10"/>
                <w:szCs w:val="10"/>
                <w:color w:val="auto"/>
              </w:rPr>
              <w:t>USD Equipment Financing</w:t>
            </w:r>
            <w:r>
              <w:rPr>
                <w:rFonts w:ascii="Arial" w:cs="Arial" w:eastAsia="Arial" w:hAnsi="Arial"/>
                <w:sz w:val="12"/>
                <w:szCs w:val="12"/>
                <w:color w:val="auto"/>
                <w:vertAlign w:val="superscript"/>
              </w:rPr>
              <w:t>(4)</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shd w:val="clear" w:color="auto" w:fill="CCEEFF"/>
          </w:tcPr>
          <w:p>
            <w:pPr>
              <w:jc w:val="center"/>
              <w:ind w:right="71"/>
              <w:spacing w:after="0"/>
              <w:rPr>
                <w:sz w:val="20"/>
                <w:szCs w:val="20"/>
                <w:color w:val="auto"/>
              </w:rPr>
            </w:pPr>
            <w:r>
              <w:rPr>
                <w:rFonts w:ascii="Arial" w:cs="Arial" w:eastAsia="Arial" w:hAnsi="Arial"/>
                <w:sz w:val="10"/>
                <w:szCs w:val="10"/>
                <w:color w:val="auto"/>
              </w:rPr>
              <w:t>LIBOR + 1.90%</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Quarterly</w:t>
            </w:r>
          </w:p>
        </w:tc>
        <w:tc>
          <w:tcPr>
            <w:tcW w:w="1060" w:type="dxa"/>
            <w:vAlign w:val="bottom"/>
            <w:shd w:val="clear" w:color="auto" w:fill="CCEEFF"/>
          </w:tcPr>
          <w:p>
            <w:pPr>
              <w:jc w:val="center"/>
              <w:ind w:left="71"/>
              <w:spacing w:after="0"/>
              <w:rPr>
                <w:sz w:val="20"/>
                <w:szCs w:val="20"/>
                <w:color w:val="auto"/>
              </w:rPr>
            </w:pPr>
            <w:r>
              <w:rPr>
                <w:rFonts w:ascii="Arial" w:cs="Arial" w:eastAsia="Arial" w:hAnsi="Arial"/>
                <w:sz w:val="10"/>
                <w:szCs w:val="10"/>
                <w:color w:val="auto"/>
                <w:w w:val="98"/>
              </w:rPr>
              <w:t>2025</w:t>
            </w: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w:t>
            </w: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w:t>
            </w:r>
          </w:p>
        </w:tc>
      </w:tr>
      <w:tr>
        <w:trPr>
          <w:trHeight w:val="131"/>
        </w:trPr>
        <w:tc>
          <w:tcPr>
            <w:tcW w:w="2900" w:type="dxa"/>
            <w:vAlign w:val="bottom"/>
            <w:gridSpan w:val="2"/>
          </w:tcPr>
          <w:p>
            <w:pPr>
              <w:ind w:left="20"/>
              <w:spacing w:after="0"/>
              <w:rPr>
                <w:sz w:val="20"/>
                <w:szCs w:val="20"/>
                <w:color w:val="auto"/>
              </w:rPr>
            </w:pPr>
            <w:r>
              <w:rPr>
                <w:rFonts w:ascii="Arial" w:cs="Arial" w:eastAsia="Arial" w:hAnsi="Arial"/>
                <w:sz w:val="10"/>
                <w:szCs w:val="10"/>
                <w:color w:val="auto"/>
              </w:rPr>
              <w:t>USD Term Loan A</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USD</w:t>
            </w:r>
          </w:p>
        </w:tc>
        <w:tc>
          <w:tcPr>
            <w:tcW w:w="1460" w:type="dxa"/>
            <w:vAlign w:val="bottom"/>
          </w:tcPr>
          <w:p>
            <w:pPr>
              <w:jc w:val="center"/>
              <w:ind w:right="71"/>
              <w:spacing w:after="0"/>
              <w:rPr>
                <w:sz w:val="20"/>
                <w:szCs w:val="20"/>
                <w:color w:val="auto"/>
              </w:rPr>
            </w:pPr>
            <w:r>
              <w:rPr>
                <w:rFonts w:ascii="Arial" w:cs="Arial" w:eastAsia="Arial" w:hAnsi="Arial"/>
                <w:sz w:val="10"/>
                <w:szCs w:val="10"/>
                <w:color w:val="auto"/>
              </w:rPr>
              <w:t>LIBOR + 2.90%</w:t>
            </w:r>
          </w:p>
        </w:tc>
        <w:tc>
          <w:tcPr>
            <w:tcW w:w="1360" w:type="dxa"/>
            <w:vAlign w:val="bottom"/>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Semi-Annual</w:t>
            </w:r>
          </w:p>
        </w:tc>
        <w:tc>
          <w:tcPr>
            <w:tcW w:w="1060" w:type="dxa"/>
            <w:vAlign w:val="bottom"/>
          </w:tcPr>
          <w:p>
            <w:pPr>
              <w:jc w:val="center"/>
              <w:ind w:left="71"/>
              <w:spacing w:after="0"/>
              <w:rPr>
                <w:sz w:val="20"/>
                <w:szCs w:val="20"/>
                <w:color w:val="auto"/>
              </w:rPr>
            </w:pPr>
            <w:r>
              <w:rPr>
                <w:rFonts w:ascii="Arial" w:cs="Arial" w:eastAsia="Arial" w:hAnsi="Arial"/>
                <w:sz w:val="10"/>
                <w:szCs w:val="10"/>
                <w:color w:val="auto"/>
                <w:w w:val="98"/>
              </w:rPr>
              <w:t>2025</w:t>
            </w:r>
          </w:p>
        </w:tc>
        <w:tc>
          <w:tcPr>
            <w:tcW w:w="3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649</w:t>
            </w: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647</w:t>
            </w:r>
          </w:p>
        </w:tc>
      </w:tr>
      <w:tr>
        <w:trPr>
          <w:trHeight w:val="145"/>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EUR Term Loan A</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4"/>
              </w:rPr>
              <w:t>EUR</w:t>
            </w:r>
          </w:p>
        </w:tc>
        <w:tc>
          <w:tcPr>
            <w:tcW w:w="1460" w:type="dxa"/>
            <w:vAlign w:val="bottom"/>
            <w:shd w:val="clear" w:color="auto" w:fill="CCEEFF"/>
          </w:tcPr>
          <w:p>
            <w:pPr>
              <w:jc w:val="center"/>
              <w:ind w:right="51"/>
              <w:spacing w:after="0"/>
              <w:rPr>
                <w:sz w:val="20"/>
                <w:szCs w:val="20"/>
                <w:color w:val="auto"/>
              </w:rPr>
            </w:pPr>
            <w:r>
              <w:rPr>
                <w:rFonts w:ascii="Arial" w:cs="Arial" w:eastAsia="Arial" w:hAnsi="Arial"/>
                <w:sz w:val="10"/>
                <w:szCs w:val="10"/>
                <w:color w:val="auto"/>
                <w:w w:val="98"/>
              </w:rPr>
              <w:t>EURIBOR + 2.60%</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7"/>
              </w:rPr>
              <w:t>Quarterly</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7"/>
              </w:rPr>
              <w:t>Semi-Annual</w:t>
            </w:r>
          </w:p>
        </w:tc>
        <w:tc>
          <w:tcPr>
            <w:tcW w:w="1060" w:type="dxa"/>
            <w:vAlign w:val="bottom"/>
            <w:shd w:val="clear" w:color="auto" w:fill="CCEEFF"/>
          </w:tcPr>
          <w:p>
            <w:pPr>
              <w:jc w:val="center"/>
              <w:ind w:left="71"/>
              <w:spacing w:after="0"/>
              <w:rPr>
                <w:sz w:val="20"/>
                <w:szCs w:val="20"/>
                <w:color w:val="auto"/>
              </w:rPr>
            </w:pPr>
            <w:r>
              <w:rPr>
                <w:rFonts w:ascii="Arial" w:cs="Arial" w:eastAsia="Arial" w:hAnsi="Arial"/>
                <w:sz w:val="10"/>
                <w:szCs w:val="10"/>
                <w:color w:val="auto"/>
                <w:w w:val="98"/>
              </w:rPr>
              <w:t>2025</w:t>
            </w: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w:t>
            </w: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w:t>
            </w:r>
          </w:p>
        </w:tc>
      </w:tr>
      <w:tr>
        <w:trPr>
          <w:trHeight w:val="138"/>
        </w:trPr>
        <w:tc>
          <w:tcPr>
            <w:tcW w:w="2900" w:type="dxa"/>
            <w:vAlign w:val="bottom"/>
            <w:gridSpan w:val="2"/>
          </w:tcPr>
          <w:p>
            <w:pPr>
              <w:ind w:left="20"/>
              <w:spacing w:after="0"/>
              <w:rPr>
                <w:sz w:val="20"/>
                <w:szCs w:val="20"/>
                <w:color w:val="auto"/>
              </w:rPr>
            </w:pPr>
            <w:r>
              <w:rPr>
                <w:rFonts w:ascii="Arial" w:cs="Arial" w:eastAsia="Arial" w:hAnsi="Arial"/>
                <w:sz w:val="10"/>
                <w:szCs w:val="10"/>
                <w:color w:val="auto"/>
              </w:rPr>
              <w:t>2019 EUR Dresden Equipment Financing</w:t>
            </w:r>
            <w:r>
              <w:rPr>
                <w:rFonts w:ascii="Arial" w:cs="Arial" w:eastAsia="Arial" w:hAnsi="Arial"/>
                <w:sz w:val="12"/>
                <w:szCs w:val="12"/>
                <w:color w:val="auto"/>
                <w:vertAlign w:val="superscript"/>
              </w:rPr>
              <w:t>(3)</w:t>
            </w:r>
          </w:p>
        </w:tc>
        <w:tc>
          <w:tcPr>
            <w:tcW w:w="1180" w:type="dxa"/>
            <w:vAlign w:val="bottom"/>
          </w:tcPr>
          <w:p>
            <w:pPr>
              <w:jc w:val="center"/>
              <w:ind w:left="171"/>
              <w:spacing w:after="0"/>
              <w:rPr>
                <w:sz w:val="20"/>
                <w:szCs w:val="20"/>
                <w:color w:val="auto"/>
              </w:rPr>
            </w:pPr>
            <w:r>
              <w:rPr>
                <w:rFonts w:ascii="Arial" w:cs="Arial" w:eastAsia="Arial" w:hAnsi="Arial"/>
                <w:sz w:val="10"/>
                <w:szCs w:val="10"/>
                <w:color w:val="auto"/>
                <w:w w:val="94"/>
              </w:rPr>
              <w:t>EUR</w:t>
            </w:r>
          </w:p>
        </w:tc>
        <w:tc>
          <w:tcPr>
            <w:tcW w:w="1460" w:type="dxa"/>
            <w:vAlign w:val="bottom"/>
          </w:tcPr>
          <w:p>
            <w:pPr>
              <w:jc w:val="center"/>
              <w:ind w:right="51"/>
              <w:spacing w:after="0"/>
              <w:rPr>
                <w:sz w:val="20"/>
                <w:szCs w:val="20"/>
                <w:color w:val="auto"/>
              </w:rPr>
            </w:pPr>
            <w:r>
              <w:rPr>
                <w:rFonts w:ascii="Arial" w:cs="Arial" w:eastAsia="Arial" w:hAnsi="Arial"/>
                <w:sz w:val="10"/>
                <w:szCs w:val="10"/>
                <w:color w:val="auto"/>
                <w:w w:val="98"/>
              </w:rPr>
              <w:t>EURIBOR + 1.75%</w:t>
            </w:r>
          </w:p>
        </w:tc>
        <w:tc>
          <w:tcPr>
            <w:tcW w:w="1360" w:type="dxa"/>
            <w:vAlign w:val="bottom"/>
          </w:tcPr>
          <w:p>
            <w:pPr>
              <w:jc w:val="center"/>
              <w:ind w:right="31"/>
              <w:spacing w:after="0"/>
              <w:rPr>
                <w:sz w:val="20"/>
                <w:szCs w:val="20"/>
                <w:color w:val="auto"/>
              </w:rPr>
            </w:pPr>
            <w:r>
              <w:rPr>
                <w:rFonts w:ascii="Arial" w:cs="Arial" w:eastAsia="Arial" w:hAnsi="Arial"/>
                <w:sz w:val="10"/>
                <w:szCs w:val="10"/>
                <w:color w:val="auto"/>
                <w:w w:val="97"/>
              </w:rPr>
              <w:t>Semi-Annual</w:t>
            </w:r>
          </w:p>
        </w:tc>
        <w:tc>
          <w:tcPr>
            <w:tcW w:w="1340" w:type="dxa"/>
            <w:vAlign w:val="bottom"/>
          </w:tcPr>
          <w:p>
            <w:pPr>
              <w:jc w:val="center"/>
              <w:ind w:left="51"/>
              <w:spacing w:after="0"/>
              <w:rPr>
                <w:sz w:val="20"/>
                <w:szCs w:val="20"/>
                <w:color w:val="auto"/>
              </w:rPr>
            </w:pPr>
            <w:r>
              <w:rPr>
                <w:rFonts w:ascii="Arial" w:cs="Arial" w:eastAsia="Arial" w:hAnsi="Arial"/>
                <w:sz w:val="10"/>
                <w:szCs w:val="10"/>
                <w:color w:val="auto"/>
                <w:w w:val="97"/>
              </w:rPr>
              <w:t>Semi-Annual</w:t>
            </w:r>
          </w:p>
        </w:tc>
        <w:tc>
          <w:tcPr>
            <w:tcW w:w="1060" w:type="dxa"/>
            <w:vAlign w:val="bottom"/>
          </w:tcPr>
          <w:p>
            <w:pPr>
              <w:jc w:val="center"/>
              <w:ind w:left="71"/>
              <w:spacing w:after="0"/>
              <w:rPr>
                <w:sz w:val="20"/>
                <w:szCs w:val="20"/>
                <w:color w:val="auto"/>
              </w:rPr>
            </w:pPr>
            <w:r>
              <w:rPr>
                <w:rFonts w:ascii="Arial" w:cs="Arial" w:eastAsia="Arial" w:hAnsi="Arial"/>
                <w:sz w:val="10"/>
                <w:szCs w:val="10"/>
                <w:color w:val="auto"/>
                <w:w w:val="98"/>
              </w:rPr>
              <w:t>2026</w:t>
            </w:r>
          </w:p>
        </w:tc>
        <w:tc>
          <w:tcPr>
            <w:tcW w:w="3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387</w:t>
            </w: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423</w:t>
            </w:r>
          </w:p>
        </w:tc>
      </w:tr>
      <w:tr>
        <w:trPr>
          <w:trHeight w:val="138"/>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2021 SGD EDB Loan</w:t>
            </w:r>
          </w:p>
        </w:tc>
        <w:tc>
          <w:tcPr>
            <w:tcW w:w="1180" w:type="dxa"/>
            <w:vAlign w:val="bottom"/>
            <w:shd w:val="clear" w:color="auto" w:fill="CCEEFF"/>
          </w:tcPr>
          <w:p>
            <w:pPr>
              <w:jc w:val="center"/>
              <w:ind w:left="171"/>
              <w:spacing w:after="0"/>
              <w:rPr>
                <w:sz w:val="20"/>
                <w:szCs w:val="20"/>
                <w:color w:val="auto"/>
              </w:rPr>
            </w:pPr>
            <w:r>
              <w:rPr>
                <w:rFonts w:ascii="Arial" w:cs="Arial" w:eastAsia="Arial" w:hAnsi="Arial"/>
                <w:sz w:val="10"/>
                <w:szCs w:val="10"/>
                <w:color w:val="auto"/>
                <w:w w:val="92"/>
              </w:rPr>
              <w:t>SGD</w:t>
            </w:r>
          </w:p>
        </w:tc>
        <w:tc>
          <w:tcPr>
            <w:tcW w:w="1460" w:type="dxa"/>
            <w:vAlign w:val="bottom"/>
            <w:shd w:val="clear" w:color="auto" w:fill="CCEEFF"/>
          </w:tcPr>
          <w:p>
            <w:pPr>
              <w:jc w:val="center"/>
              <w:ind w:right="51"/>
              <w:spacing w:after="0"/>
              <w:rPr>
                <w:sz w:val="20"/>
                <w:szCs w:val="20"/>
                <w:color w:val="auto"/>
              </w:rPr>
            </w:pPr>
            <w:r>
              <w:rPr>
                <w:rFonts w:ascii="Arial" w:cs="Arial" w:eastAsia="Arial" w:hAnsi="Arial"/>
                <w:sz w:val="10"/>
                <w:szCs w:val="10"/>
                <w:color w:val="auto"/>
                <w:w w:val="98"/>
              </w:rPr>
              <w:t>1.40%</w:t>
            </w:r>
          </w:p>
        </w:tc>
        <w:tc>
          <w:tcPr>
            <w:tcW w:w="1360" w:type="dxa"/>
            <w:vAlign w:val="bottom"/>
            <w:shd w:val="clear" w:color="auto" w:fill="CCEEFF"/>
          </w:tcPr>
          <w:p>
            <w:pPr>
              <w:jc w:val="center"/>
              <w:ind w:right="31"/>
              <w:spacing w:after="0"/>
              <w:rPr>
                <w:sz w:val="20"/>
                <w:szCs w:val="20"/>
                <w:color w:val="auto"/>
              </w:rPr>
            </w:pPr>
            <w:r>
              <w:rPr>
                <w:rFonts w:ascii="Arial" w:cs="Arial" w:eastAsia="Arial" w:hAnsi="Arial"/>
                <w:sz w:val="10"/>
                <w:szCs w:val="10"/>
                <w:color w:val="auto"/>
                <w:w w:val="99"/>
              </w:rPr>
              <w:t>Semi-annual</w:t>
            </w:r>
          </w:p>
        </w:tc>
        <w:tc>
          <w:tcPr>
            <w:tcW w:w="134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9"/>
              </w:rPr>
              <w:t>Semi-annual</w:t>
            </w:r>
          </w:p>
        </w:tc>
        <w:tc>
          <w:tcPr>
            <w:tcW w:w="1060" w:type="dxa"/>
            <w:vAlign w:val="bottom"/>
            <w:shd w:val="clear" w:color="auto" w:fill="CCEEFF"/>
          </w:tcPr>
          <w:p>
            <w:pPr>
              <w:jc w:val="center"/>
              <w:ind w:left="71"/>
              <w:spacing w:after="0"/>
              <w:rPr>
                <w:sz w:val="20"/>
                <w:szCs w:val="20"/>
                <w:color w:val="auto"/>
              </w:rPr>
            </w:pPr>
            <w:r>
              <w:rPr>
                <w:rFonts w:ascii="Arial" w:cs="Arial" w:eastAsia="Arial" w:hAnsi="Arial"/>
                <w:sz w:val="10"/>
                <w:szCs w:val="10"/>
                <w:color w:val="auto"/>
                <w:w w:val="98"/>
              </w:rPr>
              <w:t>2041</w:t>
            </w: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923</w:t>
            </w: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r>
      <w:tr>
        <w:trPr>
          <w:trHeight w:val="131"/>
        </w:trPr>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Various</w:t>
            </w:r>
          </w:p>
        </w:tc>
        <w:tc>
          <w:tcPr>
            <w:tcW w:w="1180" w:type="dxa"/>
            <w:vAlign w:val="bottom"/>
            <w:tcBorders>
              <w:bottom w:val="single" w:sz="8" w:color="CCEEFF"/>
            </w:tcBorders>
          </w:tcPr>
          <w:p>
            <w:pPr>
              <w:jc w:val="center"/>
              <w:ind w:left="171"/>
              <w:spacing w:after="0"/>
              <w:rPr>
                <w:sz w:val="20"/>
                <w:szCs w:val="20"/>
                <w:color w:val="auto"/>
              </w:rPr>
            </w:pPr>
            <w:r>
              <w:rPr>
                <w:rFonts w:ascii="Arial" w:cs="Arial" w:eastAsia="Arial" w:hAnsi="Arial"/>
                <w:sz w:val="10"/>
                <w:szCs w:val="10"/>
                <w:color w:val="auto"/>
              </w:rPr>
              <w:t>EUR, USD</w:t>
            </w:r>
          </w:p>
        </w:tc>
        <w:tc>
          <w:tcPr>
            <w:tcW w:w="1460" w:type="dxa"/>
            <w:vAlign w:val="bottom"/>
            <w:tcBorders>
              <w:bottom w:val="single" w:sz="8" w:color="CCEEFF"/>
            </w:tcBorders>
          </w:tcPr>
          <w:p>
            <w:pPr>
              <w:jc w:val="center"/>
              <w:ind w:right="71"/>
              <w:spacing w:after="0"/>
              <w:rPr>
                <w:sz w:val="20"/>
                <w:szCs w:val="20"/>
                <w:color w:val="auto"/>
              </w:rPr>
            </w:pPr>
            <w:r>
              <w:rPr>
                <w:rFonts w:ascii="Arial" w:cs="Arial" w:eastAsia="Arial" w:hAnsi="Arial"/>
                <w:sz w:val="10"/>
                <w:szCs w:val="10"/>
                <w:color w:val="auto"/>
              </w:rPr>
              <w:t>Various</w:t>
            </w:r>
          </w:p>
        </w:tc>
        <w:tc>
          <w:tcPr>
            <w:tcW w:w="1360" w:type="dxa"/>
            <w:vAlign w:val="bottom"/>
            <w:tcBorders>
              <w:bottom w:val="single" w:sz="8" w:color="CCEEFF"/>
            </w:tcBorders>
          </w:tcPr>
          <w:p>
            <w:pPr>
              <w:jc w:val="center"/>
              <w:ind w:right="31"/>
              <w:spacing w:after="0"/>
              <w:rPr>
                <w:sz w:val="20"/>
                <w:szCs w:val="20"/>
                <w:color w:val="auto"/>
              </w:rPr>
            </w:pPr>
            <w:r>
              <w:rPr>
                <w:rFonts w:ascii="Arial" w:cs="Arial" w:eastAsia="Arial" w:hAnsi="Arial"/>
                <w:sz w:val="10"/>
                <w:szCs w:val="10"/>
                <w:color w:val="auto"/>
                <w:w w:val="94"/>
              </w:rPr>
              <w:t>Various</w:t>
            </w:r>
          </w:p>
        </w:tc>
        <w:tc>
          <w:tcPr>
            <w:tcW w:w="1340" w:type="dxa"/>
            <w:vAlign w:val="bottom"/>
            <w:tcBorders>
              <w:bottom w:val="single" w:sz="8" w:color="CCEEFF"/>
            </w:tcBorders>
          </w:tcPr>
          <w:p>
            <w:pPr>
              <w:jc w:val="center"/>
              <w:ind w:left="51"/>
              <w:spacing w:after="0"/>
              <w:rPr>
                <w:sz w:val="20"/>
                <w:szCs w:val="20"/>
                <w:color w:val="auto"/>
              </w:rPr>
            </w:pPr>
            <w:r>
              <w:rPr>
                <w:rFonts w:ascii="Arial" w:cs="Arial" w:eastAsia="Arial" w:hAnsi="Arial"/>
                <w:sz w:val="10"/>
                <w:szCs w:val="10"/>
                <w:color w:val="auto"/>
                <w:w w:val="94"/>
              </w:rPr>
              <w:t>Various</w:t>
            </w:r>
          </w:p>
        </w:tc>
        <w:tc>
          <w:tcPr>
            <w:tcW w:w="1060" w:type="dxa"/>
            <w:vAlign w:val="bottom"/>
            <w:tcBorders>
              <w:bottom w:val="single" w:sz="8" w:color="CCEEFF"/>
            </w:tcBorders>
          </w:tcPr>
          <w:p>
            <w:pPr>
              <w:jc w:val="center"/>
              <w:ind w:left="51"/>
              <w:spacing w:after="0"/>
              <w:rPr>
                <w:sz w:val="20"/>
                <w:szCs w:val="20"/>
                <w:color w:val="auto"/>
              </w:rPr>
            </w:pPr>
            <w:r>
              <w:rPr>
                <w:rFonts w:ascii="Arial" w:cs="Arial" w:eastAsia="Arial" w:hAnsi="Arial"/>
                <w:sz w:val="10"/>
                <w:szCs w:val="10"/>
                <w:color w:val="auto"/>
              </w:rPr>
              <w:t>2024-2027</w:t>
            </w:r>
          </w:p>
        </w:tc>
        <w:tc>
          <w:tcPr>
            <w:tcW w:w="3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4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w:t>
            </w:r>
          </w:p>
        </w:tc>
      </w:tr>
      <w:tr>
        <w:trPr>
          <w:trHeight w:val="136"/>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Non-current total</w:t>
            </w:r>
          </w:p>
        </w:tc>
        <w:tc>
          <w:tcPr>
            <w:tcW w:w="1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2,288</w:t>
            </w:r>
          </w:p>
        </w:tc>
        <w:tc>
          <w:tcPr>
            <w:tcW w:w="4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1,716</w:t>
            </w:r>
          </w:p>
        </w:tc>
      </w:tr>
      <w:tr>
        <w:trPr>
          <w:trHeight w:val="124"/>
        </w:trPr>
        <w:tc>
          <w:tcPr>
            <w:tcW w:w="260" w:type="dxa"/>
            <w:vAlign w:val="bottom"/>
          </w:tcPr>
          <w:p>
            <w:pPr>
              <w:ind w:left="20"/>
              <w:spacing w:after="0"/>
              <w:rPr>
                <w:sz w:val="20"/>
                <w:szCs w:val="20"/>
                <w:color w:val="auto"/>
              </w:rPr>
            </w:pPr>
            <w:r>
              <w:rPr>
                <w:rFonts w:ascii="Arial" w:cs="Arial" w:eastAsia="Arial" w:hAnsi="Arial"/>
                <w:sz w:val="10"/>
                <w:szCs w:val="10"/>
                <w:b w:val="1"/>
                <w:bCs w:val="1"/>
                <w:color w:val="auto"/>
                <w:w w:val="91"/>
              </w:rPr>
              <w:t>Total</w:t>
            </w:r>
          </w:p>
        </w:tc>
        <w:tc>
          <w:tcPr>
            <w:tcW w:w="2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2,511</w:t>
            </w:r>
          </w:p>
        </w:tc>
        <w:tc>
          <w:tcPr>
            <w:tcW w:w="40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2,013</w:t>
            </w:r>
          </w:p>
        </w:tc>
      </w:tr>
    </w:tbl>
    <w:p>
      <w:pPr>
        <w:spacing w:after="0" w:line="152" w:lineRule="exact"/>
        <w:rPr>
          <w:sz w:val="20"/>
          <w:szCs w:val="20"/>
          <w:color w:val="auto"/>
        </w:rPr>
      </w:pPr>
    </w:p>
    <w:p>
      <w:pPr>
        <w:ind w:left="520" w:hanging="260"/>
        <w:spacing w:after="0" w:line="280" w:lineRule="auto"/>
        <w:tabs>
          <w:tab w:leader="none" w:pos="514" w:val="left"/>
        </w:tabs>
        <w:numPr>
          <w:ilvl w:val="0"/>
          <w:numId w:val="99"/>
        </w:numPr>
        <w:rPr>
          <w:rFonts w:ascii="Arial" w:cs="Arial" w:eastAsia="Arial" w:hAnsi="Arial"/>
          <w:sz w:val="7"/>
          <w:szCs w:val="7"/>
          <w:color w:val="auto"/>
        </w:rPr>
      </w:pPr>
      <w:r>
        <w:rPr>
          <w:rFonts w:ascii="Arial" w:cs="Arial" w:eastAsia="Arial" w:hAnsi="Arial"/>
          <w:sz w:val="11"/>
          <w:szCs w:val="11"/>
          <w:color w:val="auto"/>
        </w:rPr>
        <w:t>On March 2, 2018, GLOBALFOUNDRIES SINGAPORE PTE, LTD. (“GFS”) entered into several Equipment Purchase and Lease Agreements with four banks to sell and leaseback certain semiconductor manufacturing equipment located in GFS’ Fabs in Singapore for a total of $375 million. The total minimum lease payments amount to $375 million, to be paid in equal quarterly installments through March 1, 2023.</w:t>
      </w:r>
    </w:p>
    <w:p>
      <w:pPr>
        <w:spacing w:after="0" w:line="65" w:lineRule="exact"/>
        <w:rPr>
          <w:rFonts w:ascii="Arial" w:cs="Arial" w:eastAsia="Arial" w:hAnsi="Arial"/>
          <w:sz w:val="7"/>
          <w:szCs w:val="7"/>
          <w:color w:val="auto"/>
        </w:rPr>
      </w:pPr>
    </w:p>
    <w:p>
      <w:pPr>
        <w:ind w:left="520" w:hanging="260"/>
        <w:spacing w:after="0" w:line="220" w:lineRule="auto"/>
        <w:tabs>
          <w:tab w:leader="none" w:pos="514" w:val="left"/>
        </w:tabs>
        <w:numPr>
          <w:ilvl w:val="0"/>
          <w:numId w:val="99"/>
        </w:numPr>
        <w:rPr>
          <w:rFonts w:ascii="Arial" w:cs="Arial" w:eastAsia="Arial" w:hAnsi="Arial"/>
          <w:sz w:val="15"/>
          <w:szCs w:val="15"/>
          <w:color w:val="auto"/>
          <w:vertAlign w:val="superscript"/>
        </w:rPr>
      </w:pPr>
      <w:r>
        <w:rPr>
          <w:rFonts w:ascii="Arial" w:cs="Arial" w:eastAsia="Arial" w:hAnsi="Arial"/>
          <w:sz w:val="11"/>
          <w:szCs w:val="11"/>
          <w:color w:val="auto"/>
        </w:rPr>
        <w:t>On January 21, 2019, GFS entered into several Equipment Purchase Agreements and Lease Agreements with five banks to sell and leaseback certain semiconductor manufacturing equipment located in GFS’ Fabs in Singapore for a total of $425 million.</w:t>
      </w:r>
    </w:p>
    <w:p>
      <w:pPr>
        <w:spacing w:after="0" w:line="86" w:lineRule="exact"/>
        <w:rPr>
          <w:rFonts w:ascii="Arial" w:cs="Arial" w:eastAsia="Arial" w:hAnsi="Arial"/>
          <w:sz w:val="15"/>
          <w:szCs w:val="15"/>
          <w:color w:val="auto"/>
          <w:vertAlign w:val="superscript"/>
        </w:rPr>
      </w:pPr>
    </w:p>
    <w:p>
      <w:pPr>
        <w:jc w:val="both"/>
        <w:ind w:left="520" w:hanging="260"/>
        <w:spacing w:after="0"/>
        <w:tabs>
          <w:tab w:leader="none" w:pos="514" w:val="left"/>
        </w:tabs>
        <w:numPr>
          <w:ilvl w:val="0"/>
          <w:numId w:val="99"/>
        </w:numPr>
        <w:rPr>
          <w:rFonts w:ascii="Arial" w:cs="Arial" w:eastAsia="Arial" w:hAnsi="Arial"/>
          <w:sz w:val="15"/>
          <w:szCs w:val="15"/>
          <w:color w:val="auto"/>
          <w:vertAlign w:val="superscript"/>
        </w:rPr>
      </w:pPr>
      <w:r>
        <w:rPr>
          <w:rFonts w:ascii="Arial" w:cs="Arial" w:eastAsia="Arial" w:hAnsi="Arial"/>
          <w:sz w:val="11"/>
          <w:szCs w:val="11"/>
          <w:color w:val="auto"/>
        </w:rPr>
        <w:t>On October 31, 2019, the Company, GLOBALFOUNDRIES Dresden Module One Limited Liability Company &amp; Co., KG. and GLOBALFOUNDRIES Dresden Module Two Limited Liability Company &amp; Co. KG. entered into a term facilities agreement with Bank of America Merrill Lynch International Designated Activity Company and ING Bank, a branch of ING-DIBA AG, as coordinating mandated lead arrangers, and Bank of America Merrill Lynch International Designated Activity Company as facility and security agent, which provides a maximum incremental facility commitment totaling $750 million secured by certain qualifying equipment assets.</w:t>
      </w:r>
    </w:p>
    <w:p>
      <w:pPr>
        <w:spacing w:after="0" w:line="200" w:lineRule="exact"/>
        <w:rPr>
          <w:rFonts w:ascii="Arial" w:cs="Arial" w:eastAsia="Arial" w:hAnsi="Arial"/>
          <w:sz w:val="15"/>
          <w:szCs w:val="15"/>
          <w:color w:val="auto"/>
          <w:vertAlign w:val="superscript"/>
        </w:rPr>
      </w:pPr>
    </w:p>
    <w:p>
      <w:pPr>
        <w:ind w:left="520" w:hanging="260"/>
        <w:spacing w:after="0" w:line="220" w:lineRule="auto"/>
        <w:tabs>
          <w:tab w:leader="none" w:pos="514" w:val="left"/>
        </w:tabs>
        <w:numPr>
          <w:ilvl w:val="0"/>
          <w:numId w:val="99"/>
        </w:numPr>
        <w:rPr>
          <w:rFonts w:ascii="Arial" w:cs="Arial" w:eastAsia="Arial" w:hAnsi="Arial"/>
          <w:sz w:val="15"/>
          <w:szCs w:val="15"/>
          <w:color w:val="auto"/>
          <w:vertAlign w:val="superscript"/>
        </w:rPr>
      </w:pPr>
      <w:r>
        <w:rPr>
          <w:rFonts w:ascii="Arial" w:cs="Arial" w:eastAsia="Arial" w:hAnsi="Arial"/>
          <w:sz w:val="11"/>
          <w:szCs w:val="11"/>
          <w:color w:val="auto"/>
        </w:rPr>
        <w:t>On April 23, 2020, GLOBALFOUNDRIES SINGAPORE PTE, LTD. entered into several Equipment Purchase Agreements and Lease Agreements with four banks to sell and leaseback certain semiconductor manufacturing equipment located in GFS’ fabrication facilities in Singapore for a total of $300 million.</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b w:val="1"/>
          <w:bCs w:val="1"/>
          <w:color w:val="auto"/>
        </w:rPr>
        <w:t>Accounts Receivable Factoring</w:t>
      </w:r>
      <w:r>
        <w:rPr>
          <w:rFonts w:ascii="Arial" w:cs="Arial" w:eastAsia="Arial" w:hAnsi="Arial"/>
          <w:sz w:val="13"/>
          <w:szCs w:val="13"/>
          <w:color w:val="auto"/>
        </w:rPr>
        <w:t>—On February 17, 2021, the Company entered into agreements to amend and restate the terms of the original Accounts Receivable Factoring arrangements to factor</w:t>
      </w:r>
      <w:r>
        <w:rPr>
          <w:rFonts w:ascii="Arial" w:cs="Arial" w:eastAsia="Arial" w:hAnsi="Arial"/>
          <w:sz w:val="13"/>
          <w:szCs w:val="13"/>
          <w:b w:val="1"/>
          <w:bCs w:val="1"/>
          <w:color w:val="auto"/>
        </w:rPr>
        <w:t xml:space="preserve"> </w:t>
      </w:r>
      <w:r>
        <w:rPr>
          <w:rFonts w:ascii="Arial" w:cs="Arial" w:eastAsia="Arial" w:hAnsi="Arial"/>
          <w:sz w:val="13"/>
          <w:szCs w:val="13"/>
          <w:color w:val="auto"/>
        </w:rPr>
        <w:t>certain of its accounts receivable up to a maximum outstanding amount of $92 million. The Company agreed to pay financing costs of LIBOR plus 0.90%. The balance as of December 31, 2022 and 2021 was $0 and $16 million, respectively.</w:t>
      </w:r>
    </w:p>
    <w:p>
      <w:pPr>
        <w:spacing w:after="0" w:line="25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color w:val="auto"/>
        </w:rPr>
        <w:t>2021 SGD EDB Loan</w:t>
      </w:r>
      <w:r>
        <w:rPr>
          <w:rFonts w:ascii="Arial" w:cs="Arial" w:eastAsia="Arial" w:hAnsi="Arial"/>
          <w:sz w:val="13"/>
          <w:szCs w:val="13"/>
          <w:color w:val="auto"/>
        </w:rPr>
        <w:t>—On September 3, 2021, the Company entered into a loan agreement with Singapore Economic Development Board (“EDB”), which provided loan facilities with maximum</w:t>
      </w:r>
      <w:r>
        <w:rPr>
          <w:rFonts w:ascii="Arial" w:cs="Arial" w:eastAsia="Arial" w:hAnsi="Arial"/>
          <w:sz w:val="13"/>
          <w:szCs w:val="13"/>
          <w:b w:val="1"/>
          <w:bCs w:val="1"/>
          <w:color w:val="auto"/>
        </w:rPr>
        <w:t xml:space="preserve"> </w:t>
      </w:r>
      <w:r>
        <w:rPr>
          <w:rFonts w:ascii="Arial" w:cs="Arial" w:eastAsia="Arial" w:hAnsi="Arial"/>
          <w:sz w:val="13"/>
          <w:szCs w:val="13"/>
          <w:color w:val="auto"/>
        </w:rPr>
        <w:t>drawdown of $1,149 million (SGD 1,541 million) at a fixed nominal interest rate of 1.4%. The difference between the nominal interest rate of the loan and the market interest rate for an equivalent loan is recognized as a government grant. The loan matures on June 1, 2041, with interest-only payments for the first 5 years and principal repayments commence thereafter, payable on a semi-annual basis.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the Company’s total draw down was $1,082 million, of which $111 million was drawn down in 2021.</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$923 million was recorded in long-term debt based on an effective interest rate of 3.2% and $184 million was recorded in deferred income from government grants.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65" w:lineRule="exact"/>
        <w:rPr>
          <w:sz w:val="20"/>
          <w:szCs w:val="20"/>
          <w:color w:val="auto"/>
        </w:rPr>
      </w:pPr>
    </w:p>
    <w:p>
      <w:pPr>
        <w:spacing w:after="0" w:line="270" w:lineRule="auto"/>
        <w:rPr>
          <w:sz w:val="20"/>
          <w:szCs w:val="20"/>
          <w:color w:val="auto"/>
        </w:rPr>
      </w:pPr>
      <w:r>
        <w:rPr>
          <w:rFonts w:ascii="Arial" w:cs="Arial" w:eastAsia="Arial" w:hAnsi="Arial"/>
          <w:sz w:val="13"/>
          <w:szCs w:val="13"/>
          <w:b w:val="1"/>
          <w:bCs w:val="1"/>
          <w:color w:val="auto"/>
        </w:rPr>
        <w:t>5-year Revolving and Letter of Credit Facilities Agreement</w:t>
      </w:r>
      <w:r>
        <w:rPr>
          <w:rFonts w:ascii="Arial" w:cs="Arial" w:eastAsia="Arial" w:hAnsi="Arial"/>
          <w:sz w:val="13"/>
          <w:szCs w:val="13"/>
          <w:color w:val="auto"/>
        </w:rPr>
        <w:t>—On October 13, 2021, the Company entered into an amendment to the 5-year Revolving and Letter of Credit Facilities Agreement to</w:t>
      </w:r>
      <w:r>
        <w:rPr>
          <w:rFonts w:ascii="Arial" w:cs="Arial" w:eastAsia="Arial" w:hAnsi="Arial"/>
          <w:sz w:val="13"/>
          <w:szCs w:val="13"/>
          <w:b w:val="1"/>
          <w:bCs w:val="1"/>
          <w:color w:val="auto"/>
        </w:rPr>
        <w:t xml:space="preserve"> </w:t>
      </w:r>
      <w:r>
        <w:rPr>
          <w:rFonts w:ascii="Arial" w:cs="Arial" w:eastAsia="Arial" w:hAnsi="Arial"/>
          <w:sz w:val="13"/>
          <w:szCs w:val="13"/>
          <w:color w:val="auto"/>
        </w:rPr>
        <w:t>increase the commitment to $1,000 million.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unutilized credit facilities available to the Company to maintain liquidity to fund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20" w:type="dxa"/>
            <w:vAlign w:val="bottom"/>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3"/>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Pr>
          <w:p>
            <w:pPr>
              <w:spacing w:after="0"/>
              <w:rPr>
                <w:sz w:val="16"/>
                <w:szCs w:val="16"/>
                <w:color w:val="auto"/>
              </w:rPr>
            </w:pPr>
          </w:p>
        </w:tc>
        <w:tc>
          <w:tcPr>
            <w:tcW w:w="1360" w:type="dxa"/>
            <w:vAlign w:val="bottom"/>
          </w:tcPr>
          <w:p>
            <w:pPr>
              <w:jc w:val="right"/>
              <w:ind w:right="96"/>
              <w:spacing w:after="0"/>
              <w:rPr>
                <w:sz w:val="20"/>
                <w:szCs w:val="20"/>
                <w:color w:val="auto"/>
              </w:rPr>
            </w:pPr>
            <w:r>
              <w:rPr>
                <w:rFonts w:ascii="Arial" w:cs="Arial" w:eastAsia="Arial" w:hAnsi="Arial"/>
                <w:sz w:val="13"/>
                <w:szCs w:val="13"/>
                <w:b w:val="1"/>
                <w:bCs w:val="1"/>
                <w:color w:val="auto"/>
              </w:rPr>
              <w:t>December 31, 2021</w:t>
            </w:r>
          </w:p>
        </w:tc>
      </w:tr>
      <w:tr>
        <w:trPr>
          <w:trHeight w:val="16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SGD EDB Loan</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Revolving Credit Facility</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1,009</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Singapore Factoring</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70"/>
        </w:trPr>
        <w:tc>
          <w:tcPr>
            <w:tcW w:w="822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Uncommitted Credit Facilities</w:t>
            </w:r>
            <w:r>
              <w:rPr>
                <w:rFonts w:ascii="Arial" w:cs="Arial" w:eastAsia="Arial" w:hAnsi="Arial"/>
                <w:sz w:val="16"/>
                <w:szCs w:val="16"/>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16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2,144</w:t>
            </w:r>
          </w:p>
        </w:tc>
      </w:tr>
    </w:tbl>
    <w:p>
      <w:pPr>
        <w:spacing w:after="0" w:line="248" w:lineRule="exact"/>
        <w:rPr>
          <w:sz w:val="20"/>
          <w:szCs w:val="20"/>
          <w:color w:val="auto"/>
        </w:rPr>
      </w:pPr>
    </w:p>
    <w:p>
      <w:pPr>
        <w:ind w:left="380" w:hanging="120"/>
        <w:spacing w:after="0"/>
        <w:tabs>
          <w:tab w:leader="none" w:pos="380" w:val="left"/>
        </w:tabs>
        <w:numPr>
          <w:ilvl w:val="0"/>
          <w:numId w:val="100"/>
        </w:numPr>
        <w:rPr>
          <w:rFonts w:ascii="Arial" w:cs="Arial" w:eastAsia="Arial" w:hAnsi="Arial"/>
          <w:sz w:val="7"/>
          <w:szCs w:val="7"/>
          <w:color w:val="auto"/>
        </w:rPr>
      </w:pPr>
      <w:r>
        <w:rPr>
          <w:rFonts w:ascii="Arial" w:cs="Arial" w:eastAsia="Arial" w:hAnsi="Arial"/>
          <w:sz w:val="11"/>
          <w:szCs w:val="11"/>
          <w:color w:val="auto"/>
        </w:rPr>
        <w:t>Credit facility made available to the Company, but the lender is not obligated to loan funds.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b w:val="1"/>
          <w:bCs w:val="1"/>
          <w:i w:val="1"/>
          <w:iCs w:val="1"/>
          <w:color w:val="auto"/>
        </w:rPr>
        <w:t>Assets pledged as security</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Various assets have been pledged to secure borrowings under pledged agreements for the Company. Cash and cash equivalents, trade accounts receivables, property,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plant and equipment, inventories, and financial assets have been pledged to secure borrowings under pledged agreements for the Company. The Company is not allowed to pledge these assets as security for other borrowings or to sell them outside normal course of business.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21. Leases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has various lease agreements for certain of its offices, facilities, and equipment. Leases may include one or more options to renew. Renewals are not in the determination of the lease term unless the renewals are deemed to be reasonably certain at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31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1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right-of-use assets</w:t>
            </w:r>
          </w:p>
        </w:tc>
        <w:tc>
          <w:tcPr>
            <w:tcW w:w="1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Interest expense on lease liabilities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and low-value leases expense</w:t>
            </w: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net lease cost</w:t>
            </w:r>
          </w:p>
        </w:tc>
        <w:tc>
          <w:tcPr>
            <w:tcW w:w="11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106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2"/>
              </w:rPr>
              <w:t>$</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109</w:t>
            </w:r>
          </w:p>
        </w:tc>
        <w:tc>
          <w:tcPr>
            <w:tcW w:w="0" w:type="dxa"/>
            <w:vAlign w:val="bottom"/>
          </w:tcPr>
          <w:p>
            <w:pPr>
              <w:spacing w:after="0"/>
              <w:rPr>
                <w:sz w:val="1"/>
                <w:szCs w:val="1"/>
                <w:color w:val="auto"/>
              </w:rPr>
            </w:pPr>
          </w:p>
        </w:tc>
      </w:tr>
      <w:tr>
        <w:trPr>
          <w:trHeight w:val="16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remaining lease term</w:t>
            </w:r>
          </w:p>
        </w:tc>
        <w:tc>
          <w:tcPr>
            <w:tcW w:w="1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7.18 years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 years</w:t>
            </w:r>
          </w:p>
        </w:tc>
        <w:tc>
          <w:tcPr>
            <w:tcW w:w="0" w:type="dxa"/>
            <w:vAlign w:val="bottom"/>
          </w:tcPr>
          <w:p>
            <w:pPr>
              <w:spacing w:after="0"/>
              <w:rPr>
                <w:sz w:val="1"/>
                <w:szCs w:val="1"/>
                <w:color w:val="auto"/>
              </w:rPr>
            </w:pPr>
          </w:p>
        </w:tc>
      </w:tr>
      <w:tr>
        <w:trPr>
          <w:trHeight w:val="165"/>
        </w:trPr>
        <w:tc>
          <w:tcPr>
            <w:tcW w:w="5080" w:type="dxa"/>
            <w:vAlign w:val="bottom"/>
          </w:tcPr>
          <w:p>
            <w:pPr>
              <w:ind w:left="20"/>
              <w:spacing w:after="0"/>
              <w:rPr>
                <w:sz w:val="20"/>
                <w:szCs w:val="20"/>
                <w:color w:val="auto"/>
              </w:rPr>
            </w:pPr>
            <w:r>
              <w:rPr>
                <w:rFonts w:ascii="Arial" w:cs="Arial" w:eastAsia="Arial" w:hAnsi="Arial"/>
                <w:sz w:val="13"/>
                <w:szCs w:val="13"/>
                <w:color w:val="auto"/>
              </w:rPr>
              <w:t>Weighted average discount rate</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4.75 %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6.65 %</w:t>
            </w:r>
          </w:p>
        </w:tc>
        <w:tc>
          <w:tcPr>
            <w:tcW w:w="0" w:type="dxa"/>
            <w:vAlign w:val="bottom"/>
          </w:tcPr>
          <w:p>
            <w:pPr>
              <w:spacing w:after="0"/>
              <w:rPr>
                <w:sz w:val="1"/>
                <w:szCs w:val="1"/>
                <w:color w:val="auto"/>
              </w:rPr>
            </w:pPr>
          </w:p>
        </w:tc>
      </w:tr>
      <w:tr>
        <w:trPr>
          <w:trHeight w:val="403"/>
        </w:trPr>
        <w:tc>
          <w:tcPr>
            <w:tcW w:w="6220" w:type="dxa"/>
            <w:vAlign w:val="bottom"/>
            <w:gridSpan w:val="2"/>
          </w:tcPr>
          <w:p>
            <w:pPr>
              <w:spacing w:after="0"/>
              <w:rPr>
                <w:sz w:val="20"/>
                <w:szCs w:val="20"/>
                <w:color w:val="auto"/>
              </w:rPr>
            </w:pPr>
            <w:r>
              <w:rPr>
                <w:rFonts w:ascii="Arial" w:cs="Arial" w:eastAsia="Arial" w:hAnsi="Arial"/>
                <w:sz w:val="13"/>
                <w:szCs w:val="13"/>
                <w:color w:val="auto"/>
              </w:rPr>
              <w:t>The following is a schedule, by years, of maturities of lease liabilities as of December 31, 2022 and 2021: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0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3"/>
                <w:szCs w:val="13"/>
                <w:b w:val="1"/>
                <w:bCs w:val="1"/>
                <w:color w:val="auto"/>
              </w:rPr>
              <w:t>December 31, 2022</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right="76"/>
              <w:spacing w:after="0"/>
              <w:rPr>
                <w:sz w:val="20"/>
                <w:szCs w:val="20"/>
                <w:color w:val="auto"/>
              </w:rPr>
            </w:pPr>
            <w:r>
              <w:rPr>
                <w:rFonts w:ascii="Arial" w:cs="Arial" w:eastAsia="Arial" w:hAnsi="Arial"/>
                <w:sz w:val="13"/>
                <w:szCs w:val="13"/>
                <w:b w:val="1"/>
                <w:bCs w:val="1"/>
                <w:color w:val="auto"/>
                <w:w w:val="97"/>
              </w:rPr>
              <w:t>December 31, 2021</w:t>
            </w: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1140" w:type="dxa"/>
            <w:vAlign w:val="bottom"/>
          </w:tcPr>
          <w:p>
            <w:pPr>
              <w:jc w:val="center"/>
              <w:ind w:left="296"/>
              <w:spacing w:after="0" w:line="120" w:lineRule="exact"/>
              <w:rPr>
                <w:sz w:val="20"/>
                <w:szCs w:val="20"/>
                <w:color w:val="auto"/>
              </w:rPr>
            </w:pPr>
            <w:r>
              <w:rPr>
                <w:rFonts w:ascii="Arial" w:cs="Arial" w:eastAsia="Arial" w:hAnsi="Arial"/>
                <w:sz w:val="13"/>
                <w:szCs w:val="13"/>
                <w:b w:val="1"/>
                <w:bCs w:val="1"/>
                <w:color w:val="auto"/>
                <w:w w:val="94"/>
              </w:rPr>
              <w:t>Minimum</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left="296"/>
              <w:spacing w:after="0" w:line="120" w:lineRule="exact"/>
              <w:rPr>
                <w:sz w:val="20"/>
                <w:szCs w:val="20"/>
                <w:color w:val="auto"/>
              </w:rPr>
            </w:pPr>
            <w:r>
              <w:rPr>
                <w:rFonts w:ascii="Arial" w:cs="Arial" w:eastAsia="Arial" w:hAnsi="Arial"/>
                <w:sz w:val="13"/>
                <w:szCs w:val="13"/>
                <w:b w:val="1"/>
                <w:bCs w:val="1"/>
                <w:color w:val="auto"/>
              </w:rPr>
              <w:t>Present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center"/>
              <w:ind w:right="120"/>
              <w:spacing w:after="0" w:line="120" w:lineRule="exact"/>
              <w:rPr>
                <w:sz w:val="20"/>
                <w:szCs w:val="20"/>
                <w:color w:val="auto"/>
              </w:rPr>
            </w:pPr>
            <w:r>
              <w:rPr>
                <w:rFonts w:ascii="Arial" w:cs="Arial" w:eastAsia="Arial" w:hAnsi="Arial"/>
                <w:sz w:val="13"/>
                <w:szCs w:val="13"/>
                <w:b w:val="1"/>
                <w:bCs w:val="1"/>
                <w:color w:val="auto"/>
                <w:w w:val="94"/>
              </w:rPr>
              <w:t>Minimum</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16"/>
              <w:spacing w:after="0" w:line="120" w:lineRule="exact"/>
              <w:rPr>
                <w:sz w:val="20"/>
                <w:szCs w:val="20"/>
                <w:color w:val="auto"/>
              </w:rPr>
            </w:pPr>
            <w:r>
              <w:rPr>
                <w:rFonts w:ascii="Arial" w:cs="Arial" w:eastAsia="Arial" w:hAnsi="Arial"/>
                <w:sz w:val="13"/>
                <w:szCs w:val="13"/>
                <w:b w:val="1"/>
                <w:bCs w:val="1"/>
                <w:color w:val="auto"/>
              </w:rPr>
              <w:t>Present</w:t>
            </w:r>
          </w:p>
        </w:tc>
        <w:tc>
          <w:tcPr>
            <w:tcW w:w="0" w:type="dxa"/>
            <w:vAlign w:val="bottom"/>
          </w:tcPr>
          <w:p>
            <w:pPr>
              <w:spacing w:after="0"/>
              <w:rPr>
                <w:sz w:val="1"/>
                <w:szCs w:val="1"/>
                <w:color w:val="auto"/>
              </w:rPr>
            </w:pPr>
          </w:p>
        </w:tc>
      </w:tr>
      <w:tr>
        <w:trPr>
          <w:trHeight w:val="127"/>
        </w:trPr>
        <w:tc>
          <w:tcPr>
            <w:tcW w:w="50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140" w:type="dxa"/>
            <w:vAlign w:val="bottom"/>
          </w:tcPr>
          <w:p>
            <w:pPr>
              <w:jc w:val="center"/>
              <w:ind w:left="296"/>
              <w:spacing w:after="0" w:line="128" w:lineRule="exact"/>
              <w:rPr>
                <w:sz w:val="20"/>
                <w:szCs w:val="20"/>
                <w:color w:val="auto"/>
              </w:rPr>
            </w:pPr>
            <w:r>
              <w:rPr>
                <w:rFonts w:ascii="Arial" w:cs="Arial" w:eastAsia="Arial" w:hAnsi="Arial"/>
                <w:sz w:val="13"/>
                <w:szCs w:val="13"/>
                <w:b w:val="1"/>
                <w:bCs w:val="1"/>
                <w:color w:val="auto"/>
              </w:rPr>
              <w:t>Lease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left="296"/>
              <w:spacing w:after="0" w:line="128" w:lineRule="exact"/>
              <w:rPr>
                <w:sz w:val="20"/>
                <w:szCs w:val="20"/>
                <w:color w:val="auto"/>
              </w:rPr>
            </w:pPr>
            <w:r>
              <w:rPr>
                <w:rFonts w:ascii="Arial" w:cs="Arial" w:eastAsia="Arial" w:hAnsi="Arial"/>
                <w:sz w:val="13"/>
                <w:szCs w:val="13"/>
                <w:b w:val="1"/>
                <w:bCs w:val="1"/>
                <w:color w:val="auto"/>
                <w:w w:val="94"/>
              </w:rPr>
              <w:t>Value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20"/>
              <w:spacing w:after="0" w:line="128" w:lineRule="exact"/>
              <w:rPr>
                <w:sz w:val="20"/>
                <w:szCs w:val="20"/>
                <w:color w:val="auto"/>
              </w:rPr>
            </w:pPr>
            <w:r>
              <w:rPr>
                <w:rFonts w:ascii="Arial" w:cs="Arial" w:eastAsia="Arial" w:hAnsi="Arial"/>
                <w:sz w:val="13"/>
                <w:szCs w:val="13"/>
                <w:b w:val="1"/>
                <w:bCs w:val="1"/>
                <w:color w:val="auto"/>
              </w:rPr>
              <w:t>Lease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16"/>
              <w:spacing w:after="0" w:line="128"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69"/>
        </w:trPr>
        <w:tc>
          <w:tcPr>
            <w:tcW w:w="508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ind w:left="296"/>
              <w:spacing w:after="0"/>
              <w:rPr>
                <w:sz w:val="20"/>
                <w:szCs w:val="20"/>
                <w:color w:val="auto"/>
              </w:rPr>
            </w:pPr>
            <w:r>
              <w:rPr>
                <w:rFonts w:ascii="Arial" w:cs="Arial" w:eastAsia="Arial" w:hAnsi="Arial"/>
                <w:sz w:val="13"/>
                <w:szCs w:val="13"/>
                <w:b w:val="1"/>
                <w:bCs w:val="1"/>
                <w:color w:val="auto"/>
              </w:rPr>
              <w:t>Payments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ind w:left="296"/>
              <w:spacing w:after="0"/>
              <w:rPr>
                <w:sz w:val="20"/>
                <w:szCs w:val="20"/>
                <w:color w:val="auto"/>
              </w:rPr>
            </w:pPr>
            <w:r>
              <w:rPr>
                <w:rFonts w:ascii="Arial" w:cs="Arial" w:eastAsia="Arial" w:hAnsi="Arial"/>
                <w:sz w:val="13"/>
                <w:szCs w:val="13"/>
                <w:b w:val="1"/>
                <w:bCs w:val="1"/>
                <w:color w:val="auto"/>
                <w:w w:val="97"/>
              </w:rPr>
              <w:t>Payments</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rPr>
              <w:t>Payments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7"/>
              </w:rPr>
              <w:t>Payments</w:t>
            </w:r>
          </w:p>
        </w:tc>
        <w:tc>
          <w:tcPr>
            <w:tcW w:w="0" w:type="dxa"/>
            <w:vAlign w:val="bottom"/>
          </w:tcPr>
          <w:p>
            <w:pPr>
              <w:spacing w:after="0"/>
              <w:rPr>
                <w:sz w:val="1"/>
                <w:szCs w:val="1"/>
                <w:color w:val="auto"/>
              </w:rPr>
            </w:pPr>
          </w:p>
        </w:tc>
      </w:tr>
      <w:tr>
        <w:trPr>
          <w:trHeight w:val="16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Within 1 year</w:t>
            </w:r>
          </w:p>
        </w:tc>
        <w:tc>
          <w:tcPr>
            <w:tcW w:w="114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157</w:t>
            </w:r>
          </w:p>
        </w:tc>
        <w:tc>
          <w:tcPr>
            <w:tcW w:w="28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2-5 years</w:t>
            </w:r>
          </w:p>
        </w:tc>
        <w:tc>
          <w:tcPr>
            <w:tcW w:w="1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184</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3"/>
                <w:szCs w:val="13"/>
                <w:color w:val="auto"/>
              </w:rPr>
              <w:t>232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After 5 years</w:t>
            </w:r>
          </w:p>
        </w:tc>
        <w:tc>
          <w:tcPr>
            <w:tcW w:w="11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1140" w:type="dxa"/>
            <w:vAlign w:val="bottom"/>
          </w:tcPr>
          <w:p>
            <w:pPr>
              <w:jc w:val="right"/>
              <w:ind w:right="976"/>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427</w:t>
            </w:r>
          </w:p>
        </w:tc>
        <w:tc>
          <w:tcPr>
            <w:tcW w:w="80" w:type="dxa"/>
            <w:vAlign w:val="bottom"/>
          </w:tcPr>
          <w:p>
            <w:pPr>
              <w:spacing w:after="0"/>
              <w:rPr>
                <w:sz w:val="13"/>
                <w:szCs w:val="13"/>
                <w:color w:val="auto"/>
              </w:rPr>
            </w:pPr>
          </w:p>
        </w:tc>
        <w:tc>
          <w:tcPr>
            <w:tcW w:w="1120" w:type="dxa"/>
            <w:vAlign w:val="bottom"/>
          </w:tcPr>
          <w:p>
            <w:pPr>
              <w:jc w:val="right"/>
              <w:ind w:right="976"/>
              <w:spacing w:after="0"/>
              <w:rPr>
                <w:sz w:val="20"/>
                <w:szCs w:val="20"/>
                <w:color w:val="auto"/>
              </w:rPr>
            </w:pPr>
            <w:r>
              <w:rPr>
                <w:rFonts w:ascii="Arial" w:cs="Arial" w:eastAsia="Arial" w:hAnsi="Arial"/>
                <w:sz w:val="13"/>
                <w:szCs w:val="13"/>
                <w:b w:val="1"/>
                <w:bCs w:val="1"/>
                <w:color w:val="auto"/>
                <w:w w:val="82"/>
              </w:rPr>
              <w:t>$</w:t>
            </w:r>
          </w:p>
        </w:tc>
        <w:tc>
          <w:tcPr>
            <w:tcW w:w="360" w:type="dxa"/>
            <w:vAlign w:val="bottom"/>
            <w:gridSpan w:val="2"/>
          </w:tcPr>
          <w:p>
            <w:pPr>
              <w:jc w:val="right"/>
              <w:spacing w:after="0"/>
              <w:rPr>
                <w:sz w:val="20"/>
                <w:szCs w:val="20"/>
                <w:color w:val="auto"/>
              </w:rPr>
            </w:pPr>
            <w:r>
              <w:rPr>
                <w:rFonts w:ascii="Arial" w:cs="Arial" w:eastAsia="Arial" w:hAnsi="Arial"/>
                <w:sz w:val="13"/>
                <w:szCs w:val="13"/>
                <w:b w:val="1"/>
                <w:bCs w:val="1"/>
                <w:color w:val="auto"/>
              </w:rPr>
              <w:t>345</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512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426</w:t>
            </w: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amounts representing</w:t>
            </w: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finance charges</w:t>
            </w: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50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Present value of minimum</w:t>
            </w:r>
          </w:p>
        </w:tc>
        <w:tc>
          <w:tcPr>
            <w:tcW w:w="1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lease payments</w:t>
            </w:r>
          </w:p>
        </w:tc>
        <w:tc>
          <w:tcPr>
            <w:tcW w:w="114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426</w:t>
            </w:r>
          </w:p>
        </w:tc>
        <w:tc>
          <w:tcPr>
            <w:tcW w:w="28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Current</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b w:val="1"/>
                <w:bCs w:val="1"/>
                <w:color w:val="auto"/>
                <w:w w:val="82"/>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345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426</w:t>
            </w:r>
          </w:p>
        </w:tc>
        <w:tc>
          <w:tcPr>
            <w:tcW w:w="0" w:type="dxa"/>
            <w:vAlign w:val="bottom"/>
          </w:tcPr>
          <w:p>
            <w:pPr>
              <w:spacing w:after="0"/>
              <w:rPr>
                <w:sz w:val="1"/>
                <w:szCs w:val="1"/>
                <w:color w:val="auto"/>
              </w:rPr>
            </w:pPr>
          </w:p>
        </w:tc>
      </w:tr>
      <w:tr>
        <w:trPr>
          <w:trHeight w:val="698"/>
        </w:trPr>
        <w:tc>
          <w:tcPr>
            <w:tcW w:w="5080" w:type="dxa"/>
            <w:vAlign w:val="bottom"/>
          </w:tcPr>
          <w:p>
            <w:pPr>
              <w:spacing w:after="0"/>
              <w:rPr>
                <w:sz w:val="24"/>
                <w:szCs w:val="24"/>
                <w:color w:val="auto"/>
              </w:rPr>
            </w:pPr>
          </w:p>
        </w:tc>
        <w:tc>
          <w:tcPr>
            <w:tcW w:w="1140" w:type="dxa"/>
            <w:vAlign w:val="bottom"/>
          </w:tcPr>
          <w:p>
            <w:pPr>
              <w:jc w:val="right"/>
              <w:ind w:right="376"/>
              <w:spacing w:after="0"/>
              <w:rPr>
                <w:sz w:val="20"/>
                <w:szCs w:val="20"/>
                <w:color w:val="auto"/>
              </w:rPr>
            </w:pPr>
            <w:r>
              <w:rPr>
                <w:rFonts w:ascii="Arial" w:cs="Arial" w:eastAsia="Arial" w:hAnsi="Arial"/>
                <w:sz w:val="13"/>
                <w:szCs w:val="13"/>
                <w:color w:val="auto"/>
              </w:rPr>
              <w:t>F-36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5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20" w:type="dxa"/>
            <w:vAlign w:val="bottom"/>
          </w:tcPr>
          <w:p>
            <w:pPr>
              <w:spacing w:after="0"/>
              <w:rPr>
                <w:sz w:val="20"/>
                <w:szCs w:val="20"/>
                <w:color w:val="auto"/>
              </w:rPr>
            </w:pPr>
            <w:r>
              <w:rPr>
                <w:rFonts w:ascii="Arial" w:cs="Arial" w:eastAsia="Arial" w:hAnsi="Arial"/>
                <w:sz w:val="13"/>
                <w:szCs w:val="13"/>
                <w:color w:val="auto"/>
              </w:rPr>
              <w:t>Supplemental cash flow information related to leases is as follows:</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12"/>
        </w:trPr>
        <w:tc>
          <w:tcPr>
            <w:tcW w:w="8220" w:type="dxa"/>
            <w:vAlign w:val="bottom"/>
          </w:tcPr>
          <w:p>
            <w:pPr>
              <w:spacing w:after="0"/>
              <w:rPr>
                <w:sz w:val="24"/>
                <w:szCs w:val="24"/>
                <w:color w:val="auto"/>
              </w:rPr>
            </w:pPr>
          </w:p>
        </w:tc>
        <w:tc>
          <w:tcPr>
            <w:tcW w:w="1200" w:type="dxa"/>
            <w:vAlign w:val="bottom"/>
          </w:tcPr>
          <w:p>
            <w:pPr>
              <w:jc w:val="center"/>
              <w:ind w:left="236"/>
              <w:spacing w:after="0"/>
              <w:rPr>
                <w:sz w:val="20"/>
                <w:szCs w:val="20"/>
                <w:color w:val="auto"/>
              </w:rPr>
            </w:pPr>
            <w:r>
              <w:rPr>
                <w:rFonts w:ascii="Arial" w:cs="Arial" w:eastAsia="Arial" w:hAnsi="Arial"/>
                <w:sz w:val="13"/>
                <w:szCs w:val="13"/>
                <w:b w:val="1"/>
                <w:bCs w:val="1"/>
                <w:color w:val="auto"/>
                <w:w w:val="96"/>
              </w:rPr>
              <w:t>December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1"/>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59"/>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used in operating activities:</w:t>
            </w: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Payments of short-term and low-value leases</w:t>
            </w:r>
          </w:p>
        </w:tc>
        <w:tc>
          <w:tcPr>
            <w:tcW w:w="1200" w:type="dxa"/>
            <w:vAlign w:val="bottom"/>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Cash flows used in financing activities:</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lease obligations</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movement of right-of-use assets which primarily relates to building and leasehold improvements during the years ended December 31, 2022 and 2021 is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1"/>
        </w:trPr>
        <w:tc>
          <w:tcPr>
            <w:tcW w:w="82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Beginning balance</w:t>
            </w:r>
          </w:p>
        </w:tc>
        <w:tc>
          <w:tcPr>
            <w:tcW w:w="120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Additions</w:t>
            </w:r>
          </w:p>
        </w:tc>
        <w:tc>
          <w:tcPr>
            <w:tcW w:w="1200" w:type="dxa"/>
            <w:vAlign w:val="bottom"/>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Ending balance</w:t>
            </w:r>
          </w:p>
        </w:tc>
        <w:tc>
          <w:tcPr>
            <w:tcW w:w="1200" w:type="dxa"/>
            <w:vAlign w:val="bottom"/>
            <w:tcBorders>
              <w:bottom w:val="single" w:sz="8" w:color="auto"/>
            </w:tcBorders>
          </w:tcPr>
          <w:p>
            <w:pPr>
              <w:jc w:val="right"/>
              <w:ind w:right="1036"/>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282</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305</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22. Provisions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provision for asset retirement obligations and restructuring charges during the years ended December 31, 2022 and 2021 is as follows:</w:t>
      </w:r>
    </w:p>
    <w:p>
      <w:pPr>
        <w:sectPr>
          <w:pgSz w:w="11900" w:h="16838" w:orient="portrait"/>
          <w:cols w:equalWidth="0" w:num="1">
            <w:col w:w="11280"/>
          </w:cols>
          <w:pgMar w:left="300" w:top="183" w:right="319" w:bottom="1440" w:gutter="0" w:footer="0" w:header="0"/>
        </w:sect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61530" cy="114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Beginning balance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Arising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079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Accretion cost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07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Utilized</w:t>
      </w:r>
      <w:r>
        <w:rPr>
          <w:rFonts w:ascii="Arial" w:cs="Arial" w:eastAsia="Arial" w:hAnsi="Arial"/>
          <w:sz w:val="16"/>
          <w:szCs w:val="16"/>
          <w:color w:val="auto"/>
          <w:vertAlign w:val="superscript"/>
        </w:rPr>
        <w:t>(1)</w:t>
      </w:r>
    </w:p>
    <w:p>
      <w:pPr>
        <w:ind w:left="20"/>
        <w:spacing w:after="0"/>
        <w:rPr>
          <w:sz w:val="20"/>
          <w:szCs w:val="20"/>
          <w:color w:val="auto"/>
        </w:rPr>
      </w:pPr>
      <w:r>
        <w:rPr>
          <w:rFonts w:ascii="Arial" w:cs="Arial" w:eastAsia="Arial" w:hAnsi="Arial"/>
          <w:sz w:val="12"/>
          <w:szCs w:val="12"/>
          <w:color w:val="auto"/>
        </w:rPr>
        <w:t>Released to the consolidated statements of operations</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61530" cy="114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Ending balance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56"/>
        </w:trPr>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349</w:t>
            </w:r>
          </w:p>
        </w:tc>
        <w:tc>
          <w:tcPr>
            <w:tcW w:w="8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353</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2"/>
        </w:trPr>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349</w:t>
            </w:r>
          </w:p>
        </w:tc>
      </w:tr>
    </w:tbl>
    <w:p>
      <w:pPr>
        <w:spacing w:after="0" w:line="200" w:lineRule="exact"/>
        <w:rPr>
          <w:sz w:val="20"/>
          <w:szCs w:val="20"/>
          <w:color w:val="auto"/>
        </w:rPr>
      </w:pPr>
    </w:p>
    <w:p>
      <w:pPr>
        <w:sectPr>
          <w:pgSz w:w="11900" w:h="16838" w:orient="portrait"/>
          <w:cols w:equalWidth="0" w:num="2">
            <w:col w:w="7500" w:space="720"/>
            <w:col w:w="3060"/>
          </w:cols>
          <w:pgMar w:left="300" w:top="183" w:right="319" w:bottom="1440" w:gutter="0" w:footer="0" w:header="0"/>
          <w:type w:val="continuous"/>
        </w:sectPr>
      </w:pPr>
    </w:p>
    <w:p>
      <w:pPr>
        <w:spacing w:after="0" w:line="35" w:lineRule="exact"/>
        <w:rPr>
          <w:sz w:val="20"/>
          <w:szCs w:val="20"/>
          <w:color w:val="auto"/>
        </w:rPr>
      </w:pPr>
    </w:p>
    <w:p>
      <w:pPr>
        <w:ind w:left="500" w:hanging="113"/>
        <w:spacing w:after="0"/>
        <w:tabs>
          <w:tab w:leader="none" w:pos="500" w:val="left"/>
        </w:tabs>
        <w:numPr>
          <w:ilvl w:val="0"/>
          <w:numId w:val="101"/>
        </w:numPr>
        <w:rPr>
          <w:rFonts w:ascii="Arial" w:cs="Arial" w:eastAsia="Arial" w:hAnsi="Arial"/>
          <w:sz w:val="13"/>
          <w:szCs w:val="13"/>
          <w:color w:val="auto"/>
          <w:vertAlign w:val="superscript"/>
        </w:rPr>
      </w:pPr>
      <w:r>
        <w:rPr>
          <w:rFonts w:ascii="Arial" w:cs="Arial" w:eastAsia="Arial" w:hAnsi="Arial"/>
          <w:sz w:val="10"/>
          <w:szCs w:val="10"/>
          <w:color w:val="auto"/>
        </w:rPr>
        <w:t>Includes $40 million related to asset retirement obligations,$7 million related to sale of the EFK business, and $5 million related to restructuring charges.</w:t>
      </w:r>
    </w:p>
    <w:p>
      <w:pPr>
        <w:spacing w:after="0" w:line="181" w:lineRule="exact"/>
        <w:rPr>
          <w:rFonts w:ascii="Arial" w:cs="Arial" w:eastAsia="Arial" w:hAnsi="Arial"/>
          <w:sz w:val="13"/>
          <w:szCs w:val="13"/>
          <w:color w:val="auto"/>
          <w:vertAlign w:val="superscript"/>
        </w:rPr>
      </w:pPr>
    </w:p>
    <w:p>
      <w:pPr>
        <w:ind w:left="500" w:hanging="113"/>
        <w:spacing w:after="0"/>
        <w:tabs>
          <w:tab w:leader="none" w:pos="500" w:val="left"/>
        </w:tabs>
        <w:numPr>
          <w:ilvl w:val="0"/>
          <w:numId w:val="101"/>
        </w:numPr>
        <w:rPr>
          <w:rFonts w:ascii="Arial" w:cs="Arial" w:eastAsia="Arial" w:hAnsi="Arial"/>
          <w:sz w:val="7"/>
          <w:szCs w:val="7"/>
          <w:color w:val="auto"/>
        </w:rPr>
      </w:pPr>
      <w:r>
        <w:rPr>
          <w:rFonts w:ascii="Arial" w:cs="Arial" w:eastAsia="Arial" w:hAnsi="Arial"/>
          <w:sz w:val="11"/>
          <w:szCs w:val="11"/>
          <w:color w:val="auto"/>
        </w:rPr>
        <w:t>Relates to the derecognition of asset retirement obligation related to the sale of the EFK business.</w:t>
      </w:r>
    </w:p>
    <w:p>
      <w:pPr>
        <w:spacing w:after="0" w:line="28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records a provision for site restoration costs as required by legal and contractual obligations if assessed to be probable that it will incur such costs. Because of the long-term nature of the liability, the greatest uncertainty in estimating the provision is the costs that will be incurred. The Company has estimated costs based on currently available information provided by experts about the extent of restoration work required.</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provision has been calculated using a discount rate of 1.58% to 4.04% (2021: (1.59)% to 1.95%), which is the risk-free rate in the jurisdiction of the liability. The site restoration costs are expected to be incurred on site abandonment for its owned property and on lease expiration for its leasehold land. The expected timing of incurring site restoration costs is consistent with the remaining useful lives of the underlying property, plant and equipment.</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See Note 8, Restructuring, for information related the Company’s restructuring initiative.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type w:val="continuous"/>
        </w:sectPr>
      </w:pPr>
    </w:p>
    <w:bookmarkStart w:id="123" w:name="page124"/>
    <w:bookmarkEnd w:id="123"/>
    <w:p>
      <w:pPr>
        <w:jc w:val="center"/>
        <w:ind w:right="-19"/>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Government Grants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movement in deferred income from government grants for the years ended December 31, 2022 and 2021:</w:t>
      </w:r>
    </w:p>
    <w:p>
      <w:pPr>
        <w:sectPr>
          <w:pgSz w:w="11900" w:h="16838" w:orient="portrait"/>
          <w:cols w:equalWidth="0" w:num="1">
            <w:col w:w="11280"/>
          </w:cols>
          <w:pgMar w:left="300" w:top="183" w:right="319" w:bottom="1440" w:gutter="0" w:footer="0" w:header="0"/>
        </w:sect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61530" cy="114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Beginning balance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Received/receivable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07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Released to the consolidated statements of operations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61530" cy="1079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143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Government grants were recognized in the consolidated statements of operations and comprehensive income (loss) as follows: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1"/>
        </w:trPr>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65"/>
        </w:trPr>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176</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70"/>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72"/>
        </w:trPr>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162"/>
        </w:trPr>
        <w:tc>
          <w:tcPr>
            <w:tcW w:w="22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404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176</w:t>
            </w:r>
          </w:p>
        </w:tc>
      </w:tr>
      <w:tr>
        <w:trPr>
          <w:trHeight w:val="166"/>
        </w:trPr>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2"/>
        </w:trPr>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r>
      <w:tr>
        <w:trPr>
          <w:trHeight w:val="162"/>
        </w:trPr>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404</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176</w:t>
            </w:r>
          </w:p>
        </w:tc>
      </w:tr>
    </w:tbl>
    <w:p>
      <w:pPr>
        <w:spacing w:after="0" w:line="476" w:lineRule="exact"/>
        <w:rPr>
          <w:sz w:val="20"/>
          <w:szCs w:val="20"/>
          <w:color w:val="auto"/>
        </w:rPr>
      </w:pPr>
    </w:p>
    <w:p>
      <w:pPr>
        <w:sectPr>
          <w:pgSz w:w="11900" w:h="16838" w:orient="portrait"/>
          <w:cols w:equalWidth="0" w:num="2">
            <w:col w:w="7500" w:space="720"/>
            <w:col w:w="3060"/>
          </w:cols>
          <w:pgMar w:left="300" w:top="183" w:right="3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6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98"/>
        </w:trPr>
        <w:tc>
          <w:tcPr>
            <w:tcW w:w="6660" w:type="dxa"/>
            <w:vAlign w:val="bottom"/>
            <w:vMerge w:val="continue"/>
          </w:tcPr>
          <w:p>
            <w:pPr>
              <w:spacing w:after="0"/>
              <w:rPr>
                <w:sz w:val="8"/>
                <w:szCs w:val="8"/>
                <w:color w:val="auto"/>
              </w:rPr>
            </w:pPr>
          </w:p>
        </w:tc>
        <w:tc>
          <w:tcPr>
            <w:tcW w:w="1220" w:type="dxa"/>
            <w:vAlign w:val="bottom"/>
            <w:vMerge w:val="restart"/>
          </w:tcPr>
          <w:p>
            <w:pPr>
              <w:jc w:val="right"/>
              <w:ind w:right="276"/>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73"/>
        </w:trPr>
        <w:tc>
          <w:tcPr>
            <w:tcW w:w="6660" w:type="dxa"/>
            <w:vAlign w:val="bottom"/>
            <w:tcBorders>
              <w:bottom w:val="single" w:sz="8" w:color="CCEEFF"/>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1220" w:type="dxa"/>
            <w:vAlign w:val="bottom"/>
            <w:shd w:val="clear" w:color="auto" w:fill="CCEEFF"/>
          </w:tcPr>
          <w:p>
            <w:pPr>
              <w:jc w:val="right"/>
              <w:ind w:right="107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Research and development expenses</w:t>
            </w:r>
          </w:p>
        </w:tc>
        <w:tc>
          <w:tcPr>
            <w:tcW w:w="1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Total balance</w:t>
            </w:r>
          </w:p>
        </w:tc>
        <w:tc>
          <w:tcPr>
            <w:tcW w:w="1220" w:type="dxa"/>
            <w:vAlign w:val="bottom"/>
            <w:tcBorders>
              <w:top w:val="single" w:sz="8" w:color="auto"/>
              <w:bottom w:val="single" w:sz="8" w:color="auto"/>
            </w:tcBorders>
          </w:tcPr>
          <w:p>
            <w:pPr>
              <w:jc w:val="right"/>
              <w:ind w:right="1076"/>
              <w:spacing w:after="0"/>
              <w:rPr>
                <w:sz w:val="20"/>
                <w:szCs w:val="20"/>
                <w:color w:val="auto"/>
              </w:rPr>
            </w:pPr>
            <w:r>
              <w:rPr>
                <w:rFonts w:ascii="Arial" w:cs="Arial" w:eastAsia="Arial" w:hAnsi="Arial"/>
                <w:sz w:val="13"/>
                <w:szCs w:val="13"/>
                <w:b w:val="1"/>
                <w:bCs w:val="1"/>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w:t>
            </w:r>
          </w:p>
        </w:tc>
        <w:tc>
          <w:tcPr>
            <w:tcW w:w="0" w:type="dxa"/>
            <w:vAlign w:val="bottom"/>
          </w:tcPr>
          <w:p>
            <w:pPr>
              <w:spacing w:after="0"/>
              <w:rPr>
                <w:sz w:val="1"/>
                <w:szCs w:val="1"/>
                <w:color w:val="auto"/>
              </w:rPr>
            </w:pPr>
          </w:p>
        </w:tc>
      </w:tr>
    </w:tbl>
    <w:p>
      <w:pPr>
        <w:spacing w:after="0" w:line="34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has received government support in the form of investment grants, research and development subsidies, refundable credits and miscellaneous receipts for employee support. Amount receivable from government but not yet received has been included in receivables, prepayments and other assets. Certain investment grants are subject to forfeiture in declining amounts over the life of the agreement if the Company does not maintain agreed upon conditions specified in the relevant subsidy agreements. The Company continues to comply with the government grant conditions mainly relating to qualifying property, plant and equipment and employment levels.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Pr>
          <w:p>
            <w:pPr>
              <w:spacing w:after="0"/>
              <w:rPr>
                <w:sz w:val="20"/>
                <w:szCs w:val="20"/>
                <w:color w:val="auto"/>
              </w:rPr>
            </w:pPr>
            <w:r>
              <w:rPr>
                <w:rFonts w:ascii="Arial" w:cs="Arial" w:eastAsia="Arial" w:hAnsi="Arial"/>
                <w:sz w:val="13"/>
                <w:szCs w:val="13"/>
                <w:b w:val="1"/>
                <w:bCs w:val="1"/>
                <w:color w:val="auto"/>
              </w:rPr>
              <w:t>24. Trade Payables and Other Liabilities</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12"/>
        </w:trPr>
        <w:tc>
          <w:tcPr>
            <w:tcW w:w="8220" w:type="dxa"/>
            <w:vAlign w:val="bottom"/>
          </w:tcPr>
          <w:p>
            <w:pPr>
              <w:spacing w:after="0"/>
              <w:rPr>
                <w:sz w:val="24"/>
                <w:szCs w:val="24"/>
                <w:color w:val="auto"/>
              </w:rPr>
            </w:pPr>
          </w:p>
        </w:tc>
        <w:tc>
          <w:tcPr>
            <w:tcW w:w="1200" w:type="dxa"/>
            <w:vAlign w:val="bottom"/>
          </w:tcPr>
          <w:p>
            <w:pPr>
              <w:jc w:val="center"/>
              <w:ind w:left="236"/>
              <w:spacing w:after="0"/>
              <w:rPr>
                <w:sz w:val="20"/>
                <w:szCs w:val="20"/>
                <w:color w:val="auto"/>
              </w:rPr>
            </w:pPr>
            <w:r>
              <w:rPr>
                <w:rFonts w:ascii="Arial" w:cs="Arial" w:eastAsia="Arial" w:hAnsi="Arial"/>
                <w:sz w:val="13"/>
                <w:szCs w:val="13"/>
                <w:b w:val="1"/>
                <w:bCs w:val="1"/>
                <w:color w:val="auto"/>
                <w:w w:val="96"/>
              </w:rPr>
              <w:t>December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50"/>
        </w:trPr>
        <w:tc>
          <w:tcPr>
            <w:tcW w:w="82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Current:</w:t>
            </w: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8"/>
        </w:trPr>
        <w:tc>
          <w:tcPr>
            <w:tcW w:w="8220" w:type="dxa"/>
            <w:vAlign w:val="bottom"/>
          </w:tcPr>
          <w:p>
            <w:pPr>
              <w:ind w:left="100"/>
              <w:spacing w:after="0"/>
              <w:rPr>
                <w:sz w:val="20"/>
                <w:szCs w:val="20"/>
                <w:color w:val="auto"/>
              </w:rPr>
            </w:pPr>
            <w:r>
              <w:rPr>
                <w:rFonts w:ascii="Arial" w:cs="Arial" w:eastAsia="Arial" w:hAnsi="Arial"/>
                <w:sz w:val="13"/>
                <w:szCs w:val="13"/>
                <w:color w:val="auto"/>
              </w:rPr>
              <w:t>Trade payables</w:t>
            </w:r>
          </w:p>
        </w:tc>
        <w:tc>
          <w:tcPr>
            <w:tcW w:w="1200" w:type="dxa"/>
            <w:vAlign w:val="bottom"/>
          </w:tcPr>
          <w:p>
            <w:pPr>
              <w:jc w:val="right"/>
              <w:ind w:right="1036"/>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532</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551</w:t>
            </w:r>
          </w:p>
        </w:tc>
      </w:tr>
      <w:tr>
        <w:trPr>
          <w:trHeight w:val="172"/>
        </w:trPr>
        <w:tc>
          <w:tcPr>
            <w:tcW w:w="8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expenses</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r>
      <w:tr>
        <w:trPr>
          <w:trHeight w:val="170"/>
        </w:trPr>
        <w:tc>
          <w:tcPr>
            <w:tcW w:w="8220" w:type="dxa"/>
            <w:vAlign w:val="bottom"/>
          </w:tcPr>
          <w:p>
            <w:pPr>
              <w:ind w:left="100"/>
              <w:spacing w:after="0" w:line="170" w:lineRule="exact"/>
              <w:rPr>
                <w:sz w:val="20"/>
                <w:szCs w:val="20"/>
                <w:color w:val="auto"/>
              </w:rPr>
            </w:pPr>
            <w:r>
              <w:rPr>
                <w:rFonts w:ascii="Arial" w:cs="Arial" w:eastAsia="Arial" w:hAnsi="Arial"/>
                <w:sz w:val="13"/>
                <w:szCs w:val="13"/>
                <w:color w:val="auto"/>
              </w:rPr>
              <w:t>Contract liabilities</w:t>
            </w:r>
            <w:r>
              <w:rPr>
                <w:rFonts w:ascii="Arial" w:cs="Arial" w:eastAsia="Arial" w:hAnsi="Arial"/>
                <w:sz w:val="16"/>
                <w:szCs w:val="16"/>
                <w:color w:val="auto"/>
                <w:vertAlign w:val="superscript"/>
              </w:rPr>
              <w:t>(1)</w:t>
            </w: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592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533</w:t>
            </w:r>
          </w:p>
        </w:tc>
      </w:tr>
      <w:tr>
        <w:trPr>
          <w:trHeight w:val="170"/>
        </w:trPr>
        <w:tc>
          <w:tcPr>
            <w:tcW w:w="8220" w:type="dxa"/>
            <w:vAlign w:val="bottom"/>
            <w:shd w:val="clear" w:color="auto" w:fill="CCEEFF"/>
          </w:tcPr>
          <w:p>
            <w:pPr>
              <w:ind w:left="100"/>
              <w:spacing w:after="0" w:line="170" w:lineRule="exact"/>
              <w:rPr>
                <w:sz w:val="20"/>
                <w:szCs w:val="20"/>
                <w:color w:val="auto"/>
              </w:rPr>
            </w:pPr>
            <w:r>
              <w:rPr>
                <w:rFonts w:ascii="Arial" w:cs="Arial" w:eastAsia="Arial" w:hAnsi="Arial"/>
                <w:sz w:val="13"/>
                <w:szCs w:val="13"/>
                <w:color w:val="auto"/>
              </w:rPr>
              <w:t>Advances and deposits</w:t>
            </w:r>
            <w:r>
              <w:rPr>
                <w:rFonts w:ascii="Arial" w:cs="Arial" w:eastAsia="Arial" w:hAnsi="Arial"/>
                <w:sz w:val="16"/>
                <w:szCs w:val="16"/>
                <w:color w:val="auto"/>
                <w:vertAlign w:val="superscript"/>
              </w:rPr>
              <w:t>(2)</w:t>
            </w: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r>
      <w:tr>
        <w:trPr>
          <w:trHeight w:val="168"/>
        </w:trPr>
        <w:tc>
          <w:tcPr>
            <w:tcW w:w="8220" w:type="dxa"/>
            <w:vAlign w:val="bottom"/>
          </w:tcPr>
          <w:p>
            <w:pPr>
              <w:ind w:left="100"/>
              <w:spacing w:after="0"/>
              <w:rPr>
                <w:sz w:val="20"/>
                <w:szCs w:val="20"/>
                <w:color w:val="auto"/>
              </w:rPr>
            </w:pPr>
            <w:r>
              <w:rPr>
                <w:rFonts w:ascii="Arial" w:cs="Arial" w:eastAsia="Arial" w:hAnsi="Arial"/>
                <w:sz w:val="13"/>
                <w:szCs w:val="13"/>
                <w:color w:val="auto"/>
              </w:rPr>
              <w:t>Payable for PPE and Intangible Assets</w:t>
            </w: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961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472</w:t>
            </w:r>
          </w:p>
        </w:tc>
      </w:tr>
      <w:tr>
        <w:trPr>
          <w:trHeight w:val="172"/>
        </w:trPr>
        <w:tc>
          <w:tcPr>
            <w:tcW w:w="8220" w:type="dxa"/>
            <w:vAlign w:val="bottom"/>
            <w:shd w:val="clear" w:color="auto" w:fill="CCEEFF"/>
          </w:tcPr>
          <w:p>
            <w:pPr>
              <w:ind w:left="100"/>
              <w:spacing w:after="0" w:line="172"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(3)</w:t>
            </w: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2,849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2,586</w:t>
            </w:r>
          </w:p>
        </w:tc>
      </w:tr>
      <w:tr>
        <w:trPr>
          <w:trHeight w:val="15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8"/>
        </w:trPr>
        <w:tc>
          <w:tcPr>
            <w:tcW w:w="8820" w:type="dxa"/>
            <w:vAlign w:val="bottom"/>
            <w:gridSpan w:val="2"/>
          </w:tcPr>
          <w:p>
            <w:pPr>
              <w:ind w:left="100"/>
              <w:spacing w:after="0"/>
              <w:rPr>
                <w:sz w:val="20"/>
                <w:szCs w:val="20"/>
                <w:color w:val="auto"/>
              </w:rPr>
            </w:pPr>
            <w:r>
              <w:rPr>
                <w:rFonts w:ascii="Arial" w:cs="Arial" w:eastAsia="Arial" w:hAnsi="Arial"/>
                <w:sz w:val="13"/>
                <w:szCs w:val="13"/>
                <w:color w:val="auto"/>
              </w:rPr>
              <w:t>Payable for Intangible Assets</w:t>
            </w:r>
          </w:p>
        </w:tc>
        <w:tc>
          <w:tcPr>
            <w:tcW w:w="900" w:type="dxa"/>
            <w:vAlign w:val="bottom"/>
          </w:tcPr>
          <w:p>
            <w:pPr>
              <w:jc w:val="right"/>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2"/>
        </w:trPr>
        <w:tc>
          <w:tcPr>
            <w:tcW w:w="8820" w:type="dxa"/>
            <w:vAlign w:val="bottom"/>
            <w:gridSpan w:val="2"/>
            <w:shd w:val="clear" w:color="auto" w:fill="CCEEFF"/>
          </w:tcPr>
          <w:p>
            <w:pPr>
              <w:ind w:left="100"/>
              <w:spacing w:after="0" w:line="172" w:lineRule="exact"/>
              <w:rPr>
                <w:sz w:val="20"/>
                <w:szCs w:val="20"/>
                <w:color w:val="auto"/>
              </w:rPr>
            </w:pPr>
            <w:r>
              <w:rPr>
                <w:rFonts w:ascii="Arial" w:cs="Arial" w:eastAsia="Arial" w:hAnsi="Arial"/>
                <w:sz w:val="13"/>
                <w:szCs w:val="13"/>
                <w:color w:val="auto"/>
              </w:rPr>
              <w:t>Contract liabilities</w:t>
            </w:r>
            <w:r>
              <w:rPr>
                <w:rFonts w:ascii="Arial" w:cs="Arial" w:eastAsia="Arial" w:hAnsi="Arial"/>
                <w:sz w:val="16"/>
                <w:szCs w:val="16"/>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r>
      <w:tr>
        <w:trPr>
          <w:trHeight w:val="168"/>
        </w:trPr>
        <w:tc>
          <w:tcPr>
            <w:tcW w:w="8820" w:type="dxa"/>
            <w:vAlign w:val="bottom"/>
            <w:gridSpan w:val="2"/>
          </w:tcPr>
          <w:p>
            <w:pPr>
              <w:ind w:left="100"/>
              <w:spacing w:after="0"/>
              <w:rPr>
                <w:sz w:val="20"/>
                <w:szCs w:val="20"/>
                <w:color w:val="auto"/>
              </w:rPr>
            </w:pPr>
            <w:r>
              <w:rPr>
                <w:rFonts w:ascii="Arial" w:cs="Arial" w:eastAsia="Arial" w:hAnsi="Arial"/>
                <w:sz w:val="13"/>
                <w:szCs w:val="13"/>
                <w:color w:val="auto"/>
              </w:rPr>
              <w:t>Deferred tax liabilities</w:t>
            </w:r>
          </w:p>
        </w:tc>
        <w:tc>
          <w:tcPr>
            <w:tcW w:w="90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2"/>
        </w:trPr>
        <w:tc>
          <w:tcPr>
            <w:tcW w:w="8820" w:type="dxa"/>
            <w:vAlign w:val="bottom"/>
            <w:gridSpan w:val="2"/>
            <w:shd w:val="clear" w:color="auto" w:fill="CCEEFF"/>
          </w:tcPr>
          <w:p>
            <w:pPr>
              <w:ind w:left="100"/>
              <w:spacing w:after="0" w:line="172"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60"/>
        </w:trPr>
        <w:tc>
          <w:tcPr>
            <w:tcW w:w="82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1,474</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1,445</w:t>
            </w:r>
          </w:p>
        </w:tc>
      </w:tr>
    </w:tbl>
    <w:p>
      <w:pPr>
        <w:spacing w:after="0" w:line="127" w:lineRule="exact"/>
        <w:rPr>
          <w:sz w:val="20"/>
          <w:szCs w:val="20"/>
          <w:color w:val="auto"/>
        </w:rPr>
      </w:pPr>
    </w:p>
    <w:p>
      <w:pPr>
        <w:ind w:left="500" w:hanging="240"/>
        <w:spacing w:after="0"/>
        <w:tabs>
          <w:tab w:leader="none" w:pos="500" w:val="left"/>
        </w:tabs>
        <w:numPr>
          <w:ilvl w:val="0"/>
          <w:numId w:val="102"/>
        </w:numPr>
        <w:rPr>
          <w:rFonts w:ascii="Arial" w:cs="Arial" w:eastAsia="Arial" w:hAnsi="Arial"/>
          <w:sz w:val="15"/>
          <w:szCs w:val="15"/>
          <w:color w:val="auto"/>
          <w:vertAlign w:val="superscript"/>
        </w:rPr>
      </w:pPr>
      <w:r>
        <w:rPr>
          <w:rFonts w:ascii="Arial" w:cs="Arial" w:eastAsia="Arial" w:hAnsi="Arial"/>
          <w:sz w:val="11"/>
          <w:szCs w:val="11"/>
          <w:color w:val="auto"/>
        </w:rPr>
        <w:t>Contract liabilities comprises contract liabilities for payments received in advance of the satisfaction of performance obligations for wafers, as well as non-recurring engineering services.</w:t>
      </w:r>
    </w:p>
    <w:p>
      <w:pPr>
        <w:spacing w:after="0" w:line="50" w:lineRule="exact"/>
        <w:rPr>
          <w:rFonts w:ascii="Arial" w:cs="Arial" w:eastAsia="Arial" w:hAnsi="Arial"/>
          <w:sz w:val="15"/>
          <w:szCs w:val="15"/>
          <w:color w:val="auto"/>
          <w:vertAlign w:val="superscript"/>
        </w:rPr>
      </w:pPr>
    </w:p>
    <w:p>
      <w:pPr>
        <w:ind w:left="500" w:hanging="240"/>
        <w:spacing w:after="0"/>
        <w:tabs>
          <w:tab w:leader="none" w:pos="500" w:val="left"/>
        </w:tabs>
        <w:numPr>
          <w:ilvl w:val="0"/>
          <w:numId w:val="102"/>
        </w:numPr>
        <w:rPr>
          <w:rFonts w:ascii="Arial" w:cs="Arial" w:eastAsia="Arial" w:hAnsi="Arial"/>
          <w:sz w:val="15"/>
          <w:szCs w:val="15"/>
          <w:color w:val="auto"/>
          <w:vertAlign w:val="superscript"/>
        </w:rPr>
      </w:pPr>
      <w:r>
        <w:rPr>
          <w:rFonts w:ascii="Arial" w:cs="Arial" w:eastAsia="Arial" w:hAnsi="Arial"/>
          <w:sz w:val="11"/>
          <w:szCs w:val="11"/>
          <w:color w:val="auto"/>
        </w:rPr>
        <w:t>Advances and deposits include advances from customers of $73 million (2021: $118 million) collected for purchase orders.</w:t>
      </w:r>
    </w:p>
    <w:p>
      <w:pPr>
        <w:spacing w:after="0" w:line="50" w:lineRule="exact"/>
        <w:rPr>
          <w:rFonts w:ascii="Arial" w:cs="Arial" w:eastAsia="Arial" w:hAnsi="Arial"/>
          <w:sz w:val="15"/>
          <w:szCs w:val="15"/>
          <w:color w:val="auto"/>
          <w:vertAlign w:val="superscript"/>
        </w:rPr>
      </w:pPr>
    </w:p>
    <w:p>
      <w:pPr>
        <w:ind w:left="500" w:hanging="240"/>
        <w:spacing w:after="0"/>
        <w:tabs>
          <w:tab w:leader="none" w:pos="500" w:val="left"/>
        </w:tabs>
        <w:numPr>
          <w:ilvl w:val="0"/>
          <w:numId w:val="102"/>
        </w:numPr>
        <w:rPr>
          <w:rFonts w:ascii="Arial" w:cs="Arial" w:eastAsia="Arial" w:hAnsi="Arial"/>
          <w:sz w:val="15"/>
          <w:szCs w:val="15"/>
          <w:color w:val="auto"/>
          <w:vertAlign w:val="superscript"/>
        </w:rPr>
      </w:pPr>
      <w:r>
        <w:rPr>
          <w:rFonts w:ascii="Arial" w:cs="Arial" w:eastAsia="Arial" w:hAnsi="Arial"/>
          <w:sz w:val="11"/>
          <w:szCs w:val="11"/>
          <w:color w:val="auto"/>
        </w:rPr>
        <w:t>Other includes other financial liabilities and non-current advances and deposits. See Note 17 for further details on other financial liabilities.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activities in accounts payable as of December 31,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98"/>
        </w:trPr>
        <w:tc>
          <w:tcPr>
            <w:tcW w:w="8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73"/>
        </w:trPr>
        <w:tc>
          <w:tcPr>
            <w:tcW w:w="82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contract liabilities balance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Cash receipts in advance of satisfaction of performance obligations</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1,189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19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Released to the consolidated statements of operations and comprehensive income (loss)</w:t>
            </w:r>
            <w:r>
              <w:rPr>
                <w:rFonts w:ascii="Arial" w:cs="Arial" w:eastAsia="Arial" w:hAnsi="Arial"/>
                <w:sz w:val="16"/>
                <w:szCs w:val="16"/>
                <w:color w:val="auto"/>
                <w:vertAlign w:val="superscript"/>
              </w:rPr>
              <w:t>(1)</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Amounts credited to customers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contract liabilities balance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1,901</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Current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592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60"/>
        </w:trPr>
        <w:tc>
          <w:tcPr>
            <w:tcW w:w="8220" w:type="dxa"/>
            <w:vAlign w:val="bottom"/>
          </w:tcPr>
          <w:p>
            <w:pPr>
              <w:spacing w:after="0"/>
              <w:rPr>
                <w:sz w:val="13"/>
                <w:szCs w:val="13"/>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1,918</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1,901</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20" w:hanging="260"/>
        <w:spacing w:after="0" w:line="220" w:lineRule="auto"/>
        <w:tabs>
          <w:tab w:leader="none" w:pos="514" w:val="left"/>
        </w:tabs>
        <w:numPr>
          <w:ilvl w:val="1"/>
          <w:numId w:val="103"/>
        </w:numPr>
        <w:rPr>
          <w:rFonts w:ascii="Arial" w:cs="Arial" w:eastAsia="Arial" w:hAnsi="Arial"/>
          <w:sz w:val="15"/>
          <w:szCs w:val="15"/>
          <w:color w:val="auto"/>
          <w:vertAlign w:val="superscript"/>
        </w:rPr>
      </w:pPr>
      <w:r>
        <w:rPr>
          <w:rFonts w:ascii="Arial" w:cs="Arial" w:eastAsia="Arial" w:hAnsi="Arial"/>
          <w:sz w:val="11"/>
          <w:szCs w:val="11"/>
          <w:color w:val="auto"/>
        </w:rPr>
        <w:t>Of revenue released to the consolidated statements of operations and comprehensive income (loss) for the years ended December 31, 2022 and 2021, $522 million and $48 million, respectively were included in the beginning balance of the contract liabilities.</w:t>
      </w:r>
    </w:p>
    <w:p>
      <w:pPr>
        <w:spacing w:after="0" w:line="227"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Benefits Plans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i w:val="1"/>
          <w:iCs w:val="1"/>
          <w:color w:val="auto"/>
        </w:rPr>
        <w:t>Retirement Savings Plans</w:t>
      </w:r>
      <w:r>
        <w:rPr>
          <w:rFonts w:ascii="Arial" w:cs="Arial" w:eastAsia="Arial" w:hAnsi="Arial"/>
          <w:sz w:val="13"/>
          <w:szCs w:val="13"/>
          <w:color w:val="auto"/>
        </w:rPr>
        <w:t>—The Company has a retirement savings plan, commonly known as a 401(k) plan, which allows participating employees in the United States to contribute a portion of their</w:t>
      </w:r>
      <w:r>
        <w:rPr>
          <w:rFonts w:ascii="Arial" w:cs="Arial" w:eastAsia="Arial" w:hAnsi="Arial"/>
          <w:sz w:val="13"/>
          <w:szCs w:val="13"/>
          <w:i w:val="1"/>
          <w:iCs w:val="1"/>
          <w:color w:val="auto"/>
        </w:rPr>
        <w:t xml:space="preserve"> </w:t>
      </w:r>
      <w:r>
        <w:rPr>
          <w:rFonts w:ascii="Arial" w:cs="Arial" w:eastAsia="Arial" w:hAnsi="Arial"/>
          <w:sz w:val="13"/>
          <w:szCs w:val="13"/>
          <w:color w:val="auto"/>
        </w:rPr>
        <w:t>pre-tax salary up to Internal Revenue Service limits. The Company matches employee contributions dollar for dollar for the first 3% of participants’ contributions and $0.50 cents on each dollar of additional 3% of participants’ contributions, to a maximum of 4.5% of eligible compensation. The Company’s contributions to the 401(k) plan were $32 million, $31 million and $32 million for the years ended December 31, 2022, 2021 and 2020, respectively.</w:t>
      </w:r>
    </w:p>
    <w:p>
      <w:pPr>
        <w:spacing w:after="0" w:line="7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also has an employee benefits plan that requires the Company to make monthly contributions based on the statutory funding requirement into a Central Provident Fund (“CPF”) for substantially all Singapore citizens and permanent residents. The Company’s contributions under this plan were $31 million, $29 million and $22 million for the years ended December 31, 2022, 2021 and 2020,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See Note 29 Share-based compensation for our Employee Stock Purchase Plan.</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 Commitments and Contingencies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Commitments</w:t>
      </w:r>
      <w:r>
        <w:rPr>
          <w:rFonts w:ascii="Arial" w:cs="Arial" w:eastAsia="Arial" w:hAnsi="Arial"/>
          <w:sz w:val="13"/>
          <w:szCs w:val="13"/>
          <w:color w:val="auto"/>
        </w:rPr>
        <w:t>—The Company’s unconditional purchase commitments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87"/>
        </w:trPr>
        <w:tc>
          <w:tcPr>
            <w:tcW w:w="82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73"/>
        </w:trPr>
        <w:tc>
          <w:tcPr>
            <w:tcW w:w="82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Contracts for capital expenditures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2,995</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Contracts for operating expenditures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3,405</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6,361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6,400</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Due within the next 12 months</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2,732</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3,543</w:t>
            </w:r>
          </w:p>
        </w:tc>
        <w:tc>
          <w:tcPr>
            <w:tcW w:w="0" w:type="dxa"/>
            <w:vAlign w:val="bottom"/>
          </w:tcPr>
          <w:p>
            <w:pPr>
              <w:spacing w:after="0"/>
              <w:rPr>
                <w:sz w:val="1"/>
                <w:szCs w:val="1"/>
                <w:color w:val="auto"/>
              </w:rPr>
            </w:pPr>
          </w:p>
        </w:tc>
      </w:tr>
    </w:tbl>
    <w:p>
      <w:pPr>
        <w:spacing w:after="0" w:line="34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to the above, the Company obtained letters of credit to primarily guarantee payments for utility supplies and foreign statutory payroll related charges. The Company has obtained letters of credit of $20 million and $20 million at December 31, 2022 and 2021, respectively, and bank guarantees of $4 million and $3 million at December 31, 2022 and 2021, respectively.</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Company has a patent license agreement with LSI Technology Corporation (“LSI”) under which the parties grant to one another a license to use certain of each other’s patents. Under the terms of the patent license agreement, the Company may provide wafer capacity in lieu of payment for royalties. Such royalties under the patent license agreement are waived until such time the interest of LSI in SMP falls below 49%. In exchange, the Company has waived capacity shortfall obligations from LSI. Should the interest of LSI in SMP fall below 49%, the Company may be required to make royalty payments to LSI under this patent license agreement. The Company has not made any royalty payments to LSI. The patent license agreement continues for as long as the joint venture agreement between the parties remains.</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201F1E"/>
        </w:rPr>
        <w:t>In 2017, we entered into a set of agreements with a joint venture partner related to the establishment of a joint venture in China to establish and operate a greenfield wafer production site. The parties contemplated that the manufacturing operations would be implemented in two p</w:t>
      </w:r>
      <w:r>
        <w:rPr>
          <w:rFonts w:ascii="Arial" w:cs="Arial" w:eastAsia="Arial" w:hAnsi="Arial"/>
          <w:sz w:val="13"/>
          <w:szCs w:val="13"/>
          <w:color w:val="000000"/>
        </w:rPr>
        <w:t>hases. Due to a variety of factors, including unanticipated market conditions, the manufacturing operations did not</w:t>
      </w:r>
      <w:r>
        <w:rPr>
          <w:rFonts w:ascii="Arial" w:cs="Arial" w:eastAsia="Arial" w:hAnsi="Arial"/>
          <w:sz w:val="13"/>
          <w:szCs w:val="13"/>
          <w:color w:val="201F1E"/>
        </w:rPr>
        <w:t xml:space="preserve"> </w:t>
      </w:r>
      <w:r>
        <w:rPr>
          <w:rFonts w:ascii="Arial" w:cs="Arial" w:eastAsia="Arial" w:hAnsi="Arial"/>
          <w:sz w:val="13"/>
          <w:szCs w:val="13"/>
          <w:color w:val="000000"/>
        </w:rPr>
        <w:t>proceed as planned and the parties have been working to wind-down operations of the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joint venture. On April 26, 2021, we received a letter from our joint venture partner requesting that we share in its alleged losses and related costs incurred to support the joint venture. We recorded a provision of $34 million in June 2021. We engaged in negotiations with our joint venture partner to settle the claim and on November 2021 we resolved the claims consistent with the recorded provision. In August 2022, all shares owned by our joint venture partner have been transferred to GF Asia Investment.</w:t>
      </w:r>
    </w:p>
    <w:p>
      <w:pPr>
        <w:spacing w:after="0" w:line="7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April 28, 2021, IBM sent us a letter alleging for the first time that we did not fulfill our obligations under the contracts we entered into with IBM in 2014 and 2015 associated with our acquisition of IBM’s Microelectronics division. IBM asserted that we engaged in fraudulent misrepresentations during the underlying negotiations, and claimed we owed them $2.5 billion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our motion to dismiss IBM’s claims of fraud, unjust enrichment and breach of the implied covenant of good faith and fair dealing. IBM appealed the dismissal of its fraud claim, and on April 7, 2022, the New York Appellate Division reversed the Court’s decision. The Company believes, based on discussions with legal counsel, that the Company has meritorious defenses against IBM’s claims. The Company disputes IBM’s claims and intends to vigorously defend against IBM. We do not currently anticipate this proceeding to have a material impact on our results of operations, financial condition, business and prospects</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27. Earnings Per Share</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Basic and diluted earnings (loss) per share has been calculated for the years ended December 31, 2022, 2021, and 2020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80"/>
        </w:trPr>
        <w:tc>
          <w:tcPr>
            <w:tcW w:w="66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available to equity shareholders of the Company</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(1,350)</w:t>
            </w:r>
          </w:p>
        </w:tc>
      </w:tr>
      <w:tr>
        <w:trPr>
          <w:trHeight w:val="194"/>
        </w:trPr>
        <w:tc>
          <w:tcPr>
            <w:tcW w:w="6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6660" w:type="dxa"/>
            <w:vAlign w:val="bottom"/>
          </w:tcPr>
          <w:p>
            <w:pPr>
              <w:ind w:left="180"/>
              <w:spacing w:after="0"/>
              <w:rPr>
                <w:sz w:val="20"/>
                <w:szCs w:val="20"/>
                <w:color w:val="auto"/>
              </w:rPr>
            </w:pPr>
            <w:r>
              <w:rPr>
                <w:rFonts w:ascii="Arial" w:cs="Arial" w:eastAsia="Arial" w:hAnsi="Arial"/>
                <w:sz w:val="13"/>
                <w:szCs w:val="13"/>
                <w:color w:val="auto"/>
              </w:rPr>
              <w:t>Basic</w:t>
            </w:r>
          </w:p>
        </w:tc>
        <w:tc>
          <w:tcPr>
            <w:tcW w:w="10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539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500</w:t>
            </w:r>
          </w:p>
        </w:tc>
      </w:tr>
      <w:tr>
        <w:trPr>
          <w:trHeight w:val="172"/>
        </w:trPr>
        <w:tc>
          <w:tcPr>
            <w:tcW w:w="6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r>
      <w:tr>
        <w:trPr>
          <w:trHeight w:val="16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basic and diluted earnings per share attributable to equity shareholders</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6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2.69</w:t>
            </w: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(0.49)</w:t>
            </w: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(2.70)</w:t>
            </w:r>
          </w:p>
        </w:tc>
      </w:tr>
      <w:tr>
        <w:trPr>
          <w:trHeight w:val="160"/>
        </w:trPr>
        <w:tc>
          <w:tcPr>
            <w:tcW w:w="6660" w:type="dxa"/>
            <w:vAlign w:val="bottom"/>
          </w:tcPr>
          <w:p>
            <w:pPr>
              <w:ind w:left="180"/>
              <w:spacing w:after="0"/>
              <w:rPr>
                <w:sz w:val="20"/>
                <w:szCs w:val="20"/>
                <w:color w:val="auto"/>
              </w:rPr>
            </w:pPr>
            <w:r>
              <w:rPr>
                <w:rFonts w:ascii="Arial" w:cs="Arial" w:eastAsia="Arial" w:hAnsi="Arial"/>
                <w:sz w:val="13"/>
                <w:szCs w:val="13"/>
                <w:color w:val="auto"/>
              </w:rPr>
              <w:t>Diluted</w:t>
            </w:r>
          </w:p>
        </w:tc>
        <w:tc>
          <w:tcPr>
            <w:tcW w:w="1000" w:type="dxa"/>
            <w:vAlign w:val="bottom"/>
            <w:tcBorders>
              <w:bottom w:val="single" w:sz="8" w:color="auto"/>
            </w:tcBorders>
          </w:tcPr>
          <w:p>
            <w:pPr>
              <w:jc w:val="right"/>
              <w:ind w:right="85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2.62</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(0.49)</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(2.70)</w:t>
            </w:r>
          </w:p>
        </w:tc>
      </w:tr>
    </w:tbl>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the years ended December 31, 2022, 2021 and 2020, there were 6 million, 22 million and 22 million share options outstanding, respectively. Share options for the years ended December 31, 2021 and 2020 were not included in the calculation of diluted earnings per share as their inclusion would have been anti-dilutive.</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28. Related Party Disclosures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consolidated financial statements include the following subsidiaries which are all wholly owned, except for Advanced Mask Technology Centre GmbH &amp; Co. KG, Maskhouse Building Administration GmbH &amp; Co. KG, Advanced Mask Technology Center Verwaltungs GmbH, and Maskhouse Building Administration Verwaltungs GmbH:</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Subsidiary</w:t>
            </w:r>
          </w:p>
        </w:tc>
        <w:tc>
          <w:tcPr>
            <w:tcW w:w="2720" w:type="dxa"/>
            <w:vAlign w:val="bottom"/>
          </w:tcPr>
          <w:p>
            <w:pPr>
              <w:jc w:val="center"/>
              <w:ind w:left="923"/>
              <w:spacing w:after="0"/>
              <w:rPr>
                <w:sz w:val="20"/>
                <w:szCs w:val="20"/>
                <w:color w:val="auto"/>
              </w:rPr>
            </w:pPr>
            <w:r>
              <w:rPr>
                <w:rFonts w:ascii="Arial" w:cs="Arial" w:eastAsia="Arial" w:hAnsi="Arial"/>
                <w:sz w:val="11"/>
                <w:szCs w:val="11"/>
                <w:b w:val="1"/>
                <w:bCs w:val="1"/>
                <w:color w:val="auto"/>
              </w:rPr>
              <w:t>Jurisdiction of</w:t>
            </w:r>
          </w:p>
        </w:tc>
        <w:tc>
          <w:tcPr>
            <w:tcW w:w="136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December 31, 2022</w:t>
            </w:r>
          </w:p>
        </w:tc>
        <w:tc>
          <w:tcPr>
            <w:tcW w:w="138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December 31, 2021</w:t>
            </w:r>
          </w:p>
        </w:tc>
        <w:tc>
          <w:tcPr>
            <w:tcW w:w="128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December 31, 2020</w:t>
            </w:r>
          </w:p>
        </w:tc>
        <w:tc>
          <w:tcPr>
            <w:tcW w:w="0" w:type="dxa"/>
            <w:vAlign w:val="bottom"/>
          </w:tcPr>
          <w:p>
            <w:pPr>
              <w:spacing w:after="0"/>
              <w:rPr>
                <w:sz w:val="1"/>
                <w:szCs w:val="1"/>
                <w:color w:val="auto"/>
              </w:rPr>
            </w:pPr>
          </w:p>
        </w:tc>
      </w:tr>
      <w:tr>
        <w:trPr>
          <w:trHeight w:val="116"/>
        </w:trPr>
        <w:tc>
          <w:tcPr>
            <w:tcW w:w="4540" w:type="dxa"/>
            <w:vAlign w:val="bottom"/>
            <w:vMerge w:val="continue"/>
          </w:tcPr>
          <w:p>
            <w:pPr>
              <w:spacing w:after="0"/>
              <w:rPr>
                <w:sz w:val="10"/>
                <w:szCs w:val="10"/>
                <w:color w:val="auto"/>
              </w:rPr>
            </w:pPr>
          </w:p>
        </w:tc>
        <w:tc>
          <w:tcPr>
            <w:tcW w:w="2720" w:type="dxa"/>
            <w:vAlign w:val="bottom"/>
          </w:tcPr>
          <w:p>
            <w:pPr>
              <w:jc w:val="center"/>
              <w:ind w:left="903"/>
              <w:spacing w:after="0" w:line="116" w:lineRule="exact"/>
              <w:rPr>
                <w:sz w:val="20"/>
                <w:szCs w:val="20"/>
                <w:color w:val="auto"/>
              </w:rPr>
            </w:pPr>
            <w:r>
              <w:rPr>
                <w:rFonts w:ascii="Arial" w:cs="Arial" w:eastAsia="Arial" w:hAnsi="Arial"/>
                <w:sz w:val="11"/>
                <w:szCs w:val="11"/>
                <w:b w:val="1"/>
                <w:bCs w:val="1"/>
                <w:color w:val="auto"/>
              </w:rPr>
              <w:t>Incorporation or</w:t>
            </w:r>
          </w:p>
        </w:tc>
        <w:tc>
          <w:tcPr>
            <w:tcW w:w="13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jc w:val="center"/>
              <w:ind w:left="903"/>
              <w:spacing w:after="0"/>
              <w:rPr>
                <w:sz w:val="20"/>
                <w:szCs w:val="20"/>
                <w:color w:val="auto"/>
              </w:rPr>
            </w:pPr>
            <w:r>
              <w:rPr>
                <w:rFonts w:ascii="Arial" w:cs="Arial" w:eastAsia="Arial" w:hAnsi="Arial"/>
                <w:sz w:val="11"/>
                <w:szCs w:val="11"/>
                <w:b w:val="1"/>
                <w:bCs w:val="1"/>
                <w:color w:val="auto"/>
              </w:rPr>
              <w:t>Organization</w:t>
            </w:r>
          </w:p>
        </w:tc>
        <w:tc>
          <w:tcPr>
            <w:tcW w:w="1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Dresden Module One LLC</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Dresden Module Two LLC</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Innovation Investments LLC</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Investments LLC</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U.S. Inc.</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U.S. 2 LLC</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Borrower LLC</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Hudson Valley Research Park Sewage Works Corporation</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Hudson Valley Research Park Water-Works Corporation</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GF Power LLC</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United States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N/A</w:t>
            </w:r>
          </w:p>
        </w:tc>
        <w:tc>
          <w:tcPr>
            <w:tcW w:w="128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Finance Inc.</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Cayman Islands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France SAS</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France</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N/A</w:t>
            </w:r>
          </w:p>
        </w:tc>
        <w:tc>
          <w:tcPr>
            <w:tcW w:w="128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Dresden Module One Holding GmbH</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Dresden Module One LLC &amp; Co. KG</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Dresden Module Two LLC &amp; Co. KG</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Dresden Module Two Holding GmbH</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Management Services LLC &amp; Co. KG</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Advanced Mask Technology Centre GmbH &amp; Co. KG (50%)</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Maskhouse Building Administration GmbH &amp; Co. KG (50%)</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Advanced Mask Technology Center Verwaltungs GmbH (50%)</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Maskhouse Building Administration Verwaltungs GmbH (50%)</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Europe Sales &amp; Support GmbH</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Germany</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Engineering Private Limited</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India</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Japan Ltd.</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Japan</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Malaysia SDN. BHD.</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Malaysia</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Netherlands Cooperatief U.A.</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The Netherlands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Netherlands Holding B.V.</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The Netherlands</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N/A</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Netherlands B.V.</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The Netherlands</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N/A</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N/A</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Bulgaria EAD</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Bulgaria</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GF Asia Investments Pte. Ltd.</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Singapore</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GF Asia Sales Pte. Ltd.</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Singapore</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Singapore Pte. Ltd.</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Singapore</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Taiwan Ltd.</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Taiwan</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Europe Ltd.</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United Kingdom</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 (Chengdu) Technology Co., Limited</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China</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rPr>
                <w:sz w:val="20"/>
                <w:szCs w:val="20"/>
                <w:color w:val="auto"/>
              </w:rPr>
            </w:pPr>
            <w:r>
              <w:rPr>
                <w:rFonts w:ascii="Arial" w:cs="Arial" w:eastAsia="Arial" w:hAnsi="Arial"/>
                <w:sz w:val="11"/>
                <w:szCs w:val="11"/>
                <w:color w:val="auto"/>
              </w:rPr>
              <w:t>GLOBALFOUNDRIES China (Beijing) Co., Limited</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China</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4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GLOBALFOUNDRIES China (Shanghai) Co., Limited</w:t>
            </w:r>
          </w:p>
        </w:tc>
        <w:tc>
          <w:tcPr>
            <w:tcW w:w="2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China</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X</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51"/>
        </w:trPr>
        <w:tc>
          <w:tcPr>
            <w:tcW w:w="4540" w:type="dxa"/>
            <w:vAlign w:val="bottom"/>
          </w:tcPr>
          <w:p>
            <w:pPr>
              <w:ind w:left="20"/>
              <w:spacing w:after="0"/>
              <w:rPr>
                <w:sz w:val="20"/>
                <w:szCs w:val="20"/>
                <w:color w:val="auto"/>
              </w:rPr>
            </w:pPr>
            <w:r>
              <w:rPr>
                <w:rFonts w:ascii="Arial" w:cs="Arial" w:eastAsia="Arial" w:hAnsi="Arial"/>
                <w:sz w:val="11"/>
                <w:szCs w:val="11"/>
                <w:color w:val="auto"/>
              </w:rPr>
              <w:t>Nanjing APD Technologies Co. Ltd.</w:t>
            </w:r>
          </w:p>
        </w:tc>
        <w:tc>
          <w:tcPr>
            <w:tcW w:w="2720" w:type="dxa"/>
            <w:vAlign w:val="bottom"/>
          </w:tcPr>
          <w:p>
            <w:pPr>
              <w:jc w:val="right"/>
              <w:ind w:right="43"/>
              <w:spacing w:after="0"/>
              <w:rPr>
                <w:sz w:val="20"/>
                <w:szCs w:val="20"/>
                <w:color w:val="auto"/>
              </w:rPr>
            </w:pPr>
            <w:r>
              <w:rPr>
                <w:rFonts w:ascii="Arial" w:cs="Arial" w:eastAsia="Arial" w:hAnsi="Arial"/>
                <w:sz w:val="11"/>
                <w:szCs w:val="11"/>
                <w:color w:val="auto"/>
              </w:rPr>
              <w:t>China</w:t>
            </w:r>
          </w:p>
        </w:tc>
        <w:tc>
          <w:tcPr>
            <w:tcW w:w="1360" w:type="dxa"/>
            <w:vAlign w:val="bottom"/>
          </w:tcPr>
          <w:p>
            <w:pPr>
              <w:jc w:val="right"/>
              <w:ind w:right="23"/>
              <w:spacing w:after="0"/>
              <w:rPr>
                <w:sz w:val="20"/>
                <w:szCs w:val="20"/>
                <w:color w:val="auto"/>
              </w:rPr>
            </w:pPr>
            <w:r>
              <w:rPr>
                <w:rFonts w:ascii="Arial" w:cs="Arial" w:eastAsia="Arial" w:hAnsi="Arial"/>
                <w:sz w:val="11"/>
                <w:szCs w:val="11"/>
                <w:color w:val="auto"/>
              </w:rPr>
              <w:t>N/A</w:t>
            </w:r>
          </w:p>
        </w:tc>
        <w:tc>
          <w:tcPr>
            <w:tcW w:w="1380" w:type="dxa"/>
            <w:vAlign w:val="bottom"/>
          </w:tcPr>
          <w:p>
            <w:pPr>
              <w:jc w:val="right"/>
              <w:ind w:right="43"/>
              <w:spacing w:after="0"/>
              <w:rPr>
                <w:sz w:val="20"/>
                <w:szCs w:val="20"/>
                <w:color w:val="auto"/>
              </w:rPr>
            </w:pPr>
            <w:r>
              <w:rPr>
                <w:rFonts w:ascii="Arial" w:cs="Arial" w:eastAsia="Arial" w:hAnsi="Arial"/>
                <w:sz w:val="11"/>
                <w:szCs w:val="11"/>
                <w:color w:val="auto"/>
              </w:rPr>
              <w:t>X</w:t>
            </w:r>
          </w:p>
        </w:tc>
        <w:tc>
          <w:tcPr>
            <w:tcW w:w="1280" w:type="dxa"/>
            <w:vAlign w:val="bottom"/>
          </w:tcPr>
          <w:p>
            <w:pPr>
              <w:jc w:val="right"/>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Related parties represent associated companies, the shareholder, directors and key management personnel of the Company and entities controlled, or significantly influenced by such parties. Pricing policies and terms of these transactions are approved by the audit, risk and compliance committee or the Company’s management, as applicable.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60" w:type="dxa"/>
            <w:vAlign w:val="bottom"/>
          </w:tcPr>
          <w:p>
            <w:pPr>
              <w:spacing w:after="0"/>
              <w:rPr>
                <w:sz w:val="20"/>
                <w:szCs w:val="20"/>
                <w:color w:val="auto"/>
              </w:rPr>
            </w:pPr>
            <w:r>
              <w:rPr>
                <w:rFonts w:ascii="Arial" w:cs="Arial" w:eastAsia="Arial" w:hAnsi="Arial"/>
                <w:sz w:val="13"/>
                <w:szCs w:val="13"/>
                <w:color w:val="auto"/>
              </w:rPr>
              <w:t>Below are the related parties which the Company has entered into transactions with:</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312"/>
        </w:trPr>
        <w:tc>
          <w:tcPr>
            <w:tcW w:w="6860" w:type="dxa"/>
            <w:vAlign w:val="bottom"/>
          </w:tcPr>
          <w:p>
            <w:pPr>
              <w:spacing w:after="0"/>
              <w:rPr>
                <w:sz w:val="24"/>
                <w:szCs w:val="24"/>
                <w:color w:val="auto"/>
              </w:rPr>
            </w:pPr>
          </w:p>
        </w:tc>
        <w:tc>
          <w:tcPr>
            <w:tcW w:w="1880" w:type="dxa"/>
            <w:vAlign w:val="bottom"/>
            <w:gridSpan w:val="2"/>
          </w:tcPr>
          <w:p>
            <w:pPr>
              <w:ind w:left="480"/>
              <w:spacing w:after="0"/>
              <w:rPr>
                <w:sz w:val="20"/>
                <w:szCs w:val="20"/>
                <w:color w:val="auto"/>
              </w:rPr>
            </w:pPr>
            <w:r>
              <w:rPr>
                <w:rFonts w:ascii="Arial" w:cs="Arial" w:eastAsia="Arial" w:hAnsi="Arial"/>
                <w:sz w:val="13"/>
                <w:szCs w:val="13"/>
                <w:b w:val="1"/>
                <w:bCs w:val="1"/>
                <w:color w:val="auto"/>
              </w:rPr>
              <w:t>December 31,</w:t>
            </w:r>
          </w:p>
        </w:tc>
        <w:tc>
          <w:tcPr>
            <w:tcW w:w="1880" w:type="dxa"/>
            <w:vAlign w:val="bottom"/>
          </w:tcPr>
          <w:p>
            <w:pPr>
              <w:jc w:val="right"/>
              <w:ind w:right="456"/>
              <w:spacing w:after="0"/>
              <w:rPr>
                <w:sz w:val="20"/>
                <w:szCs w:val="20"/>
                <w:color w:val="auto"/>
              </w:rPr>
            </w:pPr>
            <w:r>
              <w:rPr>
                <w:rFonts w:ascii="Arial" w:cs="Arial" w:eastAsia="Arial" w:hAnsi="Arial"/>
                <w:sz w:val="13"/>
                <w:szCs w:val="13"/>
                <w:b w:val="1"/>
                <w:bCs w:val="1"/>
                <w:color w:val="auto"/>
              </w:rPr>
              <w:t>December 31,</w:t>
            </w:r>
          </w:p>
        </w:tc>
      </w:tr>
      <w:tr>
        <w:trPr>
          <w:trHeight w:val="171"/>
        </w:trPr>
        <w:tc>
          <w:tcPr>
            <w:tcW w:w="686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2021</w:t>
            </w:r>
          </w:p>
        </w:tc>
      </w:tr>
      <w:tr>
        <w:trPr>
          <w:trHeight w:val="159"/>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Related Party Name</w:t>
            </w: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color w:val="auto"/>
              </w:rPr>
              <w:t>SMP</w:t>
            </w: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Joint venture</w:t>
            </w:r>
          </w:p>
        </w:tc>
        <w:tc>
          <w:tcPr>
            <w:tcW w:w="1880" w:type="dxa"/>
            <w:vAlign w:val="bottom"/>
          </w:tcPr>
          <w:p>
            <w:pPr>
              <w:jc w:val="right"/>
              <w:spacing w:after="0"/>
              <w:rPr>
                <w:sz w:val="20"/>
                <w:szCs w:val="20"/>
                <w:color w:val="auto"/>
              </w:rPr>
            </w:pPr>
            <w:r>
              <w:rPr>
                <w:rFonts w:ascii="Arial" w:cs="Arial" w:eastAsia="Arial" w:hAnsi="Arial"/>
                <w:sz w:val="13"/>
                <w:szCs w:val="13"/>
                <w:color w:val="auto"/>
              </w:rPr>
              <w:t>Joint venture</w:t>
            </w:r>
          </w:p>
        </w:tc>
      </w:tr>
      <w:tr>
        <w:trPr>
          <w:trHeight w:val="172"/>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Mubadala Treasury Holding Company (“MTHC”)</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Shareholder entity</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Shareholder entity</w:t>
            </w:r>
          </w:p>
        </w:tc>
      </w:tr>
      <w:tr>
        <w:trPr>
          <w:trHeight w:val="356"/>
        </w:trPr>
        <w:tc>
          <w:tcPr>
            <w:tcW w:w="6860" w:type="dxa"/>
            <w:vAlign w:val="bottom"/>
          </w:tcPr>
          <w:p>
            <w:pPr>
              <w:ind w:left="20"/>
              <w:spacing w:after="0"/>
              <w:rPr>
                <w:sz w:val="20"/>
                <w:szCs w:val="20"/>
                <w:color w:val="auto"/>
              </w:rPr>
            </w:pPr>
            <w:r>
              <w:rPr>
                <w:rFonts w:ascii="Arial" w:cs="Arial" w:eastAsia="Arial" w:hAnsi="Arial"/>
                <w:sz w:val="13"/>
                <w:szCs w:val="13"/>
                <w:color w:val="auto"/>
              </w:rPr>
              <w:t>Mubadala Technology Investments LLC (“Mubadala Technology”)</w:t>
            </w: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Shareholder entity</w:t>
            </w:r>
          </w:p>
        </w:tc>
        <w:tc>
          <w:tcPr>
            <w:tcW w:w="1880" w:type="dxa"/>
            <w:vAlign w:val="bottom"/>
          </w:tcPr>
          <w:p>
            <w:pPr>
              <w:jc w:val="right"/>
              <w:spacing w:after="0"/>
              <w:rPr>
                <w:sz w:val="20"/>
                <w:szCs w:val="20"/>
                <w:color w:val="auto"/>
              </w:rPr>
            </w:pPr>
            <w:r>
              <w:rPr>
                <w:rFonts w:ascii="Arial" w:cs="Arial" w:eastAsia="Arial" w:hAnsi="Arial"/>
                <w:sz w:val="13"/>
                <w:szCs w:val="13"/>
                <w:color w:val="auto"/>
              </w:rPr>
              <w:t>Shareholder entity</w:t>
            </w:r>
          </w:p>
        </w:tc>
      </w:tr>
    </w:tbl>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Related parties represent associated companies, the shareholder, directors and key management personnel of the Company and entities controlled, or significantly influenced by such parties. Pricing policies and terms of these transactions are approved by the Company’s management.</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Balances with related parties included in the consolidated statements of financial positions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gridSpan w:val="5"/>
          </w:tcPr>
          <w:p>
            <w:pPr>
              <w:ind w:left="680"/>
              <w:spacing w:after="0"/>
              <w:rPr>
                <w:sz w:val="20"/>
                <w:szCs w:val="20"/>
                <w:color w:val="auto"/>
              </w:rPr>
            </w:pPr>
            <w:r>
              <w:rPr>
                <w:rFonts w:ascii="Arial" w:cs="Arial" w:eastAsia="Arial" w:hAnsi="Arial"/>
                <w:sz w:val="13"/>
                <w:szCs w:val="13"/>
                <w:b w:val="1"/>
                <w:bCs w:val="1"/>
                <w:color w:val="auto"/>
              </w:rPr>
              <w:t>December 31, 2022</w:t>
            </w:r>
          </w:p>
        </w:tc>
        <w:tc>
          <w:tcPr>
            <w:tcW w:w="280" w:type="dxa"/>
            <w:vAlign w:val="bottom"/>
          </w:tcPr>
          <w:p>
            <w:pPr>
              <w:spacing w:after="0"/>
              <w:rPr>
                <w:sz w:val="14"/>
                <w:szCs w:val="14"/>
                <w:color w:val="auto"/>
              </w:rPr>
            </w:pPr>
          </w:p>
        </w:tc>
        <w:tc>
          <w:tcPr>
            <w:tcW w:w="2780" w:type="dxa"/>
            <w:vAlign w:val="bottom"/>
            <w:gridSpan w:val="4"/>
          </w:tcPr>
          <w:p>
            <w:pPr>
              <w:jc w:val="right"/>
              <w:ind w:right="896"/>
              <w:spacing w:after="0"/>
              <w:rPr>
                <w:sz w:val="20"/>
                <w:szCs w:val="20"/>
                <w:color w:val="auto"/>
              </w:rPr>
            </w:pPr>
            <w:r>
              <w:rPr>
                <w:rFonts w:ascii="Arial" w:cs="Arial" w:eastAsia="Arial" w:hAnsi="Arial"/>
                <w:sz w:val="13"/>
                <w:szCs w:val="13"/>
                <w:b w:val="1"/>
                <w:bCs w:val="1"/>
                <w:color w:val="auto"/>
              </w:rPr>
              <w:t>December 31, 2021</w:t>
            </w:r>
          </w:p>
        </w:tc>
      </w:tr>
      <w:tr>
        <w:trPr>
          <w:trHeight w:val="120"/>
        </w:trPr>
        <w:tc>
          <w:tcPr>
            <w:tcW w:w="50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360"/>
              <w:spacing w:after="0" w:line="120" w:lineRule="exact"/>
              <w:rPr>
                <w:sz w:val="20"/>
                <w:szCs w:val="20"/>
                <w:color w:val="auto"/>
              </w:rPr>
            </w:pPr>
            <w:r>
              <w:rPr>
                <w:rFonts w:ascii="Arial" w:cs="Arial" w:eastAsia="Arial" w:hAnsi="Arial"/>
                <w:sz w:val="13"/>
                <w:szCs w:val="13"/>
                <w:b w:val="1"/>
                <w:bCs w:val="1"/>
                <w:color w:val="auto"/>
                <w:w w:val="94"/>
              </w:rPr>
              <w:t>Due from</w:t>
            </w: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236"/>
              <w:spacing w:after="0" w:line="120" w:lineRule="exact"/>
              <w:rPr>
                <w:sz w:val="20"/>
                <w:szCs w:val="20"/>
                <w:color w:val="auto"/>
              </w:rPr>
            </w:pPr>
            <w:r>
              <w:rPr>
                <w:rFonts w:ascii="Arial" w:cs="Arial" w:eastAsia="Arial" w:hAnsi="Arial"/>
                <w:sz w:val="13"/>
                <w:szCs w:val="13"/>
                <w:b w:val="1"/>
                <w:bCs w:val="1"/>
                <w:color w:val="auto"/>
                <w:w w:val="98"/>
              </w:rPr>
              <w:t>Due to</w:t>
            </w: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360"/>
              <w:spacing w:after="0" w:line="120" w:lineRule="exact"/>
              <w:rPr>
                <w:sz w:val="20"/>
                <w:szCs w:val="20"/>
                <w:color w:val="auto"/>
              </w:rPr>
            </w:pPr>
            <w:r>
              <w:rPr>
                <w:rFonts w:ascii="Arial" w:cs="Arial" w:eastAsia="Arial" w:hAnsi="Arial"/>
                <w:sz w:val="13"/>
                <w:szCs w:val="13"/>
                <w:b w:val="1"/>
                <w:bCs w:val="1"/>
                <w:color w:val="auto"/>
                <w:w w:val="94"/>
              </w:rPr>
              <w:t>Due from</w:t>
            </w: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236"/>
              <w:spacing w:after="0" w:line="120" w:lineRule="exact"/>
              <w:rPr>
                <w:sz w:val="20"/>
                <w:szCs w:val="20"/>
                <w:color w:val="auto"/>
              </w:rPr>
            </w:pPr>
            <w:r>
              <w:rPr>
                <w:rFonts w:ascii="Arial" w:cs="Arial" w:eastAsia="Arial" w:hAnsi="Arial"/>
                <w:sz w:val="13"/>
                <w:szCs w:val="13"/>
                <w:b w:val="1"/>
                <w:bCs w:val="1"/>
                <w:color w:val="auto"/>
                <w:w w:val="98"/>
              </w:rPr>
              <w:t>Due to</w:t>
            </w:r>
          </w:p>
        </w:tc>
      </w:tr>
      <w:tr>
        <w:trPr>
          <w:trHeight w:val="127"/>
        </w:trPr>
        <w:tc>
          <w:tcPr>
            <w:tcW w:w="5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7"/>
              </w:rPr>
              <w:t>Related</w:t>
            </w:r>
          </w:p>
        </w:tc>
        <w:tc>
          <w:tcPr>
            <w:tcW w:w="300" w:type="dxa"/>
            <w:vAlign w:val="bottom"/>
          </w:tcPr>
          <w:p>
            <w:pPr>
              <w:spacing w:after="0"/>
              <w:rPr>
                <w:sz w:val="11"/>
                <w:szCs w:val="11"/>
                <w:color w:val="auto"/>
              </w:rPr>
            </w:pPr>
          </w:p>
        </w:tc>
        <w:tc>
          <w:tcPr>
            <w:tcW w:w="126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w w:val="93"/>
              </w:rPr>
              <w:t>Related</w:t>
            </w: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7"/>
              </w:rPr>
              <w:t>Related</w:t>
            </w:r>
          </w:p>
        </w:tc>
        <w:tc>
          <w:tcPr>
            <w:tcW w:w="300" w:type="dxa"/>
            <w:vAlign w:val="bottom"/>
          </w:tcPr>
          <w:p>
            <w:pPr>
              <w:spacing w:after="0"/>
              <w:rPr>
                <w:sz w:val="11"/>
                <w:szCs w:val="11"/>
                <w:color w:val="auto"/>
              </w:rPr>
            </w:pPr>
          </w:p>
        </w:tc>
        <w:tc>
          <w:tcPr>
            <w:tcW w:w="1180" w:type="dxa"/>
            <w:vAlign w:val="bottom"/>
          </w:tcPr>
          <w:p>
            <w:pPr>
              <w:jc w:val="center"/>
              <w:ind w:right="216"/>
              <w:spacing w:after="0" w:line="128" w:lineRule="exact"/>
              <w:rPr>
                <w:sz w:val="20"/>
                <w:szCs w:val="20"/>
                <w:color w:val="auto"/>
              </w:rPr>
            </w:pPr>
            <w:r>
              <w:rPr>
                <w:rFonts w:ascii="Arial" w:cs="Arial" w:eastAsia="Arial" w:hAnsi="Arial"/>
                <w:sz w:val="13"/>
                <w:szCs w:val="13"/>
                <w:b w:val="1"/>
                <w:bCs w:val="1"/>
                <w:color w:val="auto"/>
                <w:w w:val="97"/>
              </w:rPr>
              <w:t>Related</w:t>
            </w:r>
          </w:p>
        </w:tc>
      </w:tr>
      <w:tr>
        <w:trPr>
          <w:trHeight w:val="169"/>
        </w:trPr>
        <w:tc>
          <w:tcPr>
            <w:tcW w:w="50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Parties</w:t>
            </w:r>
          </w:p>
        </w:tc>
        <w:tc>
          <w:tcPr>
            <w:tcW w:w="3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Parties</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Parties</w:t>
            </w:r>
          </w:p>
        </w:tc>
        <w:tc>
          <w:tcPr>
            <w:tcW w:w="300" w:type="dxa"/>
            <w:vAlign w:val="bottom"/>
          </w:tcPr>
          <w:p>
            <w:pPr>
              <w:spacing w:after="0"/>
              <w:rPr>
                <w:sz w:val="14"/>
                <w:szCs w:val="14"/>
                <w:color w:val="auto"/>
              </w:rPr>
            </w:pPr>
          </w:p>
        </w:tc>
        <w:tc>
          <w:tcPr>
            <w:tcW w:w="1180" w:type="dxa"/>
            <w:vAlign w:val="bottom"/>
          </w:tcPr>
          <w:p>
            <w:pPr>
              <w:jc w:val="center"/>
              <w:ind w:right="236"/>
              <w:spacing w:after="0"/>
              <w:rPr>
                <w:sz w:val="20"/>
                <w:szCs w:val="20"/>
                <w:color w:val="auto"/>
              </w:rPr>
            </w:pPr>
            <w:r>
              <w:rPr>
                <w:rFonts w:ascii="Arial" w:cs="Arial" w:eastAsia="Arial" w:hAnsi="Arial"/>
                <w:sz w:val="13"/>
                <w:szCs w:val="13"/>
                <w:b w:val="1"/>
                <w:bCs w:val="1"/>
                <w:color w:val="auto"/>
              </w:rPr>
              <w:t>Parties</w:t>
            </w:r>
          </w:p>
        </w:tc>
      </w:tr>
      <w:tr>
        <w:trPr>
          <w:trHeight w:val="161"/>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SMP</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92"/>
        </w:trPr>
        <w:tc>
          <w:tcPr>
            <w:tcW w:w="5080" w:type="dxa"/>
            <w:vAlign w:val="bottom"/>
          </w:tcPr>
          <w:p>
            <w:pPr>
              <w:ind w:left="20"/>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6"/>
                <w:szCs w:val="16"/>
                <w:b w:val="1"/>
                <w:bCs w:val="1"/>
                <w:color w:val="auto"/>
                <w:vertAlign w:val="superscript"/>
              </w:rPr>
              <w:t>(1)</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w:t>
            </w:r>
          </w:p>
        </w:tc>
      </w:tr>
    </w:tbl>
    <w:p>
      <w:pPr>
        <w:spacing w:after="0" w:line="163" w:lineRule="exact"/>
        <w:rPr>
          <w:sz w:val="20"/>
          <w:szCs w:val="20"/>
          <w:color w:val="auto"/>
        </w:rPr>
      </w:pPr>
    </w:p>
    <w:p>
      <w:pPr>
        <w:ind w:left="520" w:hanging="260"/>
        <w:spacing w:after="0" w:line="204" w:lineRule="auto"/>
        <w:tabs>
          <w:tab w:leader="none" w:pos="515" w:val="left"/>
        </w:tabs>
        <w:numPr>
          <w:ilvl w:val="0"/>
          <w:numId w:val="105"/>
        </w:numPr>
        <w:rPr>
          <w:rFonts w:ascii="Arial" w:cs="Arial" w:eastAsia="Arial" w:hAnsi="Arial"/>
          <w:sz w:val="17"/>
          <w:szCs w:val="17"/>
          <w:color w:val="auto"/>
          <w:vertAlign w:val="superscript"/>
        </w:rPr>
      </w:pPr>
      <w:r>
        <w:rPr>
          <w:rFonts w:ascii="Arial" w:cs="Arial" w:eastAsia="Arial" w:hAnsi="Arial"/>
          <w:sz w:val="11"/>
          <w:szCs w:val="11"/>
          <w:color w:val="auto"/>
        </w:rPr>
        <w:t>The total amounts of $11 million and $8 million due from related parties as of the years ended December 31, 2022 and 2021, respectively, has been included in receivables, prepayments and other assets (see Note 15). The total amounts of $10 million and $9 million due to related parties’ balance for the years ended December 31, 2022 and 2021, respectively, has been included in trade and other payables (see Note 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20"/>
                <w:szCs w:val="20"/>
                <w:color w:val="auto"/>
              </w:rPr>
            </w:pPr>
            <w:r>
              <w:rPr>
                <w:rFonts w:ascii="Arial" w:cs="Arial" w:eastAsia="Arial" w:hAnsi="Arial"/>
                <w:sz w:val="13"/>
                <w:szCs w:val="13"/>
                <w:color w:val="auto"/>
              </w:rPr>
              <w:t>The following table presents the related party transactions included in the consolidated statements of operations:</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23"/>
        </w:trPr>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24"/>
                <w:szCs w:val="24"/>
                <w:color w:val="auto"/>
              </w:rPr>
            </w:pPr>
          </w:p>
        </w:tc>
        <w:tc>
          <w:tcPr>
            <w:tcW w:w="128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w:t>
            </w:r>
          </w:p>
        </w:tc>
      </w:t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Purchases and recharges from:</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1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SMP</w:t>
            </w:r>
            <w:r>
              <w:rPr>
                <w:rFonts w:ascii="Arial" w:cs="Arial" w:eastAsia="Arial" w:hAnsi="Arial"/>
                <w:sz w:val="16"/>
                <w:szCs w:val="16"/>
                <w:color w:val="auto"/>
                <w:vertAlign w:val="superscript"/>
              </w:rPr>
              <w:t>(1)</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r>
      <w:tr>
        <w:trPr>
          <w:trHeight w:val="160"/>
        </w:trPr>
        <w:tc>
          <w:tcPr>
            <w:tcW w:w="66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w:t>
            </w:r>
          </w:p>
        </w:tc>
      </w:tr>
      <w:tr>
        <w:trPr>
          <w:trHeight w:val="212"/>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transactions with:</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SMP (reimbursement of expenses and contribution of tools)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Mubadala Technology (reimbursement of expenses)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66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w:t>
            </w:r>
          </w:p>
        </w:tc>
      </w:tr>
    </w:tbl>
    <w:p>
      <w:pPr>
        <w:spacing w:after="0" w:line="212" w:lineRule="exact"/>
        <w:rPr>
          <w:sz w:val="20"/>
          <w:szCs w:val="20"/>
          <w:color w:val="auto"/>
        </w:rPr>
      </w:pPr>
    </w:p>
    <w:p>
      <w:pPr>
        <w:ind w:left="500" w:hanging="240"/>
        <w:spacing w:after="0"/>
        <w:tabs>
          <w:tab w:leader="none" w:pos="500" w:val="left"/>
        </w:tabs>
        <w:numPr>
          <w:ilvl w:val="0"/>
          <w:numId w:val="106"/>
        </w:numPr>
        <w:rPr>
          <w:rFonts w:ascii="Arial" w:cs="Arial" w:eastAsia="Arial" w:hAnsi="Arial"/>
          <w:sz w:val="15"/>
          <w:szCs w:val="15"/>
          <w:color w:val="auto"/>
          <w:vertAlign w:val="superscript"/>
        </w:rPr>
      </w:pPr>
      <w:r>
        <w:rPr>
          <w:rFonts w:ascii="Arial" w:cs="Arial" w:eastAsia="Arial" w:hAnsi="Arial"/>
          <w:sz w:val="11"/>
          <w:szCs w:val="11"/>
          <w:color w:val="auto"/>
        </w:rPr>
        <w:t>Purchases from SMP were primarily comprised of wafers.</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Terms and Conditions of Transactions with Related Parties</w:t>
      </w:r>
    </w:p>
    <w:p>
      <w:pPr>
        <w:spacing w:after="0" w:line="1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Outstanding balances at the year-end are unsecured, interest free, repayable on demand and settlement occurs in cash. The Company has not recorded any allowance of receivables relating to amounts owed by related parties for the years ended December 31, 2022 and 2021. This assessment is undertaken each financial year through examining the financial position of the related party and the market in which the related party operates.</w:t>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Transactions with Shareholder:</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Shareholder Loan Agreement—The Company, as a borrower, entered into loan facilities with its shareholder in 2012 to 2016 (collectively the “Shareholder Loans”). The Shareholder Loans were non-interest bearing and principal repayment, in whole or in part, was entirely at the Company’s discretion as explicitly stated in the loan agreement. The Shareholder Loans were subordinated to any claims of other unsubordinated and subordinated creditors, including beneficiaries under guarantees issued, of the Company. The loans had no maturity date and remained outstanding until the loans were paid in full. Further, there were no contingent settlements in the agreements. Since the Shareholder Loans did not contain any contractual obligations to deliver cash, but rather allowed the Company to make repayment at its absolute discretion and further prohibited the shareholder from demanding repayment, the Company treated the Shareholder Loans as equity.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The Company repaid $568 million during the year ended December 31, 2021.</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October 1, 2021, the Company’s board approved the conversion of the Shareholder Loans to additional paid-in-capital, and on October 3, 2021, the Company executed an agreement with Mubadala Investment Company PJSC (“Mubadala”) to convert the remaining $10.1 billion of the Shareholder Loan balance into additional paid-in-capital (the ”Conversion”). The Conversion did not have an impact on shares outstanding or have any dilutive effects, as no additional shares were issued.</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of Key Management Personnel</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The compensation of key management personnel during the following years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59"/>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Chief Executive Officer and Chief Financial Officer</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660" w:type="dxa"/>
            <w:vAlign w:val="bottom"/>
          </w:tcPr>
          <w:p>
            <w:pPr>
              <w:ind w:left="200"/>
              <w:spacing w:after="0"/>
              <w:rPr>
                <w:sz w:val="20"/>
                <w:szCs w:val="20"/>
                <w:color w:val="auto"/>
              </w:rPr>
            </w:pPr>
            <w:r>
              <w:rPr>
                <w:rFonts w:ascii="Arial" w:cs="Arial" w:eastAsia="Arial" w:hAnsi="Arial"/>
                <w:sz w:val="13"/>
                <w:szCs w:val="13"/>
                <w:color w:val="auto"/>
              </w:rPr>
              <w:t>Short-term benefits</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2"/>
        </w:trPr>
        <w:tc>
          <w:tcPr>
            <w:tcW w:w="6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Share-based payments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Board of Directors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62"/>
        </w:trPr>
        <w:tc>
          <w:tcPr>
            <w:tcW w:w="66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29. Share-Based Compensation</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incurred share-based compensation expense of $173 million, $223 million, and $1 million the years ended December 31, 2022, 2021 and 2020, respectively. As of December 31, 2022 and 2021, the additional paid-in capital related to the share proceeds amounted to $163 million and $0, respectively. The Company incurred $10 million and $5 million of payroll taxes associated with the share-based compensation expense for the years ended December 31, 2022 and 2021,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and 2021, the Company has 2,826,758 shares and 2,457,663 shares respectively, available for future grant under the 2018 Share Incentive Plan.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Under the 2021 Equity Compensation Plan, the Company has 13,648,116 shares available for future grant as of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RSUs</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2022, the Company granted RSUs under the 2021 Equity Compensation Plan. The RSUs have a time-based vesting requirement, which provides that the RSUs will generally vest in three annual installments, with 33.33% vesting on each one-year anniversary of the vesting commencement date subject to the employee’s continued employment with the Company.</w:t>
      </w:r>
    </w:p>
    <w:p>
      <w:pPr>
        <w:spacing w:after="0" w:line="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2021, the Company granted restricted share units (“RSUs”) under the 2018 Share Incentive Plan. The RSUs have a time-based vesting requirement, which provides that the RSUs will generally vest in four annual installments, with 25% vesting on each one-year anniversary of the vesting commencement date subject to the employee’s continued employment with the Company. In addition, the RSUs had a liquidity event vesting requirement which was satisfied on the six-month anniversary of our IPO.</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138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27"/>
        </w:trPr>
        <w:tc>
          <w:tcPr>
            <w:tcW w:w="82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36"/>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RSUs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7"/>
              </w:rPr>
              <w:t>grant date fair value</w:t>
            </w:r>
          </w:p>
        </w:tc>
        <w:tc>
          <w:tcPr>
            <w:tcW w:w="0" w:type="dxa"/>
            <w:vAlign w:val="bottom"/>
          </w:tcPr>
          <w:p>
            <w:pPr>
              <w:spacing w:after="0"/>
              <w:rPr>
                <w:sz w:val="1"/>
                <w:szCs w:val="1"/>
                <w:color w:val="auto"/>
              </w:rPr>
            </w:pP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spacing w:after="0"/>
              <w:rPr>
                <w:sz w:val="20"/>
                <w:szCs w:val="20"/>
                <w:color w:val="auto"/>
              </w:rPr>
            </w:pPr>
            <w:r>
              <w:rPr>
                <w:rFonts w:ascii="Arial" w:cs="Arial" w:eastAsia="Arial" w:hAnsi="Arial"/>
                <w:sz w:val="13"/>
                <w:szCs w:val="13"/>
                <w:color w:val="auto"/>
              </w:rPr>
              <w:t>851,530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39.56</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34.46</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Outstanding as of December 31, 2021</w:t>
            </w:r>
          </w:p>
        </w:tc>
        <w:tc>
          <w:tcPr>
            <w:tcW w:w="1500" w:type="dxa"/>
            <w:vAlign w:val="bottom"/>
          </w:tcPr>
          <w:p>
            <w:pPr>
              <w:jc w:val="right"/>
              <w:spacing w:after="0"/>
              <w:rPr>
                <w:sz w:val="20"/>
                <w:szCs w:val="20"/>
                <w:color w:val="auto"/>
              </w:rPr>
            </w:pPr>
            <w:r>
              <w:rPr>
                <w:rFonts w:ascii="Arial" w:cs="Arial" w:eastAsia="Arial" w:hAnsi="Arial"/>
                <w:sz w:val="13"/>
                <w:szCs w:val="13"/>
                <w:color w:val="auto"/>
              </w:rPr>
              <w:t>847,430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39.59</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3,416,545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57.09</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tcPr>
          <w:p>
            <w:pPr>
              <w:jc w:val="right"/>
              <w:spacing w:after="0"/>
              <w:rPr>
                <w:sz w:val="20"/>
                <w:szCs w:val="20"/>
                <w:color w:val="auto"/>
              </w:rPr>
            </w:pPr>
            <w:r>
              <w:rPr>
                <w:rFonts w:ascii="Arial" w:cs="Arial" w:eastAsia="Arial" w:hAnsi="Arial"/>
                <w:sz w:val="13"/>
                <w:szCs w:val="13"/>
                <w:color w:val="auto"/>
              </w:rPr>
              <w:t>(314,158)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55.36</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(738,387)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49.51</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Outstanding as of December 31,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3,211,430</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Prior to the IPO, the value of the RSUs was determined by the Company’s Board of Directors. Because there had been no public market for the ordinary shares, the Board of Directors determined the fair value at the time of grant of the RSU by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contemporaneous valuations performed by unrelated third-party valuation firms as well as a number of objective and subjective factors including valuation of comparable companies, operating and financial performance, the lack of liquidity of capital stock and general and industry specific economic outlook, among other factors.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2021 and 2020, there was $88 million, $26 million, and $0, respectively, of total unrecognized compensation cost related to outstanding RSUs.</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PSUs</w:t>
      </w:r>
    </w:p>
    <w:p>
      <w:pPr>
        <w:spacing w:after="0" w:line="10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2022, the Company granted performance stock units (“PSUs”) under the 2021 Equity Compensation Plan. to certain senior level employees. Each PSU represents a contingent right to receive shares of the Company’s stock if the Company meets certain performance measures over the requisite performance period. The PSU awards entitle recipients to receive, upon vesting, a number of shares that ranges from 0% to 200% of the number of PSUs awarded, depending on the level of achievement of the specified performance conditions.</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PSUs vest subject to achievement of a performance target based on an absolute return on invested capital (“ROIC”) and relative total shareholder return (“TSR”) versus the SOX Index and will vest over 2 year and 3 year performance periods subject to the grantee remaining employed by the Company through the end of the applicable performance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3"/>
                <w:szCs w:val="13"/>
                <w:color w:val="auto"/>
              </w:rPr>
            </w:pPr>
          </w:p>
        </w:tc>
        <w:tc>
          <w:tcPr>
            <w:tcW w:w="138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27"/>
        </w:trPr>
        <w:tc>
          <w:tcPr>
            <w:tcW w:w="82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36"/>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PSUs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7"/>
              </w:rPr>
              <w:t>grant date fair value</w:t>
            </w:r>
          </w:p>
        </w:tc>
        <w:tc>
          <w:tcPr>
            <w:tcW w:w="0" w:type="dxa"/>
            <w:vAlign w:val="bottom"/>
          </w:tcPr>
          <w:p>
            <w:pPr>
              <w:spacing w:after="0"/>
              <w:rPr>
                <w:sz w:val="1"/>
                <w:szCs w:val="1"/>
                <w:color w:val="auto"/>
              </w:rPr>
            </w:pPr>
          </w:p>
        </w:tc>
      </w:tr>
      <w:tr>
        <w:trPr>
          <w:trHeight w:val="161"/>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as of December 31, 2021</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spacing w:after="0"/>
              <w:rPr>
                <w:sz w:val="20"/>
                <w:szCs w:val="20"/>
                <w:color w:val="auto"/>
              </w:rPr>
            </w:pPr>
            <w:r>
              <w:rPr>
                <w:rFonts w:ascii="Arial" w:cs="Arial" w:eastAsia="Arial" w:hAnsi="Arial"/>
                <w:sz w:val="13"/>
                <w:szCs w:val="13"/>
                <w:color w:val="auto"/>
              </w:rPr>
              <w:t>571,277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70.85</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(34,082)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70.91</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Outstanding as of December 31,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537,195</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uses the Monte Carlo simulation model to estimate the fair value of the PSUs at the date of grant. The equity volatility was determined based on the historical volatilities of comparable publicly traded companies over a look back period of 2.74 years, commensurate with the remaining term of the PSUs. The risk-free interest rate is based on the United States Treasury with a remaining term equivalent to the remaining performance measurement period. Dividends are not paid on the Company’s stock.</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The assumptions used to value the Company’s PSUs granted during the period presented and their expected lives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Borders>
              <w:bottom w:val="single" w:sz="8" w:color="CCEEFF"/>
            </w:tcBorders>
          </w:tcPr>
          <w:p>
            <w:pPr>
              <w:spacing w:after="0"/>
              <w:rPr>
                <w:sz w:val="14"/>
                <w:szCs w:val="14"/>
                <w:color w:val="auto"/>
              </w:rPr>
            </w:pPr>
          </w:p>
        </w:tc>
        <w:tc>
          <w:tcPr>
            <w:tcW w:w="282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December 31, 2022</w:t>
            </w:r>
          </w:p>
        </w:tc>
      </w:tr>
      <w:tr>
        <w:trPr>
          <w:trHeight w:val="163"/>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28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2820" w:type="dxa"/>
            <w:vAlign w:val="bottom"/>
          </w:tcPr>
          <w:p>
            <w:pPr>
              <w:jc w:val="center"/>
              <w:spacing w:after="0"/>
              <w:rPr>
                <w:sz w:val="20"/>
                <w:szCs w:val="20"/>
                <w:color w:val="auto"/>
              </w:rPr>
            </w:pPr>
            <w:r>
              <w:rPr>
                <w:rFonts w:ascii="Arial" w:cs="Arial" w:eastAsia="Arial" w:hAnsi="Arial"/>
                <w:sz w:val="13"/>
                <w:szCs w:val="13"/>
                <w:color w:val="auto"/>
                <w:w w:val="95"/>
              </w:rPr>
              <w:t>45.50%</w:t>
            </w: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2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2.55%</w:t>
            </w:r>
          </w:p>
        </w:tc>
      </w:tr>
    </w:tbl>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Compensation expense is recognized for the PSU awards based on a graded attribution basis over the vesting period. As of December 31, 2022, there was $24 million of total unrecognized compensation expense related to the PSUs.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Options</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2017, the Company approved the Share Incentive Plan, which was intended to attract and retain talented employees and align shareholder and employee interests. Share options under the Share Incentive Plan vested over a five-year period.</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2019 the Company offered to exchange the share options under the Share Incentive Plan with new share options under the “2018 Share Incentive Plan,” under which the Company may grant up to 25 million options to purchase shares in the Company with an exercise price of $10.00 per share. The options vest based on service over four or five years, depending on the timing of the grant, and contingent upon a liquidity event (change in control or IPO) with the earliest vesting date on the one-year anniversary of a liquidity event. On April 19, 2019, the Company issued the share options subject to the tender offer. The exchange of 2017 plan options into 2018 plan options resulted in a total incremental fair value of $64 million, of which $39 million was recognized in the second quarter of 2021 when an IPO became probable. The remainder was attributed prospectively. In the fourth quarter of 2021, the Company modified the earliest vesting date from one year post-anniversary of a liquidity event to six-months post-anniversary of a liquidity event, and shortened the contractual term for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options held by US taxpayers to be the calendar year end after or within the year of vest. The options that remain outstanding at expiration will be auto-exercised through the broker.</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share options are effective for a term of 10 years from the grant date. Because the vesting and exercisability of these share options were dependent on a qualified liquidity event, the Company had to assess the probability of such an event in order to determine the expenses related to the share-based payments for the period. On June 30, 2021, the Company deemed an IPO to be probable under IFRS.</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Upon the tender offer, the Company measured the pre-modification value of the old share options and compared that to the fair value of the new share options using the Black-Scholes option pricing model. The equity volatility was determined based on the historical volatilities of comparable publicly traded companies over a period equal to the expected average share-based payments life. The risk-free rate of interest was interpolated from the U.S. Constant Maturity Treasury rate curve to reflect the remaining expected life of share options. The fair value of the ordinary shares underlying the stock options has historically been determined by the Company’s Board of Directors. Because there had been no public market for the ordinary shares, the Board of Directors determined the fair value of the ordinary shares at the time of grant of the option by contemporaneous valuations performed by unrelated third-party valuation firms as well as a number of objective and subjective factors including valuation of comparable companies, operating and financial performance, the lack of liquidity of capital stock and general and industry specific economic outlook, among other factors.</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color w:val="auto"/>
        </w:rPr>
        <w:t>The Company did not grant any stock options in 2022.</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assumptions used to value the Company’s options granted and their expected lives during 2021,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4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volatility</w:t>
            </w: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45.00 %</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Expected term</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4.5 years</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0.56 %</w:t>
            </w:r>
          </w:p>
        </w:tc>
        <w:tc>
          <w:tcPr>
            <w:tcW w:w="0" w:type="dxa"/>
            <w:vAlign w:val="bottom"/>
          </w:tcPr>
          <w:p>
            <w:pPr>
              <w:spacing w:after="0"/>
              <w:rPr>
                <w:sz w:val="1"/>
                <w:szCs w:val="1"/>
                <w:color w:val="auto"/>
              </w:rPr>
            </w:pPr>
          </w:p>
        </w:tc>
      </w:tr>
      <w:tr>
        <w:trPr>
          <w:trHeight w:val="165"/>
        </w:trPr>
        <w:tc>
          <w:tcPr>
            <w:tcW w:w="8220" w:type="dxa"/>
            <w:vAlign w:val="bottom"/>
          </w:tcPr>
          <w:p>
            <w:pPr>
              <w:ind w:left="20"/>
              <w:spacing w:after="0"/>
              <w:rPr>
                <w:sz w:val="20"/>
                <w:szCs w:val="20"/>
                <w:color w:val="auto"/>
              </w:rPr>
            </w:pPr>
            <w:r>
              <w:rPr>
                <w:rFonts w:ascii="Arial" w:cs="Arial" w:eastAsia="Arial" w:hAnsi="Arial"/>
                <w:sz w:val="13"/>
                <w:szCs w:val="13"/>
                <w:color w:val="auto"/>
              </w:rPr>
              <w:t>Estimated ordinary shares valuation</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$24.64 - $26.04</w:t>
            </w:r>
          </w:p>
        </w:tc>
        <w:tc>
          <w:tcPr>
            <w:tcW w:w="0" w:type="dxa"/>
            <w:vAlign w:val="bottom"/>
          </w:tcPr>
          <w:p>
            <w:pPr>
              <w:spacing w:after="0"/>
              <w:rPr>
                <w:sz w:val="1"/>
                <w:szCs w:val="1"/>
                <w:color w:val="auto"/>
              </w:rPr>
            </w:pPr>
          </w:p>
        </w:tc>
      </w:tr>
      <w:tr>
        <w:trPr>
          <w:trHeight w:val="393"/>
        </w:trPr>
        <w:tc>
          <w:tcPr>
            <w:tcW w:w="8220" w:type="dxa"/>
            <w:vAlign w:val="bottom"/>
          </w:tcPr>
          <w:p>
            <w:pPr>
              <w:spacing w:after="0"/>
              <w:rPr>
                <w:sz w:val="20"/>
                <w:szCs w:val="20"/>
                <w:color w:val="auto"/>
              </w:rPr>
            </w:pPr>
            <w:r>
              <w:rPr>
                <w:rFonts w:ascii="Arial" w:cs="Arial" w:eastAsia="Arial" w:hAnsi="Arial"/>
                <w:sz w:val="13"/>
                <w:szCs w:val="13"/>
                <w:color w:val="auto"/>
              </w:rPr>
              <w:t>The following table shows a summary of the share option’s activity for the year ended December 31, 2022 and 2021.</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27"/>
        </w:trPr>
        <w:tc>
          <w:tcPr>
            <w:tcW w:w="8220" w:type="dxa"/>
            <w:vAlign w:val="bottom"/>
          </w:tcPr>
          <w:p>
            <w:pPr>
              <w:spacing w:after="0"/>
              <w:rPr>
                <w:sz w:val="11"/>
                <w:szCs w:val="11"/>
                <w:color w:val="auto"/>
              </w:rPr>
            </w:pP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200" w:type="dxa"/>
            <w:vAlign w:val="bottom"/>
          </w:tcPr>
          <w:p>
            <w:pPr>
              <w:spacing w:after="0"/>
              <w:rPr>
                <w:sz w:val="11"/>
                <w:szCs w:val="11"/>
                <w:color w:val="auto"/>
              </w:rPr>
            </w:pPr>
          </w:p>
        </w:tc>
        <w:tc>
          <w:tcPr>
            <w:tcW w:w="128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7"/>
        </w:trPr>
        <w:tc>
          <w:tcPr>
            <w:tcW w:w="822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96"/>
              </w:rPr>
              <w:t>exercise price</w:t>
            </w:r>
          </w:p>
        </w:tc>
        <w:tc>
          <w:tcPr>
            <w:tcW w:w="0" w:type="dxa"/>
            <w:vAlign w:val="bottom"/>
          </w:tcPr>
          <w:p>
            <w:pPr>
              <w:spacing w:after="0"/>
              <w:rPr>
                <w:sz w:val="1"/>
                <w:szCs w:val="1"/>
                <w:color w:val="auto"/>
              </w:rPr>
            </w:pPr>
          </w:p>
        </w:tc>
      </w:tr>
      <w:tr>
        <w:trPr>
          <w:trHeight w:val="169"/>
        </w:trPr>
        <w:tc>
          <w:tcPr>
            <w:tcW w:w="822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Share options</w:t>
            </w:r>
          </w:p>
        </w:tc>
        <w:tc>
          <w:tcPr>
            <w:tcW w:w="200" w:type="dxa"/>
            <w:vAlign w:val="bottom"/>
          </w:tcPr>
          <w:p>
            <w:pPr>
              <w:spacing w:after="0"/>
              <w:rPr>
                <w:sz w:val="14"/>
                <w:szCs w:val="14"/>
                <w:color w:val="auto"/>
              </w:rPr>
            </w:pPr>
          </w:p>
        </w:tc>
        <w:tc>
          <w:tcPr>
            <w:tcW w:w="1280" w:type="dxa"/>
            <w:vAlign w:val="bottom"/>
          </w:tcPr>
          <w:p>
            <w:pPr>
              <w:jc w:val="center"/>
              <w:ind w:right="136"/>
              <w:spacing w:after="0"/>
              <w:rPr>
                <w:sz w:val="20"/>
                <w:szCs w:val="20"/>
                <w:color w:val="auto"/>
              </w:rPr>
            </w:pPr>
            <w:r>
              <w:rPr>
                <w:rFonts w:ascii="Arial" w:cs="Arial" w:eastAsia="Arial" w:hAnsi="Arial"/>
                <w:sz w:val="13"/>
                <w:szCs w:val="13"/>
                <w:b w:val="1"/>
                <w:bCs w:val="1"/>
                <w:color w:val="auto"/>
                <w:w w:val="99"/>
              </w:rPr>
              <w:t>per Share</w:t>
            </w:r>
          </w:p>
        </w:tc>
        <w:tc>
          <w:tcPr>
            <w:tcW w:w="0" w:type="dxa"/>
            <w:vAlign w:val="bottom"/>
          </w:tcPr>
          <w:p>
            <w:pPr>
              <w:spacing w:after="0"/>
              <w:rPr>
                <w:sz w:val="1"/>
                <w:szCs w:val="1"/>
                <w:color w:val="auto"/>
              </w:rPr>
            </w:pPr>
          </w:p>
        </w:tc>
      </w:tr>
      <w:tr>
        <w:trPr>
          <w:trHeight w:val="16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2020</w:t>
            </w: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22,286,278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995,409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(1,532,129)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8"/>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Outstanding as of December 31, 2021</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21,749,558</w:t>
            </w:r>
          </w:p>
        </w:tc>
        <w:tc>
          <w:tcPr>
            <w:tcW w:w="8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10.03</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(14,956,321)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(532,634)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as of December 31, 2022</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6,260,603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10.02</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b w:val="1"/>
                <w:bCs w:val="1"/>
                <w:color w:val="auto"/>
              </w:rPr>
              <w:t>Exercisable balance as of December 31, 2022</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4,873,406</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information about employees’ share options outstanding as of December 31, 2022: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Outstanding</w:t>
      </w:r>
    </w:p>
    <w:p>
      <w:pPr>
        <w:spacing w:after="0" w:line="20" w:lineRule="exact"/>
        <w:rPr>
          <w:sz w:val="20"/>
          <w:szCs w:val="20"/>
          <w:color w:val="auto"/>
        </w:rPr>
      </w:pPr>
    </w:p>
    <w:tbl>
      <w:tblPr>
        <w:tblLayout w:type="fixed"/>
        <w:tblInd w:w="2560" w:type="dxa"/>
        <w:tblCellMar>
          <w:top w:w="0" w:type="dxa"/>
          <w:left w:w="0" w:type="dxa"/>
          <w:bottom w:w="0" w:type="dxa"/>
          <w:right w:w="0" w:type="dxa"/>
        </w:tblCellMar>
      </w:tblPr>
      <w:tr>
        <w:trPr>
          <w:trHeight w:val="122"/>
        </w:trPr>
        <w:tc>
          <w:tcPr>
            <w:tcW w:w="19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ind w:right="136"/>
              <w:spacing w:after="0" w:line="123" w:lineRule="exact"/>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27"/>
        </w:trPr>
        <w:tc>
          <w:tcPr>
            <w:tcW w:w="1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56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7"/>
        </w:trPr>
        <w:tc>
          <w:tcPr>
            <w:tcW w:w="19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vMerge w:val="restart"/>
          </w:tcPr>
          <w:p>
            <w:pPr>
              <w:jc w:val="right"/>
              <w:ind w:right="716"/>
              <w:spacing w:after="0"/>
              <w:rPr>
                <w:sz w:val="20"/>
                <w:szCs w:val="20"/>
                <w:color w:val="auto"/>
              </w:rPr>
            </w:pPr>
            <w:r>
              <w:rPr>
                <w:rFonts w:ascii="Arial" w:cs="Arial" w:eastAsia="Arial" w:hAnsi="Arial"/>
                <w:sz w:val="13"/>
                <w:szCs w:val="13"/>
                <w:b w:val="1"/>
                <w:bCs w:val="1"/>
                <w:color w:val="auto"/>
              </w:rPr>
              <w:t>Number</w:t>
            </w:r>
          </w:p>
        </w:tc>
        <w:tc>
          <w:tcPr>
            <w:tcW w:w="156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96"/>
              </w:rPr>
              <w:t>remaining</w:t>
            </w:r>
          </w:p>
        </w:tc>
        <w:tc>
          <w:tcPr>
            <w:tcW w:w="0" w:type="dxa"/>
            <w:vAlign w:val="bottom"/>
          </w:tcPr>
          <w:p>
            <w:pPr>
              <w:spacing w:after="0"/>
              <w:rPr>
                <w:sz w:val="1"/>
                <w:szCs w:val="1"/>
                <w:color w:val="auto"/>
              </w:rPr>
            </w:pPr>
          </w:p>
        </w:tc>
      </w:tr>
      <w:tr>
        <w:trPr>
          <w:trHeight w:val="127"/>
        </w:trPr>
        <w:tc>
          <w:tcPr>
            <w:tcW w:w="1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560" w:type="dxa"/>
            <w:vAlign w:val="bottom"/>
          </w:tcPr>
          <w:p>
            <w:pPr>
              <w:jc w:val="center"/>
              <w:ind w:right="96"/>
              <w:spacing w:after="0" w:line="128" w:lineRule="exact"/>
              <w:rPr>
                <w:sz w:val="20"/>
                <w:szCs w:val="20"/>
                <w:color w:val="auto"/>
              </w:rPr>
            </w:pPr>
            <w:r>
              <w:rPr>
                <w:rFonts w:ascii="Arial" w:cs="Arial" w:eastAsia="Arial" w:hAnsi="Arial"/>
                <w:sz w:val="13"/>
                <w:szCs w:val="13"/>
                <w:b w:val="1"/>
                <w:bCs w:val="1"/>
                <w:color w:val="auto"/>
                <w:w w:val="99"/>
              </w:rPr>
              <w:t>contractual life</w:t>
            </w:r>
          </w:p>
        </w:tc>
        <w:tc>
          <w:tcPr>
            <w:tcW w:w="0" w:type="dxa"/>
            <w:vAlign w:val="bottom"/>
          </w:tcPr>
          <w:p>
            <w:pPr>
              <w:spacing w:after="0"/>
              <w:rPr>
                <w:sz w:val="1"/>
                <w:szCs w:val="1"/>
                <w:color w:val="auto"/>
              </w:rPr>
            </w:pPr>
          </w:p>
        </w:tc>
      </w:tr>
      <w:tr>
        <w:trPr>
          <w:trHeight w:val="169"/>
        </w:trPr>
        <w:tc>
          <w:tcPr>
            <w:tcW w:w="19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Outstanding</w:t>
            </w:r>
          </w:p>
        </w:tc>
        <w:tc>
          <w:tcPr>
            <w:tcW w:w="156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96"/>
              </w:rPr>
              <w:t>(in years)</w:t>
            </w:r>
          </w:p>
        </w:tc>
        <w:tc>
          <w:tcPr>
            <w:tcW w:w="0" w:type="dxa"/>
            <w:vAlign w:val="bottom"/>
          </w:tcPr>
          <w:p>
            <w:pPr>
              <w:spacing w:after="0"/>
              <w:rPr>
                <w:sz w:val="1"/>
                <w:szCs w:val="1"/>
                <w:color w:val="auto"/>
              </w:rPr>
            </w:pPr>
          </w:p>
        </w:tc>
      </w:tr>
      <w:tr>
        <w:trPr>
          <w:trHeight w:val="161"/>
        </w:trPr>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18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6,250,068</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68"/>
        </w:trPr>
        <w:tc>
          <w:tcPr>
            <w:tcW w:w="194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19.07</w:t>
            </w:r>
          </w:p>
        </w:tc>
        <w:tc>
          <w:tcPr>
            <w:tcW w:w="1860" w:type="dxa"/>
            <w:vAlign w:val="bottom"/>
          </w:tcPr>
          <w:p>
            <w:pPr>
              <w:jc w:val="right"/>
              <w:ind w:right="196"/>
              <w:spacing w:after="0"/>
              <w:rPr>
                <w:sz w:val="20"/>
                <w:szCs w:val="20"/>
                <w:color w:val="auto"/>
              </w:rPr>
            </w:pPr>
            <w:r>
              <w:rPr>
                <w:rFonts w:ascii="Arial" w:cs="Arial" w:eastAsia="Arial" w:hAnsi="Arial"/>
                <w:sz w:val="13"/>
                <w:szCs w:val="13"/>
                <w:color w:val="auto"/>
              </w:rPr>
              <w:t>4,515</w:t>
            </w:r>
          </w:p>
        </w:tc>
        <w:tc>
          <w:tcPr>
            <w:tcW w:w="1560" w:type="dxa"/>
            <w:vAlign w:val="bottom"/>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72"/>
        </w:trPr>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w:t>
            </w:r>
          </w:p>
        </w:tc>
        <w:tc>
          <w:tcPr>
            <w:tcW w:w="18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4,515</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65"/>
        </w:trPr>
        <w:tc>
          <w:tcPr>
            <w:tcW w:w="194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26.00</w:t>
            </w:r>
          </w:p>
        </w:tc>
        <w:tc>
          <w:tcPr>
            <w:tcW w:w="1860" w:type="dxa"/>
            <w:vAlign w:val="bottom"/>
          </w:tcPr>
          <w:p>
            <w:pPr>
              <w:jc w:val="right"/>
              <w:ind w:right="196"/>
              <w:spacing w:after="0"/>
              <w:rPr>
                <w:sz w:val="20"/>
                <w:szCs w:val="20"/>
                <w:color w:val="auto"/>
              </w:rPr>
            </w:pPr>
            <w:r>
              <w:rPr>
                <w:rFonts w:ascii="Arial" w:cs="Arial" w:eastAsia="Arial" w:hAnsi="Arial"/>
                <w:sz w:val="13"/>
                <w:szCs w:val="13"/>
                <w:color w:val="auto"/>
              </w:rPr>
              <w:t>1,505</w:t>
            </w:r>
          </w:p>
        </w:tc>
        <w:tc>
          <w:tcPr>
            <w:tcW w:w="1560" w:type="dxa"/>
            <w:vAlign w:val="bottom"/>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The weighted average remaining contractual life is calculated based on the 10-year contract terms of the options. And the weighted average exercise price is calculated using the exercise price of the outstanding options, which pertain to the 2018 Share Incentive Plan.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2021 and 2020, there was $7 million, $63 million and $251 million, respectively, of total unrecognized compensation cost related to outstanding stock options.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ESPP</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connection with, and prior to the consummation of the Company's initial public offering in 2021, the Company's board of directors adopted the GLOBALFOUNDRIES Inc. 2021 Employee Stock Purchase Plan (the “ESPP”). The ESPP is administered by the Company's board of directors or, as applicable, its delegate (the “ESPP Administrator”).</w:t>
      </w:r>
    </w:p>
    <w:p>
      <w:pPr>
        <w:spacing w:after="0" w:line="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ESPP provides eligible employees with an opportunity to purchase our ordinary shares through payroll deduction of up to 10% of their eligible compensation. A participant may purchase a maximum of 2,500 ordinary shares during a purchase period. Amounts deducted and accumulated by the participant are used to purchase ordinary shares at the end of each six-month purchase period. Participants in the ESPP receive a one-time grant of 50 RSUs upon enrollment in the ESPP. The Company matches 20% of each employee’s contributions on an after-tax basis.</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Subject to certain equitable adjustments in connection with certain events affecting the outstanding ordinary shares reserved for issuance as awards, the maximum aggregate number of our ordinary shares that may be issued or transferred under the ESPP with respect to awards is 7,500,000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18,750,000, in the aggregate, subject to the adjustments described above.</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of the Company has issued 533,591 shares under this plan reflecting employees’ contribution and the 20% Company match.</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Financial Risk Management Objectives and Policies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GLOBALFOUNDRIES has implemented a cash investment policy which determines the overall objectives of the Company’s investment strategy. This policy is aimed to ensure the preservation of capital and the maintenance of sufficient liquidity necessary to fund operations while balancing the needs for appropriate returns. The cash investment policy limits permissible investments and credit quality.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primary objective of the Company’s capital management is to ensure that it maintains a healthy capital ratio in order to support its business and maximize shareholder value.</w:t>
      </w:r>
    </w:p>
    <w:p>
      <w:pPr>
        <w:spacing w:after="0" w:line="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manages its capital structure and makes adjustments to it in light of changes in economic conditions. There are no regulatory imposed requirements on the level of share capital which the Company has to maintain.</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monitors capital using a gearing ratio, which is net debt divided by total capital plus net debt. The Company’s policy is to keep the gearing ratio within a range to meet the business needs of the Company.</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includes within net debt, interest bearing loans and borrowings and obligations under lease less bank balances, cash and marketable securities. Capital includes total equity including non-controlling interests less cumulative changes in fair value.</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Company’s interest-bearing loans and borrowings have certain financial covenants. Restrictive covenants in the Company’s credit facilities may prevent the Company from pursuing certain transactions or business strategies, including by limiting the Company’s ability to, in certain circumstances:</w:t>
      </w:r>
    </w:p>
    <w:p>
      <w:pPr>
        <w:spacing w:after="0" w:line="67" w:lineRule="exact"/>
        <w:rPr>
          <w:sz w:val="20"/>
          <w:szCs w:val="20"/>
          <w:color w:val="auto"/>
        </w:rPr>
      </w:pPr>
    </w:p>
    <w:p>
      <w:pPr>
        <w:ind w:left="1020" w:hanging="506"/>
        <w:spacing w:after="0"/>
        <w:tabs>
          <w:tab w:leader="none" w:pos="10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incur additional indebtedness;</w:t>
      </w:r>
    </w:p>
    <w:p>
      <w:pPr>
        <w:spacing w:after="0" w:line="94" w:lineRule="exact"/>
        <w:rPr>
          <w:rFonts w:ascii="Arial" w:cs="Arial" w:eastAsia="Arial" w:hAnsi="Arial"/>
          <w:sz w:val="13"/>
          <w:szCs w:val="13"/>
          <w:color w:val="auto"/>
        </w:rPr>
      </w:pPr>
    </w:p>
    <w:p>
      <w:pPr>
        <w:ind w:left="1020" w:hanging="506"/>
        <w:spacing w:after="0"/>
        <w:tabs>
          <w:tab w:leader="none" w:pos="10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pay dividends or make distributions;</w:t>
      </w:r>
    </w:p>
    <w:p>
      <w:pPr>
        <w:spacing w:after="0" w:line="83" w:lineRule="exact"/>
        <w:rPr>
          <w:rFonts w:ascii="Arial" w:cs="Arial" w:eastAsia="Arial" w:hAnsi="Arial"/>
          <w:sz w:val="13"/>
          <w:szCs w:val="13"/>
          <w:color w:val="auto"/>
        </w:rPr>
      </w:pPr>
    </w:p>
    <w:p>
      <w:pPr>
        <w:ind w:left="1020" w:hanging="506"/>
        <w:spacing w:after="0"/>
        <w:tabs>
          <w:tab w:leader="none" w:pos="10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acquire assets or make investments outside of the ordinary course of business;</w:t>
      </w:r>
    </w:p>
    <w:p>
      <w:pPr>
        <w:spacing w:after="0" w:line="83" w:lineRule="exact"/>
        <w:rPr>
          <w:rFonts w:ascii="Arial" w:cs="Arial" w:eastAsia="Arial" w:hAnsi="Arial"/>
          <w:sz w:val="13"/>
          <w:szCs w:val="13"/>
          <w:color w:val="auto"/>
        </w:rPr>
      </w:pPr>
    </w:p>
    <w:p>
      <w:pPr>
        <w:ind w:left="1020" w:hanging="506"/>
        <w:spacing w:after="0"/>
        <w:tabs>
          <w:tab w:leader="none" w:pos="10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sell, lease, license, transfer or otherwise dispose of assets;</w:t>
      </w:r>
    </w:p>
    <w:p>
      <w:pPr>
        <w:spacing w:after="0" w:line="94" w:lineRule="exact"/>
        <w:rPr>
          <w:rFonts w:ascii="Arial" w:cs="Arial" w:eastAsia="Arial" w:hAnsi="Arial"/>
          <w:sz w:val="13"/>
          <w:szCs w:val="13"/>
          <w:color w:val="auto"/>
        </w:rPr>
      </w:pPr>
    </w:p>
    <w:p>
      <w:pPr>
        <w:ind w:left="1020" w:hanging="506"/>
        <w:spacing w:after="0"/>
        <w:tabs>
          <w:tab w:leader="none" w:pos="10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enter into transactions with the affiliates;</w:t>
      </w:r>
    </w:p>
    <w:p>
      <w:pPr>
        <w:spacing w:after="0" w:line="83" w:lineRule="exact"/>
        <w:rPr>
          <w:rFonts w:ascii="Arial" w:cs="Arial" w:eastAsia="Arial" w:hAnsi="Arial"/>
          <w:sz w:val="13"/>
          <w:szCs w:val="13"/>
          <w:color w:val="auto"/>
        </w:rPr>
      </w:pPr>
    </w:p>
    <w:p>
      <w:pPr>
        <w:ind w:left="1020" w:hanging="506"/>
        <w:spacing w:after="0"/>
        <w:tabs>
          <w:tab w:leader="none" w:pos="10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create or permit liens;</w:t>
      </w:r>
    </w:p>
    <w:p>
      <w:pPr>
        <w:spacing w:after="0" w:line="94" w:lineRule="exact"/>
        <w:rPr>
          <w:rFonts w:ascii="Arial" w:cs="Arial" w:eastAsia="Arial" w:hAnsi="Arial"/>
          <w:sz w:val="13"/>
          <w:szCs w:val="13"/>
          <w:color w:val="auto"/>
        </w:rPr>
      </w:pPr>
    </w:p>
    <w:p>
      <w:pPr>
        <w:ind w:left="1020" w:hanging="506"/>
        <w:spacing w:after="0"/>
        <w:tabs>
          <w:tab w:leader="none" w:pos="10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guarantee indebtedness; and</w:t>
      </w:r>
    </w:p>
    <w:p>
      <w:pPr>
        <w:spacing w:after="0" w:line="83" w:lineRule="exact"/>
        <w:rPr>
          <w:rFonts w:ascii="Arial" w:cs="Arial" w:eastAsia="Arial" w:hAnsi="Arial"/>
          <w:sz w:val="13"/>
          <w:szCs w:val="13"/>
          <w:color w:val="auto"/>
        </w:rPr>
      </w:pPr>
    </w:p>
    <w:p>
      <w:pPr>
        <w:ind w:left="1020" w:hanging="506"/>
        <w:spacing w:after="0"/>
        <w:tabs>
          <w:tab w:leader="none" w:pos="10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engage in certain extraordinary transactions.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the Company is in compliance with the financial covenants.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65"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Risks Arising from Financial Instruments</w:t>
      </w:r>
      <w:r>
        <w:rPr>
          <w:rFonts w:ascii="Arial" w:cs="Arial" w:eastAsia="Arial" w:hAnsi="Arial"/>
          <w:sz w:val="13"/>
          <w:szCs w:val="13"/>
          <w:color w:val="auto"/>
        </w:rPr>
        <w:t>—The main risks arising from the Company’s financial instruments are market risk (including foreign currency risk and interest rate risk), credit risk and</w:t>
      </w:r>
      <w:r>
        <w:rPr>
          <w:rFonts w:ascii="Arial" w:cs="Arial" w:eastAsia="Arial" w:hAnsi="Arial"/>
          <w:sz w:val="13"/>
          <w:szCs w:val="13"/>
          <w:b w:val="1"/>
          <w:bCs w:val="1"/>
          <w:color w:val="auto"/>
        </w:rPr>
        <w:t xml:space="preserve"> </w:t>
      </w:r>
      <w:r>
        <w:rPr>
          <w:rFonts w:ascii="Arial" w:cs="Arial" w:eastAsia="Arial" w:hAnsi="Arial"/>
          <w:sz w:val="13"/>
          <w:szCs w:val="13"/>
          <w:color w:val="auto"/>
        </w:rPr>
        <w:t>liquidity risk. The Board of Directors reviews and approves policies for managing each of these risks which are summarized below.</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3"/>
          <w:szCs w:val="13"/>
          <w:b w:val="1"/>
          <w:bCs w:val="1"/>
          <w:color w:val="auto"/>
        </w:rPr>
        <w:t>Market Risk</w:t>
      </w:r>
      <w:r>
        <w:rPr>
          <w:rFonts w:ascii="Arial" w:cs="Arial" w:eastAsia="Arial" w:hAnsi="Arial"/>
          <w:sz w:val="13"/>
          <w:szCs w:val="13"/>
          <w:color w:val="auto"/>
        </w:rPr>
        <w:t>—Market price risk is the risk that the fair value of future cash flows of a financial instrument will fluctuate because of changes in market prices. Market prices comprise the following types</w:t>
      </w:r>
      <w:r>
        <w:rPr>
          <w:rFonts w:ascii="Arial" w:cs="Arial" w:eastAsia="Arial" w:hAnsi="Arial"/>
          <w:sz w:val="13"/>
          <w:szCs w:val="13"/>
          <w:b w:val="1"/>
          <w:bCs w:val="1"/>
          <w:color w:val="auto"/>
        </w:rPr>
        <w:t xml:space="preserve"> </w:t>
      </w:r>
      <w:r>
        <w:rPr>
          <w:rFonts w:ascii="Arial" w:cs="Arial" w:eastAsia="Arial" w:hAnsi="Arial"/>
          <w:sz w:val="13"/>
          <w:szCs w:val="13"/>
          <w:color w:val="auto"/>
        </w:rPr>
        <w:t>of risk: interest rate risk, foreign currency risk and market price risk.</w:t>
      </w:r>
    </w:p>
    <w:p>
      <w:pPr>
        <w:spacing w:after="0" w:line="5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b w:val="1"/>
          <w:bCs w:val="1"/>
          <w:color w:val="auto"/>
        </w:rPr>
        <w:t>Interest Rate Risk</w:t>
      </w:r>
      <w:r>
        <w:rPr>
          <w:rFonts w:ascii="Arial" w:cs="Arial" w:eastAsia="Arial" w:hAnsi="Arial"/>
          <w:sz w:val="13"/>
          <w:szCs w:val="13"/>
          <w:color w:val="auto"/>
        </w:rPr>
        <w:t>—The Company’s exposure to market risk for changes in interest rates relates primarily to interest-earning financial assets and interest-bearing financial liabilities.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interest-earning financial assets are mostly highly liquid investments and includes money market funds, marketable securities and time deposits. As these financial assets have weighted-average maturity of less than one year with majority of the assets in fixed-rate instruments, the Company’s exposure to interest risk is not material. The Company’s interest-bearing financial liabilities include fixed and floating rate loans and lease obligations. Floating rate loans bear interest at Base Rate or LIBOR or EURIBOR plus a premium, which is fixed. The Company uses pay-fixed / receive-float interest rate swaps to protect the Company against adverse fluctuations in interest rates and to reduce its exposure to variability in cash flows on the Company’s forecasted floating-rate debt facility to the extent that it is practicable and cost effective to do so.</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Cash Flow Sensitivity Analysis for Variable Rate Instruments</w:t>
      </w:r>
      <w:r>
        <w:rPr>
          <w:rFonts w:ascii="Arial" w:cs="Arial" w:eastAsia="Arial" w:hAnsi="Arial"/>
          <w:sz w:val="13"/>
          <w:szCs w:val="13"/>
          <w:i w:val="1"/>
          <w:iCs w:val="1"/>
          <w:color w:val="auto"/>
        </w:rPr>
        <w:t>—</w:t>
      </w:r>
      <w:r>
        <w:rPr>
          <w:rFonts w:ascii="Arial" w:cs="Arial" w:eastAsia="Arial" w:hAnsi="Arial"/>
          <w:sz w:val="13"/>
          <w:szCs w:val="13"/>
          <w:color w:val="auto"/>
        </w:rPr>
        <w:t>The sensitivity of net income (loss) in the consolidated statement of comprehensive income (loss) is the effect of the assumed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changes in interest rates on the Company’s net income (loss) for one year, based on the floating rate financial assets and financial liabilities held on December 31, 2022.</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demonstrates the sensitivity of net income (loss) in the consolidated statements of operations to reasonably possible changes in interest rates, with all other variables held constant.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80" w:type="dxa"/>
            <w:vAlign w:val="bottom"/>
          </w:tcPr>
          <w:p>
            <w:pPr>
              <w:spacing w:after="0"/>
              <w:rPr>
                <w:sz w:val="13"/>
                <w:szCs w:val="13"/>
                <w:color w:val="auto"/>
              </w:rPr>
            </w:pPr>
          </w:p>
        </w:tc>
        <w:tc>
          <w:tcPr>
            <w:tcW w:w="1580" w:type="dxa"/>
            <w:vAlign w:val="bottom"/>
          </w:tcPr>
          <w:p>
            <w:pPr>
              <w:jc w:val="center"/>
              <w:ind w:left="96"/>
              <w:spacing w:after="0"/>
              <w:rPr>
                <w:sz w:val="20"/>
                <w:szCs w:val="20"/>
                <w:color w:val="auto"/>
              </w:rPr>
            </w:pPr>
            <w:r>
              <w:rPr>
                <w:rFonts w:ascii="Arial" w:cs="Arial" w:eastAsia="Arial" w:hAnsi="Arial"/>
                <w:sz w:val="13"/>
                <w:szCs w:val="13"/>
                <w:b w:val="1"/>
                <w:bCs w:val="1"/>
                <w:color w:val="auto"/>
                <w:w w:val="95"/>
              </w:rPr>
              <w:t>Increase/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16"/>
              <w:spacing w:after="0"/>
              <w:rPr>
                <w:sz w:val="20"/>
                <w:szCs w:val="20"/>
                <w:color w:val="auto"/>
              </w:rPr>
            </w:pPr>
            <w:r>
              <w:rPr>
                <w:rFonts w:ascii="Arial" w:cs="Arial" w:eastAsia="Arial" w:hAnsi="Arial"/>
                <w:sz w:val="13"/>
                <w:szCs w:val="13"/>
                <w:b w:val="1"/>
                <w:bCs w:val="1"/>
                <w:color w:val="auto"/>
                <w:w w:val="98"/>
              </w:rPr>
              <w:t>Effects on</w:t>
            </w:r>
          </w:p>
        </w:tc>
      </w:tr>
      <w:tr>
        <w:trPr>
          <w:trHeight w:val="149"/>
        </w:trPr>
        <w:tc>
          <w:tcPr>
            <w:tcW w:w="7880" w:type="dxa"/>
            <w:vAlign w:val="bottom"/>
          </w:tcPr>
          <w:p>
            <w:pPr>
              <w:spacing w:after="0"/>
              <w:rPr>
                <w:sz w:val="12"/>
                <w:szCs w:val="12"/>
                <w:color w:val="auto"/>
              </w:rPr>
            </w:pPr>
          </w:p>
        </w:tc>
        <w:tc>
          <w:tcPr>
            <w:tcW w:w="1580" w:type="dxa"/>
            <w:vAlign w:val="bottom"/>
          </w:tcPr>
          <w:p>
            <w:pPr>
              <w:jc w:val="center"/>
              <w:ind w:left="96"/>
              <w:spacing w:after="0"/>
              <w:rPr>
                <w:sz w:val="20"/>
                <w:szCs w:val="20"/>
                <w:color w:val="auto"/>
              </w:rPr>
            </w:pPr>
            <w:r>
              <w:rPr>
                <w:rFonts w:ascii="Arial" w:cs="Arial" w:eastAsia="Arial" w:hAnsi="Arial"/>
                <w:sz w:val="13"/>
                <w:szCs w:val="13"/>
                <w:b w:val="1"/>
                <w:bCs w:val="1"/>
                <w:color w:val="auto"/>
                <w:w w:val="99"/>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16"/>
              <w:spacing w:after="0"/>
              <w:rPr>
                <w:sz w:val="20"/>
                <w:szCs w:val="20"/>
                <w:color w:val="auto"/>
              </w:rPr>
            </w:pPr>
            <w:r>
              <w:rPr>
                <w:rFonts w:ascii="Arial" w:cs="Arial" w:eastAsia="Arial" w:hAnsi="Arial"/>
                <w:sz w:val="13"/>
                <w:szCs w:val="13"/>
                <w:b w:val="1"/>
                <w:bCs w:val="1"/>
                <w:color w:val="auto"/>
                <w:w w:val="98"/>
              </w:rPr>
              <w:t>Loss</w:t>
            </w:r>
          </w:p>
        </w:tc>
      </w:tr>
      <w:tr>
        <w:trPr>
          <w:trHeight w:val="185"/>
        </w:trPr>
        <w:tc>
          <w:tcPr>
            <w:tcW w:w="78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ind w:left="96"/>
              <w:spacing w:after="0"/>
              <w:rPr>
                <w:sz w:val="20"/>
                <w:szCs w:val="20"/>
                <w:color w:val="auto"/>
              </w:rPr>
            </w:pPr>
            <w:r>
              <w:rPr>
                <w:rFonts w:ascii="Arial" w:cs="Arial" w:eastAsia="Arial" w:hAnsi="Arial"/>
                <w:sz w:val="13"/>
                <w:szCs w:val="13"/>
                <w:b w:val="1"/>
                <w:bCs w:val="1"/>
                <w:color w:val="auto"/>
                <w:w w:val="97"/>
              </w:rPr>
              <w:t>in Percentages</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b w:val="1"/>
                <w:bCs w:val="1"/>
                <w:color w:val="auto"/>
                <w:w w:val="97"/>
              </w:rPr>
              <w:t>before Tax</w:t>
            </w:r>
          </w:p>
        </w:tc>
      </w:tr>
      <w:tr>
        <w:trPr>
          <w:trHeight w:val="170"/>
        </w:trPr>
        <w:tc>
          <w:tcPr>
            <w:tcW w:w="7880" w:type="dxa"/>
            <w:vAlign w:val="bottom"/>
            <w:shd w:val="clear" w:color="auto" w:fill="CCEEFF"/>
          </w:tcPr>
          <w:p>
            <w:pPr>
              <w:ind w:left="3380"/>
              <w:spacing w:after="0"/>
              <w:rPr>
                <w:sz w:val="20"/>
                <w:szCs w:val="20"/>
                <w:color w:val="auto"/>
              </w:rPr>
            </w:pPr>
            <w:r>
              <w:rPr>
                <w:rFonts w:ascii="Arial" w:cs="Arial" w:eastAsia="Arial" w:hAnsi="Arial"/>
                <w:sz w:val="13"/>
                <w:szCs w:val="13"/>
                <w:color w:val="auto"/>
              </w:rPr>
              <w:t>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8"/>
        </w:trPr>
        <w:tc>
          <w:tcPr>
            <w:tcW w:w="78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2"/>
        </w:trPr>
        <w:tc>
          <w:tcPr>
            <w:tcW w:w="7880" w:type="dxa"/>
            <w:vAlign w:val="bottom"/>
            <w:shd w:val="clear" w:color="auto" w:fill="CCEEFF"/>
          </w:tcPr>
          <w:p>
            <w:pPr>
              <w:ind w:left="3380"/>
              <w:spacing w:after="0"/>
              <w:rPr>
                <w:sz w:val="20"/>
                <w:szCs w:val="20"/>
                <w:color w:val="auto"/>
              </w:rPr>
            </w:pPr>
            <w:r>
              <w:rPr>
                <w:rFonts w:ascii="Arial" w:cs="Arial" w:eastAsia="Arial" w:hAnsi="Arial"/>
                <w:sz w:val="13"/>
                <w:szCs w:val="13"/>
                <w:color w:val="auto"/>
              </w:rPr>
              <w:t>December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80" w:type="dxa"/>
            <w:vAlign w:val="bottom"/>
            <w:shd w:val="clear" w:color="auto" w:fill="CCEEFF"/>
          </w:tcPr>
          <w:p>
            <w:pPr>
              <w:ind w:left="3380"/>
              <w:spacing w:after="0"/>
              <w:rPr>
                <w:sz w:val="20"/>
                <w:szCs w:val="20"/>
                <w:color w:val="auto"/>
              </w:rPr>
            </w:pPr>
            <w:r>
              <w:rPr>
                <w:rFonts w:ascii="Arial" w:cs="Arial" w:eastAsia="Arial" w:hAnsi="Arial"/>
                <w:sz w:val="13"/>
                <w:szCs w:val="13"/>
                <w:color w:val="auto"/>
              </w:rPr>
              <w:t>December 31, 2022</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5"/>
        </w:trPr>
        <w:tc>
          <w:tcPr>
            <w:tcW w:w="78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r>
    </w:tbl>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Foreign Currency Risk</w:t>
      </w:r>
      <w:r>
        <w:rPr>
          <w:rFonts w:ascii="Arial" w:cs="Arial" w:eastAsia="Arial" w:hAnsi="Arial"/>
          <w:sz w:val="13"/>
          <w:szCs w:val="13"/>
          <w:i w:val="1"/>
          <w:iCs w:val="1"/>
          <w:color w:val="auto"/>
        </w:rPr>
        <w:t>—</w:t>
      </w:r>
      <w:r>
        <w:rPr>
          <w:rFonts w:ascii="Arial" w:cs="Arial" w:eastAsia="Arial" w:hAnsi="Arial"/>
          <w:sz w:val="13"/>
          <w:szCs w:val="13"/>
          <w:color w:val="auto"/>
        </w:rPr>
        <w:t>As a result of foreign operations, the Company has costs, assets and liabilities that are denominated in foreign currencies, primarily the Euro, the Japanese Yen and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Singapore Dollar. Therefore, movements in exchange rates could cause foreign currency denominated expenses to increase as a percentage of net revenue, affecting profitability and cash flows. The Company uses foreign currency forward contracts to reduce exposure to foreign currency fluctuations. The Company also incurs certain portion of its interest expense in Euro and Singapore Dollars, exposing the Company to exchange rate fluctuations between USD and EUR and SGD. The Company uses cross-currency swaps to reduce its exposure to variability from foreign exchange impacting cash flows arising from Company’s foreign currency denominated debt cash flows to the extent than it is practicable and cost effective to do so.</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Exposure to Currency Risk</w:t>
      </w:r>
      <w:r>
        <w:rPr>
          <w:rFonts w:ascii="Arial" w:cs="Arial" w:eastAsia="Arial" w:hAnsi="Arial"/>
          <w:sz w:val="13"/>
          <w:szCs w:val="13"/>
          <w:i w:val="1"/>
          <w:iCs w:val="1"/>
          <w:color w:val="auto"/>
        </w:rPr>
        <w:t>—</w:t>
      </w:r>
      <w:r>
        <w:rPr>
          <w:rFonts w:ascii="Arial" w:cs="Arial" w:eastAsia="Arial" w:hAnsi="Arial"/>
          <w:sz w:val="13"/>
          <w:szCs w:val="13"/>
          <w:color w:val="auto"/>
        </w:rPr>
        <w:t>The Company’s exposure to foreign currency risk against financial assets and financial liabilities was as follows, based on notional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b w:val="1"/>
                <w:bCs w:val="1"/>
                <w:color w:val="auto"/>
              </w:rPr>
              <w:t>EUR</w:t>
            </w:r>
          </w:p>
        </w:tc>
        <w:tc>
          <w:tcPr>
            <w:tcW w:w="360" w:type="dxa"/>
            <w:vAlign w:val="bottom"/>
          </w:tcPr>
          <w:p>
            <w:pPr>
              <w:spacing w:after="0"/>
              <w:rPr>
                <w:sz w:val="14"/>
                <w:szCs w:val="14"/>
                <w:color w:val="auto"/>
              </w:rPr>
            </w:pPr>
          </w:p>
        </w:tc>
        <w:tc>
          <w:tcPr>
            <w:tcW w:w="1560" w:type="dxa"/>
            <w:vAlign w:val="bottom"/>
            <w:gridSpan w:val="3"/>
          </w:tcPr>
          <w:p>
            <w:pPr>
              <w:ind w:left="260"/>
              <w:spacing w:after="0"/>
              <w:rPr>
                <w:sz w:val="20"/>
                <w:szCs w:val="20"/>
                <w:color w:val="auto"/>
              </w:rPr>
            </w:pPr>
            <w:r>
              <w:rPr>
                <w:rFonts w:ascii="Arial" w:cs="Arial" w:eastAsia="Arial" w:hAnsi="Arial"/>
                <w:sz w:val="13"/>
                <w:szCs w:val="13"/>
                <w:b w:val="1"/>
                <w:bCs w:val="1"/>
                <w:color w:val="auto"/>
              </w:rPr>
              <w:t>JPY</w:t>
            </w:r>
          </w:p>
        </w:tc>
        <w:tc>
          <w:tcPr>
            <w:tcW w:w="1140" w:type="dxa"/>
            <w:vAlign w:val="bottom"/>
          </w:tcPr>
          <w:p>
            <w:pPr>
              <w:jc w:val="right"/>
              <w:ind w:right="536"/>
              <w:spacing w:after="0"/>
              <w:rPr>
                <w:sz w:val="20"/>
                <w:szCs w:val="20"/>
                <w:color w:val="auto"/>
              </w:rPr>
            </w:pPr>
            <w:r>
              <w:rPr>
                <w:rFonts w:ascii="Arial" w:cs="Arial" w:eastAsia="Arial" w:hAnsi="Arial"/>
                <w:sz w:val="13"/>
                <w:szCs w:val="13"/>
                <w:b w:val="1"/>
                <w:bCs w:val="1"/>
                <w:color w:val="auto"/>
              </w:rPr>
              <w:t>SGD</w:t>
            </w:r>
          </w:p>
        </w:tc>
      </w:tr>
      <w:tr>
        <w:trPr>
          <w:trHeight w:val="152"/>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2021</w:t>
            </w: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Receivables and prepayments</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161</w:t>
            </w:r>
          </w:p>
        </w:tc>
        <w:tc>
          <w:tcPr>
            <w:tcW w:w="8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gridSpan w:val="3"/>
          </w:tcPr>
          <w:p>
            <w:pPr>
              <w:ind w:left="940"/>
              <w:spacing w:after="0"/>
              <w:rPr>
                <w:sz w:val="20"/>
                <w:szCs w:val="20"/>
                <w:color w:val="auto"/>
              </w:rPr>
            </w:pPr>
            <w:r>
              <w:rPr>
                <w:rFonts w:ascii="Arial" w:cs="Arial" w:eastAsia="Arial" w:hAnsi="Arial"/>
                <w:sz w:val="13"/>
                <w:szCs w:val="13"/>
                <w:color w:val="auto"/>
              </w:rPr>
              <w:t>—  $</w:t>
            </w:r>
          </w:p>
        </w:tc>
        <w:tc>
          <w:tcPr>
            <w:tcW w:w="11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Loans and borrowings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and other payables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(221)</w:t>
            </w:r>
          </w:p>
        </w:tc>
      </w:tr>
      <w:tr>
        <w:trPr>
          <w:trHeight w:val="15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Receivables and prepayments</w:t>
            </w:r>
          </w:p>
        </w:tc>
        <w:tc>
          <w:tcPr>
            <w:tcW w:w="620" w:type="dxa"/>
            <w:vAlign w:val="bottom"/>
          </w:tcPr>
          <w:p>
            <w:pPr>
              <w:jc w:val="right"/>
              <w:ind w:right="47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4"/>
                <w:szCs w:val="14"/>
                <w:color w:val="auto"/>
              </w:rPr>
            </w:pPr>
          </w:p>
        </w:tc>
        <w:tc>
          <w:tcPr>
            <w:tcW w:w="66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47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r>
      <w:tr>
        <w:trPr>
          <w:trHeight w:val="168"/>
        </w:trPr>
        <w:tc>
          <w:tcPr>
            <w:tcW w:w="6660" w:type="dxa"/>
            <w:vAlign w:val="bottom"/>
          </w:tcPr>
          <w:p>
            <w:pPr>
              <w:ind w:left="20"/>
              <w:spacing w:after="0"/>
              <w:rPr>
                <w:sz w:val="20"/>
                <w:szCs w:val="20"/>
                <w:color w:val="auto"/>
              </w:rPr>
            </w:pPr>
            <w:r>
              <w:rPr>
                <w:rFonts w:ascii="Arial" w:cs="Arial" w:eastAsia="Arial" w:hAnsi="Arial"/>
                <w:sz w:val="13"/>
                <w:szCs w:val="13"/>
                <w:color w:val="auto"/>
              </w:rPr>
              <w:t>Loans and borrowings</w:t>
            </w: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and other payables</w:t>
            </w: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w:t>
            </w:r>
          </w:p>
        </w:tc>
      </w:tr>
      <w:tr>
        <w:trPr>
          <w:trHeight w:val="162"/>
        </w:trPr>
        <w:tc>
          <w:tcPr>
            <w:tcW w:w="6660" w:type="dxa"/>
            <w:vAlign w:val="bottom"/>
          </w:tcPr>
          <w:p>
            <w:pPr>
              <w:spacing w:after="0"/>
              <w:rPr>
                <w:sz w:val="14"/>
                <w:szCs w:val="14"/>
                <w:color w:val="auto"/>
              </w:rPr>
            </w:pPr>
          </w:p>
        </w:tc>
        <w:tc>
          <w:tcPr>
            <w:tcW w:w="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(175)</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(69)</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287</w:t>
            </w:r>
          </w:p>
        </w:tc>
      </w:tr>
    </w:tbl>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3"/>
          <w:szCs w:val="13"/>
          <w:i w:val="1"/>
          <w:iCs w:val="1"/>
          <w:color w:val="auto"/>
        </w:rPr>
        <w:t>Credit Risk</w:t>
      </w:r>
      <w:r>
        <w:rPr>
          <w:rFonts w:ascii="Arial" w:cs="Arial" w:eastAsia="Arial" w:hAnsi="Arial"/>
          <w:sz w:val="13"/>
          <w:szCs w:val="13"/>
          <w:color w:val="auto"/>
        </w:rPr>
        <w:t>—Credit risk can be defined as the risk of suffering financial loss from financial instruments due to the failure by a counterparty to fulfill an obligation. Financial instruments that subject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to concentrations of credit risk include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investments and cash equivalents and foreign exchange transactions. With respect to credit risk arising from the Company’s cash and cash equivalents, the Company’s exposure to credit risk arises from default of the counterparty, with maximum exposure equal to the carrying amount of these instruments.</w:t>
      </w:r>
    </w:p>
    <w:p>
      <w:pPr>
        <w:spacing w:after="0" w:line="8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generally does not require collateral to secure accounts receivable. The risk with respect to trade receivables is mitigated by credit evaluations the Company performs on the Company’s customers, the short duration of the Company’s payments terms for the significant majority of the Company’s customer contracts and by the diversification of the Company’s customer base. The expected credit losses of trade and other receivables are not significant.</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The Company’s five largest customers account for approximately 57% and 61% of the outstanding trade receivables balance as of December 31, 2022 and 2021,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Exposure to Credit Risk—</w:t>
      </w:r>
      <w:r>
        <w:rPr>
          <w:rFonts w:ascii="Arial" w:cs="Arial" w:eastAsia="Arial" w:hAnsi="Arial"/>
          <w:sz w:val="13"/>
          <w:szCs w:val="13"/>
          <w:color w:val="auto"/>
        </w:rPr>
        <w:t>The carrying amount of financial assets represents the maximum credit exposure. The maximum exposure to credit risk at the reporting date was: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The aging of financial assets including trade receivables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Past Due but Not Impaired</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23" w:lineRule="exact"/>
              <w:rPr>
                <w:sz w:val="20"/>
                <w:szCs w:val="20"/>
                <w:color w:val="auto"/>
              </w:rPr>
            </w:pPr>
            <w:r>
              <w:rPr>
                <w:rFonts w:ascii="Arial" w:cs="Arial" w:eastAsia="Arial" w:hAnsi="Arial"/>
                <w:sz w:val="13"/>
                <w:szCs w:val="13"/>
                <w:b w:val="1"/>
                <w:bCs w:val="1"/>
                <w:color w:val="auto"/>
                <w:w w:val="98"/>
              </w:rPr>
              <w:t>Neither past</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76"/>
              <w:spacing w:after="0" w:line="123" w:lineRule="exact"/>
              <w:rPr>
                <w:sz w:val="20"/>
                <w:szCs w:val="20"/>
                <w:color w:val="auto"/>
              </w:rPr>
            </w:pPr>
            <w:r>
              <w:rPr>
                <w:rFonts w:ascii="Arial" w:cs="Arial" w:eastAsia="Arial" w:hAnsi="Arial"/>
                <w:sz w:val="13"/>
                <w:szCs w:val="13"/>
                <w:b w:val="1"/>
                <w:bCs w:val="1"/>
                <w:color w:val="auto"/>
                <w:w w:val="99"/>
              </w:rPr>
              <w:t>Great</w:t>
            </w:r>
          </w:p>
        </w:tc>
        <w:tc>
          <w:tcPr>
            <w:tcW w:w="0" w:type="dxa"/>
            <w:vAlign w:val="bottom"/>
          </w:tcPr>
          <w:p>
            <w:pPr>
              <w:spacing w:after="0"/>
              <w:rPr>
                <w:sz w:val="1"/>
                <w:szCs w:val="1"/>
                <w:color w:val="auto"/>
              </w:rPr>
            </w:pPr>
          </w:p>
        </w:tc>
      </w:tr>
      <w:tr>
        <w:trPr>
          <w:trHeight w:val="127"/>
        </w:trPr>
        <w:tc>
          <w:tcPr>
            <w:tcW w:w="3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1120" w:type="dxa"/>
            <w:vAlign w:val="bottom"/>
            <w:gridSpan w:val="2"/>
          </w:tcPr>
          <w:p>
            <w:pPr>
              <w:jc w:val="center"/>
              <w:ind w:right="240"/>
              <w:spacing w:after="0" w:line="128" w:lineRule="exact"/>
              <w:rPr>
                <w:sz w:val="20"/>
                <w:szCs w:val="20"/>
                <w:color w:val="auto"/>
              </w:rPr>
            </w:pPr>
            <w:r>
              <w:rPr>
                <w:rFonts w:ascii="Arial" w:cs="Arial" w:eastAsia="Arial" w:hAnsi="Arial"/>
                <w:sz w:val="13"/>
                <w:szCs w:val="13"/>
                <w:b w:val="1"/>
                <w:bCs w:val="1"/>
                <w:color w:val="auto"/>
                <w:w w:val="94"/>
              </w:rPr>
              <w:t>Due Nor</w:t>
            </w:r>
          </w:p>
        </w:tc>
        <w:tc>
          <w:tcPr>
            <w:tcW w:w="20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&lt; 30 Days</w:t>
            </w:r>
          </w:p>
        </w:tc>
        <w:tc>
          <w:tcPr>
            <w:tcW w:w="18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31-90 Days</w:t>
            </w:r>
          </w:p>
        </w:tc>
        <w:tc>
          <w:tcPr>
            <w:tcW w:w="14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91-120 Days</w:t>
            </w:r>
          </w:p>
        </w:tc>
        <w:tc>
          <w:tcPr>
            <w:tcW w:w="220" w:type="dxa"/>
            <w:vAlign w:val="bottom"/>
          </w:tcPr>
          <w:p>
            <w:pPr>
              <w:spacing w:after="0"/>
              <w:rPr>
                <w:sz w:val="11"/>
                <w:szCs w:val="11"/>
                <w:color w:val="auto"/>
              </w:rPr>
            </w:pPr>
          </w:p>
        </w:tc>
        <w:tc>
          <w:tcPr>
            <w:tcW w:w="98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w w:val="94"/>
              </w:rPr>
              <w:t>than</w:t>
            </w:r>
          </w:p>
        </w:tc>
        <w:tc>
          <w:tcPr>
            <w:tcW w:w="0" w:type="dxa"/>
            <w:vAlign w:val="bottom"/>
          </w:tcPr>
          <w:p>
            <w:pPr>
              <w:spacing w:after="0"/>
              <w:rPr>
                <w:sz w:val="1"/>
                <w:szCs w:val="1"/>
                <w:color w:val="auto"/>
              </w:rPr>
            </w:pPr>
          </w:p>
        </w:tc>
      </w:tr>
      <w:tr>
        <w:trPr>
          <w:trHeight w:val="169"/>
        </w:trPr>
        <w:tc>
          <w:tcPr>
            <w:tcW w:w="3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Impaired</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36"/>
              <w:spacing w:after="0"/>
              <w:rPr>
                <w:sz w:val="20"/>
                <w:szCs w:val="20"/>
                <w:color w:val="auto"/>
              </w:rPr>
            </w:pPr>
            <w:r>
              <w:rPr>
                <w:rFonts w:ascii="Arial" w:cs="Arial" w:eastAsia="Arial" w:hAnsi="Arial"/>
                <w:sz w:val="13"/>
                <w:szCs w:val="13"/>
                <w:b w:val="1"/>
                <w:bCs w:val="1"/>
                <w:color w:val="auto"/>
                <w:w w:val="98"/>
              </w:rPr>
              <w:t>120 days</w:t>
            </w:r>
          </w:p>
        </w:tc>
        <w:tc>
          <w:tcPr>
            <w:tcW w:w="0" w:type="dxa"/>
            <w:vAlign w:val="bottom"/>
          </w:tcPr>
          <w:p>
            <w:pPr>
              <w:spacing w:after="0"/>
              <w:rPr>
                <w:sz w:val="1"/>
                <w:szCs w:val="1"/>
                <w:color w:val="auto"/>
              </w:rPr>
            </w:pPr>
          </w:p>
        </w:tc>
      </w:tr>
      <w:tr>
        <w:trPr>
          <w:trHeight w:val="158"/>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December 31, 2021</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700" w:type="dxa"/>
            <w:vAlign w:val="bottom"/>
          </w:tcPr>
          <w:p>
            <w:pPr>
              <w:ind w:left="20"/>
              <w:spacing w:after="0"/>
              <w:rPr>
                <w:sz w:val="20"/>
                <w:szCs w:val="20"/>
                <w:color w:val="auto"/>
              </w:rPr>
            </w:pPr>
            <w:r>
              <w:rPr>
                <w:rFonts w:ascii="Arial" w:cs="Arial" w:eastAsia="Arial" w:hAnsi="Arial"/>
                <w:sz w:val="13"/>
                <w:szCs w:val="13"/>
                <w:color w:val="auto"/>
              </w:rPr>
              <w:t>December 31, 2022</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2,254</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2,137</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i w:val="1"/>
          <w:iCs w:val="1"/>
          <w:color w:val="auto"/>
        </w:rPr>
        <w:t>Liquidity Risk—</w:t>
      </w:r>
      <w:r>
        <w:rPr>
          <w:rFonts w:ascii="Arial" w:cs="Arial" w:eastAsia="Arial" w:hAnsi="Arial"/>
          <w:sz w:val="13"/>
          <w:szCs w:val="13"/>
          <w:color w:val="auto"/>
        </w:rPr>
        <w:t>The Company monitors its risk to a shortage of funds by monitoring its cash flow situation. Ongoing cash forecasting and review processes have been set up to determine the amount of</w:t>
      </w:r>
      <w:r>
        <w:rPr>
          <w:rFonts w:ascii="Arial" w:cs="Arial" w:eastAsia="Arial" w:hAnsi="Arial"/>
          <w:sz w:val="13"/>
          <w:szCs w:val="13"/>
          <w:i w:val="1"/>
          <w:iCs w:val="1"/>
          <w:color w:val="auto"/>
        </w:rPr>
        <w:t xml:space="preserve"> </w:t>
      </w:r>
      <w:r>
        <w:rPr>
          <w:rFonts w:ascii="Arial" w:cs="Arial" w:eastAsia="Arial" w:hAnsi="Arial"/>
          <w:sz w:val="13"/>
          <w:szCs w:val="13"/>
          <w:color w:val="auto"/>
        </w:rPr>
        <w:t>external funding needed. The Company has set up a process of mid- and long-term financial planning. The Company’s financing structure, including maturities of debt, is determined in response to the financing requirements identified with the long-term business planning process.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summarizes the maturity profile of the Company’s financial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Contractual</w:t>
            </w:r>
          </w:p>
        </w:tc>
        <w:tc>
          <w:tcPr>
            <w:tcW w:w="20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1 Year or</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Greater</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1 to 5 Years</w:t>
            </w:r>
          </w:p>
        </w:tc>
        <w:tc>
          <w:tcPr>
            <w:tcW w:w="240" w:type="dxa"/>
            <w:vAlign w:val="bottom"/>
          </w:tcPr>
          <w:p>
            <w:pPr>
              <w:spacing w:after="0"/>
              <w:rPr>
                <w:sz w:val="11"/>
                <w:szCs w:val="11"/>
                <w:color w:val="auto"/>
              </w:rPr>
            </w:pPr>
          </w:p>
        </w:tc>
        <w:tc>
          <w:tcPr>
            <w:tcW w:w="1080" w:type="dxa"/>
            <w:vAlign w:val="bottom"/>
            <w:gridSpan w:val="2"/>
          </w:tcPr>
          <w:p>
            <w:pPr>
              <w:jc w:val="center"/>
              <w:ind w:right="340"/>
              <w:spacing w:after="0" w:line="128" w:lineRule="exact"/>
              <w:rPr>
                <w:sz w:val="20"/>
                <w:szCs w:val="20"/>
                <w:color w:val="auto"/>
              </w:rPr>
            </w:pPr>
            <w:r>
              <w:rPr>
                <w:rFonts w:ascii="Arial" w:cs="Arial" w:eastAsia="Arial" w:hAnsi="Arial"/>
                <w:sz w:val="13"/>
                <w:szCs w:val="13"/>
                <w:b w:val="1"/>
                <w:bCs w:val="1"/>
                <w:color w:val="auto"/>
                <w:w w:val="94"/>
              </w:rPr>
              <w:t>than</w:t>
            </w:r>
          </w:p>
        </w:tc>
        <w:tc>
          <w:tcPr>
            <w:tcW w:w="260" w:type="dxa"/>
            <w:vAlign w:val="bottom"/>
          </w:tcPr>
          <w:p>
            <w:pPr>
              <w:spacing w:after="0"/>
              <w:rPr>
                <w:sz w:val="11"/>
                <w:szCs w:val="11"/>
                <w:color w:val="auto"/>
              </w:rPr>
            </w:pPr>
          </w:p>
        </w:tc>
        <w:tc>
          <w:tcPr>
            <w:tcW w:w="96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Value</w:t>
            </w: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3"/>
                <w:szCs w:val="13"/>
                <w:b w:val="1"/>
                <w:bCs w:val="1"/>
                <w:color w:val="auto"/>
              </w:rPr>
              <w:t>Cash Flows</w:t>
            </w: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Less</w:t>
            </w: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5 Years</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2021</w:t>
            </w: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Loans and borrowings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2,013</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2,205</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349</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1,736</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2,205</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obligations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Derivative financial liability</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payables and other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4,400</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4,678</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2,403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2,032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4,678</w:t>
            </w:r>
          </w:p>
        </w:tc>
      </w:tr>
      <w:tr>
        <w:trPr>
          <w:trHeight w:val="15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Loans and borrowings</w:t>
            </w: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2,511</w:t>
            </w:r>
          </w:p>
        </w:tc>
        <w:tc>
          <w:tcPr>
            <w:tcW w:w="8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2,706</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229</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1,443</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1,034</w:t>
            </w:r>
          </w:p>
        </w:tc>
        <w:tc>
          <w:tcPr>
            <w:tcW w:w="1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2,706</w:t>
            </w:r>
          </w:p>
        </w:tc>
      </w:tr>
      <w:tr>
        <w:trPr>
          <w:trHeight w:val="172"/>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obligations</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Derivative financial liability</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payables and other liabilities</w:t>
            </w:r>
          </w:p>
        </w:tc>
        <w:tc>
          <w:tcPr>
            <w:tcW w:w="4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2,171</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w:t>
            </w:r>
          </w:p>
        </w:tc>
      </w:tr>
      <w:tr>
        <w:trPr>
          <w:trHeight w:val="162"/>
        </w:trPr>
        <w:tc>
          <w:tcPr>
            <w:tcW w:w="33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5,187</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5,464</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2,553</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1,695</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1,216</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5,464</w:t>
            </w:r>
          </w:p>
        </w:tc>
      </w:tr>
    </w:tbl>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preparing the maturity profile, undiscounted payments are calculated based on contractually agreed interest rates where these are fixed, or, in the case of discounted liabilities for leases, where the interest rate is implicit in the financing arrangement. For variable interest arrangements undiscounted payments are determined based on the interest rate prevailing at the reporting date.</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Measured at Fair Value</w:t>
      </w:r>
      <w:r>
        <w:rPr>
          <w:rFonts w:ascii="Arial" w:cs="Arial" w:eastAsia="Arial" w:hAnsi="Arial"/>
          <w:sz w:val="13"/>
          <w:szCs w:val="13"/>
          <w:color w:val="auto"/>
        </w:rPr>
        <w:t>—The Company uses the following hierarchy for determining and disclosing the fair value of financial instruments by valuation technique:</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Level 1—</w:t>
      </w:r>
      <w:r>
        <w:rPr>
          <w:rFonts w:ascii="Arial" w:cs="Arial" w:eastAsia="Arial" w:hAnsi="Arial"/>
          <w:sz w:val="13"/>
          <w:szCs w:val="13"/>
          <w:color w:val="auto"/>
        </w:rPr>
        <w:t>observable inputs such as quoted prices in active markets for identical assets or liabilities</w:t>
      </w:r>
    </w:p>
    <w:p>
      <w:pPr>
        <w:spacing w:after="0" w:line="95" w:lineRule="exact"/>
        <w:rPr>
          <w:sz w:val="20"/>
          <w:szCs w:val="20"/>
          <w:color w:val="auto"/>
        </w:rPr>
      </w:pPr>
    </w:p>
    <w:p>
      <w:pPr>
        <w:ind w:left="260"/>
        <w:spacing w:after="0" w:line="263" w:lineRule="auto"/>
        <w:rPr>
          <w:sz w:val="20"/>
          <w:szCs w:val="20"/>
          <w:color w:val="auto"/>
        </w:rPr>
      </w:pPr>
      <w:r>
        <w:rPr>
          <w:rFonts w:ascii="Arial" w:cs="Arial" w:eastAsia="Arial" w:hAnsi="Arial"/>
          <w:sz w:val="13"/>
          <w:szCs w:val="13"/>
          <w:i w:val="1"/>
          <w:iCs w:val="1"/>
          <w:color w:val="auto"/>
        </w:rPr>
        <w:t>Level 2—</w:t>
      </w:r>
      <w:r>
        <w:rPr>
          <w:rFonts w:ascii="Arial" w:cs="Arial" w:eastAsia="Arial" w:hAnsi="Arial"/>
          <w:sz w:val="13"/>
          <w:szCs w:val="13"/>
          <w:color w:val="auto"/>
        </w:rPr>
        <w:t>inputs other than quoted prices in active markets in Level 1, such as quoted prices for similar assets or liabilities in active markets, quoted prices for similar assets or liabilities that are not</w:t>
      </w:r>
      <w:r>
        <w:rPr>
          <w:rFonts w:ascii="Arial" w:cs="Arial" w:eastAsia="Arial" w:hAnsi="Arial"/>
          <w:sz w:val="13"/>
          <w:szCs w:val="13"/>
          <w:i w:val="1"/>
          <w:iCs w:val="1"/>
          <w:color w:val="auto"/>
        </w:rPr>
        <w:t xml:space="preserve"> </w:t>
      </w:r>
      <w:r>
        <w:rPr>
          <w:rFonts w:ascii="Arial" w:cs="Arial" w:eastAsia="Arial" w:hAnsi="Arial"/>
          <w:sz w:val="13"/>
          <w:szCs w:val="13"/>
          <w:color w:val="auto"/>
        </w:rPr>
        <w:t>active; or other inputs that are observable or can be corroborated by observable market data for substantially the full term of the asset or liability; and</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Level 3—</w:t>
      </w:r>
      <w:r>
        <w:rPr>
          <w:rFonts w:ascii="Arial" w:cs="Arial" w:eastAsia="Arial" w:hAnsi="Arial"/>
          <w:sz w:val="13"/>
          <w:szCs w:val="13"/>
          <w:color w:val="auto"/>
        </w:rPr>
        <w:t>unobservable inputs for which little or no market data exists, therefore requiring management judgment to develop the Company’s own models with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Cash Equivalents </w:t>
      </w:r>
      <w:r>
        <w:rPr>
          <w:rFonts w:ascii="Arial" w:cs="Arial" w:eastAsia="Arial" w:hAnsi="Arial"/>
          <w:sz w:val="13"/>
          <w:szCs w:val="13"/>
          <w:color w:val="auto"/>
        </w:rPr>
        <w:t>- Cash equivalents include investments in government obligation-based money market funds, other money market instruments and interest-bearing deposits with initial or remaining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terms of three months or less. The fair value of cash equivalents approximates its carrying value due to the short-term nature of these instruments.</w:t>
      </w:r>
    </w:p>
    <w:p>
      <w:pPr>
        <w:spacing w:after="0" w:line="3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Marketable Securities </w:t>
      </w:r>
      <w:r>
        <w:rPr>
          <w:rFonts w:ascii="Arial" w:cs="Arial" w:eastAsia="Arial" w:hAnsi="Arial"/>
          <w:sz w:val="13"/>
          <w:szCs w:val="13"/>
          <w:color w:val="auto"/>
        </w:rPr>
        <w:t>- Marketable securities utilizing Level 1 inputs include U.S. Treasury Securities, U.S. Government Sponsored Enterprises, floating rate securities, money market mutual funds,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corporate debt instruments and other Notes, bonds or debt securities issued by non-U.S. sovereign or multilateral entities, as these securities all have quoted prices in active markets.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For assets and liabilities that are recognized at fair value on a recurring basis, the Company determines whether transfers have occurred between levels in the hierarchy by re-assessing categorization (based on the lowest level input that is significant to the fair value measurement as a whole) at the end of each reporting period. Foreign currency forward contracts are classified within Level 2. The fair values of foreign currency forward contracts are determined using quantitative models that require the use of multiple market inputs, including interest rates, prices and maturity dates to generate pricing curves, which are used to value the positions. The market inputs are generally actively quoted and can be validated through external sources. For foreign currency forward contract asset and liability positions with maturity dates which fall between the dates of quoted prices, interpolation of rate or maturity scenarios are used in determining fair values. During the years ended December 31, 2022 and 2021, there were no transfers between Level 1, 2 and Level 3 fair value measurements.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Instruments Measured at Fair Value on a Recurring Basis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Company’s assets and liabilities measured at fair value on a recurring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7"/>
              </w:rPr>
              <w:t>Fair Value Measurement at Reporting Date Using</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Quoted</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28" w:lineRule="exact"/>
              <w:rPr>
                <w:sz w:val="20"/>
                <w:szCs w:val="20"/>
                <w:color w:val="auto"/>
              </w:rPr>
            </w:pPr>
            <w:r>
              <w:rPr>
                <w:rFonts w:ascii="Arial" w:cs="Arial" w:eastAsia="Arial" w:hAnsi="Arial"/>
                <w:sz w:val="13"/>
                <w:szCs w:val="13"/>
                <w:b w:val="1"/>
                <w:bCs w:val="1"/>
                <w:color w:val="auto"/>
                <w:w w:val="97"/>
              </w:rPr>
              <w:t>Prices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76"/>
              <w:spacing w:after="0"/>
              <w:rPr>
                <w:sz w:val="20"/>
                <w:szCs w:val="20"/>
                <w:color w:val="auto"/>
              </w:rPr>
            </w:pPr>
            <w:r>
              <w:rPr>
                <w:rFonts w:ascii="Arial" w:cs="Arial" w:eastAsia="Arial" w:hAnsi="Arial"/>
                <w:sz w:val="13"/>
                <w:szCs w:val="13"/>
                <w:b w:val="1"/>
                <w:bCs w:val="1"/>
                <w:color w:val="auto"/>
                <w:w w:val="96"/>
              </w:rPr>
              <w:t>Significant</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8"/>
              </w:rPr>
              <w:t>Identical</w:t>
            </w:r>
          </w:p>
        </w:tc>
        <w:tc>
          <w:tcPr>
            <w:tcW w:w="240" w:type="dxa"/>
            <w:vAlign w:val="bottom"/>
          </w:tcPr>
          <w:p>
            <w:pPr>
              <w:spacing w:after="0"/>
              <w:rPr>
                <w:sz w:val="11"/>
                <w:szCs w:val="11"/>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9"/>
              </w:rPr>
              <w:t>Significant</w:t>
            </w: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5"/>
              </w:rPr>
              <w:t>Assets/</w:t>
            </w:r>
          </w:p>
        </w:tc>
        <w:tc>
          <w:tcPr>
            <w:tcW w:w="2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w w:val="97"/>
              </w:rPr>
              <w:t>Unobservable</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9"/>
              </w:rPr>
              <w:t>Liabilities</w:t>
            </w:r>
          </w:p>
        </w:tc>
        <w:tc>
          <w:tcPr>
            <w:tcW w:w="240" w:type="dxa"/>
            <w:vAlign w:val="bottom"/>
          </w:tcPr>
          <w:p>
            <w:pPr>
              <w:spacing w:after="0"/>
              <w:rPr>
                <w:sz w:val="11"/>
                <w:szCs w:val="11"/>
                <w:color w:val="auto"/>
              </w:rPr>
            </w:pPr>
          </w:p>
        </w:tc>
        <w:tc>
          <w:tcPr>
            <w:tcW w:w="1340" w:type="dxa"/>
            <w:vAlign w:val="bottom"/>
            <w:gridSpan w:val="2"/>
          </w:tcPr>
          <w:p>
            <w:pPr>
              <w:jc w:val="center"/>
              <w:ind w:right="320"/>
              <w:spacing w:after="0" w:line="128" w:lineRule="exact"/>
              <w:rPr>
                <w:sz w:val="20"/>
                <w:szCs w:val="20"/>
                <w:color w:val="auto"/>
              </w:rPr>
            </w:pPr>
            <w:r>
              <w:rPr>
                <w:rFonts w:ascii="Arial" w:cs="Arial" w:eastAsia="Arial" w:hAnsi="Arial"/>
                <w:sz w:val="13"/>
                <w:szCs w:val="13"/>
                <w:b w:val="1"/>
                <w:bCs w:val="1"/>
                <w:color w:val="auto"/>
                <w:w w:val="95"/>
              </w:rPr>
              <w:t>Other Inputs</w:t>
            </w:r>
          </w:p>
        </w:tc>
        <w:tc>
          <w:tcPr>
            <w:tcW w:w="240" w:type="dxa"/>
            <w:vAlign w:val="bottom"/>
          </w:tcPr>
          <w:p>
            <w:pPr>
              <w:spacing w:after="0"/>
              <w:rPr>
                <w:sz w:val="11"/>
                <w:szCs w:val="11"/>
                <w:color w:val="auto"/>
              </w:rPr>
            </w:pPr>
          </w:p>
        </w:tc>
        <w:tc>
          <w:tcPr>
            <w:tcW w:w="144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rPr>
              <w:t>Inputs</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(Level 1)</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(Level 2)</w:t>
            </w:r>
          </w:p>
        </w:tc>
        <w:tc>
          <w:tcPr>
            <w:tcW w:w="240" w:type="dxa"/>
            <w:vAlign w:val="bottom"/>
          </w:tcPr>
          <w:p>
            <w:pPr>
              <w:spacing w:after="0"/>
              <w:rPr>
                <w:sz w:val="14"/>
                <w:szCs w:val="14"/>
                <w:color w:val="auto"/>
              </w:rPr>
            </w:pPr>
          </w:p>
        </w:tc>
        <w:tc>
          <w:tcPr>
            <w:tcW w:w="1440" w:type="dxa"/>
            <w:vAlign w:val="bottom"/>
          </w:tcPr>
          <w:p>
            <w:pPr>
              <w:jc w:val="center"/>
              <w:ind w:right="176"/>
              <w:spacing w:after="0"/>
              <w:rPr>
                <w:sz w:val="20"/>
                <w:szCs w:val="20"/>
                <w:color w:val="auto"/>
              </w:rPr>
            </w:pPr>
            <w:r>
              <w:rPr>
                <w:rFonts w:ascii="Arial" w:cs="Arial" w:eastAsia="Arial" w:hAnsi="Arial"/>
                <w:sz w:val="13"/>
                <w:szCs w:val="13"/>
                <w:b w:val="1"/>
                <w:bCs w:val="1"/>
                <w:color w:val="auto"/>
                <w:w w:val="98"/>
              </w:rPr>
              <w:t>(Level 3)</w:t>
            </w: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2021</w:t>
            </w: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(1)</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Investments in equity instruments</w:t>
            </w:r>
            <w:r>
              <w:rPr>
                <w:rFonts w:ascii="Arial" w:cs="Arial" w:eastAsia="Arial" w:hAnsi="Arial"/>
                <w:sz w:val="16"/>
                <w:szCs w:val="16"/>
                <w:color w:val="auto"/>
                <w:vertAlign w:val="superscript"/>
              </w:rPr>
              <w:t>(2)</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Derivatives</w:t>
            </w:r>
            <w:r>
              <w:rPr>
                <w:rFonts w:ascii="Arial" w:cs="Arial" w:eastAsia="Arial" w:hAnsi="Arial"/>
                <w:sz w:val="16"/>
                <w:szCs w:val="16"/>
                <w:color w:val="auto"/>
                <w:vertAlign w:val="superscript"/>
              </w:rPr>
              <w:t>(3)</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Derivatives</w:t>
            </w:r>
            <w:r>
              <w:rPr>
                <w:rFonts w:ascii="Arial" w:cs="Arial" w:eastAsia="Arial" w:hAnsi="Arial"/>
                <w:sz w:val="16"/>
                <w:szCs w:val="16"/>
                <w:color w:val="auto"/>
                <w:vertAlign w:val="superscript"/>
              </w:rPr>
              <w:t>(3)</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7"/>
              </w:rPr>
              <w:t>Fair Value Measurement at Reporting Date Using</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Quoted</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28" w:lineRule="exact"/>
              <w:rPr>
                <w:sz w:val="20"/>
                <w:szCs w:val="20"/>
                <w:color w:val="auto"/>
              </w:rPr>
            </w:pPr>
            <w:r>
              <w:rPr>
                <w:rFonts w:ascii="Arial" w:cs="Arial" w:eastAsia="Arial" w:hAnsi="Arial"/>
                <w:sz w:val="13"/>
                <w:szCs w:val="13"/>
                <w:b w:val="1"/>
                <w:bCs w:val="1"/>
                <w:color w:val="auto"/>
                <w:w w:val="97"/>
              </w:rPr>
              <w:t>Prices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76"/>
              <w:spacing w:after="0"/>
              <w:rPr>
                <w:sz w:val="20"/>
                <w:szCs w:val="20"/>
                <w:color w:val="auto"/>
              </w:rPr>
            </w:pPr>
            <w:r>
              <w:rPr>
                <w:rFonts w:ascii="Arial" w:cs="Arial" w:eastAsia="Arial" w:hAnsi="Arial"/>
                <w:sz w:val="13"/>
                <w:szCs w:val="13"/>
                <w:b w:val="1"/>
                <w:bCs w:val="1"/>
                <w:color w:val="auto"/>
                <w:w w:val="96"/>
              </w:rPr>
              <w:t>Significant</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8"/>
              </w:rPr>
              <w:t>Identical</w:t>
            </w:r>
          </w:p>
        </w:tc>
        <w:tc>
          <w:tcPr>
            <w:tcW w:w="240" w:type="dxa"/>
            <w:vAlign w:val="bottom"/>
          </w:tcPr>
          <w:p>
            <w:pPr>
              <w:spacing w:after="0"/>
              <w:rPr>
                <w:sz w:val="11"/>
                <w:szCs w:val="11"/>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9"/>
              </w:rPr>
              <w:t>Significant</w:t>
            </w: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5"/>
              </w:rPr>
              <w:t>Assets/</w:t>
            </w:r>
          </w:p>
        </w:tc>
        <w:tc>
          <w:tcPr>
            <w:tcW w:w="2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w w:val="97"/>
              </w:rPr>
              <w:t>Unobservable</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9"/>
              </w:rPr>
              <w:t>Liabilities</w:t>
            </w:r>
          </w:p>
        </w:tc>
        <w:tc>
          <w:tcPr>
            <w:tcW w:w="240" w:type="dxa"/>
            <w:vAlign w:val="bottom"/>
          </w:tcPr>
          <w:p>
            <w:pPr>
              <w:spacing w:after="0"/>
              <w:rPr>
                <w:sz w:val="11"/>
                <w:szCs w:val="11"/>
                <w:color w:val="auto"/>
              </w:rPr>
            </w:pPr>
          </w:p>
        </w:tc>
        <w:tc>
          <w:tcPr>
            <w:tcW w:w="1340" w:type="dxa"/>
            <w:vAlign w:val="bottom"/>
            <w:gridSpan w:val="2"/>
          </w:tcPr>
          <w:p>
            <w:pPr>
              <w:jc w:val="center"/>
              <w:ind w:right="320"/>
              <w:spacing w:after="0" w:line="128" w:lineRule="exact"/>
              <w:rPr>
                <w:sz w:val="20"/>
                <w:szCs w:val="20"/>
                <w:color w:val="auto"/>
              </w:rPr>
            </w:pPr>
            <w:r>
              <w:rPr>
                <w:rFonts w:ascii="Arial" w:cs="Arial" w:eastAsia="Arial" w:hAnsi="Arial"/>
                <w:sz w:val="13"/>
                <w:szCs w:val="13"/>
                <w:b w:val="1"/>
                <w:bCs w:val="1"/>
                <w:color w:val="auto"/>
                <w:w w:val="95"/>
              </w:rPr>
              <w:t>Other Inputs</w:t>
            </w:r>
          </w:p>
        </w:tc>
        <w:tc>
          <w:tcPr>
            <w:tcW w:w="240" w:type="dxa"/>
            <w:vAlign w:val="bottom"/>
          </w:tcPr>
          <w:p>
            <w:pPr>
              <w:spacing w:after="0"/>
              <w:rPr>
                <w:sz w:val="11"/>
                <w:szCs w:val="11"/>
                <w:color w:val="auto"/>
              </w:rPr>
            </w:pPr>
          </w:p>
        </w:tc>
        <w:tc>
          <w:tcPr>
            <w:tcW w:w="144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rPr>
              <w:t>Inputs</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(Level 1)</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(Level 2)</w:t>
            </w:r>
          </w:p>
        </w:tc>
        <w:tc>
          <w:tcPr>
            <w:tcW w:w="240" w:type="dxa"/>
            <w:vAlign w:val="bottom"/>
          </w:tcPr>
          <w:p>
            <w:pPr>
              <w:spacing w:after="0"/>
              <w:rPr>
                <w:sz w:val="14"/>
                <w:szCs w:val="14"/>
                <w:color w:val="auto"/>
              </w:rPr>
            </w:pPr>
          </w:p>
        </w:tc>
        <w:tc>
          <w:tcPr>
            <w:tcW w:w="1440" w:type="dxa"/>
            <w:vAlign w:val="bottom"/>
          </w:tcPr>
          <w:p>
            <w:pPr>
              <w:jc w:val="center"/>
              <w:ind w:right="176"/>
              <w:spacing w:after="0"/>
              <w:rPr>
                <w:sz w:val="20"/>
                <w:szCs w:val="20"/>
                <w:color w:val="auto"/>
              </w:rPr>
            </w:pPr>
            <w:r>
              <w:rPr>
                <w:rFonts w:ascii="Arial" w:cs="Arial" w:eastAsia="Arial" w:hAnsi="Arial"/>
                <w:sz w:val="13"/>
                <w:szCs w:val="13"/>
                <w:b w:val="1"/>
                <w:bCs w:val="1"/>
                <w:color w:val="auto"/>
                <w:w w:val="98"/>
              </w:rPr>
              <w:t>(Level 3)</w:t>
            </w: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Cash equivalents </w:t>
            </w:r>
            <w:r>
              <w:rPr>
                <w:rFonts w:ascii="Arial" w:cs="Arial" w:eastAsia="Arial" w:hAnsi="Arial"/>
                <w:sz w:val="16"/>
                <w:szCs w:val="16"/>
                <w:color w:val="auto"/>
                <w:vertAlign w:val="superscript"/>
              </w:rPr>
              <w:t>(1)</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961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961</w:t>
            </w:r>
          </w:p>
        </w:tc>
        <w:tc>
          <w:tcPr>
            <w:tcW w:w="80" w:type="dxa"/>
            <w:vAlign w:val="bottom"/>
          </w:tcPr>
          <w:p>
            <w:pPr>
              <w:spacing w:after="0"/>
              <w:rPr>
                <w:sz w:val="14"/>
                <w:szCs w:val="14"/>
                <w:color w:val="auto"/>
              </w:rPr>
            </w:pP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Investments in equity instruments </w:t>
            </w:r>
            <w:r>
              <w:rPr>
                <w:rFonts w:ascii="Arial" w:cs="Arial" w:eastAsia="Arial" w:hAnsi="Arial"/>
                <w:sz w:val="16"/>
                <w:szCs w:val="16"/>
                <w:color w:val="auto"/>
                <w:vertAlign w:val="superscript"/>
              </w:rPr>
              <w:t>(2)</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Investments in marketable securities</w:t>
            </w:r>
            <w:r>
              <w:rPr>
                <w:rFonts w:ascii="Arial" w:cs="Arial" w:eastAsia="Arial" w:hAnsi="Arial"/>
                <w:sz w:val="16"/>
                <w:szCs w:val="16"/>
                <w:color w:val="auto"/>
                <w:vertAlign w:val="superscript"/>
              </w:rPr>
              <w:t>(3)</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994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994</w:t>
            </w:r>
          </w:p>
        </w:tc>
        <w:tc>
          <w:tcPr>
            <w:tcW w:w="80" w:type="dxa"/>
            <w:vAlign w:val="bottom"/>
          </w:tcPr>
          <w:p>
            <w:pPr>
              <w:spacing w:after="0"/>
              <w:rPr>
                <w:sz w:val="14"/>
                <w:szCs w:val="14"/>
                <w:color w:val="auto"/>
              </w:rPr>
            </w:pPr>
          </w:p>
        </w:tc>
        <w:tc>
          <w:tcPr>
            <w:tcW w:w="240" w:type="dxa"/>
            <w:vAlign w:val="bottom"/>
          </w:tcPr>
          <w:p>
            <w:pPr>
              <w:jc w:val="center"/>
              <w:ind w:right="56"/>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Derivatives</w:t>
            </w:r>
            <w:r>
              <w:rPr>
                <w:rFonts w:ascii="Arial" w:cs="Arial" w:eastAsia="Arial" w:hAnsi="Arial"/>
                <w:sz w:val="16"/>
                <w:szCs w:val="16"/>
                <w:color w:val="auto"/>
                <w:vertAlign w:val="superscript"/>
              </w:rPr>
              <w:t>(4)</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8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20"/>
              <w:spacing w:after="0" w:line="170" w:lineRule="exact"/>
              <w:rPr>
                <w:sz w:val="20"/>
                <w:szCs w:val="20"/>
                <w:color w:val="auto"/>
              </w:rPr>
            </w:pPr>
            <w:r>
              <w:rPr>
                <w:rFonts w:ascii="Arial" w:cs="Arial" w:eastAsia="Arial" w:hAnsi="Arial"/>
                <w:sz w:val="13"/>
                <w:szCs w:val="13"/>
                <w:color w:val="auto"/>
              </w:rPr>
              <w:t>Derivatives</w:t>
            </w:r>
            <w:r>
              <w:rPr>
                <w:rFonts w:ascii="Arial" w:cs="Arial" w:eastAsia="Arial" w:hAnsi="Arial"/>
                <w:sz w:val="16"/>
                <w:szCs w:val="16"/>
                <w:color w:val="auto"/>
                <w:vertAlign w:val="superscript"/>
              </w:rPr>
              <w:t>(4)</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00" w:hanging="240"/>
        <w:spacing w:after="0"/>
        <w:tabs>
          <w:tab w:leader="none" w:pos="500" w:val="left"/>
        </w:tabs>
        <w:numPr>
          <w:ilvl w:val="0"/>
          <w:numId w:val="108"/>
        </w:numPr>
        <w:rPr>
          <w:rFonts w:ascii="Arial" w:cs="Arial" w:eastAsia="Arial" w:hAnsi="Arial"/>
          <w:sz w:val="15"/>
          <w:szCs w:val="15"/>
          <w:color w:val="auto"/>
          <w:vertAlign w:val="superscript"/>
        </w:rPr>
      </w:pPr>
      <w:r>
        <w:rPr>
          <w:rFonts w:ascii="Arial" w:cs="Arial" w:eastAsia="Arial" w:hAnsi="Arial"/>
          <w:sz w:val="11"/>
          <w:szCs w:val="11"/>
          <w:color w:val="auto"/>
        </w:rPr>
        <w:t>Included in cash and cash equivalents on the Company’s consolidated statements of financial position.</w:t>
      </w:r>
    </w:p>
    <w:p>
      <w:pPr>
        <w:spacing w:after="0" w:line="75" w:lineRule="exact"/>
        <w:rPr>
          <w:rFonts w:ascii="Arial" w:cs="Arial" w:eastAsia="Arial" w:hAnsi="Arial"/>
          <w:sz w:val="15"/>
          <w:szCs w:val="15"/>
          <w:color w:val="auto"/>
          <w:vertAlign w:val="superscript"/>
        </w:rPr>
      </w:pPr>
    </w:p>
    <w:p>
      <w:pPr>
        <w:ind w:left="500" w:hanging="240"/>
        <w:spacing w:after="0"/>
        <w:tabs>
          <w:tab w:leader="none" w:pos="500" w:val="left"/>
        </w:tabs>
        <w:numPr>
          <w:ilvl w:val="0"/>
          <w:numId w:val="108"/>
        </w:numPr>
        <w:rPr>
          <w:rFonts w:ascii="Arial" w:cs="Arial" w:eastAsia="Arial" w:hAnsi="Arial"/>
          <w:sz w:val="7"/>
          <w:szCs w:val="7"/>
          <w:color w:val="auto"/>
        </w:rPr>
      </w:pPr>
      <w:r>
        <w:rPr>
          <w:rFonts w:ascii="Arial" w:cs="Arial" w:eastAsia="Arial" w:hAnsi="Arial"/>
          <w:sz w:val="11"/>
          <w:szCs w:val="11"/>
          <w:color w:val="auto"/>
        </w:rPr>
        <w:t>Included in current and non-current receivables, prepayments and other assets on the Company’s consolidated statements of financial position.</w:t>
      </w:r>
    </w:p>
    <w:p>
      <w:pPr>
        <w:spacing w:after="0" w:line="96" w:lineRule="exact"/>
        <w:rPr>
          <w:rFonts w:ascii="Arial" w:cs="Arial" w:eastAsia="Arial" w:hAnsi="Arial"/>
          <w:sz w:val="7"/>
          <w:szCs w:val="7"/>
          <w:color w:val="auto"/>
        </w:rPr>
      </w:pPr>
    </w:p>
    <w:p>
      <w:pPr>
        <w:ind w:left="500" w:hanging="240"/>
        <w:spacing w:after="0"/>
        <w:tabs>
          <w:tab w:leader="none" w:pos="500" w:val="left"/>
        </w:tabs>
        <w:numPr>
          <w:ilvl w:val="0"/>
          <w:numId w:val="108"/>
        </w:numPr>
        <w:rPr>
          <w:rFonts w:ascii="Arial" w:cs="Arial" w:eastAsia="Arial" w:hAnsi="Arial"/>
          <w:sz w:val="7"/>
          <w:szCs w:val="7"/>
          <w:color w:val="auto"/>
        </w:rPr>
      </w:pPr>
      <w:r>
        <w:rPr>
          <w:rFonts w:ascii="Arial" w:cs="Arial" w:eastAsia="Arial" w:hAnsi="Arial"/>
          <w:sz w:val="11"/>
          <w:szCs w:val="11"/>
          <w:color w:val="auto"/>
        </w:rPr>
        <w:t>Included in current and non-current marketable securities on the Company’s consolidated statements of financial position.</w:t>
      </w:r>
    </w:p>
    <w:p>
      <w:pPr>
        <w:spacing w:after="0" w:line="96" w:lineRule="exact"/>
        <w:rPr>
          <w:rFonts w:ascii="Arial" w:cs="Arial" w:eastAsia="Arial" w:hAnsi="Arial"/>
          <w:sz w:val="7"/>
          <w:szCs w:val="7"/>
          <w:color w:val="auto"/>
        </w:rPr>
      </w:pPr>
    </w:p>
    <w:p>
      <w:pPr>
        <w:ind w:left="520" w:right="60" w:hanging="260"/>
        <w:spacing w:after="0" w:line="220" w:lineRule="auto"/>
        <w:tabs>
          <w:tab w:leader="none" w:pos="514" w:val="left"/>
        </w:tabs>
        <w:numPr>
          <w:ilvl w:val="0"/>
          <w:numId w:val="108"/>
        </w:numPr>
        <w:rPr>
          <w:rFonts w:ascii="Arial" w:cs="Arial" w:eastAsia="Arial" w:hAnsi="Arial"/>
          <w:sz w:val="15"/>
          <w:szCs w:val="15"/>
          <w:color w:val="auto"/>
          <w:vertAlign w:val="superscript"/>
        </w:rPr>
      </w:pPr>
      <w:r>
        <w:rPr>
          <w:rFonts w:ascii="Arial" w:cs="Arial" w:eastAsia="Arial" w:hAnsi="Arial"/>
          <w:sz w:val="11"/>
          <w:szCs w:val="11"/>
          <w:color w:val="auto"/>
        </w:rPr>
        <w:t>Consists of foreign currency forward contracts, interest rate swaps, cross currency swaps and commodity hedge. Included in other current and non-current financial assets on the Company’s consolidated statements of financial position.</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Instruments Not Recorded at Fair Value on a Recurring Basis</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Financial instruments not recorded at fair value on a recurring basis include non-marketable equity securities (that have not been re-measured or impaired in the current period), grants receivable, loans receivable, lease obligations and the Company’s short-term and long-term debt.</w:t>
      </w:r>
    </w:p>
    <w:p>
      <w:pPr>
        <w:spacing w:after="0" w:line="8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carrying and fair values of the Company’s financial instruments not recorded at fair value on a recurring basis are presented in the following table, classified according to the categories of loans and receivables (“LaR”) and financial liabilities at amortized cost (“FLAC”):</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20"/>
        </w:trPr>
        <w:tc>
          <w:tcPr>
            <w:tcW w:w="3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Financial Liability</w:t>
            </w:r>
          </w:p>
        </w:tc>
        <w:tc>
          <w:tcPr>
            <w:tcW w:w="80" w:type="dxa"/>
            <w:vAlign w:val="bottom"/>
            <w:vMerge w:val="restart"/>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Category</w:t>
            </w:r>
          </w:p>
        </w:tc>
        <w:tc>
          <w:tcPr>
            <w:tcW w:w="80" w:type="dxa"/>
            <w:vAlign w:val="bottom"/>
            <w:vMerge w:val="restart"/>
          </w:tcPr>
          <w:p>
            <w:pPr>
              <w:spacing w:after="0"/>
              <w:rPr>
                <w:sz w:val="10"/>
                <w:szCs w:val="10"/>
                <w:color w:val="auto"/>
              </w:rPr>
            </w:pPr>
          </w:p>
        </w:tc>
        <w:tc>
          <w:tcPr>
            <w:tcW w:w="280" w:type="dxa"/>
            <w:vAlign w:val="bottom"/>
            <w:vMerge w:val="restart"/>
          </w:tcPr>
          <w:p>
            <w:pPr>
              <w:spacing w:after="0"/>
              <w:rPr>
                <w:sz w:val="10"/>
                <w:szCs w:val="10"/>
                <w:color w:val="auto"/>
              </w:rPr>
            </w:pPr>
          </w:p>
        </w:tc>
        <w:tc>
          <w:tcPr>
            <w:tcW w:w="1280" w:type="dxa"/>
            <w:vAlign w:val="bottom"/>
            <w:gridSpan w:val="2"/>
          </w:tcPr>
          <w:p>
            <w:pPr>
              <w:ind w:left="200"/>
              <w:spacing w:after="0" w:line="120" w:lineRule="exact"/>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0"/>
                <w:szCs w:val="10"/>
                <w:color w:val="auto"/>
              </w:rPr>
            </w:pPr>
          </w:p>
        </w:tc>
        <w:tc>
          <w:tcPr>
            <w:tcW w:w="122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Fair Value</w:t>
            </w:r>
          </w:p>
        </w:tc>
        <w:tc>
          <w:tcPr>
            <w:tcW w:w="8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ind w:left="180"/>
              <w:spacing w:after="0" w:line="120" w:lineRule="exact"/>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0"/>
                <w:szCs w:val="10"/>
                <w:color w:val="auto"/>
              </w:rPr>
            </w:pPr>
          </w:p>
        </w:tc>
        <w:tc>
          <w:tcPr>
            <w:tcW w:w="122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9"/>
        </w:trPr>
        <w:tc>
          <w:tcPr>
            <w:tcW w:w="3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long-term debt</w:t>
            </w:r>
          </w:p>
        </w:tc>
        <w:tc>
          <w:tcPr>
            <w:tcW w:w="1840" w:type="dxa"/>
            <w:vAlign w:val="bottom"/>
            <w:gridSpan w:val="3"/>
            <w:shd w:val="clear" w:color="auto" w:fill="CCEEFF"/>
          </w:tcPr>
          <w:p>
            <w:pPr>
              <w:jc w:val="center"/>
              <w:ind w:right="296"/>
              <w:spacing w:after="0"/>
              <w:rPr>
                <w:sz w:val="20"/>
                <w:szCs w:val="20"/>
                <w:color w:val="auto"/>
              </w:rPr>
            </w:pPr>
            <w:r>
              <w:rPr>
                <w:rFonts w:ascii="Arial" w:cs="Arial" w:eastAsia="Arial" w:hAnsi="Arial"/>
                <w:sz w:val="13"/>
                <w:szCs w:val="13"/>
                <w:color w:val="auto"/>
                <w:w w:val="96"/>
              </w:rPr>
              <w:t>FLAC</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0" w:type="dxa"/>
            <w:vAlign w:val="bottom"/>
          </w:tcPr>
          <w:p>
            <w:pPr>
              <w:spacing w:after="0"/>
              <w:rPr>
                <w:sz w:val="1"/>
                <w:szCs w:val="1"/>
                <w:color w:val="auto"/>
              </w:rPr>
            </w:pPr>
          </w:p>
        </w:tc>
      </w:tr>
      <w:tr>
        <w:trPr>
          <w:trHeight w:val="160"/>
        </w:trPr>
        <w:tc>
          <w:tcPr>
            <w:tcW w:w="354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2,511</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2,414</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2,006</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Estimated fair values of loans and borrowings is based on quoted prices for similar liabilities for which significant inputs are observable and represents a Level 2 valuation. The fair values are estimated based on the type of loan and maturity. The Company estimates the fair value using market interest rates for the Company’s debts with similar maturities.</w:t>
      </w:r>
    </w:p>
    <w:p>
      <w:pPr>
        <w:spacing w:after="0" w:line="242" w:lineRule="exact"/>
        <w:rPr>
          <w:sz w:val="20"/>
          <w:szCs w:val="20"/>
          <w:color w:val="auto"/>
        </w:rPr>
      </w:pPr>
    </w:p>
    <w:p>
      <w:pPr>
        <w:ind w:left="260" w:hanging="255"/>
        <w:spacing w:after="0"/>
        <w:tabs>
          <w:tab w:leader="none" w:pos="260"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color w:val="auto"/>
        </w:rPr>
        <w:t>Operating Segments Information</w:t>
      </w:r>
    </w:p>
    <w:p>
      <w:pPr>
        <w:spacing w:after="0" w:line="99" w:lineRule="exact"/>
        <w:rPr>
          <w:rFonts w:ascii="Arial" w:cs="Arial" w:eastAsia="Arial" w:hAnsi="Arial"/>
          <w:sz w:val="13"/>
          <w:szCs w:val="13"/>
          <w:b w:val="1"/>
          <w:bCs w:val="1"/>
          <w:color w:val="auto"/>
        </w:rPr>
      </w:pPr>
    </w:p>
    <w:p>
      <w:pPr>
        <w:ind w:left="520" w:hanging="260"/>
        <w:spacing w:after="0"/>
        <w:tabs>
          <w:tab w:leader="none" w:pos="52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Operating segments, segment revenue, operating results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Company’s chief operating decision-maker is the Company’s Chief Executive Officer who makes resource allocation decisions and assesses performance based on financial information presented on a consolidated basis. There are no segment managers who are held accountable by the chief operating decision-maker, or anyone else, for operations, operating results, and planning for levels or components below the consolidated unit level. Accordingly, the Company has determined that the Company has a single reportable segment and operating segment structure.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3"/>
          <w:szCs w:val="13"/>
          <w:color w:val="auto"/>
        </w:rPr>
        <w:t>GLOBALFOUNDRIES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38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(b)  Revenue based on customers headquarters, non current assets by geography and major customers’ representing at least 10% of revenue based on customer’s headquarters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3"/>
                <w:szCs w:val="13"/>
                <w:b w:val="1"/>
                <w:bCs w:val="1"/>
                <w:color w:val="auto"/>
              </w:rPr>
              <w:t>For the year ended December 31,</w:t>
            </w:r>
          </w:p>
        </w:tc>
        <w:tc>
          <w:tcPr>
            <w:tcW w:w="1100" w:type="dxa"/>
            <w:vAlign w:val="bottom"/>
            <w:tcBorders>
              <w:bottom w:val="single" w:sz="8" w:color="auto"/>
            </w:tcBorders>
          </w:tcPr>
          <w:p>
            <w:pPr>
              <w:spacing w:after="0"/>
              <w:rPr>
                <w:sz w:val="14"/>
                <w:szCs w:val="14"/>
                <w:color w:val="auto"/>
              </w:rPr>
            </w:pPr>
          </w:p>
        </w:tc>
      </w:tr>
      <w:tr>
        <w:trPr>
          <w:trHeight w:val="165"/>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 by Geography</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5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United States</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4,898</w:t>
            </w:r>
          </w:p>
        </w:tc>
        <w:tc>
          <w:tcPr>
            <w:tcW w:w="8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3,975</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3,368</w:t>
            </w:r>
          </w:p>
        </w:tc>
      </w:tr>
      <w:tr>
        <w:trPr>
          <w:trHeight w:val="17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Europe, the Middle East, and Africa</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r>
      <w:tr>
        <w:trPr>
          <w:trHeight w:val="168"/>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1,032</w:t>
            </w:r>
          </w:p>
        </w:tc>
      </w:tr>
      <w:tr>
        <w:trPr>
          <w:trHeight w:val="162"/>
        </w:trPr>
        <w:tc>
          <w:tcPr>
            <w:tcW w:w="6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8,108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6,585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4,851</w:t>
            </w:r>
          </w:p>
        </w:tc>
      </w:tr>
      <w:tr>
        <w:trPr>
          <w:trHeight w:val="424"/>
        </w:trPr>
        <w:tc>
          <w:tcPr>
            <w:tcW w:w="6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Non-current Assets by Geography</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r>
      <w:tr>
        <w:trPr>
          <w:trHeight w:val="15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United States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5,149</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5,433</w:t>
            </w:r>
          </w:p>
        </w:tc>
      </w:tr>
      <w:tr>
        <w:trPr>
          <w:trHeight w:val="17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Germany</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r>
      <w:tr>
        <w:trPr>
          <w:trHeight w:val="168"/>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Singapore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1,547</w:t>
            </w:r>
          </w:p>
        </w:tc>
      </w:tr>
      <w:tr>
        <w:trPr>
          <w:trHeight w:val="17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w:t>
            </w:r>
          </w:p>
        </w:tc>
      </w:tr>
      <w:tr>
        <w:trPr>
          <w:trHeight w:val="160"/>
        </w:trPr>
        <w:tc>
          <w:tcPr>
            <w:tcW w:w="66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11,651</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9,381</w:t>
            </w:r>
          </w:p>
        </w:tc>
      </w:tr>
    </w:tbl>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Non-current assets include property, plant, equipment, right-of-use assets, intangible assets, investments in joint venture and associates, restricted cash (non-current) and receivables, prepayments and other assets (non-current).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For the year ended December 31,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 by Major Customer</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1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1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2020</w:t>
            </w:r>
          </w:p>
        </w:tc>
        <w:tc>
          <w:tcPr>
            <w:tcW w:w="1260" w:type="dxa"/>
            <w:vAlign w:val="bottom"/>
            <w:tcBorders>
              <w:bottom w:val="single" w:sz="8" w:color="CCEEFF"/>
            </w:tcBorders>
          </w:tcPr>
          <w:p>
            <w:pPr>
              <w:spacing w:after="0"/>
              <w:rPr>
                <w:sz w:val="14"/>
                <w:szCs w:val="14"/>
                <w:color w:val="auto"/>
              </w:rPr>
            </w:pPr>
          </w:p>
        </w:tc>
      </w:tr>
      <w:tr>
        <w:trPr>
          <w:trHeight w:val="16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Amount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Amount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Amount</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6"/>
              </w:rPr>
              <w:t>%</w:t>
            </w:r>
          </w:p>
        </w:tc>
      </w:tr>
      <w:tr>
        <w:trPr>
          <w:trHeight w:val="158"/>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Customer A</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746</w:t>
            </w:r>
          </w:p>
        </w:tc>
        <w:tc>
          <w:tcPr>
            <w:tcW w:w="1240" w:type="dxa"/>
            <w:vAlign w:val="bottom"/>
          </w:tcPr>
          <w:p>
            <w:pPr>
              <w:jc w:val="center"/>
              <w:spacing w:after="0"/>
              <w:rPr>
                <w:sz w:val="20"/>
                <w:szCs w:val="20"/>
                <w:color w:val="auto"/>
              </w:rPr>
            </w:pPr>
            <w:r>
              <w:rPr>
                <w:rFonts w:ascii="Arial" w:cs="Arial" w:eastAsia="Arial" w:hAnsi="Arial"/>
                <w:sz w:val="13"/>
                <w:szCs w:val="13"/>
                <w:color w:val="auto"/>
              </w:rPr>
              <w:t>9</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811</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12</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1,001</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21</w:t>
            </w:r>
          </w:p>
        </w:tc>
      </w:tr>
      <w:tr>
        <w:trPr>
          <w:trHeight w:val="17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Customer B</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16</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15</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11</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Customer And Supplier Concentration</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Significant customers and suppliers are those that account for greater than 10% of the Company’s revenue and purchases in any of the years presented.</w:t>
      </w:r>
    </w:p>
    <w:p>
      <w:pPr>
        <w:spacing w:after="0" w:line="8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Company earned a substantial portion of revenue from two customers in 2022 , 2021 and 2020: Customer A amounted to 9%, 12% and 21% of total revenue, respectively, and Customer B amounted to 16%, 15%, and 11% of total revenue, respectively. As of December 31, 2022 and 2021, the amounts due from Customer A included in accounts receivable were $71 million and $179 million, respectively, and the amounts due from Customer B included in accounts receivable were $163 million and $160 million, respectively. The loss of the significant customers or the failure to attract new customers could have a material adverse effect on our business, results of operations and financial condition for the Company.</w:t>
      </w:r>
    </w:p>
    <w:p>
      <w:pPr>
        <w:spacing w:after="0" w:line="7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purchased 54%, 46% and 52%, of its SOI wafers, a key input into its products, from a single supplier in 2022, 2021 and 2020, respectively. As of December 31, 2022 and 2021, the net amount due to the supplier was $56 million and $63 million, respectively. Any failure in the supplier’s ability to provide SOI wafers could materially and adversely affect the Company’s results of operations, financial condition, business and prospects.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20"/>
                <w:szCs w:val="20"/>
                <w:color w:val="auto"/>
              </w:rPr>
            </w:pPr>
            <w:r>
              <w:rPr>
                <w:rFonts w:ascii="Arial" w:cs="Arial" w:eastAsia="Arial" w:hAnsi="Arial"/>
                <w:sz w:val="14"/>
                <w:szCs w:val="14"/>
                <w:b w:val="1"/>
                <w:bCs w:val="1"/>
                <w:color w:val="auto"/>
              </w:rPr>
              <w:t>ITEM 19.</w:t>
            </w:r>
          </w:p>
        </w:tc>
        <w:tc>
          <w:tcPr>
            <w:tcW w:w="10620" w:type="dxa"/>
            <w:vAlign w:val="bottom"/>
            <w:gridSpan w:val="32"/>
          </w:tcPr>
          <w:p>
            <w:pPr>
              <w:ind w:left="80"/>
              <w:spacing w:after="0"/>
              <w:rPr>
                <w:sz w:val="20"/>
                <w:szCs w:val="20"/>
                <w:color w:val="auto"/>
              </w:rPr>
            </w:pPr>
            <w:r>
              <w:rPr>
                <w:rFonts w:ascii="Arial" w:cs="Arial" w:eastAsia="Arial" w:hAnsi="Arial"/>
                <w:sz w:val="14"/>
                <w:szCs w:val="14"/>
                <w:b w:val="1"/>
                <w:bCs w:val="1"/>
                <w:color w:val="auto"/>
              </w:rPr>
              <w:t>EXHIBITS</w:t>
            </w:r>
          </w:p>
        </w:tc>
      </w:tr>
      <w:tr>
        <w:trPr>
          <w:trHeight w:val="229"/>
        </w:trPr>
        <w:tc>
          <w:tcPr>
            <w:tcW w:w="11280" w:type="dxa"/>
            <w:vAlign w:val="bottom"/>
            <w:gridSpan w:val="33"/>
          </w:tcPr>
          <w:p>
            <w:pPr>
              <w:ind w:left="260"/>
              <w:spacing w:after="0"/>
              <w:rPr>
                <w:sz w:val="20"/>
                <w:szCs w:val="20"/>
                <w:color w:val="auto"/>
              </w:rPr>
            </w:pPr>
            <w:r>
              <w:rPr>
                <w:rFonts w:ascii="Arial" w:cs="Arial" w:eastAsia="Arial" w:hAnsi="Arial"/>
                <w:sz w:val="13"/>
                <w:szCs w:val="13"/>
                <w:color w:val="auto"/>
              </w:rPr>
              <w:t>Documents filed as exhibits to this Form 20-F:</w:t>
            </w:r>
          </w:p>
        </w:tc>
      </w:tr>
      <w:tr>
        <w:trPr>
          <w:trHeight w:val="248"/>
        </w:trPr>
        <w:tc>
          <w:tcPr>
            <w:tcW w:w="660" w:type="dxa"/>
            <w:vAlign w:val="bottom"/>
          </w:tcPr>
          <w:p>
            <w:pPr>
              <w:ind w:left="20"/>
              <w:spacing w:after="0"/>
              <w:rPr>
                <w:sz w:val="20"/>
                <w:szCs w:val="20"/>
                <w:color w:val="auto"/>
              </w:rPr>
            </w:pPr>
            <w:r>
              <w:rPr>
                <w:rFonts w:ascii="Arial" w:cs="Arial" w:eastAsia="Arial" w:hAnsi="Arial"/>
                <w:sz w:val="13"/>
                <w:szCs w:val="13"/>
                <w:color w:val="auto"/>
              </w:rPr>
              <w:t>1.1</w:t>
            </w:r>
          </w:p>
        </w:tc>
        <w:tc>
          <w:tcPr>
            <w:tcW w:w="660" w:type="dxa"/>
            <w:vAlign w:val="bottom"/>
          </w:tcPr>
          <w:p>
            <w:pPr>
              <w:spacing w:after="0"/>
              <w:rPr>
                <w:sz w:val="21"/>
                <w:szCs w:val="21"/>
                <w:color w:val="auto"/>
              </w:rPr>
            </w:pPr>
          </w:p>
        </w:tc>
        <w:tc>
          <w:tcPr>
            <w:tcW w:w="9960" w:type="dxa"/>
            <w:vAlign w:val="bottom"/>
            <w:gridSpan w:val="31"/>
          </w:tcPr>
          <w:p>
            <w:pPr>
              <w:spacing w:after="0"/>
              <w:rPr>
                <w:rFonts w:ascii="Arial" w:cs="Arial" w:eastAsia="Arial" w:hAnsi="Arial"/>
                <w:sz w:val="13"/>
                <w:szCs w:val="13"/>
                <w:color w:val="0000FF"/>
              </w:rPr>
            </w:pPr>
            <w:hyperlink r:id="rId169">
              <w:r>
                <w:rPr>
                  <w:rFonts w:ascii="Arial" w:cs="Arial" w:eastAsia="Arial" w:hAnsi="Arial"/>
                  <w:sz w:val="13"/>
                  <w:szCs w:val="13"/>
                  <w:color w:val="0000FF"/>
                </w:rPr>
                <w:t>Second Amended and Restated Memorandum and Articles of Association of the Registrant (incorporated by reference to Exhibit 4.1 of the Registrant’s Registration</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940" w:type="dxa"/>
            <w:vAlign w:val="bottom"/>
            <w:tcBorders>
              <w:top w:val="single" w:sz="8" w:color="0000FF"/>
              <w:bottom w:val="single" w:sz="8" w:color="0000FF"/>
            </w:tcBorders>
            <w:gridSpan w:val="8"/>
          </w:tcPr>
          <w:p>
            <w:pPr>
              <w:spacing w:after="0" w:line="107" w:lineRule="exact"/>
              <w:rPr>
                <w:rFonts w:ascii="Arial" w:cs="Arial" w:eastAsia="Arial" w:hAnsi="Arial"/>
                <w:sz w:val="12"/>
                <w:szCs w:val="12"/>
                <w:color w:val="0000FF"/>
              </w:rPr>
            </w:pPr>
            <w:hyperlink r:id="rId169">
              <w:r>
                <w:rPr>
                  <w:rFonts w:ascii="Arial" w:cs="Arial" w:eastAsia="Arial" w:hAnsi="Arial"/>
                  <w:sz w:val="12"/>
                  <w:szCs w:val="12"/>
                  <w:color w:val="0000FF"/>
                </w:rPr>
                <w:t>Statement on Form S-8 (File No. 333-260674) filed with the SEC on November 2, 2021)</w:t>
              </w:r>
            </w:hyperlink>
          </w:p>
        </w:tc>
        <w:tc>
          <w:tcPr>
            <w:tcW w:w="426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351"/>
        </w:trPr>
        <w:tc>
          <w:tcPr>
            <w:tcW w:w="660" w:type="dxa"/>
            <w:vAlign w:val="bottom"/>
          </w:tcPr>
          <w:p>
            <w:pPr>
              <w:ind w:left="20"/>
              <w:spacing w:after="0"/>
              <w:rPr>
                <w:sz w:val="20"/>
                <w:szCs w:val="20"/>
                <w:color w:val="auto"/>
              </w:rPr>
            </w:pPr>
            <w:r>
              <w:rPr>
                <w:rFonts w:ascii="Arial" w:cs="Arial" w:eastAsia="Arial" w:hAnsi="Arial"/>
                <w:sz w:val="13"/>
                <w:szCs w:val="13"/>
                <w:color w:val="auto"/>
              </w:rPr>
              <w:t>2.1</w:t>
            </w:r>
          </w:p>
        </w:tc>
        <w:tc>
          <w:tcPr>
            <w:tcW w:w="66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4"/>
                <w:szCs w:val="14"/>
                <w:color w:val="0000FF"/>
              </w:rPr>
            </w:pPr>
            <w:hyperlink r:id="rId170">
              <w:r>
                <w:rPr>
                  <w:rFonts w:ascii="Arial" w:cs="Arial" w:eastAsia="Arial" w:hAnsi="Arial"/>
                  <w:sz w:val="14"/>
                  <w:szCs w:val="14"/>
                  <w:color w:val="0000FF"/>
                </w:rPr>
                <w:t xml:space="preserve">Shareholder’s Agreement among the Registrant and other parties thereto </w:t>
              </w:r>
              <w:r>
                <w:rPr>
                  <w:rFonts w:ascii="Arial" w:cs="Arial" w:eastAsia="Arial" w:hAnsi="Arial"/>
                  <w:sz w:val="12"/>
                  <w:szCs w:val="12"/>
                  <w:color w:val="0000FF"/>
                </w:rPr>
                <w:t>(incorporated by reference to Exhibit 2.1 of the Annual Report on Form 20-F (File No.001-</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60" w:type="dxa"/>
            <w:vAlign w:val="bottom"/>
            <w:tcBorders>
              <w:top w:val="single" w:sz="8" w:color="0000FF"/>
            </w:tcBorders>
            <w:gridSpan w:val="28"/>
          </w:tcPr>
          <w:p>
            <w:pPr>
              <w:spacing w:after="0" w:line="107" w:lineRule="exact"/>
              <w:rPr>
                <w:rFonts w:ascii="Arial" w:cs="Arial" w:eastAsia="Arial" w:hAnsi="Arial"/>
                <w:sz w:val="12"/>
                <w:szCs w:val="12"/>
                <w:color w:val="0000FF"/>
              </w:rPr>
            </w:pPr>
            <w:hyperlink r:id="rId170">
              <w:r>
                <w:rPr>
                  <w:rFonts w:ascii="Arial" w:cs="Arial" w:eastAsia="Arial" w:hAnsi="Arial"/>
                  <w:sz w:val="12"/>
                  <w:szCs w:val="12"/>
                  <w:color w:val="0000FF"/>
                </w:rPr>
                <w:t>40974) filed with the SEC on March 31, 2022)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2.2</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1">
              <w:r>
                <w:rPr>
                  <w:rFonts w:ascii="Arial" w:cs="Arial" w:eastAsia="Arial" w:hAnsi="Arial"/>
                  <w:sz w:val="13"/>
                  <w:szCs w:val="13"/>
                  <w:color w:val="0000FF"/>
                </w:rPr>
                <w:t>Registration Rights Agreement among the Registrant and other parties thereto (incorporated by reference to Exhibit 2.2 of the Annual Report on Form 20-F (File No.001-</w:t>
              </w:r>
            </w:hyperlink>
          </w:p>
        </w:tc>
      </w:tr>
      <w:tr>
        <w:trPr>
          <w:trHeight w:val="118"/>
        </w:trPr>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580" w:type="dxa"/>
            <w:vAlign w:val="bottom"/>
            <w:tcBorders>
              <w:top w:val="single" w:sz="8" w:color="0000FF"/>
              <w:bottom w:val="single" w:sz="8" w:color="0000FF"/>
            </w:tcBorders>
            <w:gridSpan w:val="4"/>
          </w:tcPr>
          <w:p>
            <w:pPr>
              <w:spacing w:after="0" w:line="118" w:lineRule="exact"/>
              <w:rPr>
                <w:rFonts w:ascii="Arial" w:cs="Arial" w:eastAsia="Arial" w:hAnsi="Arial"/>
                <w:sz w:val="12"/>
                <w:szCs w:val="12"/>
                <w:color w:val="0000FF"/>
              </w:rPr>
            </w:pPr>
            <w:hyperlink r:id="rId171">
              <w:r>
                <w:rPr>
                  <w:rFonts w:ascii="Arial" w:cs="Arial" w:eastAsia="Arial" w:hAnsi="Arial"/>
                  <w:sz w:val="12"/>
                  <w:szCs w:val="12"/>
                  <w:color w:val="0000FF"/>
                </w:rPr>
                <w:t>40974) filed with the SEC on March 31, 2022</w:t>
              </w:r>
              <w:r>
                <w:rPr>
                  <w:rFonts w:ascii="Arial" w:cs="Arial" w:eastAsia="Arial" w:hAnsi="Arial"/>
                  <w:sz w:val="13"/>
                  <w:szCs w:val="13"/>
                  <w:color w:val="0000FF"/>
                </w:rPr>
                <w:t>)</w:t>
              </w:r>
            </w:hyperlink>
          </w:p>
        </w:tc>
        <w:tc>
          <w:tcPr>
            <w:tcW w:w="692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2.3</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2">
              <w:r>
                <w:rPr>
                  <w:rFonts w:ascii="Arial" w:cs="Arial" w:eastAsia="Arial" w:hAnsi="Arial"/>
                  <w:sz w:val="13"/>
                  <w:szCs w:val="13"/>
                  <w:color w:val="0000FF"/>
                </w:rPr>
                <w:t>Description of the Registrant’s Securities Registered Pursuant to Section 12 of the Securities Exchange Act of 1934 (incorporated by reference to Exhibit 2.3 of the Annual</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740" w:type="dxa"/>
            <w:vAlign w:val="bottom"/>
            <w:tcBorders>
              <w:top w:val="single" w:sz="8" w:color="0000FF"/>
            </w:tcBorders>
            <w:gridSpan w:val="12"/>
          </w:tcPr>
          <w:p>
            <w:pPr>
              <w:spacing w:after="0" w:line="107" w:lineRule="exact"/>
              <w:rPr>
                <w:rFonts w:ascii="Arial" w:cs="Arial" w:eastAsia="Arial" w:hAnsi="Arial"/>
                <w:sz w:val="12"/>
                <w:szCs w:val="12"/>
                <w:color w:val="0000FF"/>
              </w:rPr>
            </w:pPr>
            <w:hyperlink r:id="rId172">
              <w:r>
                <w:rPr>
                  <w:rFonts w:ascii="Arial" w:cs="Arial" w:eastAsia="Arial" w:hAnsi="Arial"/>
                  <w:sz w:val="12"/>
                  <w:szCs w:val="12"/>
                  <w:color w:val="0000FF"/>
                </w:rPr>
                <w:t>Report on Form 20-F (File No.001-40974) filed with the SEC on March 31, 2022)</w:t>
              </w:r>
            </w:hyperlink>
          </w:p>
        </w:tc>
        <w:tc>
          <w:tcPr>
            <w:tcW w:w="182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gridSpan w:val="2"/>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gridSpan w:val="2"/>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41"/>
        </w:trPr>
        <w:tc>
          <w:tcPr>
            <w:tcW w:w="660" w:type="dxa"/>
            <w:vAlign w:val="bottom"/>
          </w:tcPr>
          <w:p>
            <w:pPr>
              <w:ind w:left="20"/>
              <w:spacing w:after="0"/>
              <w:rPr>
                <w:sz w:val="20"/>
                <w:szCs w:val="20"/>
                <w:color w:val="auto"/>
              </w:rPr>
            </w:pPr>
            <w:r>
              <w:rPr>
                <w:rFonts w:ascii="Arial" w:cs="Arial" w:eastAsia="Arial" w:hAnsi="Arial"/>
                <w:sz w:val="13"/>
                <w:szCs w:val="13"/>
                <w:color w:val="auto"/>
              </w:rPr>
              <w:t>4.1</w:t>
            </w:r>
          </w:p>
        </w:tc>
        <w:tc>
          <w:tcPr>
            <w:tcW w:w="66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3"/>
                <w:szCs w:val="13"/>
                <w:color w:val="0000FF"/>
              </w:rPr>
            </w:pPr>
            <w:hyperlink r:id="rId173">
              <w:r>
                <w:rPr>
                  <w:rFonts w:ascii="Arial" w:cs="Arial" w:eastAsia="Arial" w:hAnsi="Arial"/>
                  <w:sz w:val="13"/>
                  <w:szCs w:val="13"/>
                  <w:color w:val="0000FF"/>
                </w:rPr>
                <w:t>2017 Share Incentive Plan (incorporated by reference to Exhibit 10.7 of the Registrant’s Registration Statement on Form F-1 (File No. 333-260003) filed with the SEC on</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8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73">
              <w:r>
                <w:rPr>
                  <w:rFonts w:ascii="Arial" w:cs="Arial" w:eastAsia="Arial" w:hAnsi="Arial"/>
                  <w:sz w:val="12"/>
                  <w:szCs w:val="12"/>
                  <w:color w:val="0000FF"/>
                </w:rPr>
                <w:t>October 4, 2021)</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4.2</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4">
              <w:r>
                <w:rPr>
                  <w:rFonts w:ascii="Arial" w:cs="Arial" w:eastAsia="Arial" w:hAnsi="Arial"/>
                  <w:sz w:val="13"/>
                  <w:szCs w:val="13"/>
                  <w:color w:val="0000FF"/>
                </w:rPr>
                <w:t>2018 Share Incentive Plan (incorporated by reference to Exhibit 10.8 of the Registrant’s Registration Statement on Form F-1 (File No. 333-260003) filed with the SEC on</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8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74">
              <w:r>
                <w:rPr>
                  <w:rFonts w:ascii="Arial" w:cs="Arial" w:eastAsia="Arial" w:hAnsi="Arial"/>
                  <w:sz w:val="12"/>
                  <w:szCs w:val="12"/>
                  <w:color w:val="0000FF"/>
                </w:rPr>
                <w:t>October 4, 2021)</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4.3</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5">
              <w:r>
                <w:rPr>
                  <w:rFonts w:ascii="Arial" w:cs="Arial" w:eastAsia="Arial" w:hAnsi="Arial"/>
                  <w:sz w:val="13"/>
                  <w:szCs w:val="13"/>
                  <w:color w:val="0000FF"/>
                </w:rPr>
                <w:t>2021 Share Incentive Plan (incorporated by reference to Exhibit 10.1 of the Registrant’s Registration Statement on Form F-1 (File No. 333-260003) filed with the SEC on</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8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75">
              <w:r>
                <w:rPr>
                  <w:rFonts w:ascii="Arial" w:cs="Arial" w:eastAsia="Arial" w:hAnsi="Arial"/>
                  <w:sz w:val="12"/>
                  <w:szCs w:val="12"/>
                  <w:color w:val="0000FF"/>
                </w:rPr>
                <w:t>October 4, 2021)</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4.4</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6">
              <w:r>
                <w:rPr>
                  <w:rFonts w:ascii="Arial" w:cs="Arial" w:eastAsia="Arial" w:hAnsi="Arial"/>
                  <w:sz w:val="13"/>
                  <w:szCs w:val="13"/>
                  <w:color w:val="0000FF"/>
                </w:rPr>
                <w:t>2021 Amendment of the GLOBALFOUNDRIES Inc. 2018 Share Incentive Plan Share Option Agreement (incorporated by reference to Exhibit 10.9 of the Registrant’s</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300" w:type="dxa"/>
            <w:vAlign w:val="bottom"/>
            <w:tcBorders>
              <w:top w:val="single" w:sz="8" w:color="0000FF"/>
            </w:tcBorders>
            <w:gridSpan w:val="18"/>
          </w:tcPr>
          <w:p>
            <w:pPr>
              <w:spacing w:after="0" w:line="107" w:lineRule="exact"/>
              <w:rPr>
                <w:rFonts w:ascii="Arial" w:cs="Arial" w:eastAsia="Arial" w:hAnsi="Arial"/>
                <w:sz w:val="12"/>
                <w:szCs w:val="12"/>
                <w:color w:val="0000FF"/>
              </w:rPr>
            </w:pPr>
            <w:hyperlink r:id="rId176">
              <w:r>
                <w:rPr>
                  <w:rFonts w:ascii="Arial" w:cs="Arial" w:eastAsia="Arial" w:hAnsi="Arial"/>
                  <w:sz w:val="12"/>
                  <w:szCs w:val="12"/>
                  <w:color w:val="0000FF"/>
                </w:rPr>
                <w:t>Registration Statement on Form F-1 (File No. 333-260003) filed with the SEC on October 4, 2021)</w:t>
              </w:r>
            </w:hyperlink>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4.5</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7">
              <w:r>
                <w:rPr>
                  <w:rFonts w:ascii="Arial" w:cs="Arial" w:eastAsia="Arial" w:hAnsi="Arial"/>
                  <w:sz w:val="13"/>
                  <w:szCs w:val="13"/>
                  <w:color w:val="0000FF"/>
                </w:rPr>
                <w:t>2021 Amendment of the GLOBALFOUNDRIES Inc. 2018 Share Incentive Plan (incorporated by reference to Exhibit 10.10 of the Registrant’s Registration Statement on</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0" w:type="dxa"/>
            <w:vAlign w:val="bottom"/>
            <w:tcBorders>
              <w:top w:val="single" w:sz="8" w:color="0000FF"/>
              <w:bottom w:val="single" w:sz="8" w:color="0000FF"/>
            </w:tcBorders>
            <w:gridSpan w:val="5"/>
          </w:tcPr>
          <w:p>
            <w:pPr>
              <w:spacing w:after="0" w:line="107" w:lineRule="exact"/>
              <w:rPr>
                <w:rFonts w:ascii="Arial" w:cs="Arial" w:eastAsia="Arial" w:hAnsi="Arial"/>
                <w:sz w:val="12"/>
                <w:szCs w:val="12"/>
                <w:color w:val="0000FF"/>
              </w:rPr>
            </w:pPr>
            <w:hyperlink r:id="rId177">
              <w:r>
                <w:rPr>
                  <w:rFonts w:ascii="Arial" w:cs="Arial" w:eastAsia="Arial" w:hAnsi="Arial"/>
                  <w:sz w:val="12"/>
                  <w:szCs w:val="12"/>
                  <w:color w:val="0000FF"/>
                </w:rPr>
                <w:t>Form F-1 (File No. 333-260003) filed with the SEC on October 4, 2021)</w:t>
              </w:r>
            </w:hyperlink>
          </w:p>
        </w:tc>
        <w:tc>
          <w:tcPr>
            <w:tcW w:w="5420" w:type="dxa"/>
            <w:vAlign w:val="bottom"/>
            <w:tcBorders>
              <w:top w:val="single" w:sz="8" w:color="0000FF"/>
            </w:tcBorders>
            <w:gridSpan w:val="15"/>
          </w:tcPr>
          <w:p>
            <w:pPr>
              <w:spacing w:after="0"/>
              <w:rPr>
                <w:sz w:val="9"/>
                <w:szCs w:val="9"/>
                <w:color w:val="auto"/>
              </w:rPr>
            </w:pPr>
          </w:p>
        </w:tc>
        <w:tc>
          <w:tcPr>
            <w:tcW w:w="1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4.6</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8">
              <w:r>
                <w:rPr>
                  <w:rFonts w:ascii="Arial" w:cs="Arial" w:eastAsia="Arial" w:hAnsi="Arial"/>
                  <w:sz w:val="13"/>
                  <w:szCs w:val="13"/>
                  <w:color w:val="0000FF"/>
                </w:rPr>
                <w:t>2021 Employee Stock Purchase Plan (incorporated by reference to Exhibit 10.11 of the Registrant’s Registration Statement on Form F-1 (File No. 333-260003) filed with the</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700" w:type="dxa"/>
            <w:vAlign w:val="bottom"/>
            <w:tcBorders>
              <w:top w:val="single" w:sz="8" w:color="0000FF"/>
            </w:tcBorders>
            <w:gridSpan w:val="30"/>
          </w:tcPr>
          <w:p>
            <w:pPr>
              <w:spacing w:after="0" w:line="107" w:lineRule="exact"/>
              <w:rPr>
                <w:rFonts w:ascii="Arial" w:cs="Arial" w:eastAsia="Arial" w:hAnsi="Arial"/>
                <w:sz w:val="12"/>
                <w:szCs w:val="12"/>
                <w:color w:val="0000FF"/>
              </w:rPr>
            </w:pPr>
            <w:hyperlink r:id="rId178">
              <w:r>
                <w:rPr>
                  <w:rFonts w:ascii="Arial" w:cs="Arial" w:eastAsia="Arial" w:hAnsi="Arial"/>
                  <w:sz w:val="12"/>
                  <w:szCs w:val="12"/>
                  <w:color w:val="0000FF"/>
                </w:rPr>
                <w:t>SEC on October 4, 2021)</w:t>
              </w:r>
            </w:hyperlink>
          </w:p>
        </w:tc>
        <w:tc>
          <w:tcPr>
            <w:tcW w:w="26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4.7†</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79">
              <w:r>
                <w:rPr>
                  <w:rFonts w:ascii="Arial" w:cs="Arial" w:eastAsia="Arial" w:hAnsi="Arial"/>
                  <w:sz w:val="13"/>
                  <w:szCs w:val="13"/>
                  <w:color w:val="0000FF"/>
                </w:rPr>
                <w:t>Materials Supply Agreement, dated April 25, 2017, between the Company and Soitec S.A. (incorporated by reference to Exhibit 10.3 of the Registrant’s Registration</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0" w:type="dxa"/>
            <w:vAlign w:val="bottom"/>
            <w:tcBorders>
              <w:top w:val="single" w:sz="8" w:color="0000FF"/>
              <w:bottom w:val="single" w:sz="8" w:color="0000FF"/>
            </w:tcBorders>
            <w:gridSpan w:val="7"/>
          </w:tcPr>
          <w:p>
            <w:pPr>
              <w:spacing w:after="0" w:line="107" w:lineRule="exact"/>
              <w:rPr>
                <w:rFonts w:ascii="Arial" w:cs="Arial" w:eastAsia="Arial" w:hAnsi="Arial"/>
                <w:sz w:val="12"/>
                <w:szCs w:val="12"/>
                <w:color w:val="0000FF"/>
              </w:rPr>
            </w:pPr>
            <w:hyperlink r:id="rId179">
              <w:r>
                <w:rPr>
                  <w:rFonts w:ascii="Arial" w:cs="Arial" w:eastAsia="Arial" w:hAnsi="Arial"/>
                  <w:sz w:val="12"/>
                  <w:szCs w:val="12"/>
                  <w:color w:val="0000FF"/>
                </w:rPr>
                <w:t>Statement on Form F-1 (File No. 333-260003) filed with the SEC on October 4, 2021)</w:t>
              </w:r>
            </w:hyperlink>
          </w:p>
        </w:tc>
        <w:tc>
          <w:tcPr>
            <w:tcW w:w="4420" w:type="dxa"/>
            <w:vAlign w:val="bottom"/>
            <w:tcBorders>
              <w:top w:val="single" w:sz="8" w:color="0000FF"/>
            </w:tcBorders>
            <w:gridSpan w:val="10"/>
          </w:tcPr>
          <w:p>
            <w:pPr>
              <w:spacing w:after="0"/>
              <w:rPr>
                <w:sz w:val="9"/>
                <w:szCs w:val="9"/>
                <w:color w:val="auto"/>
              </w:rPr>
            </w:pPr>
          </w:p>
        </w:tc>
        <w:tc>
          <w:tcPr>
            <w:tcW w:w="100" w:type="dxa"/>
            <w:vAlign w:val="bottom"/>
            <w:gridSpan w:val="2"/>
          </w:tcPr>
          <w:p>
            <w:pPr>
              <w:spacing w:after="0"/>
              <w:rPr>
                <w:sz w:val="9"/>
                <w:szCs w:val="9"/>
                <w:color w:val="auto"/>
              </w:rPr>
            </w:pPr>
          </w:p>
        </w:tc>
        <w:tc>
          <w:tcPr>
            <w:tcW w:w="20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4.8†</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0">
              <w:r>
                <w:rPr>
                  <w:rFonts w:ascii="Arial" w:cs="Arial" w:eastAsia="Arial" w:hAnsi="Arial"/>
                  <w:sz w:val="13"/>
                  <w:szCs w:val="13"/>
                  <w:color w:val="0000FF"/>
                </w:rPr>
                <w:t>Addendum to Materials Supply Agreement, dated November 2, 2020, between the Company and Soitec S.A. (incorporated by reference to Exhibit 10.4 of the Registrant’s</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540" w:type="dxa"/>
            <w:vAlign w:val="bottom"/>
            <w:tcBorders>
              <w:top w:val="single" w:sz="8" w:color="0000FF"/>
            </w:tcBorders>
            <w:gridSpan w:val="24"/>
          </w:tcPr>
          <w:p>
            <w:pPr>
              <w:spacing w:after="0" w:line="107" w:lineRule="exact"/>
              <w:rPr>
                <w:rFonts w:ascii="Arial" w:cs="Arial" w:eastAsia="Arial" w:hAnsi="Arial"/>
                <w:sz w:val="12"/>
                <w:szCs w:val="12"/>
                <w:color w:val="0000FF"/>
              </w:rPr>
            </w:pPr>
            <w:hyperlink r:id="rId180">
              <w:r>
                <w:rPr>
                  <w:rFonts w:ascii="Arial" w:cs="Arial" w:eastAsia="Arial" w:hAnsi="Arial"/>
                  <w:sz w:val="12"/>
                  <w:szCs w:val="12"/>
                  <w:color w:val="0000FF"/>
                </w:rPr>
                <w:t>Registration Statement on Form F-1 (File No. 333-260003) filed with the SEC on October 4, 2021)</w:t>
              </w:r>
            </w:hyperlink>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gridSpan w:val="8"/>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4.9†</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1">
              <w:r>
                <w:rPr>
                  <w:rFonts w:ascii="Arial" w:cs="Arial" w:eastAsia="Arial" w:hAnsi="Arial"/>
                  <w:sz w:val="13"/>
                  <w:szCs w:val="13"/>
                  <w:color w:val="0000FF"/>
                </w:rPr>
                <w:t>Amended and Restated Exhibit 3 to the Long Term Addendum, dated July 1, 2021, between the Company and Soitec S.A. (incorporated by reference to Exhibit 10.5 of the</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20" w:type="dxa"/>
            <w:vAlign w:val="bottom"/>
            <w:tcBorders>
              <w:top w:val="single" w:sz="8" w:color="0000FF"/>
              <w:bottom w:val="single" w:sz="8" w:color="0000FF"/>
            </w:tcBorders>
            <w:gridSpan w:val="10"/>
          </w:tcPr>
          <w:p>
            <w:pPr>
              <w:spacing w:after="0" w:line="107" w:lineRule="exact"/>
              <w:rPr>
                <w:rFonts w:ascii="Arial" w:cs="Arial" w:eastAsia="Arial" w:hAnsi="Arial"/>
                <w:sz w:val="12"/>
                <w:szCs w:val="12"/>
                <w:color w:val="0000FF"/>
              </w:rPr>
            </w:pPr>
            <w:hyperlink r:id="rId181">
              <w:r>
                <w:rPr>
                  <w:rFonts w:ascii="Arial" w:cs="Arial" w:eastAsia="Arial" w:hAnsi="Arial"/>
                  <w:sz w:val="12"/>
                  <w:szCs w:val="12"/>
                  <w:color w:val="0000FF"/>
                </w:rPr>
                <w:t>Registrant’s Registration Statement on Form F-1 (File No. 333-260003) filed with the SEC on October 4, 2021)</w:t>
              </w:r>
            </w:hyperlink>
          </w:p>
        </w:tc>
        <w:tc>
          <w:tcPr>
            <w:tcW w:w="3380" w:type="dxa"/>
            <w:vAlign w:val="bottom"/>
            <w:tcBorders>
              <w:top w:val="single" w:sz="8" w:color="0000FF"/>
            </w:tcBorders>
            <w:gridSpan w:val="16"/>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4.10*</w:t>
            </w:r>
          </w:p>
        </w:tc>
        <w:tc>
          <w:tcPr>
            <w:tcW w:w="660" w:type="dxa"/>
            <w:vAlign w:val="bottom"/>
          </w:tcPr>
          <w:p>
            <w:pPr>
              <w:spacing w:after="0"/>
              <w:rPr>
                <w:sz w:val="13"/>
                <w:szCs w:val="13"/>
                <w:color w:val="auto"/>
              </w:rPr>
            </w:pPr>
          </w:p>
        </w:tc>
        <w:tc>
          <w:tcPr>
            <w:tcW w:w="8560" w:type="dxa"/>
            <w:vAlign w:val="bottom"/>
            <w:tcBorders>
              <w:bottom w:val="single" w:sz="8" w:color="0000FF"/>
            </w:tcBorders>
            <w:gridSpan w:val="13"/>
          </w:tcPr>
          <w:p>
            <w:pPr>
              <w:spacing w:after="0"/>
              <w:rPr>
                <w:sz w:val="20"/>
                <w:szCs w:val="20"/>
                <w:color w:val="auto"/>
              </w:rPr>
            </w:pPr>
            <w:r>
              <w:rPr>
                <w:rFonts w:ascii="Arial" w:cs="Arial" w:eastAsia="Arial" w:hAnsi="Arial"/>
                <w:sz w:val="13"/>
                <w:szCs w:val="13"/>
                <w:color w:val="0000FF"/>
                <w:w w:val="97"/>
              </w:rPr>
              <w:t>Amendment #1 to the Amended and Restated Exhibit 3 to the Long Term Addendum, dated September 11, 2017 between the Company and Soitec S.A.</w:t>
            </w:r>
          </w:p>
        </w:tc>
        <w:tc>
          <w:tcPr>
            <w:tcW w:w="1400" w:type="dxa"/>
            <w:vAlign w:val="bottom"/>
            <w:gridSpan w:val="18"/>
          </w:tcPr>
          <w:p>
            <w:pPr>
              <w:spacing w:after="0"/>
              <w:rPr>
                <w:sz w:val="13"/>
                <w:szCs w:val="13"/>
                <w:color w:val="auto"/>
              </w:rPr>
            </w:pPr>
          </w:p>
        </w:tc>
      </w:tr>
      <w:tr>
        <w:trPr>
          <w:trHeight w:val="341"/>
        </w:trPr>
        <w:tc>
          <w:tcPr>
            <w:tcW w:w="660" w:type="dxa"/>
            <w:vAlign w:val="bottom"/>
          </w:tcPr>
          <w:p>
            <w:pPr>
              <w:ind w:left="20"/>
              <w:spacing w:after="0"/>
              <w:rPr>
                <w:sz w:val="20"/>
                <w:szCs w:val="20"/>
                <w:color w:val="auto"/>
              </w:rPr>
            </w:pPr>
            <w:r>
              <w:rPr>
                <w:rFonts w:ascii="Arial" w:cs="Arial" w:eastAsia="Arial" w:hAnsi="Arial"/>
                <w:sz w:val="13"/>
                <w:szCs w:val="13"/>
                <w:color w:val="auto"/>
              </w:rPr>
              <w:t>4.11*</w:t>
            </w:r>
          </w:p>
        </w:tc>
        <w:tc>
          <w:tcPr>
            <w:tcW w:w="660" w:type="dxa"/>
            <w:vAlign w:val="bottom"/>
          </w:tcPr>
          <w:p>
            <w:pPr>
              <w:spacing w:after="0"/>
              <w:rPr>
                <w:sz w:val="24"/>
                <w:szCs w:val="24"/>
                <w:color w:val="auto"/>
              </w:rPr>
            </w:pPr>
          </w:p>
        </w:tc>
        <w:tc>
          <w:tcPr>
            <w:tcW w:w="9960" w:type="dxa"/>
            <w:vAlign w:val="bottom"/>
            <w:gridSpan w:val="31"/>
          </w:tcPr>
          <w:p>
            <w:pPr>
              <w:spacing w:after="0"/>
              <w:rPr>
                <w:sz w:val="20"/>
                <w:szCs w:val="20"/>
                <w:color w:val="auto"/>
              </w:rPr>
            </w:pPr>
            <w:r>
              <w:rPr>
                <w:rFonts w:ascii="Arial" w:cs="Arial" w:eastAsia="Arial" w:hAnsi="Arial"/>
                <w:sz w:val="13"/>
                <w:szCs w:val="13"/>
                <w:color w:val="0000FF"/>
              </w:rPr>
              <w:t>2023 Addendum to Materials Supply Agreement, dated November 10, 2022, between the Company and Soitec S.A.</w:t>
            </w: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560" w:type="dxa"/>
            <w:vAlign w:val="bottom"/>
            <w:gridSpan w:val="10"/>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41"/>
        </w:trPr>
        <w:tc>
          <w:tcPr>
            <w:tcW w:w="660" w:type="dxa"/>
            <w:vAlign w:val="bottom"/>
          </w:tcPr>
          <w:p>
            <w:pPr>
              <w:ind w:left="20"/>
              <w:spacing w:after="0"/>
              <w:rPr>
                <w:sz w:val="20"/>
                <w:szCs w:val="20"/>
                <w:color w:val="auto"/>
              </w:rPr>
            </w:pPr>
            <w:r>
              <w:rPr>
                <w:rFonts w:ascii="Arial" w:cs="Arial" w:eastAsia="Arial" w:hAnsi="Arial"/>
                <w:sz w:val="13"/>
                <w:szCs w:val="13"/>
                <w:color w:val="auto"/>
              </w:rPr>
              <w:t>4.12</w:t>
            </w:r>
          </w:p>
        </w:tc>
        <w:tc>
          <w:tcPr>
            <w:tcW w:w="66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3"/>
                <w:szCs w:val="13"/>
                <w:color w:val="0000FF"/>
              </w:rPr>
            </w:pPr>
            <w:hyperlink r:id="rId182">
              <w:r>
                <w:rPr>
                  <w:rFonts w:ascii="Arial" w:cs="Arial" w:eastAsia="Arial" w:hAnsi="Arial"/>
                  <w:sz w:val="13"/>
                  <w:szCs w:val="13"/>
                  <w:color w:val="0000FF"/>
                </w:rPr>
                <w:t>Term Loan Facility Agreement, dated September 3, 2021, between GLOBALFOUNDRIES Singapore Pte. Ltd., the Company and Economic Development Board</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940" w:type="dxa"/>
            <w:vAlign w:val="bottom"/>
            <w:tcBorders>
              <w:top w:val="single" w:sz="8" w:color="0000FF"/>
              <w:bottom w:val="single" w:sz="8" w:color="0000FF"/>
            </w:tcBorders>
            <w:gridSpan w:val="14"/>
          </w:tcPr>
          <w:p>
            <w:pPr>
              <w:spacing w:after="0" w:line="107" w:lineRule="exact"/>
              <w:rPr>
                <w:rFonts w:ascii="Arial" w:cs="Arial" w:eastAsia="Arial" w:hAnsi="Arial"/>
                <w:sz w:val="12"/>
                <w:szCs w:val="12"/>
                <w:color w:val="0000FF"/>
              </w:rPr>
            </w:pPr>
            <w:hyperlink r:id="rId182">
              <w:r>
                <w:rPr>
                  <w:rFonts w:ascii="Arial" w:cs="Arial" w:eastAsia="Arial" w:hAnsi="Arial"/>
                  <w:sz w:val="12"/>
                  <w:szCs w:val="12"/>
                  <w:color w:val="0000FF"/>
                </w:rPr>
                <w:t>(incorporated by reference to Exhibit 10.6 of the Registrant’s Registration Statement on Form F-1 (File No. 333-260003) filed with the SEC on October 4, 2021)</w:t>
              </w:r>
            </w:hyperlink>
          </w:p>
        </w:tc>
        <w:tc>
          <w:tcPr>
            <w:tcW w:w="60" w:type="dxa"/>
            <w:vAlign w:val="bottom"/>
            <w:tcBorders>
              <w:top w:val="single" w:sz="8" w:color="0000FF"/>
            </w:tcBorders>
          </w:tcPr>
          <w:p>
            <w:pPr>
              <w:spacing w:after="0"/>
              <w:rPr>
                <w:sz w:val="9"/>
                <w:szCs w:val="9"/>
                <w:color w:val="auto"/>
              </w:rPr>
            </w:pPr>
          </w:p>
        </w:tc>
        <w:tc>
          <w:tcPr>
            <w:tcW w:w="320" w:type="dxa"/>
            <w:vAlign w:val="bottom"/>
            <w:gridSpan w:val="4"/>
          </w:tcPr>
          <w:p>
            <w:pPr>
              <w:spacing w:after="0"/>
              <w:rPr>
                <w:sz w:val="9"/>
                <w:szCs w:val="9"/>
                <w:color w:val="auto"/>
              </w:rPr>
            </w:pPr>
          </w:p>
        </w:tc>
        <w:tc>
          <w:tcPr>
            <w:tcW w:w="200" w:type="dxa"/>
            <w:vAlign w:val="bottom"/>
            <w:gridSpan w:val="4"/>
          </w:tcPr>
          <w:p>
            <w:pPr>
              <w:spacing w:after="0"/>
              <w:rPr>
                <w:sz w:val="9"/>
                <w:szCs w:val="9"/>
                <w:color w:val="auto"/>
              </w:rPr>
            </w:pPr>
          </w:p>
        </w:tc>
        <w:tc>
          <w:tcPr>
            <w:tcW w:w="100" w:type="dxa"/>
            <w:vAlign w:val="bottom"/>
            <w:gridSpan w:val="4"/>
          </w:tcPr>
          <w:p>
            <w:pPr>
              <w:spacing w:after="0"/>
              <w:rPr>
                <w:sz w:val="9"/>
                <w:szCs w:val="9"/>
                <w:color w:val="auto"/>
              </w:rPr>
            </w:pPr>
          </w:p>
        </w:tc>
        <w:tc>
          <w:tcPr>
            <w:tcW w:w="6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r>
      <w:tr>
        <w:trPr>
          <w:trHeight w:val="150"/>
        </w:trPr>
        <w:tc>
          <w:tcPr>
            <w:tcW w:w="660" w:type="dxa"/>
            <w:vAlign w:val="bottom"/>
          </w:tcPr>
          <w:p>
            <w:pPr>
              <w:ind w:left="20"/>
              <w:spacing w:after="0"/>
              <w:rPr>
                <w:sz w:val="20"/>
                <w:szCs w:val="20"/>
                <w:color w:val="auto"/>
              </w:rPr>
            </w:pPr>
            <w:r>
              <w:rPr>
                <w:rFonts w:ascii="Arial" w:cs="Arial" w:eastAsia="Arial" w:hAnsi="Arial"/>
                <w:sz w:val="13"/>
                <w:szCs w:val="13"/>
                <w:color w:val="auto"/>
              </w:rPr>
              <w:t>4.13</w:t>
            </w:r>
          </w:p>
        </w:tc>
        <w:tc>
          <w:tcPr>
            <w:tcW w:w="660" w:type="dxa"/>
            <w:vAlign w:val="bottom"/>
          </w:tcPr>
          <w:p>
            <w:pPr>
              <w:spacing w:after="0"/>
              <w:rPr>
                <w:sz w:val="13"/>
                <w:szCs w:val="13"/>
                <w:color w:val="auto"/>
              </w:rPr>
            </w:pPr>
          </w:p>
        </w:tc>
        <w:tc>
          <w:tcPr>
            <w:tcW w:w="9960" w:type="dxa"/>
            <w:vAlign w:val="bottom"/>
            <w:gridSpan w:val="31"/>
          </w:tcPr>
          <w:p>
            <w:pPr>
              <w:spacing w:after="0"/>
              <w:rPr>
                <w:rFonts w:ascii="Arial" w:cs="Arial" w:eastAsia="Arial" w:hAnsi="Arial"/>
                <w:sz w:val="13"/>
                <w:szCs w:val="13"/>
                <w:color w:val="0000FF"/>
              </w:rPr>
            </w:pPr>
            <w:hyperlink r:id="rId183">
              <w:r>
                <w:rPr>
                  <w:rFonts w:ascii="Arial" w:cs="Arial" w:eastAsia="Arial" w:hAnsi="Arial"/>
                  <w:sz w:val="13"/>
                  <w:szCs w:val="13"/>
                  <w:color w:val="0000FF"/>
                </w:rPr>
                <w:t>2019 Revolving and L/C Facilities Agreement, dated October 18, 2019, between the Company and Citibank, N.A., London Branch and DBS Bank Ltd.(incorporated by</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740" w:type="dxa"/>
            <w:vAlign w:val="bottom"/>
            <w:tcBorders>
              <w:top w:val="single" w:sz="8" w:color="0000FF"/>
              <w:bottom w:val="single" w:sz="8" w:color="0000FF"/>
            </w:tcBorders>
            <w:gridSpan w:val="12"/>
          </w:tcPr>
          <w:p>
            <w:pPr>
              <w:spacing w:after="0" w:line="107" w:lineRule="exact"/>
              <w:rPr>
                <w:rFonts w:ascii="Arial" w:cs="Arial" w:eastAsia="Arial" w:hAnsi="Arial"/>
                <w:sz w:val="12"/>
                <w:szCs w:val="12"/>
                <w:color w:val="0000FF"/>
              </w:rPr>
            </w:pPr>
            <w:hyperlink r:id="rId183">
              <w:r>
                <w:rPr>
                  <w:rFonts w:ascii="Arial" w:cs="Arial" w:eastAsia="Arial" w:hAnsi="Arial"/>
                  <w:sz w:val="12"/>
                  <w:szCs w:val="12"/>
                  <w:color w:val="0000FF"/>
                </w:rPr>
                <w:t>reference to Exhibit 4.11 of the Annual Report on Form 20-F (File No.001-40974) filed with the SEC on March 31, 2022)</w:t>
              </w:r>
            </w:hyperlink>
          </w:p>
        </w:tc>
        <w:tc>
          <w:tcPr>
            <w:tcW w:w="2580" w:type="dxa"/>
            <w:vAlign w:val="bottom"/>
            <w:tcBorders>
              <w:top w:val="single" w:sz="8" w:color="0000FF"/>
            </w:tcBorders>
            <w:gridSpan w:val="7"/>
          </w:tcPr>
          <w:p>
            <w:pPr>
              <w:spacing w:after="0"/>
              <w:rPr>
                <w:sz w:val="9"/>
                <w:szCs w:val="9"/>
                <w:color w:val="auto"/>
              </w:rPr>
            </w:pPr>
          </w:p>
        </w:tc>
        <w:tc>
          <w:tcPr>
            <w:tcW w:w="200" w:type="dxa"/>
            <w:vAlign w:val="bottom"/>
            <w:gridSpan w:val="4"/>
          </w:tcPr>
          <w:p>
            <w:pPr>
              <w:spacing w:after="0"/>
              <w:rPr>
                <w:sz w:val="9"/>
                <w:szCs w:val="9"/>
                <w:color w:val="auto"/>
              </w:rPr>
            </w:pPr>
          </w:p>
        </w:tc>
        <w:tc>
          <w:tcPr>
            <w:tcW w:w="100" w:type="dxa"/>
            <w:vAlign w:val="bottom"/>
            <w:gridSpan w:val="4"/>
          </w:tcPr>
          <w:p>
            <w:pPr>
              <w:spacing w:after="0"/>
              <w:rPr>
                <w:sz w:val="9"/>
                <w:szCs w:val="9"/>
                <w:color w:val="auto"/>
              </w:rPr>
            </w:pPr>
          </w:p>
        </w:tc>
        <w:tc>
          <w:tcPr>
            <w:tcW w:w="6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r>
      <w:tr>
        <w:trPr>
          <w:trHeight w:val="341"/>
        </w:trPr>
        <w:tc>
          <w:tcPr>
            <w:tcW w:w="660" w:type="dxa"/>
            <w:vAlign w:val="bottom"/>
          </w:tcPr>
          <w:p>
            <w:pPr>
              <w:ind w:left="20"/>
              <w:spacing w:after="0"/>
              <w:rPr>
                <w:sz w:val="20"/>
                <w:szCs w:val="20"/>
                <w:color w:val="auto"/>
              </w:rPr>
            </w:pPr>
            <w:r>
              <w:rPr>
                <w:rFonts w:ascii="Arial" w:cs="Arial" w:eastAsia="Arial" w:hAnsi="Arial"/>
                <w:sz w:val="13"/>
                <w:szCs w:val="13"/>
                <w:color w:val="auto"/>
              </w:rPr>
              <w:t>4.14</w:t>
            </w:r>
          </w:p>
        </w:tc>
        <w:tc>
          <w:tcPr>
            <w:tcW w:w="66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3"/>
                <w:szCs w:val="13"/>
                <w:color w:val="0000FF"/>
              </w:rPr>
            </w:pPr>
            <w:hyperlink r:id="rId184">
              <w:r>
                <w:rPr>
                  <w:rFonts w:ascii="Arial" w:cs="Arial" w:eastAsia="Arial" w:hAnsi="Arial"/>
                  <w:sz w:val="13"/>
                  <w:szCs w:val="13"/>
                  <w:color w:val="0000FF"/>
                </w:rPr>
                <w:t>2020 Amendment Agreement to Revolving and L/C Facilities Agreement, dated November 11, 2020, between the Company and Bank of America, N.A., Citibank, N.A., DBS</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80" w:type="dxa"/>
            <w:vAlign w:val="bottom"/>
            <w:tcBorders>
              <w:top w:val="single" w:sz="8" w:color="0000FF"/>
            </w:tcBorders>
            <w:gridSpan w:val="29"/>
          </w:tcPr>
          <w:p>
            <w:pPr>
              <w:spacing w:after="0" w:line="107" w:lineRule="exact"/>
              <w:rPr>
                <w:rFonts w:ascii="Arial" w:cs="Arial" w:eastAsia="Arial" w:hAnsi="Arial"/>
                <w:sz w:val="12"/>
                <w:szCs w:val="12"/>
                <w:color w:val="0000FF"/>
              </w:rPr>
            </w:pPr>
            <w:hyperlink r:id="rId184">
              <w:r>
                <w:rPr>
                  <w:rFonts w:ascii="Arial" w:cs="Arial" w:eastAsia="Arial" w:hAnsi="Arial"/>
                  <w:sz w:val="12"/>
                  <w:szCs w:val="12"/>
                  <w:color w:val="0000FF"/>
                </w:rPr>
                <w:t>Bank Ltd. and JPMorgan Chase Bank, N.A, Intesa Sanpaolo S.p.A., London Branch, Morgan Stanley Senior Funding, Inc., Deutsche Bank AG, ING Bank, Commerzbank</w:t>
              </w:r>
            </w:hyperlink>
          </w:p>
        </w:tc>
        <w:tc>
          <w:tcPr>
            <w:tcW w:w="280" w:type="dxa"/>
            <w:vAlign w:val="bottom"/>
            <w:gridSpan w:val="2"/>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580" w:type="dxa"/>
            <w:vAlign w:val="bottom"/>
            <w:gridSpan w:val="22"/>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960" w:type="dxa"/>
            <w:vAlign w:val="bottom"/>
            <w:gridSpan w:val="31"/>
          </w:tcPr>
          <w:p>
            <w:pPr>
              <w:spacing w:after="0" w:line="107" w:lineRule="exact"/>
              <w:rPr>
                <w:rFonts w:ascii="Arial" w:cs="Arial" w:eastAsia="Arial" w:hAnsi="Arial"/>
                <w:sz w:val="12"/>
                <w:szCs w:val="12"/>
                <w:color w:val="0000FF"/>
              </w:rPr>
            </w:pPr>
            <w:hyperlink r:id="rId184">
              <w:r>
                <w:rPr>
                  <w:rFonts w:ascii="Arial" w:cs="Arial" w:eastAsia="Arial" w:hAnsi="Arial"/>
                  <w:sz w:val="12"/>
                  <w:szCs w:val="12"/>
                  <w:color w:val="0000FF"/>
                </w:rPr>
                <w:t>AG and Credit Suisse AG, Cayman Islands Branch (incorporated by reference to Exhibit 4.12 of the Annual Report on Form 20-F (File No.001-40974) filed with the SEC on</w:t>
              </w:r>
            </w:hyperlink>
          </w:p>
        </w:tc>
      </w:tr>
      <w:tr>
        <w:trPr>
          <w:trHeight w:val="107"/>
        </w:trPr>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20" w:type="dxa"/>
            <w:vAlign w:val="bottom"/>
            <w:tcBorders>
              <w:top w:val="single" w:sz="8" w:color="0000FF"/>
            </w:tcBorders>
            <w:gridSpan w:val="27"/>
          </w:tcPr>
          <w:p>
            <w:pPr>
              <w:spacing w:after="0" w:line="107" w:lineRule="exact"/>
              <w:rPr>
                <w:rFonts w:ascii="Arial" w:cs="Arial" w:eastAsia="Arial" w:hAnsi="Arial"/>
                <w:sz w:val="12"/>
                <w:szCs w:val="12"/>
                <w:color w:val="0000FF"/>
              </w:rPr>
            </w:pPr>
            <w:hyperlink r:id="rId184">
              <w:r>
                <w:rPr>
                  <w:rFonts w:ascii="Arial" w:cs="Arial" w:eastAsia="Arial" w:hAnsi="Arial"/>
                  <w:sz w:val="12"/>
                  <w:szCs w:val="12"/>
                  <w:color w:val="0000FF"/>
                </w:rPr>
                <w:t>March 31, 2022)</w:t>
              </w:r>
            </w:hyperlink>
          </w:p>
        </w:tc>
        <w:tc>
          <w:tcPr>
            <w:tcW w:w="340" w:type="dxa"/>
            <w:vAlign w:val="bottom"/>
            <w:gridSpan w:val="4"/>
          </w:tcPr>
          <w:p>
            <w:pPr>
              <w:spacing w:after="0"/>
              <w:rPr>
                <w:sz w:val="9"/>
                <w:szCs w:val="9"/>
                <w:color w:val="auto"/>
              </w:rPr>
            </w:pPr>
          </w:p>
        </w:tc>
      </w:tr>
      <w:tr>
        <w:trPr>
          <w:trHeight w:val="718"/>
        </w:trPr>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580" w:type="dxa"/>
            <w:vAlign w:val="bottom"/>
            <w:gridSpan w:val="5"/>
          </w:tcPr>
          <w:p>
            <w:pPr>
              <w:jc w:val="right"/>
              <w:ind w:right="120"/>
              <w:spacing w:after="0"/>
              <w:rPr>
                <w:sz w:val="20"/>
                <w:szCs w:val="20"/>
                <w:color w:val="auto"/>
              </w:rPr>
            </w:pPr>
            <w:r>
              <w:rPr>
                <w:rFonts w:ascii="Arial" w:cs="Arial" w:eastAsia="Arial" w:hAnsi="Arial"/>
                <w:sz w:val="13"/>
                <w:szCs w:val="13"/>
                <w:color w:val="auto"/>
              </w:rPr>
              <w:t>52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0"/>
        </w:trPr>
        <w:tc>
          <w:tcPr>
            <w:tcW w:w="6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8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20"/>
                <w:szCs w:val="20"/>
                <w:color w:val="auto"/>
              </w:rPr>
            </w:pPr>
            <w:r>
              <w:rPr>
                <w:rFonts w:ascii="Arial" w:cs="Arial" w:eastAsia="Arial" w:hAnsi="Arial"/>
                <w:sz w:val="13"/>
                <w:szCs w:val="13"/>
                <w:color w:val="auto"/>
              </w:rPr>
              <w:t>4.15</w:t>
            </w:r>
          </w:p>
        </w:tc>
        <w:tc>
          <w:tcPr>
            <w:tcW w:w="9620" w:type="dxa"/>
            <w:vAlign w:val="bottom"/>
            <w:gridSpan w:val="14"/>
          </w:tcPr>
          <w:p>
            <w:pPr>
              <w:spacing w:after="0"/>
              <w:rPr>
                <w:rFonts w:ascii="Arial" w:cs="Arial" w:eastAsia="Arial" w:hAnsi="Arial"/>
                <w:sz w:val="13"/>
                <w:szCs w:val="13"/>
                <w:color w:val="0000FF"/>
                <w:w w:val="99"/>
              </w:rPr>
            </w:pPr>
            <w:hyperlink r:id="rId187">
              <w:r>
                <w:rPr>
                  <w:rFonts w:ascii="Arial" w:cs="Arial" w:eastAsia="Arial" w:hAnsi="Arial"/>
                  <w:sz w:val="13"/>
                  <w:szCs w:val="13"/>
                  <w:color w:val="0000FF"/>
                  <w:w w:val="99"/>
                </w:rPr>
                <w:t>2021 Amendment to Revolving and L/C Facilities Agreement, dated October 13, 2021, between Bank of America, N.A., DBS Bank Ltd., Intesa Sanpaolo S.p.A., London</w:t>
              </w:r>
            </w:hyperlink>
          </w:p>
        </w:tc>
      </w:tr>
      <w:tr>
        <w:trPr>
          <w:trHeight w:val="107"/>
        </w:trPr>
        <w:tc>
          <w:tcPr>
            <w:tcW w:w="1300" w:type="dxa"/>
            <w:vAlign w:val="bottom"/>
          </w:tcPr>
          <w:p>
            <w:pPr>
              <w:spacing w:after="0"/>
              <w:rPr>
                <w:sz w:val="9"/>
                <w:szCs w:val="9"/>
                <w:color w:val="auto"/>
              </w:rPr>
            </w:pPr>
          </w:p>
        </w:tc>
        <w:tc>
          <w:tcPr>
            <w:tcW w:w="9460" w:type="dxa"/>
            <w:vAlign w:val="bottom"/>
            <w:tcBorders>
              <w:top w:val="single" w:sz="8" w:color="0000FF"/>
              <w:bottom w:val="single" w:sz="8" w:color="0000FF"/>
            </w:tcBorders>
            <w:gridSpan w:val="12"/>
          </w:tcPr>
          <w:p>
            <w:pPr>
              <w:spacing w:after="0" w:line="107" w:lineRule="exact"/>
              <w:rPr>
                <w:rFonts w:ascii="Arial" w:cs="Arial" w:eastAsia="Arial" w:hAnsi="Arial"/>
                <w:sz w:val="12"/>
                <w:szCs w:val="12"/>
                <w:color w:val="0000FF"/>
              </w:rPr>
            </w:pPr>
            <w:hyperlink r:id="rId187">
              <w:r>
                <w:rPr>
                  <w:rFonts w:ascii="Arial" w:cs="Arial" w:eastAsia="Arial" w:hAnsi="Arial"/>
                  <w:sz w:val="12"/>
                  <w:szCs w:val="12"/>
                  <w:color w:val="0000FF"/>
                </w:rPr>
                <w:t>Branch, JPMorgan Chase Bank, N.A., Morgan Stanley Senior Funding, Inc., Citibank, N.A., Deutsche Bank AG, Credit Suisse AG, Cayman Islands Branch, HSBC Bank</w:t>
              </w:r>
            </w:hyperlink>
          </w:p>
        </w:tc>
        <w:tc>
          <w:tcPr>
            <w:tcW w:w="20" w:type="dxa"/>
            <w:vAlign w:val="bottom"/>
            <w:tcBorders>
              <w:bottom w:val="single" w:sz="8" w:color="0000FF"/>
            </w:tcBorders>
          </w:tcPr>
          <w:p>
            <w:pPr>
              <w:spacing w:after="0"/>
              <w:rPr>
                <w:sz w:val="9"/>
                <w:szCs w:val="9"/>
                <w:color w:val="auto"/>
              </w:rPr>
            </w:pPr>
          </w:p>
        </w:tc>
        <w:tc>
          <w:tcPr>
            <w:tcW w:w="140" w:type="dxa"/>
            <w:vAlign w:val="bottom"/>
          </w:tcPr>
          <w:p>
            <w:pPr>
              <w:spacing w:after="0"/>
              <w:rPr>
                <w:sz w:val="9"/>
                <w:szCs w:val="9"/>
                <w:color w:val="auto"/>
              </w:rPr>
            </w:pPr>
          </w:p>
        </w:tc>
      </w:tr>
      <w:tr>
        <w:trPr>
          <w:trHeight w:val="107"/>
        </w:trPr>
        <w:tc>
          <w:tcPr>
            <w:tcW w:w="1300" w:type="dxa"/>
            <w:vAlign w:val="bottom"/>
          </w:tcPr>
          <w:p>
            <w:pPr>
              <w:spacing w:after="0"/>
              <w:rPr>
                <w:sz w:val="9"/>
                <w:szCs w:val="9"/>
                <w:color w:val="auto"/>
              </w:rPr>
            </w:pPr>
          </w:p>
        </w:tc>
        <w:tc>
          <w:tcPr>
            <w:tcW w:w="9480" w:type="dxa"/>
            <w:vAlign w:val="bottom"/>
            <w:tcBorders>
              <w:bottom w:val="single" w:sz="8" w:color="0000FF"/>
            </w:tcBorders>
            <w:gridSpan w:val="13"/>
          </w:tcPr>
          <w:p>
            <w:pPr>
              <w:spacing w:after="0" w:line="107" w:lineRule="exact"/>
              <w:rPr>
                <w:rFonts w:ascii="Arial" w:cs="Arial" w:eastAsia="Arial" w:hAnsi="Arial"/>
                <w:sz w:val="12"/>
                <w:szCs w:val="12"/>
                <w:color w:val="0000FF"/>
              </w:rPr>
            </w:pPr>
            <w:hyperlink r:id="rId187">
              <w:r>
                <w:rPr>
                  <w:rFonts w:ascii="Arial" w:cs="Arial" w:eastAsia="Arial" w:hAnsi="Arial"/>
                  <w:sz w:val="12"/>
                  <w:szCs w:val="12"/>
                  <w:color w:val="0000FF"/>
                </w:rPr>
                <w:t>USA, National Association and First Abu Dhabi Bank PJSC (incorporated by reference to Exhibit 4.13 of the Annual Report on Form 20-F (File No.001-40974) filed with</w:t>
              </w:r>
            </w:hyperlink>
          </w:p>
        </w:tc>
        <w:tc>
          <w:tcPr>
            <w:tcW w:w="140" w:type="dxa"/>
            <w:vAlign w:val="bottom"/>
            <w:tcBorders>
              <w:bottom w:val="single" w:sz="8" w:color="0000FF"/>
            </w:tcBorders>
          </w:tcPr>
          <w:p>
            <w:pPr>
              <w:spacing w:after="0" w:line="107" w:lineRule="exact"/>
              <w:rPr>
                <w:rFonts w:ascii="Arial" w:cs="Arial" w:eastAsia="Arial" w:hAnsi="Arial"/>
                <w:sz w:val="12"/>
                <w:szCs w:val="12"/>
                <w:color w:val="0000FF"/>
                <w:w w:val="71"/>
              </w:rPr>
            </w:pPr>
            <w:hyperlink r:id="rId187">
              <w:r>
                <w:rPr>
                  <w:rFonts w:ascii="Arial" w:cs="Arial" w:eastAsia="Arial" w:hAnsi="Arial"/>
                  <w:sz w:val="12"/>
                  <w:szCs w:val="12"/>
                  <w:color w:val="0000FF"/>
                  <w:w w:val="71"/>
                </w:rPr>
                <w:t>the</w:t>
              </w:r>
            </w:hyperlink>
          </w:p>
        </w:tc>
      </w:tr>
      <w:tr>
        <w:trPr>
          <w:trHeight w:val="107"/>
        </w:trPr>
        <w:tc>
          <w:tcPr>
            <w:tcW w:w="1300" w:type="dxa"/>
            <w:vAlign w:val="bottom"/>
          </w:tcPr>
          <w:p>
            <w:pPr>
              <w:spacing w:after="0"/>
              <w:rPr>
                <w:sz w:val="9"/>
                <w:szCs w:val="9"/>
                <w:color w:val="auto"/>
              </w:rPr>
            </w:pPr>
          </w:p>
        </w:tc>
        <w:tc>
          <w:tcPr>
            <w:tcW w:w="1400" w:type="dxa"/>
            <w:vAlign w:val="bottom"/>
            <w:tcBorders>
              <w:bottom w:val="single" w:sz="8" w:color="0000FF"/>
            </w:tcBorders>
          </w:tcPr>
          <w:p>
            <w:pPr>
              <w:spacing w:after="0" w:line="107" w:lineRule="exact"/>
              <w:rPr>
                <w:rFonts w:ascii="Arial" w:cs="Arial" w:eastAsia="Arial" w:hAnsi="Arial"/>
                <w:sz w:val="12"/>
                <w:szCs w:val="12"/>
                <w:color w:val="0000FF"/>
              </w:rPr>
            </w:pPr>
            <w:hyperlink r:id="rId187">
              <w:r>
                <w:rPr>
                  <w:rFonts w:ascii="Arial" w:cs="Arial" w:eastAsia="Arial" w:hAnsi="Arial"/>
                  <w:sz w:val="12"/>
                  <w:szCs w:val="12"/>
                  <w:color w:val="0000FF"/>
                </w:rPr>
                <w:t>SEC on March 31, 2022)</w:t>
              </w:r>
            </w:hyperlink>
          </w:p>
        </w:tc>
        <w:tc>
          <w:tcPr>
            <w:tcW w:w="8220" w:type="dxa"/>
            <w:vAlign w:val="bottom"/>
            <w:gridSpan w:val="13"/>
          </w:tcPr>
          <w:p>
            <w:pPr>
              <w:spacing w:after="0"/>
              <w:rPr>
                <w:sz w:val="9"/>
                <w:szCs w:val="9"/>
                <w:color w:val="auto"/>
              </w:rPr>
            </w:pPr>
          </w:p>
        </w:tc>
      </w:tr>
      <w:tr>
        <w:trPr>
          <w:trHeight w:val="341"/>
        </w:trPr>
        <w:tc>
          <w:tcPr>
            <w:tcW w:w="1300" w:type="dxa"/>
            <w:vAlign w:val="bottom"/>
          </w:tcPr>
          <w:p>
            <w:pPr>
              <w:spacing w:after="0"/>
              <w:rPr>
                <w:sz w:val="20"/>
                <w:szCs w:val="20"/>
                <w:color w:val="auto"/>
              </w:rPr>
            </w:pPr>
            <w:r>
              <w:rPr>
                <w:rFonts w:ascii="Arial" w:cs="Arial" w:eastAsia="Arial" w:hAnsi="Arial"/>
                <w:sz w:val="13"/>
                <w:szCs w:val="13"/>
                <w:color w:val="auto"/>
              </w:rPr>
              <w:t>4.16</w:t>
            </w:r>
          </w:p>
        </w:tc>
        <w:tc>
          <w:tcPr>
            <w:tcW w:w="9620" w:type="dxa"/>
            <w:vAlign w:val="bottom"/>
            <w:gridSpan w:val="14"/>
          </w:tcPr>
          <w:p>
            <w:pPr>
              <w:spacing w:after="0"/>
              <w:rPr>
                <w:rFonts w:ascii="Arial" w:cs="Arial" w:eastAsia="Arial" w:hAnsi="Arial"/>
                <w:sz w:val="13"/>
                <w:szCs w:val="13"/>
                <w:color w:val="0000FF"/>
                <w:w w:val="99"/>
              </w:rPr>
            </w:pPr>
            <w:hyperlink r:id="rId188">
              <w:r>
                <w:rPr>
                  <w:rFonts w:ascii="Arial" w:cs="Arial" w:eastAsia="Arial" w:hAnsi="Arial"/>
                  <w:sz w:val="13"/>
                  <w:szCs w:val="13"/>
                  <w:color w:val="0000FF"/>
                  <w:w w:val="99"/>
                </w:rPr>
                <w:t>Share Purchase Agreement by and between the Company and Silver Lake, dated as of October 18, 2021 (incorporated by reference to Exhibit 10.15 of the Registrant’s</w:t>
              </w:r>
            </w:hyperlink>
          </w:p>
        </w:tc>
      </w:tr>
      <w:tr>
        <w:trPr>
          <w:trHeight w:val="107"/>
        </w:trPr>
        <w:tc>
          <w:tcPr>
            <w:tcW w:w="1300" w:type="dxa"/>
            <w:vAlign w:val="bottom"/>
          </w:tcPr>
          <w:p>
            <w:pPr>
              <w:spacing w:after="0"/>
              <w:rPr>
                <w:sz w:val="9"/>
                <w:szCs w:val="9"/>
                <w:color w:val="auto"/>
              </w:rPr>
            </w:pPr>
          </w:p>
        </w:tc>
        <w:tc>
          <w:tcPr>
            <w:tcW w:w="6780" w:type="dxa"/>
            <w:vAlign w:val="bottom"/>
            <w:tcBorders>
              <w:top w:val="single" w:sz="8" w:color="0000FF"/>
              <w:bottom w:val="single" w:sz="8" w:color="0000FF"/>
            </w:tcBorders>
            <w:gridSpan w:val="9"/>
          </w:tcPr>
          <w:p>
            <w:pPr>
              <w:spacing w:after="0" w:line="107" w:lineRule="exact"/>
              <w:rPr>
                <w:rFonts w:ascii="Arial" w:cs="Arial" w:eastAsia="Arial" w:hAnsi="Arial"/>
                <w:sz w:val="12"/>
                <w:szCs w:val="12"/>
                <w:color w:val="0000FF"/>
              </w:rPr>
            </w:pPr>
            <w:hyperlink r:id="rId188">
              <w:r>
                <w:rPr>
                  <w:rFonts w:ascii="Arial" w:cs="Arial" w:eastAsia="Arial" w:hAnsi="Arial"/>
                  <w:sz w:val="12"/>
                  <w:szCs w:val="12"/>
                  <w:color w:val="0000FF"/>
                </w:rPr>
                <w:t>Amendment No. 1 to Registration Statement on Form F-1 (File No. 333-260003) filed with the SEC on October 19, 2021)</w:t>
              </w:r>
            </w:hyperlink>
          </w:p>
        </w:tc>
        <w:tc>
          <w:tcPr>
            <w:tcW w:w="2660" w:type="dxa"/>
            <w:vAlign w:val="bottom"/>
            <w:tcBorders>
              <w:top w:val="single" w:sz="8" w:color="0000FF"/>
            </w:tcBorders>
            <w:gridSpan w:val="2"/>
          </w:tcPr>
          <w:p>
            <w:pPr>
              <w:spacing w:after="0"/>
              <w:rPr>
                <w:sz w:val="9"/>
                <w:szCs w:val="9"/>
                <w:color w:val="auto"/>
              </w:rPr>
            </w:pPr>
          </w:p>
        </w:tc>
        <w:tc>
          <w:tcPr>
            <w:tcW w:w="180" w:type="dxa"/>
            <w:vAlign w:val="bottom"/>
            <w:gridSpan w:val="3"/>
          </w:tcPr>
          <w:p>
            <w:pPr>
              <w:spacing w:after="0"/>
              <w:rPr>
                <w:sz w:val="9"/>
                <w:szCs w:val="9"/>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4.17</w:t>
            </w:r>
          </w:p>
        </w:tc>
        <w:tc>
          <w:tcPr>
            <w:tcW w:w="9620" w:type="dxa"/>
            <w:vAlign w:val="bottom"/>
            <w:gridSpan w:val="14"/>
          </w:tcPr>
          <w:p>
            <w:pPr>
              <w:spacing w:after="0"/>
              <w:rPr>
                <w:rFonts w:ascii="Arial" w:cs="Arial" w:eastAsia="Arial" w:hAnsi="Arial"/>
                <w:sz w:val="13"/>
                <w:szCs w:val="13"/>
                <w:color w:val="0000FF"/>
                <w:w w:val="99"/>
              </w:rPr>
            </w:pPr>
            <w:hyperlink r:id="rId189">
              <w:r>
                <w:rPr>
                  <w:rFonts w:ascii="Arial" w:cs="Arial" w:eastAsia="Arial" w:hAnsi="Arial"/>
                  <w:sz w:val="13"/>
                  <w:szCs w:val="13"/>
                  <w:color w:val="0000FF"/>
                  <w:w w:val="99"/>
                </w:rPr>
                <w:t>Form of Director and Officer Indemnification Agreement (incorporated by reference to Exhibit 10.2 of the Registrant’s Registration Statement on Form F-1 (File No. 333-</w:t>
              </w:r>
            </w:hyperlink>
          </w:p>
        </w:tc>
      </w:tr>
      <w:tr>
        <w:trPr>
          <w:trHeight w:val="107"/>
        </w:trPr>
        <w:tc>
          <w:tcPr>
            <w:tcW w:w="1300" w:type="dxa"/>
            <w:vAlign w:val="bottom"/>
          </w:tcPr>
          <w:p>
            <w:pPr>
              <w:spacing w:after="0"/>
              <w:rPr>
                <w:sz w:val="9"/>
                <w:szCs w:val="9"/>
                <w:color w:val="auto"/>
              </w:rPr>
            </w:pPr>
          </w:p>
        </w:tc>
        <w:tc>
          <w:tcPr>
            <w:tcW w:w="9420" w:type="dxa"/>
            <w:vAlign w:val="bottom"/>
            <w:tcBorders>
              <w:top w:val="single" w:sz="8" w:color="0000FF"/>
            </w:tcBorders>
            <w:gridSpan w:val="10"/>
          </w:tcPr>
          <w:p>
            <w:pPr>
              <w:spacing w:after="0" w:line="107" w:lineRule="exact"/>
              <w:rPr>
                <w:rFonts w:ascii="Arial" w:cs="Arial" w:eastAsia="Arial" w:hAnsi="Arial"/>
                <w:sz w:val="12"/>
                <w:szCs w:val="12"/>
                <w:color w:val="0000FF"/>
              </w:rPr>
            </w:pPr>
            <w:hyperlink r:id="rId189">
              <w:r>
                <w:rPr>
                  <w:rFonts w:ascii="Arial" w:cs="Arial" w:eastAsia="Arial" w:hAnsi="Arial"/>
                  <w:sz w:val="12"/>
                  <w:szCs w:val="12"/>
                  <w:color w:val="0000FF"/>
                </w:rPr>
                <w:t>260003) filed with the SEC on October 4, 2021)</w:t>
              </w:r>
            </w:hyperlink>
          </w:p>
        </w:tc>
        <w:tc>
          <w:tcPr>
            <w:tcW w:w="200" w:type="dxa"/>
            <w:vAlign w:val="bottom"/>
            <w:gridSpan w:val="4"/>
          </w:tcPr>
          <w:p>
            <w:pPr>
              <w:spacing w:after="0"/>
              <w:rPr>
                <w:sz w:val="9"/>
                <w:szCs w:val="9"/>
                <w:color w:val="auto"/>
              </w:rPr>
            </w:pPr>
          </w:p>
        </w:tc>
      </w:tr>
      <w:tr>
        <w:trPr>
          <w:trHeight w:val="20"/>
        </w:trPr>
        <w:tc>
          <w:tcPr>
            <w:tcW w:w="130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8*</w:t>
            </w:r>
          </w:p>
        </w:tc>
        <w:tc>
          <w:tcPr>
            <w:tcW w:w="308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97"/>
              </w:rPr>
              <w:t>List of subsidiaries of the Registrant (as of 12/31.2022)</w:t>
            </w:r>
          </w:p>
        </w:tc>
        <w:tc>
          <w:tcPr>
            <w:tcW w:w="6540" w:type="dxa"/>
            <w:vAlign w:val="bottom"/>
            <w:gridSpan w:val="11"/>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12.1*</w:t>
            </w:r>
          </w:p>
        </w:tc>
        <w:tc>
          <w:tcPr>
            <w:tcW w:w="314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7"/>
              </w:rPr>
              <w:t>CEO Certification pursuant to Rule 13a-14(a)/15d-14(a)</w:t>
            </w:r>
          </w:p>
        </w:tc>
        <w:tc>
          <w:tcPr>
            <w:tcW w:w="6480" w:type="dxa"/>
            <w:vAlign w:val="bottom"/>
            <w:gridSpan w:val="9"/>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12.2*</w:t>
            </w:r>
          </w:p>
        </w:tc>
        <w:tc>
          <w:tcPr>
            <w:tcW w:w="312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7"/>
              </w:rPr>
              <w:t>CFO Certification pursuant to Rule 13a-14(a)/15d-14(a)</w:t>
            </w:r>
          </w:p>
        </w:tc>
        <w:tc>
          <w:tcPr>
            <w:tcW w:w="6500" w:type="dxa"/>
            <w:vAlign w:val="bottom"/>
            <w:gridSpan w:val="10"/>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13.1*</w:t>
            </w:r>
          </w:p>
        </w:tc>
        <w:tc>
          <w:tcPr>
            <w:tcW w:w="406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w w:val="97"/>
              </w:rPr>
              <w:t>Certification pursuant to Rule 13a-14(b)/15d-14(b) and 18 U.S.C. §1350</w:t>
            </w:r>
          </w:p>
        </w:tc>
        <w:tc>
          <w:tcPr>
            <w:tcW w:w="5560" w:type="dxa"/>
            <w:vAlign w:val="bottom"/>
            <w:gridSpan w:val="7"/>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15.1*</w:t>
            </w:r>
          </w:p>
        </w:tc>
        <w:tc>
          <w:tcPr>
            <w:tcW w:w="404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7"/>
              </w:rPr>
              <w:t>Consent of KPMG LLP, Independent Registered Public Accounting Firm</w:t>
            </w:r>
          </w:p>
        </w:tc>
        <w:tc>
          <w:tcPr>
            <w:tcW w:w="5580" w:type="dxa"/>
            <w:vAlign w:val="bottom"/>
            <w:gridSpan w:val="8"/>
          </w:tcPr>
          <w:p>
            <w:pPr>
              <w:spacing w:after="0"/>
              <w:rPr>
                <w:sz w:val="13"/>
                <w:szCs w:val="13"/>
                <w:color w:val="auto"/>
              </w:rPr>
            </w:pPr>
          </w:p>
        </w:tc>
      </w:tr>
      <w:tr>
        <w:trPr>
          <w:trHeight w:val="150"/>
        </w:trPr>
        <w:tc>
          <w:tcPr>
            <w:tcW w:w="1300" w:type="dxa"/>
            <w:vAlign w:val="bottom"/>
          </w:tcPr>
          <w:p>
            <w:pPr>
              <w:spacing w:after="0"/>
              <w:rPr>
                <w:sz w:val="20"/>
                <w:szCs w:val="20"/>
                <w:color w:val="auto"/>
              </w:rPr>
            </w:pPr>
            <w:r>
              <w:rPr>
                <w:rFonts w:ascii="Arial" w:cs="Arial" w:eastAsia="Arial" w:hAnsi="Arial"/>
                <w:sz w:val="13"/>
                <w:szCs w:val="13"/>
                <w:color w:val="auto"/>
              </w:rPr>
              <w:t>15.2*</w:t>
            </w:r>
          </w:p>
        </w:tc>
        <w:tc>
          <w:tcPr>
            <w:tcW w:w="9620" w:type="dxa"/>
            <w:vAlign w:val="bottom"/>
            <w:gridSpan w:val="14"/>
          </w:tcPr>
          <w:p>
            <w:pPr>
              <w:spacing w:after="0"/>
              <w:rPr>
                <w:sz w:val="20"/>
                <w:szCs w:val="20"/>
                <w:color w:val="auto"/>
              </w:rPr>
            </w:pPr>
            <w:r>
              <w:rPr>
                <w:rFonts w:ascii="Arial" w:cs="Arial" w:eastAsia="Arial" w:hAnsi="Arial"/>
                <w:sz w:val="13"/>
                <w:szCs w:val="13"/>
                <w:color w:val="0000FF"/>
              </w:rPr>
              <w:t>Consent of Ernst &amp; Young LLP, Independent Registered Public Accounting Firm</w:t>
            </w:r>
          </w:p>
        </w:tc>
      </w:tr>
      <w:tr>
        <w:trPr>
          <w:trHeight w:val="20"/>
        </w:trPr>
        <w:tc>
          <w:tcPr>
            <w:tcW w:w="1300" w:type="dxa"/>
            <w:vAlign w:val="bottom"/>
          </w:tcPr>
          <w:p>
            <w:pPr>
              <w:spacing w:after="0" w:line="20" w:lineRule="exact"/>
              <w:rPr>
                <w:sz w:val="1"/>
                <w:szCs w:val="1"/>
                <w:color w:val="auto"/>
              </w:rPr>
            </w:pPr>
          </w:p>
        </w:tc>
        <w:tc>
          <w:tcPr>
            <w:tcW w:w="4460" w:type="dxa"/>
            <w:vAlign w:val="bottom"/>
            <w:gridSpan w:val="8"/>
            <w:shd w:val="clear" w:color="auto" w:fill="0000FF"/>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r>
      <w:tr>
        <w:trPr>
          <w:trHeight w:val="151"/>
        </w:trPr>
        <w:tc>
          <w:tcPr>
            <w:tcW w:w="1300" w:type="dxa"/>
            <w:vAlign w:val="bottom"/>
          </w:tcPr>
          <w:p>
            <w:pPr>
              <w:spacing w:after="0"/>
              <w:rPr>
                <w:sz w:val="20"/>
                <w:szCs w:val="20"/>
                <w:color w:val="auto"/>
              </w:rPr>
            </w:pPr>
            <w:r>
              <w:rPr>
                <w:rFonts w:ascii="Arial" w:cs="Arial" w:eastAsia="Arial" w:hAnsi="Arial"/>
                <w:sz w:val="13"/>
                <w:szCs w:val="13"/>
                <w:color w:val="auto"/>
              </w:rPr>
              <w:t>101.INS*</w:t>
            </w:r>
          </w:p>
        </w:tc>
        <w:tc>
          <w:tcPr>
            <w:tcW w:w="9620" w:type="dxa"/>
            <w:vAlign w:val="bottom"/>
            <w:gridSpan w:val="14"/>
          </w:tcPr>
          <w:p>
            <w:pPr>
              <w:spacing w:after="0"/>
              <w:rPr>
                <w:sz w:val="20"/>
                <w:szCs w:val="20"/>
                <w:color w:val="auto"/>
              </w:rPr>
            </w:pPr>
            <w:r>
              <w:rPr>
                <w:rFonts w:ascii="Arial" w:cs="Arial" w:eastAsia="Arial" w:hAnsi="Arial"/>
                <w:sz w:val="13"/>
                <w:szCs w:val="13"/>
                <w:color w:val="auto"/>
              </w:rPr>
              <w:t>Inline XBRL Instance Document (the instance document does not appear in the Interactive Data File because its XBRL tags are embedded within the Inline XBRL</w:t>
            </w:r>
          </w:p>
        </w:tc>
      </w:tr>
      <w:tr>
        <w:trPr>
          <w:trHeight w:val="153"/>
        </w:trPr>
        <w:tc>
          <w:tcPr>
            <w:tcW w:w="1300" w:type="dxa"/>
            <w:vAlign w:val="bottom"/>
          </w:tcPr>
          <w:p>
            <w:pPr>
              <w:spacing w:after="0"/>
              <w:rPr>
                <w:sz w:val="13"/>
                <w:szCs w:val="13"/>
                <w:color w:val="auto"/>
              </w:rPr>
            </w:pPr>
          </w:p>
        </w:tc>
        <w:tc>
          <w:tcPr>
            <w:tcW w:w="9620" w:type="dxa"/>
            <w:vAlign w:val="bottom"/>
            <w:gridSpan w:val="14"/>
          </w:tcPr>
          <w:p>
            <w:pPr>
              <w:spacing w:after="0"/>
              <w:rPr>
                <w:sz w:val="20"/>
                <w:szCs w:val="20"/>
                <w:color w:val="auto"/>
              </w:rPr>
            </w:pPr>
            <w:r>
              <w:rPr>
                <w:rFonts w:ascii="Arial" w:cs="Arial" w:eastAsia="Arial" w:hAnsi="Arial"/>
                <w:sz w:val="13"/>
                <w:szCs w:val="13"/>
                <w:color w:val="auto"/>
              </w:rPr>
              <w:t>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101.SCH*</w:t>
            </w:r>
          </w:p>
        </w:tc>
        <w:tc>
          <w:tcPr>
            <w:tcW w:w="9620" w:type="dxa"/>
            <w:vAlign w:val="bottom"/>
            <w:gridSpan w:val="14"/>
          </w:tcPr>
          <w:p>
            <w:pPr>
              <w:spacing w:after="0"/>
              <w:rPr>
                <w:sz w:val="20"/>
                <w:szCs w:val="20"/>
                <w:color w:val="auto"/>
              </w:rPr>
            </w:pPr>
            <w:r>
              <w:rPr>
                <w:rFonts w:ascii="Arial" w:cs="Arial" w:eastAsia="Arial" w:hAnsi="Arial"/>
                <w:sz w:val="13"/>
                <w:szCs w:val="13"/>
                <w:color w:val="auto"/>
              </w:rPr>
              <w:t>Inline XBRL Taxonomy Extension Schema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101.CAL*</w:t>
            </w:r>
          </w:p>
        </w:tc>
        <w:tc>
          <w:tcPr>
            <w:tcW w:w="9620" w:type="dxa"/>
            <w:vAlign w:val="bottom"/>
            <w:gridSpan w:val="14"/>
          </w:tcPr>
          <w:p>
            <w:pPr>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101.DEF*</w:t>
            </w:r>
          </w:p>
        </w:tc>
        <w:tc>
          <w:tcPr>
            <w:tcW w:w="9620" w:type="dxa"/>
            <w:vAlign w:val="bottom"/>
            <w:gridSpan w:val="14"/>
          </w:tcPr>
          <w:p>
            <w:pPr>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101.LAB*</w:t>
            </w:r>
          </w:p>
        </w:tc>
        <w:tc>
          <w:tcPr>
            <w:tcW w:w="9620" w:type="dxa"/>
            <w:vAlign w:val="bottom"/>
            <w:gridSpan w:val="14"/>
          </w:tcPr>
          <w:p>
            <w:pPr>
              <w:spacing w:after="0"/>
              <w:rPr>
                <w:sz w:val="20"/>
                <w:szCs w:val="20"/>
                <w:color w:val="auto"/>
              </w:rPr>
            </w:pPr>
            <w:r>
              <w:rPr>
                <w:rFonts w:ascii="Arial" w:cs="Arial" w:eastAsia="Arial" w:hAnsi="Arial"/>
                <w:sz w:val="13"/>
                <w:szCs w:val="13"/>
                <w:color w:val="auto"/>
              </w:rPr>
              <w:t>Inline XBRL Taxonomy Extension Label Linkbase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101.PRE*</w:t>
            </w:r>
          </w:p>
        </w:tc>
        <w:tc>
          <w:tcPr>
            <w:tcW w:w="9620" w:type="dxa"/>
            <w:vAlign w:val="bottom"/>
            <w:gridSpan w:val="14"/>
          </w:tcPr>
          <w:p>
            <w:pPr>
              <w:spacing w:after="0"/>
              <w:rPr>
                <w:sz w:val="20"/>
                <w:szCs w:val="20"/>
                <w:color w:val="auto"/>
              </w:rPr>
            </w:pPr>
            <w:r>
              <w:rPr>
                <w:rFonts w:ascii="Arial" w:cs="Arial" w:eastAsia="Arial" w:hAnsi="Arial"/>
                <w:sz w:val="13"/>
                <w:szCs w:val="13"/>
                <w:color w:val="auto"/>
              </w:rPr>
              <w:t>Inline XBRL Taxonomy Extension Presentation Linkbase Document</w:t>
            </w:r>
          </w:p>
        </w:tc>
      </w:tr>
      <w:tr>
        <w:trPr>
          <w:trHeight w:val="170"/>
        </w:trPr>
        <w:tc>
          <w:tcPr>
            <w:tcW w:w="1300" w:type="dxa"/>
            <w:vAlign w:val="bottom"/>
          </w:tcPr>
          <w:p>
            <w:pPr>
              <w:spacing w:after="0"/>
              <w:rPr>
                <w:sz w:val="20"/>
                <w:szCs w:val="20"/>
                <w:color w:val="auto"/>
              </w:rPr>
            </w:pPr>
            <w:r>
              <w:rPr>
                <w:rFonts w:ascii="Arial" w:cs="Arial" w:eastAsia="Arial" w:hAnsi="Arial"/>
                <w:sz w:val="13"/>
                <w:szCs w:val="13"/>
                <w:color w:val="auto"/>
              </w:rPr>
              <w:t>104*</w:t>
            </w:r>
          </w:p>
        </w:tc>
        <w:tc>
          <w:tcPr>
            <w:tcW w:w="9620" w:type="dxa"/>
            <w:vAlign w:val="bottom"/>
            <w:gridSpan w:val="14"/>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r>
    </w:tbl>
    <w:p>
      <w:pPr>
        <w:spacing w:after="0" w:line="132" w:lineRule="exact"/>
        <w:rPr>
          <w:sz w:val="20"/>
          <w:szCs w:val="20"/>
          <w:color w:val="auto"/>
        </w:rPr>
      </w:pPr>
    </w:p>
    <w:p>
      <w:pPr>
        <w:ind w:left="440" w:hanging="200"/>
        <w:spacing w:after="0"/>
        <w:tabs>
          <w:tab w:leader="none" w:pos="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Filed herewith.</w:t>
      </w:r>
    </w:p>
    <w:p>
      <w:pPr>
        <w:ind w:left="500" w:hanging="260"/>
        <w:spacing w:after="0" w:line="261" w:lineRule="auto"/>
        <w:tabs>
          <w:tab w:leader="none" w:pos="496" w:val="left"/>
        </w:tabs>
        <w:numPr>
          <w:ilvl w:val="0"/>
          <w:numId w:val="111"/>
        </w:numPr>
        <w:rPr>
          <w:rFonts w:ascii="Arial" w:cs="Arial" w:eastAsia="Arial" w:hAnsi="Arial"/>
          <w:sz w:val="13"/>
          <w:szCs w:val="13"/>
          <w:color w:val="auto"/>
        </w:rPr>
      </w:pPr>
      <w:r>
        <w:rPr>
          <w:rFonts w:ascii="Arial" w:cs="Arial" w:eastAsia="Arial" w:hAnsi="Arial"/>
          <w:sz w:val="13"/>
          <w:szCs w:val="13"/>
          <w:color w:val="auto"/>
        </w:rPr>
        <w:t>Pursuant to Item 601(b)(10) of Regulation S-K, certain confidential portions of this exhibit have been omitted by means of marking such portions with asterisks [***] as the identified confidential information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39370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its behalf.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20" w:type="dxa"/>
            <w:vAlign w:val="bottom"/>
          </w:tcPr>
          <w:p>
            <w:pPr>
              <w:spacing w:after="0"/>
              <w:rPr>
                <w:sz w:val="14"/>
                <w:szCs w:val="14"/>
                <w:color w:val="auto"/>
              </w:rPr>
            </w:pPr>
          </w:p>
        </w:tc>
        <w:tc>
          <w:tcPr>
            <w:tcW w:w="8440" w:type="dxa"/>
            <w:vAlign w:val="bottom"/>
            <w:gridSpan w:val="2"/>
          </w:tcPr>
          <w:p>
            <w:pPr>
              <w:ind w:left="1680"/>
              <w:spacing w:after="0"/>
              <w:rPr>
                <w:sz w:val="20"/>
                <w:szCs w:val="20"/>
                <w:color w:val="auto"/>
              </w:rPr>
            </w:pPr>
            <w:r>
              <w:rPr>
                <w:rFonts w:ascii="Arial" w:cs="Arial" w:eastAsia="Arial" w:hAnsi="Arial"/>
                <w:sz w:val="13"/>
                <w:szCs w:val="13"/>
                <w:b w:val="1"/>
                <w:bCs w:val="1"/>
                <w:color w:val="auto"/>
              </w:rPr>
              <w:t>GLOBALFOUNDRIES Inc.</w:t>
            </w:r>
          </w:p>
        </w:tc>
      </w:tr>
      <w:tr>
        <w:trPr>
          <w:trHeight w:val="384"/>
        </w:trPr>
        <w:tc>
          <w:tcPr>
            <w:tcW w:w="2820" w:type="dxa"/>
            <w:vAlign w:val="bottom"/>
          </w:tcPr>
          <w:p>
            <w:pPr>
              <w:spacing w:after="0"/>
              <w:rPr>
                <w:sz w:val="20"/>
                <w:szCs w:val="20"/>
                <w:color w:val="auto"/>
              </w:rPr>
            </w:pPr>
            <w:r>
              <w:rPr>
                <w:rFonts w:ascii="Arial" w:cs="Arial" w:eastAsia="Arial" w:hAnsi="Arial"/>
                <w:sz w:val="13"/>
                <w:szCs w:val="13"/>
                <w:color w:val="auto"/>
              </w:rPr>
              <w:t>Date: April 14, 2023</w:t>
            </w:r>
          </w:p>
        </w:tc>
        <w:tc>
          <w:tcPr>
            <w:tcW w:w="2880" w:type="dxa"/>
            <w:vAlign w:val="bottom"/>
          </w:tcPr>
          <w:p>
            <w:pPr>
              <w:ind w:left="1680"/>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Dr. Thomas Caulfield</w:t>
            </w:r>
          </w:p>
        </w:tc>
      </w:tr>
      <w:tr>
        <w:trPr>
          <w:trHeight w:val="158"/>
        </w:trPr>
        <w:tc>
          <w:tcPr>
            <w:tcW w:w="2820" w:type="dxa"/>
            <w:vAlign w:val="bottom"/>
          </w:tcPr>
          <w:p>
            <w:pPr>
              <w:spacing w:after="0"/>
              <w:rPr>
                <w:sz w:val="13"/>
                <w:szCs w:val="13"/>
                <w:color w:val="auto"/>
              </w:rPr>
            </w:pPr>
          </w:p>
        </w:tc>
        <w:tc>
          <w:tcPr>
            <w:tcW w:w="2880" w:type="dxa"/>
            <w:vAlign w:val="bottom"/>
          </w:tcPr>
          <w:p>
            <w:pPr>
              <w:ind w:left="1680"/>
              <w:spacing w:after="0"/>
              <w:rPr>
                <w:sz w:val="20"/>
                <w:szCs w:val="20"/>
                <w:color w:val="auto"/>
              </w:rPr>
            </w:pPr>
            <w:r>
              <w:rPr>
                <w:rFonts w:ascii="Arial" w:cs="Arial" w:eastAsia="Arial" w:hAnsi="Arial"/>
                <w:sz w:val="13"/>
                <w:szCs w:val="13"/>
                <w:color w:val="auto"/>
              </w:rPr>
              <w:t>Name:</w:t>
            </w:r>
          </w:p>
        </w:tc>
        <w:tc>
          <w:tcPr>
            <w:tcW w:w="5560" w:type="dxa"/>
            <w:vAlign w:val="bottom"/>
          </w:tcPr>
          <w:p>
            <w:pPr>
              <w:ind w:left="20"/>
              <w:spacing w:after="0"/>
              <w:rPr>
                <w:sz w:val="20"/>
                <w:szCs w:val="20"/>
                <w:color w:val="auto"/>
              </w:rPr>
            </w:pPr>
            <w:r>
              <w:rPr>
                <w:rFonts w:ascii="Arial" w:cs="Arial" w:eastAsia="Arial" w:hAnsi="Arial"/>
                <w:sz w:val="13"/>
                <w:szCs w:val="13"/>
                <w:color w:val="auto"/>
              </w:rPr>
              <w:t>Dr. Thomas Caulfield</w:t>
            </w:r>
          </w:p>
        </w:tc>
      </w:tr>
      <w:tr>
        <w:trPr>
          <w:trHeight w:val="170"/>
        </w:trPr>
        <w:tc>
          <w:tcPr>
            <w:tcW w:w="2820" w:type="dxa"/>
            <w:vAlign w:val="bottom"/>
          </w:tcPr>
          <w:p>
            <w:pPr>
              <w:spacing w:after="0"/>
              <w:rPr>
                <w:sz w:val="14"/>
                <w:szCs w:val="14"/>
                <w:color w:val="auto"/>
              </w:rPr>
            </w:pPr>
          </w:p>
        </w:tc>
        <w:tc>
          <w:tcPr>
            <w:tcW w:w="2880" w:type="dxa"/>
            <w:vAlign w:val="bottom"/>
          </w:tcPr>
          <w:p>
            <w:pPr>
              <w:ind w:left="1680"/>
              <w:spacing w:after="0"/>
              <w:rPr>
                <w:sz w:val="20"/>
                <w:szCs w:val="20"/>
                <w:color w:val="auto"/>
              </w:rPr>
            </w:pPr>
            <w:r>
              <w:rPr>
                <w:rFonts w:ascii="Arial" w:cs="Arial" w:eastAsia="Arial" w:hAnsi="Arial"/>
                <w:sz w:val="13"/>
                <w:szCs w:val="13"/>
                <w:color w:val="auto"/>
              </w:rPr>
              <w:t>Title:</w:t>
            </w:r>
          </w:p>
        </w:tc>
        <w:tc>
          <w:tcPr>
            <w:tcW w:w="5560" w:type="dxa"/>
            <w:vAlign w:val="bottom"/>
          </w:tcPr>
          <w:p>
            <w:pPr>
              <w:ind w:left="20"/>
              <w:spacing w:after="0"/>
              <w:rPr>
                <w:sz w:val="20"/>
                <w:szCs w:val="20"/>
                <w:color w:val="auto"/>
              </w:rPr>
            </w:pPr>
            <w:r>
              <w:rPr>
                <w:rFonts w:ascii="Arial" w:cs="Arial" w:eastAsia="Arial" w:hAnsi="Arial"/>
                <w:sz w:val="13"/>
                <w:szCs w:val="13"/>
                <w:color w:val="auto"/>
              </w:rPr>
              <w:t>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260"/>
          </w:cols>
          <w:pgMar w:left="320" w:top="757" w:right="319" w:bottom="1440"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GF Asia Investments Pte. Ltd.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GF Asia Sales Pte. Ltd.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Borrower LLC</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Investments LLC</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Netherlands Cooperatief U.A.</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Singapore Pte. Ltd.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Finance Inc.</w:t>
      </w:r>
    </w:p>
    <w:p>
      <w:pPr>
        <w:spacing w:after="0" w:line="2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GA (Chengdu) Technology Co. Ltd.</w:t>
      </w:r>
    </w:p>
    <w:p>
      <w:pPr>
        <w:spacing w:after="0" w:line="2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Netherlands Cooperatief U.A.</w:t>
      </w:r>
    </w:p>
    <w:p>
      <w:pPr>
        <w:spacing w:after="0" w:line="35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Netherlands Holding B.V.</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U.S. Inc.</w:t>
      </w:r>
    </w:p>
    <w:p>
      <w:pPr>
        <w:spacing w:after="0" w:line="2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Engineering Private Limited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Innovation Investments LLC</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U.S. 2 LLC</w:t>
      </w:r>
    </w:p>
    <w:p>
      <w:pPr>
        <w:spacing w:after="0" w:line="2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GF Power LLC</w:t>
      </w:r>
    </w:p>
    <w:p>
      <w:pPr>
        <w:spacing w:after="0" w:line="30" w:lineRule="exact"/>
        <w:rPr>
          <w:sz w:val="20"/>
          <w:szCs w:val="20"/>
          <w:color w:val="auto"/>
        </w:rPr>
      </w:pPr>
    </w:p>
    <w:p>
      <w:pPr>
        <w:ind w:right="300"/>
        <w:spacing w:after="0" w:line="460" w:lineRule="auto"/>
        <w:rPr>
          <w:sz w:val="20"/>
          <w:szCs w:val="20"/>
          <w:color w:val="auto"/>
        </w:rPr>
      </w:pPr>
      <w:r>
        <w:rPr>
          <w:rFonts w:ascii="Arial" w:cs="Arial" w:eastAsia="Arial" w:hAnsi="Arial"/>
          <w:sz w:val="12"/>
          <w:szCs w:val="12"/>
          <w:color w:val="auto"/>
        </w:rPr>
        <w:t>Hudson Valley Research Park Sewage Works Corporation Hudson Valley Research Park Water-Works Corporation</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ind w:right="420"/>
        <w:spacing w:after="0" w:line="336" w:lineRule="auto"/>
        <w:rPr>
          <w:sz w:val="20"/>
          <w:szCs w:val="20"/>
          <w:color w:val="auto"/>
        </w:rPr>
      </w:pPr>
      <w:r>
        <w:rPr>
          <w:rFonts w:ascii="Arial" w:cs="Arial" w:eastAsia="Arial" w:hAnsi="Arial"/>
          <w:sz w:val="14"/>
          <w:szCs w:val="14"/>
          <w:color w:val="auto"/>
        </w:rPr>
        <w:t>GlobalFoundries Bulgaria EAD GlobalFoundries Dresden Module One LLC GlobalFoundries Dresden Module Two LLC GlobalFoundries Engineering Private Limited GlobalFoundries Europe Sales &amp; Support GmbH GlobalFoundries Management Services LLC &amp; Co. KG GlobalFoundries France SAS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EXHIBIT 8</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GLOBALFOUNDRIES Inc.</w:t>
      </w:r>
    </w:p>
    <w:p>
      <w:pPr>
        <w:spacing w:after="0" w:line="396" w:lineRule="exact"/>
        <w:rPr>
          <w:sz w:val="20"/>
          <w:szCs w:val="20"/>
          <w:color w:val="auto"/>
        </w:rPr>
      </w:pPr>
    </w:p>
    <w:tbl>
      <w:tblPr>
        <w:tblLayout w:type="fixed"/>
        <w:tblInd w:w="1460" w:type="dxa"/>
        <w:tblCellMar>
          <w:top w:w="0" w:type="dxa"/>
          <w:left w:w="0" w:type="dxa"/>
          <w:bottom w:w="0" w:type="dxa"/>
          <w:right w:w="0" w:type="dxa"/>
        </w:tblCellMar>
      </w:tblPr>
      <w:tr>
        <w:trPr>
          <w:trHeight w:val="126"/>
        </w:trPr>
        <w:tc>
          <w:tcPr>
            <w:tcW w:w="2340" w:type="dxa"/>
            <w:vAlign w:val="bottom"/>
            <w:gridSpan w:val="2"/>
          </w:tcPr>
          <w:p>
            <w:pPr>
              <w:jc w:val="center"/>
              <w:ind w:right="960"/>
              <w:spacing w:after="0"/>
              <w:rPr>
                <w:sz w:val="20"/>
                <w:szCs w:val="20"/>
                <w:color w:val="auto"/>
              </w:rPr>
            </w:pPr>
            <w:r>
              <w:rPr>
                <w:rFonts w:ascii="Arial" w:cs="Arial" w:eastAsia="Arial" w:hAnsi="Arial"/>
                <w:sz w:val="11"/>
                <w:szCs w:val="11"/>
                <w:b w:val="1"/>
                <w:bCs w:val="1"/>
                <w:color w:val="auto"/>
                <w:w w:val="92"/>
              </w:rPr>
              <w:t>Jurisdiction of</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GlobalFoundries Inc.</w:t>
            </w:r>
          </w:p>
        </w:tc>
        <w:tc>
          <w:tcPr>
            <w:tcW w:w="0" w:type="dxa"/>
            <w:vAlign w:val="bottom"/>
          </w:tcPr>
          <w:p>
            <w:pPr>
              <w:spacing w:after="0"/>
              <w:rPr>
                <w:sz w:val="1"/>
                <w:szCs w:val="1"/>
                <w:color w:val="auto"/>
              </w:rPr>
            </w:pPr>
          </w:p>
        </w:tc>
      </w:tr>
      <w:tr>
        <w:trPr>
          <w:trHeight w:val="187"/>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87"/>
              </w:rPr>
              <w:t>Singapore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87"/>
              </w:rPr>
              <w:t>Singapore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60"/>
              <w:spacing w:after="0"/>
              <w:rPr>
                <w:sz w:val="20"/>
                <w:szCs w:val="20"/>
                <w:color w:val="auto"/>
              </w:rPr>
            </w:pPr>
            <w:r>
              <w:rPr>
                <w:rFonts w:ascii="Arial" w:cs="Arial" w:eastAsia="Arial" w:hAnsi="Arial"/>
                <w:sz w:val="14"/>
                <w:szCs w:val="14"/>
                <w:color w:val="auto"/>
                <w:w w:val="91"/>
              </w:rPr>
              <w:t>Delaware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60"/>
              <w:spacing w:after="0"/>
              <w:rPr>
                <w:sz w:val="20"/>
                <w:szCs w:val="20"/>
                <w:color w:val="auto"/>
              </w:rPr>
            </w:pPr>
            <w:r>
              <w:rPr>
                <w:rFonts w:ascii="Arial" w:cs="Arial" w:eastAsia="Arial" w:hAnsi="Arial"/>
                <w:sz w:val="14"/>
                <w:szCs w:val="14"/>
                <w:color w:val="auto"/>
                <w:w w:val="91"/>
              </w:rPr>
              <w:t>Delaware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0"/>
              </w:rPr>
              <w:t>Netherlands</w:t>
            </w:r>
          </w:p>
        </w:tc>
        <w:tc>
          <w:tcPr>
            <w:tcW w:w="316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87"/>
              </w:rPr>
              <w:t>Singapore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1"/>
              </w:rPr>
              <w:t>Cayman</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60"/>
              <w:spacing w:after="0"/>
              <w:rPr>
                <w:sz w:val="20"/>
                <w:szCs w:val="20"/>
                <w:color w:val="auto"/>
              </w:rPr>
            </w:pPr>
            <w:r>
              <w:rPr>
                <w:rFonts w:ascii="Arial" w:cs="Arial" w:eastAsia="Arial" w:hAnsi="Arial"/>
                <w:sz w:val="11"/>
                <w:szCs w:val="11"/>
                <w:b w:val="1"/>
                <w:bCs w:val="1"/>
                <w:color w:val="auto"/>
                <w:w w:val="92"/>
              </w:rPr>
              <w:t>Jurisdiction of</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GF Asia Investments Pte. Ltd.</w:t>
            </w:r>
          </w:p>
        </w:tc>
        <w:tc>
          <w:tcPr>
            <w:tcW w:w="0" w:type="dxa"/>
            <w:vAlign w:val="bottom"/>
          </w:tcPr>
          <w:p>
            <w:pPr>
              <w:spacing w:after="0"/>
              <w:rPr>
                <w:sz w:val="1"/>
                <w:szCs w:val="1"/>
                <w:color w:val="auto"/>
              </w:rPr>
            </w:pPr>
          </w:p>
        </w:tc>
      </w:tr>
      <w:tr>
        <w:trPr>
          <w:trHeight w:val="187"/>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87"/>
              </w:rPr>
              <w:t>China</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60"/>
              <w:spacing w:after="0"/>
              <w:rPr>
                <w:sz w:val="20"/>
                <w:szCs w:val="20"/>
                <w:color w:val="auto"/>
              </w:rPr>
            </w:pPr>
            <w:r>
              <w:rPr>
                <w:rFonts w:ascii="Arial" w:cs="Arial" w:eastAsia="Arial" w:hAnsi="Arial"/>
                <w:sz w:val="11"/>
                <w:szCs w:val="11"/>
                <w:b w:val="1"/>
                <w:bCs w:val="1"/>
                <w:color w:val="auto"/>
                <w:w w:val="92"/>
              </w:rPr>
              <w:t>Jurisdiction of</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GlobalFoundries Investments LLC</w:t>
            </w:r>
          </w:p>
        </w:tc>
        <w:tc>
          <w:tcPr>
            <w:tcW w:w="0" w:type="dxa"/>
            <w:vAlign w:val="bottom"/>
          </w:tcPr>
          <w:p>
            <w:pPr>
              <w:spacing w:after="0"/>
              <w:rPr>
                <w:sz w:val="1"/>
                <w:szCs w:val="1"/>
                <w:color w:val="auto"/>
              </w:rPr>
            </w:pPr>
          </w:p>
        </w:tc>
      </w:tr>
      <w:tr>
        <w:trPr>
          <w:trHeight w:val="187"/>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0"/>
              </w:rPr>
              <w:t>Netherlands</w:t>
            </w:r>
          </w:p>
        </w:tc>
        <w:tc>
          <w:tcPr>
            <w:tcW w:w="316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255"/>
        </w:trPr>
        <w:tc>
          <w:tcPr>
            <w:tcW w:w="2340" w:type="dxa"/>
            <w:vAlign w:val="bottom"/>
            <w:gridSpan w:val="2"/>
            <w:vMerge w:val="restart"/>
          </w:tcPr>
          <w:p>
            <w:pPr>
              <w:jc w:val="center"/>
              <w:ind w:right="960"/>
              <w:spacing w:after="0"/>
              <w:rPr>
                <w:sz w:val="20"/>
                <w:szCs w:val="20"/>
                <w:color w:val="auto"/>
              </w:rPr>
            </w:pPr>
            <w:r>
              <w:rPr>
                <w:rFonts w:ascii="Arial" w:cs="Arial" w:eastAsia="Arial" w:hAnsi="Arial"/>
                <w:sz w:val="11"/>
                <w:szCs w:val="11"/>
                <w:b w:val="1"/>
                <w:bCs w:val="1"/>
                <w:color w:val="auto"/>
                <w:w w:val="92"/>
              </w:rPr>
              <w:t>Jurisdiction of</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17"/>
        </w:trPr>
        <w:tc>
          <w:tcPr>
            <w:tcW w:w="2340" w:type="dxa"/>
            <w:vAlign w:val="bottom"/>
            <w:gridSpan w:val="2"/>
            <w:vMerge w:val="continue"/>
          </w:tcPr>
          <w:p>
            <w:pPr>
              <w:spacing w:after="0"/>
              <w:rPr>
                <w:sz w:val="10"/>
                <w:szCs w:val="10"/>
                <w:color w:val="auto"/>
              </w:rPr>
            </w:pPr>
          </w:p>
        </w:tc>
        <w:tc>
          <w:tcPr>
            <w:tcW w:w="31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3"/>
              </w:rPr>
              <w:t>GlobalFoundries Netherlands</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Cooperatief U.A.</w:t>
            </w:r>
          </w:p>
        </w:tc>
        <w:tc>
          <w:tcPr>
            <w:tcW w:w="0" w:type="dxa"/>
            <w:vAlign w:val="bottom"/>
          </w:tcPr>
          <w:p>
            <w:pPr>
              <w:spacing w:after="0"/>
              <w:rPr>
                <w:sz w:val="1"/>
                <w:szCs w:val="1"/>
                <w:color w:val="auto"/>
              </w:rPr>
            </w:pPr>
          </w:p>
        </w:tc>
      </w:tr>
      <w:tr>
        <w:trPr>
          <w:trHeight w:val="187"/>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0"/>
              </w:rPr>
              <w:t>Netherlands</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60"/>
              <w:spacing w:after="0"/>
              <w:rPr>
                <w:sz w:val="20"/>
                <w:szCs w:val="20"/>
                <w:color w:val="auto"/>
              </w:rPr>
            </w:pPr>
            <w:r>
              <w:rPr>
                <w:rFonts w:ascii="Arial" w:cs="Arial" w:eastAsia="Arial" w:hAnsi="Arial"/>
                <w:sz w:val="14"/>
                <w:szCs w:val="14"/>
                <w:color w:val="auto"/>
                <w:w w:val="91"/>
              </w:rPr>
              <w:t>Delaware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60"/>
              <w:spacing w:after="0"/>
              <w:rPr>
                <w:sz w:val="20"/>
                <w:szCs w:val="20"/>
                <w:color w:val="auto"/>
              </w:rPr>
            </w:pPr>
            <w:r>
              <w:rPr>
                <w:rFonts w:ascii="Arial" w:cs="Arial" w:eastAsia="Arial" w:hAnsi="Arial"/>
                <w:sz w:val="11"/>
                <w:szCs w:val="11"/>
                <w:b w:val="1"/>
                <w:bCs w:val="1"/>
                <w:color w:val="auto"/>
                <w:w w:val="92"/>
              </w:rPr>
              <w:t>Jurisdiction of</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GlobalFoundries U.S. Inc.</w:t>
            </w:r>
          </w:p>
        </w:tc>
        <w:tc>
          <w:tcPr>
            <w:tcW w:w="0" w:type="dxa"/>
            <w:vAlign w:val="bottom"/>
          </w:tcPr>
          <w:p>
            <w:pPr>
              <w:spacing w:after="0"/>
              <w:rPr>
                <w:sz w:val="1"/>
                <w:szCs w:val="1"/>
                <w:color w:val="auto"/>
              </w:rPr>
            </w:pPr>
          </w:p>
        </w:tc>
      </w:tr>
      <w:tr>
        <w:trPr>
          <w:trHeight w:val="187"/>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2"/>
              </w:rPr>
              <w:t>India</w:t>
            </w:r>
          </w:p>
        </w:tc>
        <w:tc>
          <w:tcPr>
            <w:tcW w:w="3160" w:type="dxa"/>
            <w:vAlign w:val="bottom"/>
          </w:tcPr>
          <w:p>
            <w:pPr>
              <w:jc w:val="center"/>
              <w:spacing w:after="0"/>
              <w:rPr>
                <w:sz w:val="20"/>
                <w:szCs w:val="20"/>
                <w:color w:val="auto"/>
              </w:rPr>
            </w:pPr>
            <w:r>
              <w:rPr>
                <w:rFonts w:ascii="Arial" w:cs="Arial" w:eastAsia="Arial" w:hAnsi="Arial"/>
                <w:sz w:val="14"/>
                <w:szCs w:val="14"/>
                <w:color w:val="auto"/>
                <w:w w:val="90"/>
              </w:rPr>
              <w:t>0.01%</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60"/>
              <w:spacing w:after="0"/>
              <w:rPr>
                <w:sz w:val="20"/>
                <w:szCs w:val="20"/>
                <w:color w:val="auto"/>
              </w:rPr>
            </w:pPr>
            <w:r>
              <w:rPr>
                <w:rFonts w:ascii="Arial" w:cs="Arial" w:eastAsia="Arial" w:hAnsi="Arial"/>
                <w:sz w:val="14"/>
                <w:szCs w:val="14"/>
                <w:color w:val="auto"/>
                <w:w w:val="91"/>
              </w:rPr>
              <w:t>Delaware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60"/>
              <w:spacing w:after="0"/>
              <w:rPr>
                <w:sz w:val="20"/>
                <w:szCs w:val="20"/>
                <w:color w:val="auto"/>
              </w:rPr>
            </w:pPr>
            <w:r>
              <w:rPr>
                <w:rFonts w:ascii="Arial" w:cs="Arial" w:eastAsia="Arial" w:hAnsi="Arial"/>
                <w:sz w:val="14"/>
                <w:szCs w:val="14"/>
                <w:color w:val="auto"/>
                <w:w w:val="91"/>
              </w:rPr>
              <w:t>Delaware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55"/>
        </w:trPr>
        <w:tc>
          <w:tcPr>
            <w:tcW w:w="2340" w:type="dxa"/>
            <w:vAlign w:val="bottom"/>
            <w:gridSpan w:val="2"/>
          </w:tcPr>
          <w:p>
            <w:pPr>
              <w:jc w:val="center"/>
              <w:ind w:right="960"/>
              <w:spacing w:after="0"/>
              <w:rPr>
                <w:sz w:val="20"/>
                <w:szCs w:val="20"/>
                <w:color w:val="auto"/>
              </w:rPr>
            </w:pPr>
            <w:r>
              <w:rPr>
                <w:rFonts w:ascii="Arial" w:cs="Arial" w:eastAsia="Arial" w:hAnsi="Arial"/>
                <w:sz w:val="11"/>
                <w:szCs w:val="11"/>
                <w:b w:val="1"/>
                <w:bCs w:val="1"/>
                <w:color w:val="auto"/>
                <w:w w:val="92"/>
              </w:rPr>
              <w:t>Jurisdiction of</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GlobalFoundries U.S. 2 LLC</w:t>
            </w:r>
          </w:p>
        </w:tc>
        <w:tc>
          <w:tcPr>
            <w:tcW w:w="0" w:type="dxa"/>
            <w:vAlign w:val="bottom"/>
          </w:tcPr>
          <w:p>
            <w:pPr>
              <w:spacing w:after="0"/>
              <w:rPr>
                <w:sz w:val="1"/>
                <w:szCs w:val="1"/>
                <w:color w:val="auto"/>
              </w:rPr>
            </w:pPr>
          </w:p>
        </w:tc>
      </w:tr>
      <w:tr>
        <w:trPr>
          <w:trHeight w:val="187"/>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0"/>
              </w:rPr>
              <w:t>Vermont</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60"/>
              <w:spacing w:after="0"/>
              <w:rPr>
                <w:sz w:val="20"/>
                <w:szCs w:val="20"/>
                <w:color w:val="auto"/>
              </w:rPr>
            </w:pPr>
            <w:r>
              <w:rPr>
                <w:rFonts w:ascii="Arial" w:cs="Arial" w:eastAsia="Arial" w:hAnsi="Arial"/>
                <w:sz w:val="14"/>
                <w:szCs w:val="14"/>
                <w:color w:val="auto"/>
                <w:w w:val="95"/>
              </w:rPr>
              <w:t>New York</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60"/>
              <w:spacing w:after="0"/>
              <w:rPr>
                <w:sz w:val="20"/>
                <w:szCs w:val="20"/>
                <w:color w:val="auto"/>
              </w:rPr>
            </w:pPr>
            <w:r>
              <w:rPr>
                <w:rFonts w:ascii="Arial" w:cs="Arial" w:eastAsia="Arial" w:hAnsi="Arial"/>
                <w:sz w:val="14"/>
                <w:szCs w:val="14"/>
                <w:color w:val="auto"/>
                <w:w w:val="95"/>
              </w:rPr>
              <w:t>New York</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138"/>
        </w:trPr>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49"/>
        </w:trPr>
        <w:tc>
          <w:tcPr>
            <w:tcW w:w="2340" w:type="dxa"/>
            <w:vAlign w:val="bottom"/>
            <w:gridSpan w:val="2"/>
          </w:tcPr>
          <w:p>
            <w:pPr>
              <w:jc w:val="center"/>
              <w:ind w:right="960"/>
              <w:spacing w:after="0"/>
              <w:rPr>
                <w:sz w:val="20"/>
                <w:szCs w:val="20"/>
                <w:color w:val="auto"/>
              </w:rPr>
            </w:pPr>
            <w:r>
              <w:rPr>
                <w:rFonts w:ascii="Arial" w:cs="Arial" w:eastAsia="Arial" w:hAnsi="Arial"/>
                <w:sz w:val="11"/>
                <w:szCs w:val="11"/>
                <w:b w:val="1"/>
                <w:bCs w:val="1"/>
                <w:color w:val="auto"/>
                <w:w w:val="92"/>
              </w:rPr>
              <w:t>Jurisdiction of</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2"/>
              </w:rPr>
              <w:t>GlobalFoundries Netherlands</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Holding B.V.</w:t>
            </w:r>
          </w:p>
        </w:tc>
        <w:tc>
          <w:tcPr>
            <w:tcW w:w="0" w:type="dxa"/>
            <w:vAlign w:val="bottom"/>
          </w:tcPr>
          <w:p>
            <w:pPr>
              <w:spacing w:after="0"/>
              <w:rPr>
                <w:sz w:val="1"/>
                <w:szCs w:val="1"/>
                <w:color w:val="auto"/>
              </w:rPr>
            </w:pPr>
          </w:p>
        </w:tc>
      </w:tr>
      <w:tr>
        <w:trPr>
          <w:trHeight w:val="187"/>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3"/>
              </w:rPr>
              <w:t>Bulgaria</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60"/>
              <w:spacing w:after="0"/>
              <w:rPr>
                <w:sz w:val="20"/>
                <w:szCs w:val="20"/>
                <w:color w:val="auto"/>
              </w:rPr>
            </w:pPr>
            <w:r>
              <w:rPr>
                <w:rFonts w:ascii="Arial" w:cs="Arial" w:eastAsia="Arial" w:hAnsi="Arial"/>
                <w:sz w:val="14"/>
                <w:szCs w:val="14"/>
                <w:color w:val="auto"/>
                <w:w w:val="91"/>
              </w:rPr>
              <w:t>Delaware</w:t>
            </w:r>
          </w:p>
        </w:tc>
        <w:tc>
          <w:tcPr>
            <w:tcW w:w="3160" w:type="dxa"/>
            <w:vAlign w:val="bottom"/>
          </w:tcPr>
          <w:p>
            <w:pPr>
              <w:jc w:val="center"/>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60"/>
              <w:spacing w:after="0"/>
              <w:rPr>
                <w:sz w:val="20"/>
                <w:szCs w:val="20"/>
                <w:color w:val="auto"/>
              </w:rPr>
            </w:pPr>
            <w:r>
              <w:rPr>
                <w:rFonts w:ascii="Arial" w:cs="Arial" w:eastAsia="Arial" w:hAnsi="Arial"/>
                <w:sz w:val="14"/>
                <w:szCs w:val="14"/>
                <w:color w:val="auto"/>
                <w:w w:val="91"/>
              </w:rPr>
              <w:t>Delaware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2"/>
              </w:rPr>
              <w:t>India</w:t>
            </w:r>
          </w:p>
        </w:tc>
        <w:tc>
          <w:tcPr>
            <w:tcW w:w="3160" w:type="dxa"/>
            <w:vAlign w:val="bottom"/>
          </w:tcPr>
          <w:p>
            <w:pPr>
              <w:jc w:val="center"/>
              <w:spacing w:after="0"/>
              <w:rPr>
                <w:sz w:val="20"/>
                <w:szCs w:val="20"/>
                <w:color w:val="auto"/>
              </w:rPr>
            </w:pPr>
            <w:r>
              <w:rPr>
                <w:rFonts w:ascii="Arial" w:cs="Arial" w:eastAsia="Arial" w:hAnsi="Arial"/>
                <w:sz w:val="14"/>
                <w:szCs w:val="14"/>
                <w:color w:val="auto"/>
                <w:w w:val="92"/>
              </w:rPr>
              <w:t>99.99%</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90"/>
              </w:rPr>
              <w:t>89.8%</w:t>
            </w:r>
          </w:p>
        </w:tc>
        <w:tc>
          <w:tcPr>
            <w:tcW w:w="0" w:type="dxa"/>
            <w:vAlign w:val="bottom"/>
          </w:tcPr>
          <w:p>
            <w:pPr>
              <w:spacing w:after="0"/>
              <w:rPr>
                <w:sz w:val="1"/>
                <w:szCs w:val="1"/>
                <w:color w:val="auto"/>
              </w:rPr>
            </w:pPr>
          </w:p>
        </w:tc>
      </w:tr>
      <w:tr>
        <w:trPr>
          <w:trHeight w:val="223"/>
        </w:trPr>
        <w:tc>
          <w:tcPr>
            <w:tcW w:w="2340" w:type="dxa"/>
            <w:vAlign w:val="bottom"/>
            <w:gridSpan w:val="2"/>
          </w:tcPr>
          <w:p>
            <w:pPr>
              <w:jc w:val="center"/>
              <w:ind w:right="980"/>
              <w:spacing w:after="0"/>
              <w:rPr>
                <w:sz w:val="20"/>
                <w:szCs w:val="20"/>
                <w:color w:val="auto"/>
              </w:rPr>
            </w:pPr>
            <w:r>
              <w:rPr>
                <w:rFonts w:ascii="Arial" w:cs="Arial" w:eastAsia="Arial" w:hAnsi="Arial"/>
                <w:sz w:val="14"/>
                <w:szCs w:val="14"/>
                <w:color w:val="auto"/>
                <w:w w:val="91"/>
              </w:rPr>
              <w:t>France</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-4681220</wp:posOffset>
            </wp:positionV>
            <wp:extent cx="7161530" cy="141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-4398645</wp:posOffset>
            </wp:positionV>
            <wp:extent cx="7161530" cy="141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-4115435</wp:posOffset>
            </wp:positionV>
            <wp:extent cx="7161530" cy="141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-2054225</wp:posOffset>
            </wp:positionV>
            <wp:extent cx="7161530" cy="141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-1380490</wp:posOffset>
            </wp:positionV>
            <wp:extent cx="7161530" cy="141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-686435</wp:posOffset>
            </wp:positionV>
            <wp:extent cx="7161530" cy="141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-403225</wp:posOffset>
            </wp:positionV>
            <wp:extent cx="7161530" cy="141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-120650</wp:posOffset>
            </wp:positionV>
            <wp:extent cx="7161530" cy="141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-975995</wp:posOffset>
            </wp:positionV>
            <wp:extent cx="7161530" cy="147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-1670050</wp:posOffset>
            </wp:positionV>
            <wp:extent cx="7161530" cy="147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-2343785</wp:posOffset>
            </wp:positionV>
            <wp:extent cx="7161530" cy="147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-2875915</wp:posOffset>
            </wp:positionV>
            <wp:extent cx="7161530" cy="147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-3340735</wp:posOffset>
            </wp:positionV>
            <wp:extent cx="7161530" cy="147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-3731260</wp:posOffset>
            </wp:positionV>
            <wp:extent cx="7161530" cy="147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-4971415</wp:posOffset>
            </wp:positionV>
            <wp:extent cx="7161530" cy="147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ectPr>
          <w:pgSz w:w="11900" w:h="16838" w:orient="portrait"/>
          <w:cols w:equalWidth="0" w:num="2">
            <w:col w:w="3580" w:space="720"/>
            <w:col w:w="6960"/>
          </w:cols>
          <w:pgMar w:left="320" w:top="1133" w:right="319" w:bottom="1440" w:gutter="0" w:footer="0" w:header="0"/>
        </w:sectPr>
      </w:pPr>
    </w:p>
    <w:bookmarkStart w:id="154" w:name="page155"/>
    <w:bookmarkEnd w:id="154"/>
    <w:p>
      <w:pPr>
        <w:spacing w:after="0" w:line="2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ind w:right="1900"/>
        <w:spacing w:after="0" w:line="369" w:lineRule="auto"/>
        <w:rPr>
          <w:sz w:val="20"/>
          <w:szCs w:val="20"/>
          <w:color w:val="auto"/>
        </w:rPr>
      </w:pPr>
      <w:r>
        <w:rPr>
          <w:rFonts w:ascii="Arial" w:cs="Arial" w:eastAsia="Arial" w:hAnsi="Arial"/>
          <w:sz w:val="13"/>
          <w:szCs w:val="13"/>
          <w:color w:val="auto"/>
        </w:rPr>
        <w:t>Advanced Mask Technology Center GmbH &amp; Co. KG GlobalFoundries Dresden Module One LLC GlobalFoundries Dresden Module One Holding GmbH GlobalFoundries Dresden Module Two Holding GmbH Maskhouse Building Administration GmbH &amp; Co. KG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Advanced Mask Technology Center Verwaltungs GmbH</w:t>
      </w: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Maskhouse Building Administration Verwaltungs GmbH</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ind w:right="1880"/>
        <w:spacing w:after="0" w:line="406" w:lineRule="auto"/>
        <w:rPr>
          <w:sz w:val="20"/>
          <w:szCs w:val="20"/>
          <w:color w:val="auto"/>
        </w:rPr>
      </w:pPr>
      <w:r>
        <w:rPr>
          <w:rFonts w:ascii="Arial" w:cs="Arial" w:eastAsia="Arial" w:hAnsi="Arial"/>
          <w:sz w:val="13"/>
          <w:szCs w:val="13"/>
          <w:color w:val="auto"/>
        </w:rPr>
        <w:t>GlobalFoundries Dresden Module One LLC &amp; Co. KG GlobalFoundries Management Services LLC &amp; Co. KG</w:t>
      </w: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ind w:right="1880"/>
        <w:spacing w:after="0" w:line="406" w:lineRule="auto"/>
        <w:rPr>
          <w:sz w:val="20"/>
          <w:szCs w:val="20"/>
          <w:color w:val="auto"/>
        </w:rPr>
      </w:pPr>
      <w:r>
        <w:rPr>
          <w:rFonts w:ascii="Arial" w:cs="Arial" w:eastAsia="Arial" w:hAnsi="Arial"/>
          <w:sz w:val="13"/>
          <w:szCs w:val="13"/>
          <w:color w:val="auto"/>
        </w:rPr>
        <w:t>GlobalFoundries Dresden Module Two LLC &amp; Co. KG GlobalFoundries Management Services LLC &amp; Co. KG</w:t>
      </w: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Name of Subsidiary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China (Beijing) Co., Limited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China (Shanghai) Co., Limited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Europe Ltd.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Japan Ltd.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Taiwan Ltd.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GlobalFoundries Malaysia SDN. BHD. (Malaysia)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2300" w:type="dxa"/>
            <w:vAlign w:val="bottom"/>
            <w:gridSpan w:val="4"/>
            <w:vMerge w:val="restart"/>
          </w:tcPr>
          <w:p>
            <w:pPr>
              <w:jc w:val="center"/>
              <w:ind w:right="1020"/>
              <w:spacing w:after="0"/>
              <w:rPr>
                <w:sz w:val="20"/>
                <w:szCs w:val="20"/>
                <w:color w:val="auto"/>
              </w:rPr>
            </w:pPr>
            <w:r>
              <w:rPr>
                <w:rFonts w:ascii="Arial" w:cs="Arial" w:eastAsia="Arial" w:hAnsi="Arial"/>
                <w:sz w:val="13"/>
                <w:szCs w:val="13"/>
                <w:b w:val="1"/>
                <w:bCs w:val="1"/>
                <w:color w:val="auto"/>
                <w:w w:val="93"/>
              </w:rPr>
              <w:t>J</w:t>
            </w:r>
            <w:r>
              <w:rPr>
                <w:rFonts w:ascii="Arial" w:cs="Arial" w:eastAsia="Arial" w:hAnsi="Arial"/>
                <w:sz w:val="11"/>
                <w:szCs w:val="11"/>
                <w:b w:val="1"/>
                <w:bCs w:val="1"/>
                <w:color w:val="auto"/>
                <w:w w:val="93"/>
              </w:rPr>
              <w:t>urisdiction of</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31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3"/>
              </w:rPr>
              <w:t>GlobalFoundries Management</w:t>
            </w:r>
          </w:p>
        </w:tc>
        <w:tc>
          <w:tcPr>
            <w:tcW w:w="0" w:type="dxa"/>
            <w:vAlign w:val="bottom"/>
          </w:tcPr>
          <w:p>
            <w:pPr>
              <w:spacing w:after="0"/>
              <w:rPr>
                <w:sz w:val="1"/>
                <w:szCs w:val="1"/>
                <w:color w:val="auto"/>
              </w:rPr>
            </w:pPr>
          </w:p>
        </w:tc>
      </w:tr>
      <w:tr>
        <w:trPr>
          <w:trHeight w:val="155"/>
        </w:trPr>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gridSpan w:val="2"/>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Services LLC &amp; Co. KG</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92"/>
              </w:rPr>
              <w:t>50%(a)</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00"/>
              <w:spacing w:after="0"/>
              <w:rPr>
                <w:sz w:val="20"/>
                <w:szCs w:val="20"/>
                <w:color w:val="auto"/>
              </w:rPr>
            </w:pPr>
            <w:r>
              <w:rPr>
                <w:rFonts w:ascii="Arial" w:cs="Arial" w:eastAsia="Arial" w:hAnsi="Arial"/>
                <w:sz w:val="14"/>
                <w:szCs w:val="14"/>
                <w:color w:val="auto"/>
                <w:w w:val="91"/>
              </w:rPr>
              <w:t>Delaware</w:t>
            </w:r>
          </w:p>
        </w:tc>
        <w:tc>
          <w:tcPr>
            <w:tcW w:w="3160" w:type="dxa"/>
            <w:vAlign w:val="bottom"/>
          </w:tcPr>
          <w:p>
            <w:pPr>
              <w:jc w:val="center"/>
              <w:spacing w:after="0"/>
              <w:rPr>
                <w:sz w:val="20"/>
                <w:szCs w:val="20"/>
                <w:color w:val="auto"/>
              </w:rPr>
            </w:pPr>
            <w:r>
              <w:rPr>
                <w:rFonts w:ascii="Arial" w:cs="Arial" w:eastAsia="Arial" w:hAnsi="Arial"/>
                <w:sz w:val="14"/>
                <w:szCs w:val="14"/>
                <w:color w:val="auto"/>
                <w:w w:val="92"/>
              </w:rPr>
              <w:t>94%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92"/>
              </w:rPr>
              <w:t>50%(b)</w:t>
            </w:r>
          </w:p>
        </w:tc>
        <w:tc>
          <w:tcPr>
            <w:tcW w:w="0" w:type="dxa"/>
            <w:vAlign w:val="bottom"/>
          </w:tcPr>
          <w:p>
            <w:pPr>
              <w:spacing w:after="0"/>
              <w:rPr>
                <w:sz w:val="1"/>
                <w:szCs w:val="1"/>
                <w:color w:val="auto"/>
              </w:rPr>
            </w:pPr>
          </w:p>
        </w:tc>
      </w:tr>
      <w:tr>
        <w:trPr>
          <w:trHeight w:val="641"/>
        </w:trPr>
        <w:tc>
          <w:tcPr>
            <w:tcW w:w="40" w:type="dxa"/>
            <w:vAlign w:val="bottom"/>
          </w:tcPr>
          <w:p>
            <w:pPr>
              <w:spacing w:after="0"/>
              <w:rPr>
                <w:sz w:val="24"/>
                <w:szCs w:val="24"/>
                <w:color w:val="auto"/>
              </w:rPr>
            </w:pPr>
          </w:p>
        </w:tc>
        <w:tc>
          <w:tcPr>
            <w:tcW w:w="2300" w:type="dxa"/>
            <w:vAlign w:val="bottom"/>
            <w:gridSpan w:val="4"/>
          </w:tcPr>
          <w:p>
            <w:pPr>
              <w:jc w:val="center"/>
              <w:ind w:right="1040"/>
              <w:spacing w:after="0"/>
              <w:rPr>
                <w:sz w:val="20"/>
                <w:szCs w:val="20"/>
                <w:color w:val="auto"/>
              </w:rPr>
            </w:pPr>
            <w:r>
              <w:rPr>
                <w:rFonts w:ascii="Arial" w:cs="Arial" w:eastAsia="Arial" w:hAnsi="Arial"/>
                <w:sz w:val="11"/>
                <w:szCs w:val="11"/>
                <w:b w:val="1"/>
                <w:bCs w:val="1"/>
                <w:color w:val="auto"/>
                <w:w w:val="92"/>
              </w:rPr>
              <w:t>Jurisdiction</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2300" w:type="dxa"/>
            <w:vAlign w:val="bottom"/>
            <w:gridSpan w:val="4"/>
          </w:tcPr>
          <w:p>
            <w:pPr>
              <w:jc w:val="center"/>
              <w:ind w:right="1000"/>
              <w:spacing w:after="0" w:line="113" w:lineRule="exact"/>
              <w:rPr>
                <w:sz w:val="20"/>
                <w:szCs w:val="20"/>
                <w:color w:val="auto"/>
              </w:rPr>
            </w:pPr>
            <w:r>
              <w:rPr>
                <w:rFonts w:ascii="Arial" w:cs="Arial" w:eastAsia="Arial" w:hAnsi="Arial"/>
                <w:sz w:val="11"/>
                <w:szCs w:val="11"/>
                <w:b w:val="1"/>
                <w:bCs w:val="1"/>
                <w:color w:val="auto"/>
                <w:w w:val="95"/>
              </w:rPr>
              <w:t>of</w:t>
            </w:r>
          </w:p>
        </w:tc>
        <w:tc>
          <w:tcPr>
            <w:tcW w:w="31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2"/>
              </w:rPr>
              <w:t>Advanced Mask Technology Center</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GmbH &amp; Co. KG</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2300" w:type="dxa"/>
            <w:vAlign w:val="bottom"/>
            <w:gridSpan w:val="4"/>
          </w:tcPr>
          <w:p>
            <w:pPr>
              <w:jc w:val="center"/>
              <w:ind w:right="1040"/>
              <w:spacing w:after="0"/>
              <w:rPr>
                <w:sz w:val="20"/>
                <w:szCs w:val="20"/>
                <w:color w:val="auto"/>
              </w:rPr>
            </w:pPr>
            <w:r>
              <w:rPr>
                <w:rFonts w:ascii="Arial" w:cs="Arial" w:eastAsia="Arial" w:hAnsi="Arial"/>
                <w:sz w:val="11"/>
                <w:szCs w:val="11"/>
                <w:b w:val="1"/>
                <w:bCs w:val="1"/>
                <w:color w:val="auto"/>
                <w:w w:val="92"/>
              </w:rPr>
              <w:t>Jurisdiction</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2300" w:type="dxa"/>
            <w:vAlign w:val="bottom"/>
            <w:gridSpan w:val="4"/>
          </w:tcPr>
          <w:p>
            <w:pPr>
              <w:jc w:val="center"/>
              <w:ind w:right="1000"/>
              <w:spacing w:after="0" w:line="113" w:lineRule="exact"/>
              <w:rPr>
                <w:sz w:val="20"/>
                <w:szCs w:val="20"/>
                <w:color w:val="auto"/>
              </w:rPr>
            </w:pPr>
            <w:r>
              <w:rPr>
                <w:rFonts w:ascii="Arial" w:cs="Arial" w:eastAsia="Arial" w:hAnsi="Arial"/>
                <w:sz w:val="11"/>
                <w:szCs w:val="11"/>
                <w:b w:val="1"/>
                <w:bCs w:val="1"/>
                <w:color w:val="auto"/>
                <w:w w:val="95"/>
              </w:rPr>
              <w:t>of</w:t>
            </w:r>
          </w:p>
        </w:tc>
        <w:tc>
          <w:tcPr>
            <w:tcW w:w="31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2"/>
              </w:rPr>
              <w:t>Maskhouse Building Administration</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GmbH &amp; Co. KG</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00" w:type="dxa"/>
            <w:vAlign w:val="bottom"/>
            <w:gridSpan w:val="4"/>
          </w:tcPr>
          <w:p>
            <w:pPr>
              <w:jc w:val="center"/>
              <w:ind w:right="1040"/>
              <w:spacing w:after="0"/>
              <w:rPr>
                <w:sz w:val="20"/>
                <w:szCs w:val="20"/>
                <w:color w:val="auto"/>
              </w:rPr>
            </w:pPr>
            <w:r>
              <w:rPr>
                <w:rFonts w:ascii="Arial" w:cs="Arial" w:eastAsia="Arial" w:hAnsi="Arial"/>
                <w:sz w:val="11"/>
                <w:szCs w:val="11"/>
                <w:b w:val="1"/>
                <w:bCs w:val="1"/>
                <w:color w:val="auto"/>
                <w:w w:val="92"/>
              </w:rPr>
              <w:t>Jurisdiction</w:t>
            </w:r>
          </w:p>
        </w:tc>
        <w:tc>
          <w:tcPr>
            <w:tcW w:w="31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2300" w:type="dxa"/>
            <w:vAlign w:val="bottom"/>
            <w:gridSpan w:val="4"/>
            <w:vMerge w:val="restart"/>
          </w:tcPr>
          <w:p>
            <w:pPr>
              <w:jc w:val="center"/>
              <w:ind w:right="1000"/>
              <w:spacing w:after="0"/>
              <w:rPr>
                <w:sz w:val="20"/>
                <w:szCs w:val="20"/>
                <w:color w:val="auto"/>
              </w:rPr>
            </w:pPr>
            <w:r>
              <w:rPr>
                <w:rFonts w:ascii="Arial" w:cs="Arial" w:eastAsia="Arial" w:hAnsi="Arial"/>
                <w:sz w:val="11"/>
                <w:szCs w:val="11"/>
                <w:b w:val="1"/>
                <w:bCs w:val="1"/>
                <w:color w:val="auto"/>
                <w:w w:val="95"/>
              </w:rPr>
              <w:t>of</w:t>
            </w:r>
          </w:p>
        </w:tc>
        <w:tc>
          <w:tcPr>
            <w:tcW w:w="3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4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31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2"/>
              </w:rPr>
              <w:t>GlobalFoundries Dresden Module One</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Holding GmbH</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93"/>
              </w:rPr>
              <w:t>5.1%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00" w:type="dxa"/>
            <w:vAlign w:val="bottom"/>
            <w:gridSpan w:val="4"/>
          </w:tcPr>
          <w:p>
            <w:pPr>
              <w:jc w:val="center"/>
              <w:ind w:right="1040"/>
              <w:spacing w:after="0"/>
              <w:rPr>
                <w:sz w:val="20"/>
                <w:szCs w:val="20"/>
                <w:color w:val="auto"/>
              </w:rPr>
            </w:pPr>
            <w:r>
              <w:rPr>
                <w:rFonts w:ascii="Arial" w:cs="Arial" w:eastAsia="Arial" w:hAnsi="Arial"/>
                <w:sz w:val="11"/>
                <w:szCs w:val="11"/>
                <w:b w:val="1"/>
                <w:bCs w:val="1"/>
                <w:color w:val="auto"/>
                <w:w w:val="92"/>
              </w:rPr>
              <w:t>Jurisdiction</w:t>
            </w:r>
          </w:p>
        </w:tc>
        <w:tc>
          <w:tcPr>
            <w:tcW w:w="31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2300" w:type="dxa"/>
            <w:vAlign w:val="bottom"/>
            <w:gridSpan w:val="4"/>
            <w:vMerge w:val="restart"/>
          </w:tcPr>
          <w:p>
            <w:pPr>
              <w:jc w:val="center"/>
              <w:ind w:right="1000"/>
              <w:spacing w:after="0"/>
              <w:rPr>
                <w:sz w:val="20"/>
                <w:szCs w:val="20"/>
                <w:color w:val="auto"/>
              </w:rPr>
            </w:pPr>
            <w:r>
              <w:rPr>
                <w:rFonts w:ascii="Arial" w:cs="Arial" w:eastAsia="Arial" w:hAnsi="Arial"/>
                <w:sz w:val="11"/>
                <w:szCs w:val="11"/>
                <w:b w:val="1"/>
                <w:bCs w:val="1"/>
                <w:color w:val="auto"/>
                <w:w w:val="95"/>
              </w:rPr>
              <w:t>of</w:t>
            </w:r>
          </w:p>
        </w:tc>
        <w:tc>
          <w:tcPr>
            <w:tcW w:w="3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4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31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4"/>
              </w:rPr>
              <w:t>GlobalFoundries Dresden Module</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Two Holding GmbH</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0"/>
              </w:rPr>
              <w:t>Germany</w:t>
            </w:r>
          </w:p>
        </w:tc>
        <w:tc>
          <w:tcPr>
            <w:tcW w:w="3160" w:type="dxa"/>
            <w:vAlign w:val="bottom"/>
          </w:tcPr>
          <w:p>
            <w:pPr>
              <w:jc w:val="center"/>
              <w:spacing w:after="0"/>
              <w:rPr>
                <w:sz w:val="20"/>
                <w:szCs w:val="20"/>
                <w:color w:val="auto"/>
              </w:rPr>
            </w:pPr>
            <w:r>
              <w:rPr>
                <w:rFonts w:ascii="Arial" w:cs="Arial" w:eastAsia="Arial" w:hAnsi="Arial"/>
                <w:sz w:val="14"/>
                <w:szCs w:val="14"/>
                <w:color w:val="auto"/>
                <w:w w:val="93"/>
              </w:rPr>
              <w:t>5.1%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00" w:type="dxa"/>
            <w:vAlign w:val="bottom"/>
            <w:gridSpan w:val="4"/>
          </w:tcPr>
          <w:p>
            <w:pPr>
              <w:jc w:val="center"/>
              <w:ind w:right="1040"/>
              <w:spacing w:after="0"/>
              <w:rPr>
                <w:sz w:val="20"/>
                <w:szCs w:val="20"/>
                <w:color w:val="auto"/>
              </w:rPr>
            </w:pPr>
            <w:r>
              <w:rPr>
                <w:rFonts w:ascii="Arial" w:cs="Arial" w:eastAsia="Arial" w:hAnsi="Arial"/>
                <w:sz w:val="11"/>
                <w:szCs w:val="11"/>
                <w:b w:val="1"/>
                <w:bCs w:val="1"/>
                <w:color w:val="auto"/>
                <w:w w:val="92"/>
              </w:rPr>
              <w:t>Jurisdiction</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300" w:type="dxa"/>
            <w:vAlign w:val="bottom"/>
            <w:gridSpan w:val="4"/>
          </w:tcPr>
          <w:p>
            <w:pPr>
              <w:jc w:val="center"/>
              <w:ind w:right="1000"/>
              <w:spacing w:after="0"/>
              <w:rPr>
                <w:sz w:val="20"/>
                <w:szCs w:val="20"/>
                <w:color w:val="auto"/>
              </w:rPr>
            </w:pPr>
            <w:r>
              <w:rPr>
                <w:rFonts w:ascii="Arial" w:cs="Arial" w:eastAsia="Arial" w:hAnsi="Arial"/>
                <w:sz w:val="11"/>
                <w:szCs w:val="11"/>
                <w:b w:val="1"/>
                <w:bCs w:val="1"/>
                <w:color w:val="auto"/>
                <w:w w:val="95"/>
              </w:rPr>
              <w:t>of</w:t>
            </w:r>
          </w:p>
        </w:tc>
        <w:tc>
          <w:tcPr>
            <w:tcW w:w="3160" w:type="dxa"/>
            <w:vAlign w:val="bottom"/>
          </w:tcPr>
          <w:p>
            <w:pPr>
              <w:jc w:val="center"/>
              <w:spacing w:after="0"/>
              <w:rPr>
                <w:sz w:val="20"/>
                <w:szCs w:val="20"/>
                <w:color w:val="auto"/>
              </w:rPr>
            </w:pPr>
            <w:r>
              <w:rPr>
                <w:rFonts w:ascii="Arial" w:cs="Arial" w:eastAsia="Arial" w:hAnsi="Arial"/>
                <w:sz w:val="11"/>
                <w:szCs w:val="11"/>
                <w:b w:val="1"/>
                <w:bCs w:val="1"/>
                <w:color w:val="auto"/>
                <w:w w:val="93"/>
              </w:rPr>
              <w:t>Ownership by</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Incorporation</w:t>
            </w:r>
          </w:p>
        </w:tc>
        <w:tc>
          <w:tcPr>
            <w:tcW w:w="98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GlobalFoundries Singapore Pte. Ltd.</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00" w:type="dxa"/>
            <w:vAlign w:val="bottom"/>
            <w:gridSpan w:val="4"/>
          </w:tcPr>
          <w:p>
            <w:pPr>
              <w:jc w:val="center"/>
              <w:ind w:right="1000"/>
              <w:spacing w:after="0"/>
              <w:rPr>
                <w:sz w:val="20"/>
                <w:szCs w:val="20"/>
                <w:color w:val="auto"/>
              </w:rPr>
            </w:pPr>
            <w:r>
              <w:rPr>
                <w:rFonts w:ascii="Arial" w:cs="Arial" w:eastAsia="Arial" w:hAnsi="Arial"/>
                <w:sz w:val="14"/>
                <w:szCs w:val="14"/>
                <w:color w:val="auto"/>
                <w:w w:val="92"/>
              </w:rPr>
              <w:t>China</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00"/>
              <w:spacing w:after="0"/>
              <w:rPr>
                <w:sz w:val="20"/>
                <w:szCs w:val="20"/>
                <w:color w:val="auto"/>
              </w:rPr>
            </w:pPr>
            <w:r>
              <w:rPr>
                <w:rFonts w:ascii="Arial" w:cs="Arial" w:eastAsia="Arial" w:hAnsi="Arial"/>
                <w:sz w:val="14"/>
                <w:szCs w:val="14"/>
                <w:color w:val="auto"/>
                <w:w w:val="92"/>
              </w:rPr>
              <w:t>China</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rPr>
              <w:t>U.K.</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83"/>
              </w:rPr>
              <w:t>Japan</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00"/>
              <w:spacing w:after="0"/>
              <w:rPr>
                <w:sz w:val="20"/>
                <w:szCs w:val="20"/>
                <w:color w:val="auto"/>
              </w:rPr>
            </w:pPr>
            <w:r>
              <w:rPr>
                <w:rFonts w:ascii="Arial" w:cs="Arial" w:eastAsia="Arial" w:hAnsi="Arial"/>
                <w:sz w:val="14"/>
                <w:szCs w:val="14"/>
                <w:color w:val="auto"/>
                <w:w w:val="92"/>
              </w:rPr>
              <w:t>Taiwan</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300" w:type="dxa"/>
            <w:vAlign w:val="bottom"/>
            <w:gridSpan w:val="4"/>
          </w:tcPr>
          <w:p>
            <w:pPr>
              <w:jc w:val="center"/>
              <w:ind w:right="1020"/>
              <w:spacing w:after="0"/>
              <w:rPr>
                <w:sz w:val="20"/>
                <w:szCs w:val="20"/>
                <w:color w:val="auto"/>
              </w:rPr>
            </w:pPr>
            <w:r>
              <w:rPr>
                <w:rFonts w:ascii="Arial" w:cs="Arial" w:eastAsia="Arial" w:hAnsi="Arial"/>
                <w:sz w:val="14"/>
                <w:szCs w:val="14"/>
                <w:color w:val="auto"/>
                <w:w w:val="94"/>
              </w:rPr>
              <w:t>Malaysia</w:t>
            </w:r>
          </w:p>
        </w:tc>
        <w:tc>
          <w:tcPr>
            <w:tcW w:w="31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-4061460</wp:posOffset>
            </wp:positionV>
            <wp:extent cx="7161530" cy="141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-3778885</wp:posOffset>
            </wp:positionV>
            <wp:extent cx="7161530" cy="141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-4351655</wp:posOffset>
            </wp:positionV>
            <wp:extent cx="7161530" cy="147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-544830</wp:posOffset>
            </wp:positionV>
            <wp:extent cx="7161530" cy="141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-261620</wp:posOffset>
            </wp:positionV>
            <wp:extent cx="7161530" cy="141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-834390</wp:posOffset>
            </wp:positionV>
            <wp:extent cx="7161530" cy="147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-1474470</wp:posOffset>
            </wp:positionV>
            <wp:extent cx="7161530" cy="147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-2114550</wp:posOffset>
            </wp:positionV>
            <wp:extent cx="7161530" cy="147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-2613025</wp:posOffset>
            </wp:positionV>
            <wp:extent cx="7161530" cy="147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-3077845</wp:posOffset>
            </wp:positionV>
            <wp:extent cx="7161530" cy="147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249555</wp:posOffset>
            </wp:positionV>
            <wp:extent cx="716153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2">
            <w:col w:w="5040" w:space="720"/>
            <w:col w:w="5500"/>
          </w:cols>
          <w:pgMar w:left="320" w:top="1280" w:right="319" w:bottom="1440" w:gutter="0" w:footer="0" w:header="0"/>
        </w:sectPr>
      </w:pPr>
    </w:p>
    <w:bookmarkStart w:id="155" w:name="page156"/>
    <w:bookmarkEnd w:id="155"/>
    <w:p>
      <w:pPr>
        <w:ind w:left="461" w:hanging="461"/>
        <w:spacing w:after="0"/>
        <w:tabs>
          <w:tab w:leader="none" w:pos="461" w:val="left"/>
        </w:tabs>
        <w:numPr>
          <w:ilvl w:val="0"/>
          <w:numId w:val="112"/>
        </w:numPr>
        <w:rPr>
          <w:rFonts w:ascii="Arial" w:cs="Arial" w:eastAsia="Arial" w:hAnsi="Arial"/>
          <w:sz w:val="12"/>
          <w:szCs w:val="12"/>
          <w:color w:val="auto"/>
        </w:rPr>
      </w:pPr>
      <w:r>
        <w:rPr>
          <w:rFonts w:ascii="Arial" w:cs="Arial" w:eastAsia="Arial" w:hAnsi="Arial"/>
          <w:sz w:val="12"/>
          <w:szCs w:val="12"/>
          <w:color w:val="auto"/>
        </w:rPr>
        <w:t>50% held by Toppan Photomasks, Inc.</w:t>
      </w:r>
    </w:p>
    <w:p>
      <w:pPr>
        <w:spacing w:after="0" w:line="371" w:lineRule="exact"/>
        <w:rPr>
          <w:rFonts w:ascii="Arial" w:cs="Arial" w:eastAsia="Arial" w:hAnsi="Arial"/>
          <w:sz w:val="12"/>
          <w:szCs w:val="12"/>
          <w:color w:val="auto"/>
        </w:rPr>
      </w:pPr>
    </w:p>
    <w:p>
      <w:pPr>
        <w:ind w:left="461" w:hanging="461"/>
        <w:spacing w:after="0"/>
        <w:tabs>
          <w:tab w:leader="none" w:pos="461" w:val="left"/>
        </w:tabs>
        <w:numPr>
          <w:ilvl w:val="0"/>
          <w:numId w:val="112"/>
        </w:numPr>
        <w:rPr>
          <w:rFonts w:ascii="Arial" w:cs="Arial" w:eastAsia="Arial" w:hAnsi="Arial"/>
          <w:sz w:val="12"/>
          <w:szCs w:val="12"/>
          <w:color w:val="auto"/>
        </w:rPr>
      </w:pPr>
      <w:r>
        <w:rPr>
          <w:rFonts w:ascii="Arial" w:cs="Arial" w:eastAsia="Arial" w:hAnsi="Arial"/>
          <w:sz w:val="12"/>
          <w:szCs w:val="12"/>
          <w:color w:val="auto"/>
        </w:rPr>
        <w:t>50% held by Toppan Photomasks, Inc.</w:t>
      </w:r>
    </w:p>
    <w:p>
      <w:pPr>
        <w:sectPr>
          <w:pgSz w:w="11900" w:h="16838" w:orient="portrait"/>
          <w:cols w:equalWidth="0" w:num="1">
            <w:col w:w="10140"/>
          </w:cols>
          <w:pgMar w:left="319" w:top="1381"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4"/>
          <w:szCs w:val="14"/>
          <w:b w:val="1"/>
          <w:bCs w:val="1"/>
          <w:color w:val="auto"/>
        </w:rPr>
        <w:t>Exhibit 12.1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Thomas Caulfield, certify that:</w:t>
      </w:r>
    </w:p>
    <w:p>
      <w:pPr>
        <w:spacing w:after="0" w:line="125" w:lineRule="exact"/>
        <w:rPr>
          <w:sz w:val="20"/>
          <w:szCs w:val="20"/>
          <w:color w:val="auto"/>
        </w:rPr>
      </w:pPr>
    </w:p>
    <w:p>
      <w:pPr>
        <w:ind w:left="260" w:hanging="255"/>
        <w:spacing w:after="0"/>
        <w:tabs>
          <w:tab w:leader="none" w:pos="2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 have reviewed this annual report on Form 20-F of GLOBALFOUNDRIES Inc.;</w:t>
      </w:r>
    </w:p>
    <w:p>
      <w:pPr>
        <w:spacing w:after="0" w:line="125" w:lineRule="exact"/>
        <w:rPr>
          <w:rFonts w:ascii="Arial" w:cs="Arial" w:eastAsia="Arial" w:hAnsi="Arial"/>
          <w:sz w:val="14"/>
          <w:szCs w:val="14"/>
          <w:color w:val="auto"/>
        </w:rPr>
      </w:pPr>
    </w:p>
    <w:p>
      <w:pPr>
        <w:ind w:right="160" w:firstLine="5"/>
        <w:spacing w:after="0" w:line="297" w:lineRule="auto"/>
        <w:tabs>
          <w:tab w:leader="none" w:pos="248" w:val="left"/>
        </w:tabs>
        <w:numPr>
          <w:ilvl w:val="0"/>
          <w:numId w:val="11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4"/>
          <w:szCs w:val="14"/>
          <w:color w:val="auto"/>
        </w:rPr>
      </w:pPr>
    </w:p>
    <w:p>
      <w:pPr>
        <w:ind w:right="220" w:firstLine="5"/>
        <w:spacing w:after="0" w:line="297" w:lineRule="auto"/>
        <w:tabs>
          <w:tab w:leader="none" w:pos="248" w:val="left"/>
        </w:tabs>
        <w:numPr>
          <w:ilvl w:val="0"/>
          <w:numId w:val="11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8" w:lineRule="exact"/>
        <w:rPr>
          <w:rFonts w:ascii="Arial" w:cs="Arial" w:eastAsia="Arial" w:hAnsi="Arial"/>
          <w:sz w:val="14"/>
          <w:szCs w:val="14"/>
          <w:color w:val="auto"/>
        </w:rPr>
      </w:pPr>
    </w:p>
    <w:p>
      <w:pPr>
        <w:ind w:right="80" w:firstLine="5"/>
        <w:spacing w:after="0" w:line="297" w:lineRule="auto"/>
        <w:tabs>
          <w:tab w:leader="none" w:pos="245"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8" w:lineRule="exact"/>
        <w:rPr>
          <w:sz w:val="20"/>
          <w:szCs w:val="20"/>
          <w:color w:val="auto"/>
        </w:rPr>
      </w:pPr>
    </w:p>
    <w:p>
      <w:pPr>
        <w:ind w:right="280" w:firstLine="5"/>
        <w:spacing w:after="0" w:line="338" w:lineRule="auto"/>
        <w:tabs>
          <w:tab w:leader="none" w:pos="298" w:val="left"/>
        </w:tabs>
        <w:numPr>
          <w:ilvl w:val="0"/>
          <w:numId w:val="11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3"/>
          <w:szCs w:val="13"/>
          <w:color w:val="auto"/>
        </w:rPr>
      </w:pPr>
    </w:p>
    <w:p>
      <w:pPr>
        <w:ind w:right="120" w:firstLine="5"/>
        <w:spacing w:after="0" w:line="338" w:lineRule="auto"/>
        <w:tabs>
          <w:tab w:leader="none" w:pos="306" w:val="left"/>
        </w:tabs>
        <w:numPr>
          <w:ilvl w:val="0"/>
          <w:numId w:val="11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3"/>
          <w:szCs w:val="13"/>
          <w:color w:val="auto"/>
        </w:rPr>
      </w:pPr>
    </w:p>
    <w:p>
      <w:pPr>
        <w:ind w:right="60" w:firstLine="5"/>
        <w:spacing w:after="0" w:line="297" w:lineRule="auto"/>
        <w:tabs>
          <w:tab w:leader="none" w:pos="29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4"/>
          <w:szCs w:val="14"/>
          <w:color w:val="auto"/>
        </w:rPr>
      </w:pPr>
    </w:p>
    <w:p>
      <w:pPr>
        <w:ind w:right="380" w:firstLine="5"/>
        <w:spacing w:after="0" w:line="297" w:lineRule="auto"/>
        <w:tabs>
          <w:tab w:leader="none" w:pos="306" w:val="left"/>
        </w:tabs>
        <w:numPr>
          <w:ilvl w:val="0"/>
          <w:numId w:val="114"/>
        </w:numPr>
        <w:rPr>
          <w:rFonts w:ascii="Arial" w:cs="Arial" w:eastAsia="Arial" w:hAnsi="Arial"/>
          <w:sz w:val="14"/>
          <w:szCs w:val="14"/>
          <w:color w:val="auto"/>
        </w:rPr>
      </w:pPr>
      <w:r>
        <w:rPr>
          <w:rFonts w:ascii="Arial" w:cs="Arial" w:eastAsia="Arial" w:hAnsi="Arial"/>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8" w:lineRule="exact"/>
        <w:rPr>
          <w:sz w:val="20"/>
          <w:szCs w:val="20"/>
          <w:color w:val="auto"/>
        </w:rPr>
      </w:pPr>
    </w:p>
    <w:p>
      <w:pPr>
        <w:ind w:right="40" w:firstLine="5"/>
        <w:spacing w:after="0" w:line="297" w:lineRule="auto"/>
        <w:tabs>
          <w:tab w:leader="none" w:pos="245"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8" w:lineRule="exact"/>
        <w:rPr>
          <w:sz w:val="20"/>
          <w:szCs w:val="20"/>
          <w:color w:val="auto"/>
        </w:rPr>
      </w:pPr>
    </w:p>
    <w:p>
      <w:pPr>
        <w:ind w:right="60" w:firstLine="5"/>
        <w:spacing w:after="0" w:line="297" w:lineRule="auto"/>
        <w:tabs>
          <w:tab w:leader="none" w:pos="291"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8" w:lineRule="exact"/>
        <w:rPr>
          <w:rFonts w:ascii="Arial" w:cs="Arial" w:eastAsia="Arial" w:hAnsi="Arial"/>
          <w:sz w:val="14"/>
          <w:szCs w:val="14"/>
          <w:color w:val="auto"/>
        </w:rPr>
      </w:pPr>
    </w:p>
    <w:p>
      <w:pPr>
        <w:ind w:left="300" w:hanging="295"/>
        <w:spacing w:after="0"/>
        <w:tabs>
          <w:tab w:leader="none" w:pos="3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company’s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Date: April 14, 2023</w:t>
      </w:r>
    </w:p>
    <w:p>
      <w:pPr>
        <w:spacing w:after="0" w:line="200" w:lineRule="exact"/>
        <w:rPr>
          <w:sz w:val="20"/>
          <w:szCs w:val="20"/>
          <w:color w:val="auto"/>
        </w:rPr>
      </w:pPr>
    </w:p>
    <w:p>
      <w:pPr>
        <w:spacing w:after="0" w:line="265" w:lineRule="exact"/>
        <w:rPr>
          <w:sz w:val="20"/>
          <w:szCs w:val="20"/>
          <w:color w:val="auto"/>
        </w:rPr>
      </w:pPr>
    </w:p>
    <w:tbl>
      <w:tblPr>
        <w:tblLayout w:type="fixed"/>
        <w:tblInd w:w="3440" w:type="dxa"/>
        <w:tblCellMar>
          <w:top w:w="0" w:type="dxa"/>
          <w:left w:w="0" w:type="dxa"/>
          <w:bottom w:w="0" w:type="dxa"/>
          <w:right w:w="0" w:type="dxa"/>
        </w:tblCellMar>
      </w:tblPr>
      <w:tr>
        <w:trPr>
          <w:trHeight w:val="180"/>
        </w:trPr>
        <w:tc>
          <w:tcPr>
            <w:tcW w:w="1040" w:type="dxa"/>
            <w:vAlign w:val="bottom"/>
          </w:tcPr>
          <w:p>
            <w:pPr>
              <w:spacing w:after="0"/>
              <w:rPr>
                <w:sz w:val="20"/>
                <w:szCs w:val="20"/>
                <w:color w:val="auto"/>
              </w:rPr>
            </w:pPr>
            <w:r>
              <w:rPr>
                <w:rFonts w:ascii="Arial" w:cs="Arial" w:eastAsia="Arial" w:hAnsi="Arial"/>
                <w:sz w:val="14"/>
                <w:szCs w:val="14"/>
                <w:color w:val="auto"/>
              </w:rPr>
              <w:t>By:</w:t>
            </w:r>
          </w:p>
        </w:tc>
        <w:tc>
          <w:tcPr>
            <w:tcW w:w="2780" w:type="dxa"/>
            <w:vAlign w:val="bottom"/>
          </w:tcPr>
          <w:p>
            <w:pPr>
              <w:ind w:left="40"/>
              <w:spacing w:after="0"/>
              <w:rPr>
                <w:sz w:val="20"/>
                <w:szCs w:val="20"/>
                <w:color w:val="auto"/>
              </w:rPr>
            </w:pPr>
            <w:r>
              <w:rPr>
                <w:rFonts w:ascii="Arial" w:cs="Arial" w:eastAsia="Arial" w:hAnsi="Arial"/>
                <w:sz w:val="14"/>
                <w:szCs w:val="14"/>
                <w:color w:val="auto"/>
              </w:rPr>
              <w:t>/s/ Dr. Thomas Caulfield</w:t>
            </w:r>
          </w:p>
        </w:tc>
        <w:tc>
          <w:tcPr>
            <w:tcW w:w="0" w:type="dxa"/>
            <w:vAlign w:val="bottom"/>
          </w:tcPr>
          <w:p>
            <w:pPr>
              <w:spacing w:after="0"/>
              <w:rPr>
                <w:sz w:val="1"/>
                <w:szCs w:val="1"/>
                <w:color w:val="auto"/>
              </w:rPr>
            </w:pPr>
          </w:p>
        </w:tc>
      </w:tr>
      <w:tr>
        <w:trPr>
          <w:trHeight w:val="32"/>
        </w:trPr>
        <w:tc>
          <w:tcPr>
            <w:tcW w:w="104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40" w:type="dxa"/>
            <w:vAlign w:val="bottom"/>
            <w:vMerge w:val="continue"/>
          </w:tcPr>
          <w:p>
            <w:pPr>
              <w:spacing w:after="0"/>
              <w:rPr>
                <w:sz w:val="15"/>
                <w:szCs w:val="15"/>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auto"/>
              </w:rPr>
              <w:t>Dr. Thomas Caulfield</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4"/>
                <w:szCs w:val="14"/>
                <w:color w:val="auto"/>
              </w:rPr>
              <w:t>Title</w:t>
            </w:r>
          </w:p>
        </w:tc>
        <w:tc>
          <w:tcPr>
            <w:tcW w:w="2780" w:type="dxa"/>
            <w:vAlign w:val="bottom"/>
          </w:tcPr>
          <w:p>
            <w:pPr>
              <w:ind w:left="40"/>
              <w:spacing w:after="0"/>
              <w:rPr>
                <w:sz w:val="20"/>
                <w:szCs w:val="20"/>
                <w:color w:val="auto"/>
              </w:rPr>
            </w:pPr>
            <w:r>
              <w:rPr>
                <w:rFonts w:ascii="Arial" w:cs="Arial" w:eastAsia="Arial" w:hAnsi="Arial"/>
                <w:sz w:val="14"/>
                <w:szCs w:val="14"/>
                <w:color w:val="auto"/>
              </w:rPr>
              <w:t>President &amp; Chief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43" w:right="319" w:bottom="1440" w:gutter="0" w:footer="0" w:header="0"/>
        </w:sectPr>
      </w:pPr>
    </w:p>
    <w:bookmarkStart w:id="157" w:name="page158"/>
    <w:bookmarkEnd w:id="1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rFonts w:ascii="Arial" w:cs="Arial" w:eastAsia="Arial" w:hAnsi="Arial"/>
          <w:sz w:val="16"/>
          <w:szCs w:val="16"/>
          <w:b w:val="1"/>
          <w:bCs w:val="1"/>
          <w:color w:val="auto"/>
        </w:rPr>
        <w:t>Exhibit 12.2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I, David Reeder, certify that:</w:t>
      </w:r>
    </w:p>
    <w:p>
      <w:pPr>
        <w:spacing w:after="0" w:line="136" w:lineRule="exact"/>
        <w:rPr>
          <w:sz w:val="20"/>
          <w:szCs w:val="20"/>
          <w:color w:val="auto"/>
        </w:rPr>
      </w:pPr>
    </w:p>
    <w:p>
      <w:pPr>
        <w:ind w:left="260" w:hanging="255"/>
        <w:spacing w:after="0"/>
        <w:tabs>
          <w:tab w:leader="none" w:pos="2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 have reviewed this annual report on Form 20-F of GLOBALFOUNDRIES Inc.;</w:t>
      </w:r>
    </w:p>
    <w:p>
      <w:pPr>
        <w:spacing w:after="0" w:line="125" w:lineRule="exact"/>
        <w:rPr>
          <w:rFonts w:ascii="Arial" w:cs="Arial" w:eastAsia="Arial" w:hAnsi="Arial"/>
          <w:sz w:val="14"/>
          <w:szCs w:val="14"/>
          <w:color w:val="auto"/>
        </w:rPr>
      </w:pPr>
    </w:p>
    <w:p>
      <w:pPr>
        <w:ind w:right="160" w:firstLine="5"/>
        <w:spacing w:after="0" w:line="297" w:lineRule="auto"/>
        <w:tabs>
          <w:tab w:leader="none" w:pos="24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4"/>
          <w:szCs w:val="14"/>
          <w:color w:val="auto"/>
        </w:rPr>
      </w:pPr>
    </w:p>
    <w:p>
      <w:pPr>
        <w:ind w:right="220" w:firstLine="5"/>
        <w:spacing w:after="0" w:line="297" w:lineRule="auto"/>
        <w:tabs>
          <w:tab w:leader="none" w:pos="24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8" w:lineRule="exact"/>
        <w:rPr>
          <w:rFonts w:ascii="Arial" w:cs="Arial" w:eastAsia="Arial" w:hAnsi="Arial"/>
          <w:sz w:val="14"/>
          <w:szCs w:val="14"/>
          <w:color w:val="auto"/>
        </w:rPr>
      </w:pPr>
    </w:p>
    <w:p>
      <w:pPr>
        <w:ind w:right="80" w:firstLine="5"/>
        <w:spacing w:after="0" w:line="297" w:lineRule="auto"/>
        <w:tabs>
          <w:tab w:leader="none" w:pos="245"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8" w:lineRule="exact"/>
        <w:rPr>
          <w:sz w:val="20"/>
          <w:szCs w:val="20"/>
          <w:color w:val="auto"/>
        </w:rPr>
      </w:pPr>
    </w:p>
    <w:p>
      <w:pPr>
        <w:ind w:right="280" w:firstLine="5"/>
        <w:spacing w:after="0" w:line="338" w:lineRule="auto"/>
        <w:tabs>
          <w:tab w:leader="none" w:pos="29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3"/>
          <w:szCs w:val="13"/>
          <w:color w:val="auto"/>
        </w:rPr>
      </w:pPr>
    </w:p>
    <w:p>
      <w:pPr>
        <w:ind w:right="120" w:firstLine="5"/>
        <w:spacing w:after="0" w:line="338" w:lineRule="auto"/>
        <w:tabs>
          <w:tab w:leader="none" w:pos="306" w:val="left"/>
        </w:tabs>
        <w:numPr>
          <w:ilvl w:val="0"/>
          <w:numId w:val="11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3"/>
          <w:szCs w:val="13"/>
          <w:color w:val="auto"/>
        </w:rPr>
      </w:pPr>
    </w:p>
    <w:p>
      <w:pPr>
        <w:ind w:right="60" w:firstLine="5"/>
        <w:spacing w:after="0" w:line="297" w:lineRule="auto"/>
        <w:tabs>
          <w:tab w:leader="none" w:pos="298" w:val="left"/>
        </w:tabs>
        <w:numPr>
          <w:ilvl w:val="0"/>
          <w:numId w:val="118"/>
        </w:numPr>
        <w:rPr>
          <w:rFonts w:ascii="Arial" w:cs="Arial" w:eastAsia="Arial" w:hAnsi="Arial"/>
          <w:sz w:val="14"/>
          <w:szCs w:val="14"/>
          <w:color w:val="auto"/>
        </w:rPr>
      </w:pPr>
      <w:r>
        <w:rPr>
          <w:rFonts w:ascii="Arial" w:cs="Arial" w:eastAsia="Arial" w:hAnsi="Arial"/>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4"/>
          <w:szCs w:val="14"/>
          <w:color w:val="auto"/>
        </w:rPr>
      </w:pPr>
    </w:p>
    <w:p>
      <w:pPr>
        <w:ind w:right="380" w:firstLine="5"/>
        <w:spacing w:after="0" w:line="281" w:lineRule="auto"/>
        <w:tabs>
          <w:tab w:leader="none" w:pos="30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0" w:lineRule="exact"/>
        <w:rPr>
          <w:sz w:val="20"/>
          <w:szCs w:val="20"/>
          <w:color w:val="auto"/>
        </w:rPr>
      </w:pPr>
    </w:p>
    <w:p>
      <w:pPr>
        <w:ind w:right="40" w:firstLine="5"/>
        <w:spacing w:after="0" w:line="281" w:lineRule="auto"/>
        <w:tabs>
          <w:tab w:leader="none" w:pos="245"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90" w:lineRule="exact"/>
        <w:rPr>
          <w:sz w:val="20"/>
          <w:szCs w:val="20"/>
          <w:color w:val="auto"/>
        </w:rPr>
      </w:pPr>
    </w:p>
    <w:p>
      <w:pPr>
        <w:ind w:right="60" w:firstLine="5"/>
        <w:spacing w:after="0" w:line="281" w:lineRule="auto"/>
        <w:tabs>
          <w:tab w:leader="none" w:pos="29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89" w:lineRule="exact"/>
        <w:rPr>
          <w:rFonts w:ascii="Arial" w:cs="Arial" w:eastAsia="Arial" w:hAnsi="Arial"/>
          <w:sz w:val="14"/>
          <w:szCs w:val="14"/>
          <w:color w:val="auto"/>
        </w:rPr>
      </w:pPr>
    </w:p>
    <w:p>
      <w:pPr>
        <w:ind w:left="300" w:hanging="295"/>
        <w:spacing w:after="0"/>
        <w:tabs>
          <w:tab w:leader="none" w:pos="3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company’s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Date: April 14,2023</w:t>
      </w:r>
    </w:p>
    <w:p>
      <w:pPr>
        <w:spacing w:after="0" w:line="168" w:lineRule="exact"/>
        <w:rPr>
          <w:sz w:val="20"/>
          <w:szCs w:val="20"/>
          <w:color w:val="auto"/>
        </w:rPr>
      </w:pPr>
    </w:p>
    <w:tbl>
      <w:tblPr>
        <w:tblLayout w:type="fixed"/>
        <w:tblInd w:w="3440" w:type="dxa"/>
        <w:tblCellMar>
          <w:top w:w="0" w:type="dxa"/>
          <w:left w:w="0" w:type="dxa"/>
          <w:bottom w:w="0" w:type="dxa"/>
          <w:right w:w="0" w:type="dxa"/>
        </w:tblCellMar>
      </w:tblPr>
      <w:tr>
        <w:trPr>
          <w:trHeight w:val="180"/>
        </w:trPr>
        <w:tc>
          <w:tcPr>
            <w:tcW w:w="1040" w:type="dxa"/>
            <w:vAlign w:val="bottom"/>
          </w:tcPr>
          <w:p>
            <w:pPr>
              <w:spacing w:after="0"/>
              <w:rPr>
                <w:sz w:val="20"/>
                <w:szCs w:val="20"/>
                <w:color w:val="auto"/>
              </w:rPr>
            </w:pPr>
            <w:r>
              <w:rPr>
                <w:rFonts w:ascii="Arial" w:cs="Arial" w:eastAsia="Arial" w:hAnsi="Arial"/>
                <w:sz w:val="14"/>
                <w:szCs w:val="14"/>
                <w:color w:val="auto"/>
              </w:rPr>
              <w:t>By:</w:t>
            </w:r>
          </w:p>
        </w:tc>
        <w:tc>
          <w:tcPr>
            <w:tcW w:w="2780" w:type="dxa"/>
            <w:vAlign w:val="bottom"/>
          </w:tcPr>
          <w:p>
            <w:pPr>
              <w:ind w:left="40"/>
              <w:spacing w:after="0"/>
              <w:rPr>
                <w:sz w:val="20"/>
                <w:szCs w:val="20"/>
                <w:color w:val="auto"/>
              </w:rPr>
            </w:pPr>
            <w:r>
              <w:rPr>
                <w:rFonts w:ascii="Arial" w:cs="Arial" w:eastAsia="Arial" w:hAnsi="Arial"/>
                <w:sz w:val="14"/>
                <w:szCs w:val="14"/>
                <w:color w:val="auto"/>
              </w:rPr>
              <w:t>/s/ David Reeder</w:t>
            </w:r>
          </w:p>
        </w:tc>
        <w:tc>
          <w:tcPr>
            <w:tcW w:w="0" w:type="dxa"/>
            <w:vAlign w:val="bottom"/>
          </w:tcPr>
          <w:p>
            <w:pPr>
              <w:spacing w:after="0"/>
              <w:rPr>
                <w:sz w:val="1"/>
                <w:szCs w:val="1"/>
                <w:color w:val="auto"/>
              </w:rPr>
            </w:pPr>
          </w:p>
        </w:tc>
      </w:tr>
      <w:tr>
        <w:trPr>
          <w:trHeight w:val="32"/>
        </w:trPr>
        <w:tc>
          <w:tcPr>
            <w:tcW w:w="104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40" w:type="dxa"/>
            <w:vAlign w:val="bottom"/>
            <w:vMerge w:val="continue"/>
          </w:tcPr>
          <w:p>
            <w:pPr>
              <w:spacing w:after="0"/>
              <w:rPr>
                <w:sz w:val="15"/>
                <w:szCs w:val="15"/>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auto"/>
              </w:rPr>
              <w:t>David Reeder</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4"/>
                <w:szCs w:val="14"/>
                <w:color w:val="auto"/>
              </w:rPr>
              <w:t>Title</w:t>
            </w:r>
          </w:p>
        </w:tc>
        <w:tc>
          <w:tcPr>
            <w:tcW w:w="2780" w:type="dxa"/>
            <w:vAlign w:val="bottom"/>
          </w:tcPr>
          <w:p>
            <w:pPr>
              <w:ind w:left="4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50"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6"/>
          <w:szCs w:val="16"/>
          <w:b w:val="1"/>
          <w:bCs w:val="1"/>
          <w:color w:val="auto"/>
        </w:rPr>
        <w:t>Exhibit 13.1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(Subsections (a) and (b) of Section 1350, Chapter 63 of Title 18, United States Code)</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each of the undersigned officers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GLOBALFOUNDRIES Inc. (the “Company”), does hereby certify, to such officer’s knowledge, that:</w:t>
      </w:r>
    </w:p>
    <w:p>
      <w:pPr>
        <w:spacing w:after="0" w:line="118"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The Annual Report on Form 20-F for the year ended December 31, 2022 (the “Form 20-F”)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Date: April 14,2023</w:t>
      </w:r>
    </w:p>
    <w:p>
      <w:pPr>
        <w:spacing w:after="0" w:line="166" w:lineRule="exact"/>
        <w:rPr>
          <w:sz w:val="20"/>
          <w:szCs w:val="20"/>
          <w:color w:val="auto"/>
        </w:rPr>
      </w:pPr>
    </w:p>
    <w:tbl>
      <w:tblPr>
        <w:tblLayout w:type="fixed"/>
        <w:tblInd w:w="3440" w:type="dxa"/>
        <w:tblCellMar>
          <w:top w:w="0" w:type="dxa"/>
          <w:left w:w="0" w:type="dxa"/>
          <w:bottom w:w="0" w:type="dxa"/>
          <w:right w:w="0" w:type="dxa"/>
        </w:tblCellMar>
      </w:tblPr>
      <w:tr>
        <w:trPr>
          <w:trHeight w:val="205"/>
        </w:trPr>
        <w:tc>
          <w:tcPr>
            <w:tcW w:w="1040" w:type="dxa"/>
            <w:vAlign w:val="bottom"/>
          </w:tcPr>
          <w:p>
            <w:pPr>
              <w:spacing w:after="0"/>
              <w:rPr>
                <w:sz w:val="20"/>
                <w:szCs w:val="20"/>
                <w:color w:val="auto"/>
              </w:rPr>
            </w:pPr>
            <w:r>
              <w:rPr>
                <w:rFonts w:ascii="Arial" w:cs="Arial" w:eastAsia="Arial" w:hAnsi="Arial"/>
                <w:sz w:val="16"/>
                <w:szCs w:val="16"/>
                <w:color w:val="auto"/>
              </w:rPr>
              <w:t>By:</w:t>
            </w: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Dr. Thomas Caulfield</w:t>
            </w: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Name:</w:t>
            </w:r>
          </w:p>
        </w:tc>
        <w:tc>
          <w:tcPr>
            <w:tcW w:w="2780" w:type="dxa"/>
            <w:vAlign w:val="bottom"/>
          </w:tcPr>
          <w:p>
            <w:pPr>
              <w:ind w:left="40"/>
              <w:spacing w:after="0"/>
              <w:rPr>
                <w:sz w:val="20"/>
                <w:szCs w:val="20"/>
                <w:color w:val="auto"/>
              </w:rPr>
            </w:pPr>
            <w:r>
              <w:rPr>
                <w:rFonts w:ascii="Arial" w:cs="Arial" w:eastAsia="Arial" w:hAnsi="Arial"/>
                <w:sz w:val="16"/>
                <w:szCs w:val="16"/>
                <w:color w:val="auto"/>
              </w:rPr>
              <w:t>Dr. Thomas Caulfield</w:t>
            </w:r>
          </w:p>
        </w:tc>
      </w:tr>
      <w:tr>
        <w:trPr>
          <w:trHeight w:val="233"/>
        </w:trPr>
        <w:tc>
          <w:tcPr>
            <w:tcW w:w="1040" w:type="dxa"/>
            <w:vAlign w:val="bottom"/>
          </w:tcPr>
          <w:p>
            <w:pPr>
              <w:spacing w:after="0"/>
              <w:rPr>
                <w:sz w:val="20"/>
                <w:szCs w:val="20"/>
                <w:color w:val="auto"/>
              </w:rPr>
            </w:pPr>
            <w:r>
              <w:rPr>
                <w:rFonts w:ascii="Arial" w:cs="Arial" w:eastAsia="Arial" w:hAnsi="Arial"/>
                <w:sz w:val="16"/>
                <w:szCs w:val="16"/>
                <w:color w:val="auto"/>
              </w:rPr>
              <w:t>Title</w:t>
            </w:r>
          </w:p>
        </w:tc>
        <w:tc>
          <w:tcPr>
            <w:tcW w:w="2780" w:type="dxa"/>
            <w:vAlign w:val="bottom"/>
          </w:tcPr>
          <w:p>
            <w:pPr>
              <w:ind w:left="40"/>
              <w:spacing w:after="0"/>
              <w:rPr>
                <w:sz w:val="20"/>
                <w:szCs w:val="20"/>
                <w:color w:val="auto"/>
              </w:rPr>
            </w:pPr>
            <w:r>
              <w:rPr>
                <w:rFonts w:ascii="Arial" w:cs="Arial" w:eastAsia="Arial" w:hAnsi="Arial"/>
                <w:sz w:val="16"/>
                <w:szCs w:val="16"/>
                <w:color w:val="auto"/>
              </w:rPr>
              <w:t>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Date: April 14, 2023</w:t>
      </w:r>
    </w:p>
    <w:p>
      <w:pPr>
        <w:spacing w:after="0" w:line="200" w:lineRule="exact"/>
        <w:rPr>
          <w:sz w:val="20"/>
          <w:szCs w:val="20"/>
          <w:color w:val="auto"/>
        </w:rPr>
      </w:pPr>
    </w:p>
    <w:p>
      <w:pPr>
        <w:spacing w:after="0" w:line="274" w:lineRule="exact"/>
        <w:rPr>
          <w:sz w:val="20"/>
          <w:szCs w:val="20"/>
          <w:color w:val="auto"/>
        </w:rPr>
      </w:pPr>
    </w:p>
    <w:tbl>
      <w:tblPr>
        <w:tblLayout w:type="fixed"/>
        <w:tblInd w:w="3440" w:type="dxa"/>
        <w:tblCellMar>
          <w:top w:w="0" w:type="dxa"/>
          <w:left w:w="0" w:type="dxa"/>
          <w:bottom w:w="0" w:type="dxa"/>
          <w:right w:w="0" w:type="dxa"/>
        </w:tblCellMar>
      </w:tblPr>
      <w:tr>
        <w:trPr>
          <w:trHeight w:val="205"/>
        </w:trPr>
        <w:tc>
          <w:tcPr>
            <w:tcW w:w="1040" w:type="dxa"/>
            <w:vAlign w:val="bottom"/>
          </w:tcPr>
          <w:p>
            <w:pPr>
              <w:spacing w:after="0"/>
              <w:rPr>
                <w:sz w:val="20"/>
                <w:szCs w:val="20"/>
                <w:color w:val="auto"/>
              </w:rPr>
            </w:pPr>
            <w:r>
              <w:rPr>
                <w:rFonts w:ascii="Arial" w:cs="Arial" w:eastAsia="Arial" w:hAnsi="Arial"/>
                <w:sz w:val="16"/>
                <w:szCs w:val="16"/>
                <w:color w:val="auto"/>
              </w:rPr>
              <w:t>By:</w:t>
            </w:r>
          </w:p>
        </w:tc>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David Reeder</w:t>
            </w: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Name:</w:t>
            </w:r>
          </w:p>
        </w:tc>
        <w:tc>
          <w:tcPr>
            <w:tcW w:w="2780" w:type="dxa"/>
            <w:vAlign w:val="bottom"/>
          </w:tcPr>
          <w:p>
            <w:pPr>
              <w:ind w:left="40"/>
              <w:spacing w:after="0"/>
              <w:rPr>
                <w:sz w:val="20"/>
                <w:szCs w:val="20"/>
                <w:color w:val="auto"/>
              </w:rPr>
            </w:pPr>
            <w:r>
              <w:rPr>
                <w:rFonts w:ascii="Arial" w:cs="Arial" w:eastAsia="Arial" w:hAnsi="Arial"/>
                <w:sz w:val="16"/>
                <w:szCs w:val="16"/>
                <w:color w:val="auto"/>
              </w:rPr>
              <w:t>David Reeder</w:t>
            </w:r>
          </w:p>
        </w:tc>
      </w:tr>
      <w:tr>
        <w:trPr>
          <w:trHeight w:val="233"/>
        </w:trPr>
        <w:tc>
          <w:tcPr>
            <w:tcW w:w="1040" w:type="dxa"/>
            <w:vAlign w:val="bottom"/>
          </w:tcPr>
          <w:p>
            <w:pPr>
              <w:spacing w:after="0"/>
              <w:rPr>
                <w:sz w:val="20"/>
                <w:szCs w:val="20"/>
                <w:color w:val="auto"/>
              </w:rPr>
            </w:pPr>
            <w:r>
              <w:rPr>
                <w:rFonts w:ascii="Arial" w:cs="Arial" w:eastAsia="Arial" w:hAnsi="Arial"/>
                <w:sz w:val="16"/>
                <w:szCs w:val="16"/>
                <w:color w:val="auto"/>
              </w:rPr>
              <w:t>Title</w:t>
            </w:r>
          </w:p>
        </w:tc>
        <w:tc>
          <w:tcPr>
            <w:tcW w:w="278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80"/>
          </w:cols>
          <w:pgMar w:left="300" w:top="1150"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65" w:lineRule="exact"/>
        <w:rPr>
          <w:sz w:val="20"/>
          <w:szCs w:val="20"/>
          <w:color w:val="auto"/>
        </w:rPr>
      </w:pPr>
    </w:p>
    <w:p>
      <w:pPr>
        <w:ind w:right="520"/>
        <w:spacing w:after="0" w:line="313" w:lineRule="auto"/>
        <w:rPr>
          <w:sz w:val="20"/>
          <w:szCs w:val="20"/>
          <w:color w:val="auto"/>
        </w:rPr>
      </w:pPr>
      <w:r>
        <w:rPr>
          <w:rFonts w:ascii="Arial" w:cs="Arial" w:eastAsia="Arial" w:hAnsi="Arial"/>
          <w:sz w:val="14"/>
          <w:szCs w:val="14"/>
          <w:color w:val="auto"/>
        </w:rPr>
        <w:t>We consent to the incorporation by reference in the registration statement (No. 333-260674) on Form S-8 of our report dated April 14, 2023, with respect to the consolidated financial statements of GLOBALFOUNDRIES Inc. and subsidiaries and the effectiveness of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rPr>
          <w:sz w:val="20"/>
          <w:szCs w:val="20"/>
          <w:color w:val="auto"/>
        </w:rPr>
      </w:pPr>
      <w:r>
        <w:rPr>
          <w:rFonts w:ascii="Arial" w:cs="Arial" w:eastAsia="Arial" w:hAnsi="Arial"/>
          <w:sz w:val="14"/>
          <w:szCs w:val="14"/>
          <w:color w:val="auto"/>
        </w:rPr>
        <w:t>April 14, 2023</w:t>
      </w:r>
    </w:p>
    <w:p>
      <w:pPr>
        <w:sectPr>
          <w:pgSz w:w="11900" w:h="16838" w:orient="portrait"/>
          <w:cols w:equalWidth="0" w:num="1">
            <w:col w:w="11280"/>
          </w:cols>
          <w:pgMar w:left="300" w:top="149"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color w:val="auto"/>
        </w:rPr>
        <w:t>Exhibit 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84" w:lineRule="exact"/>
        <w:rPr>
          <w:sz w:val="20"/>
          <w:szCs w:val="20"/>
          <w:color w:val="auto"/>
        </w:rPr>
      </w:pPr>
    </w:p>
    <w:p>
      <w:pPr>
        <w:ind w:right="760" w:firstLine="127"/>
        <w:spacing w:after="0" w:line="200" w:lineRule="auto"/>
        <w:rPr>
          <w:sz w:val="20"/>
          <w:szCs w:val="20"/>
          <w:color w:val="auto"/>
        </w:rPr>
      </w:pPr>
      <w:r>
        <w:rPr>
          <w:rFonts w:ascii="Arial" w:cs="Arial" w:eastAsia="Arial" w:hAnsi="Arial"/>
          <w:sz w:val="16"/>
          <w:szCs w:val="16"/>
          <w:color w:val="auto"/>
        </w:rPr>
        <w:t>We consent to the incorporation by reference in the Registration Statement (Form S-8 No. 333-260674) pertaining to the 2021 Equity Compensation Plan, 2021 Employee Stock Purchase Plan, 2018 Share Incentive Plan, and 2017 Share Incentive Plan of our report dated</w:t>
      </w:r>
    </w:p>
    <w:p>
      <w:pPr>
        <w:spacing w:after="0" w:line="208" w:lineRule="auto"/>
        <w:rPr>
          <w:sz w:val="20"/>
          <w:szCs w:val="20"/>
          <w:color w:val="auto"/>
        </w:rPr>
      </w:pPr>
      <w:r>
        <w:rPr>
          <w:rFonts w:ascii="Arial" w:cs="Arial" w:eastAsia="Arial" w:hAnsi="Arial"/>
          <w:sz w:val="16"/>
          <w:szCs w:val="16"/>
          <w:color w:val="auto"/>
        </w:rPr>
        <w:t>August 6, 2021 (except for the effects of the 1-for-2 reserve share split discussed in the first paragraph of Note 19, as to which the date is</w:t>
      </w:r>
    </w:p>
    <w:p>
      <w:pPr>
        <w:spacing w:after="0" w:line="1" w:lineRule="exact"/>
        <w:rPr>
          <w:sz w:val="20"/>
          <w:szCs w:val="20"/>
          <w:color w:val="auto"/>
        </w:rPr>
      </w:pPr>
    </w:p>
    <w:p>
      <w:pPr>
        <w:ind w:right="780"/>
        <w:spacing w:after="0" w:line="218" w:lineRule="auto"/>
        <w:rPr>
          <w:sz w:val="20"/>
          <w:szCs w:val="20"/>
          <w:color w:val="auto"/>
        </w:rPr>
      </w:pPr>
      <w:r>
        <w:rPr>
          <w:rFonts w:ascii="Arial" w:cs="Arial" w:eastAsia="Arial" w:hAnsi="Arial"/>
          <w:sz w:val="16"/>
          <w:szCs w:val="16"/>
          <w:color w:val="auto"/>
        </w:rPr>
        <w:t>September 13, 2021), with respect to the consolidated financial statements of GLOBALFOUNDRIES Inc. for the year ended December 31, 2020 included in this Annual Report (Form 20-F) for the year ended December 31, 2022.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April 14, 2023</w:t>
      </w:r>
    </w:p>
    <w:sectPr>
      <w:pgSz w:w="11900" w:h="16838" w:orient="portrait"/>
      <w:cols w:equalWidth="0" w:num="1">
        <w:col w:w="10580"/>
      </w:cols>
      <w:pgMar w:left="1000" w:top="1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o"/>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o"/>
      <w:numFmt w:val="bullet"/>
      <w:start w:val="1"/>
    </w:lvl>
  </w:abstractNum>
  <w:abstractNum w:abstractNumId="3">
    <w:nsid w:val="61574095"/>
    <w:multiLevelType w:val="hybridMultilevel"/>
    <w:lvl w:ilvl="0">
      <w:lvlJc w:val="left"/>
      <w:lvlText w:val="o"/>
      <w:numFmt w:val="bullet"/>
      <w:start w:val="1"/>
    </w:lvl>
  </w:abstractNum>
  <w:abstractNum w:abstractNumId="4">
    <w:nsid w:val="7E0C57B1"/>
    <w:multiLevelType w:val="hybridMultilevel"/>
    <w:lvl w:ilvl="0">
      <w:lvlJc w:val="left"/>
      <w:lvlText w:val="%1"/>
      <w:numFmt w:val="decimal"/>
      <w:start w:val="400"/>
    </w:lvl>
    <w:lvl w:ilvl="1">
      <w:lvlJc w:val="left"/>
      <w:lvlText w:val="(%2)"/>
      <w:numFmt w:val="decimal"/>
      <w:start w:val="518"/>
    </w:lvl>
  </w:abstractNum>
  <w:abstractNum w:abstractNumId="5">
    <w:nsid w:val="77AE35EB"/>
    <w:multiLevelType w:val="hybridMultilevel"/>
    <w:lvl w:ilvl="0">
      <w:lvlJc w:val="left"/>
      <w:lvlText w:val="(%1)"/>
      <w:numFmt w:val="decimal"/>
      <w:start w:val="518"/>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1."/>
      <w:numFmt w:val="upperLetter"/>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1."/>
      <w:numFmt w:val="upperLetter"/>
      <w:start w:val="1"/>
    </w:lvl>
  </w:abstractNum>
  <w:abstractNum w:abstractNumId="26">
    <w:nsid w:val="661E3F1E"/>
    <w:multiLevelType w:val="hybridMultilevel"/>
    <w:lvl w:ilvl="0">
      <w:lvlJc w:val="left"/>
      <w:lvlText w:val="%1."/>
      <w:numFmt w:val="upperLetter"/>
      <w:start w:val="2"/>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1."/>
      <w:numFmt w:val="upperLetter"/>
      <w:start w:val="3"/>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1."/>
      <w:numFmt w:val="upperLetter"/>
      <w:start w:val="4"/>
    </w:lvl>
  </w:abstractNum>
  <w:abstractNum w:abstractNumId="34">
    <w:nsid w:val="42963E5A"/>
    <w:multiLevelType w:val="hybridMultilevel"/>
    <w:lvl w:ilvl="0">
      <w:lvlJc w:val="left"/>
      <w:lvlText w:val="(%1)"/>
      <w:numFmt w:val="decimal"/>
      <w:start w:val="1"/>
    </w:lvl>
  </w:abstractNum>
  <w:abstractNum w:abstractNumId="35">
    <w:nsid w:val="A0382C5"/>
    <w:multiLevelType w:val="hybridMultilevel"/>
    <w:lvl w:ilvl="0">
      <w:lvlJc w:val="left"/>
      <w:lvlText w:val="%1."/>
      <w:numFmt w:val="upperLetter"/>
      <w:start w:val="2"/>
    </w:lvl>
  </w:abstractNum>
  <w:abstractNum w:abstractNumId="36">
    <w:nsid w:val="8F2B15E"/>
    <w:multiLevelType w:val="hybridMultilevel"/>
    <w:lvl w:ilvl="0">
      <w:lvlJc w:val="left"/>
      <w:lvlText w:val="%1."/>
      <w:numFmt w:val="upperLetter"/>
      <w:start w:val="3"/>
    </w:lvl>
  </w:abstractNum>
  <w:abstractNum w:abstractNumId="37">
    <w:nsid w:val="1A32234B"/>
    <w:multiLevelType w:val="hybridMultilevel"/>
    <w:lvl w:ilvl="0">
      <w:lvlJc w:val="left"/>
      <w:lvlText w:val="%1."/>
      <w:numFmt w:val="upperLetter"/>
      <w:start w:val="4"/>
    </w:lvl>
  </w:abstractNum>
  <w:abstractNum w:abstractNumId="38">
    <w:nsid w:val="3B0FD379"/>
    <w:multiLevelType w:val="hybridMultilevel"/>
    <w:lvl w:ilvl="0">
      <w:lvlJc w:val="left"/>
      <w:lvlText w:val="%1."/>
      <w:numFmt w:val="upperLetter"/>
      <w:start w:val="1"/>
    </w:lvl>
  </w:abstractNum>
  <w:abstractNum w:abstractNumId="39">
    <w:nsid w:val="68EB2F63"/>
    <w:multiLevelType w:val="hybridMultilevel"/>
    <w:lvl w:ilvl="0">
      <w:lvlJc w:val="left"/>
      <w:lvlText w:val="%1."/>
      <w:numFmt w:val="upperLetter"/>
      <w:start w:val="2"/>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lvl w:ilvl="1">
      <w:lvlJc w:val="left"/>
      <w:lvlText w:val="◦"/>
      <w:numFmt w:val="bullet"/>
      <w:start w:val="1"/>
    </w:lvl>
  </w:abstractNum>
  <w:abstractNum w:abstractNumId="43">
    <w:nsid w:val="14330624"/>
    <w:multiLevelType w:val="hybridMultilevel"/>
    <w:lvl w:ilvl="0">
      <w:lvlJc w:val="left"/>
      <w:lvlText w:val="%1."/>
      <w:numFmt w:val="upperLetter"/>
      <w:start w:val="3"/>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1."/>
      <w:numFmt w:val="upperLetter"/>
      <w:start w:val="4"/>
    </w:lvl>
  </w:abstractNum>
  <w:abstractNum w:abstractNumId="49">
    <w:nsid w:val="6EB5BD4"/>
    <w:multiLevelType w:val="hybridMultilevel"/>
    <w:lvl w:ilvl="0">
      <w:lvlJc w:val="left"/>
      <w:lvlText w:val="%1."/>
      <w:numFmt w:val="upperLetter"/>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1."/>
      <w:numFmt w:val="upperLetter"/>
      <w:start w:val="3"/>
    </w:lvl>
  </w:abstractNum>
  <w:abstractNum w:abstractNumId="53">
    <w:nsid w:val="76272110"/>
    <w:multiLevelType w:val="hybridMultilevel"/>
    <w:lvl w:ilvl="0">
      <w:lvlJc w:val="left"/>
      <w:lvlText w:val="%1."/>
      <w:numFmt w:val="upperLetter"/>
      <w:start w:val="1"/>
    </w:lvl>
  </w:abstractNum>
  <w:abstractNum w:abstractNumId="54">
    <w:nsid w:val="4C04A8AF"/>
    <w:multiLevelType w:val="hybridMultilevel"/>
    <w:lvl w:ilvl="0">
      <w:lvlJc w:val="left"/>
      <w:lvlText w:val="%1."/>
      <w:numFmt w:val="upperLetter"/>
      <w:start w:val="2"/>
    </w:lvl>
  </w:abstractNum>
  <w:abstractNum w:abstractNumId="55">
    <w:nsid w:val="1716703B"/>
    <w:multiLevelType w:val="hybridMultilevel"/>
    <w:lvl w:ilvl="0">
      <w:lvlJc w:val="left"/>
      <w:lvlText w:val="%1."/>
      <w:numFmt w:val="upperLetter"/>
      <w:start w:val="1"/>
    </w:lvl>
  </w:abstractNum>
  <w:abstractNum w:abstractNumId="56">
    <w:nsid w:val="14E17E33"/>
    <w:multiLevelType w:val="hybridMultilevel"/>
    <w:lvl w:ilvl="0">
      <w:lvlJc w:val="left"/>
      <w:lvlText w:val="%1."/>
      <w:numFmt w:val="upperLetter"/>
      <w:start w:val="2"/>
    </w:lvl>
  </w:abstractNum>
  <w:abstractNum w:abstractNumId="57">
    <w:nsid w:val="3222E7CD"/>
    <w:multiLevelType w:val="hybridMultilevel"/>
    <w:lvl w:ilvl="0">
      <w:lvlJc w:val="left"/>
      <w:lvlText w:val="%1."/>
      <w:numFmt w:val="upperLetter"/>
      <w:start w:val="1"/>
    </w:lvl>
  </w:abstractNum>
  <w:abstractNum w:abstractNumId="58">
    <w:nsid w:val="74DE0EE3"/>
    <w:multiLevelType w:val="hybridMultilevel"/>
    <w:lvl w:ilvl="0">
      <w:lvlJc w:val="left"/>
      <w:lvlText w:val="%1."/>
      <w:numFmt w:val="lowerLetter"/>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1."/>
      <w:numFmt w:val="upperLetter"/>
      <w:start w:val="3"/>
    </w:lvl>
  </w:abstractNum>
  <w:abstractNum w:abstractNumId="65">
    <w:nsid w:val="CC1016F"/>
    <w:multiLevelType w:val="hybridMultilevel"/>
    <w:lvl w:ilvl="0">
      <w:lvlJc w:val="left"/>
      <w:lvlText w:val="%1."/>
      <w:numFmt w:val="upperLetter"/>
      <w:start w:val="4"/>
    </w:lvl>
  </w:abstractNum>
  <w:abstractNum w:abstractNumId="66">
    <w:nsid w:val="43F18422"/>
    <w:multiLevelType w:val="hybridMultilevel"/>
    <w:lvl w:ilvl="0">
      <w:lvlJc w:val="left"/>
      <w:lvlText w:val="(%1)"/>
      <w:numFmt w:val="lowerLetter"/>
      <w:start w:val="1"/>
    </w:lvl>
    <w:lvl w:ilvl="1">
      <w:lvlJc w:val="left"/>
      <w:lvlText w:val="%2."/>
      <w:numFmt w:val="lowerLetter"/>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1."/>
      <w:numFmt w:val="upperLetter"/>
      <w:start w:val="6"/>
    </w:lvl>
  </w:abstractNum>
  <w:abstractNum w:abstractNumId="70">
    <w:nsid w:val="49DA307D"/>
    <w:multiLevelType w:val="hybridMultilevel"/>
    <w:lvl w:ilvl="0">
      <w:lvlJc w:val="left"/>
      <w:lvlText w:val="%1."/>
      <w:numFmt w:val="upperLetter"/>
      <w:start w:val="9"/>
    </w:lvl>
  </w:abstractNum>
  <w:abstractNum w:abstractNumId="71">
    <w:nsid w:val="7055A5F5"/>
    <w:multiLevelType w:val="hybridMultilevel"/>
    <w:lvl w:ilvl="0">
      <w:lvlJc w:val="left"/>
      <w:lvlText w:val="%1."/>
      <w:numFmt w:val="upperLetter"/>
      <w:start w:val="1"/>
    </w:lvl>
  </w:abstractNum>
  <w:abstractNum w:abstractNumId="72">
    <w:nsid w:val="5FB8370B"/>
    <w:multiLevelType w:val="hybridMultilevel"/>
    <w:lvl w:ilvl="0">
      <w:lvlJc w:val="left"/>
      <w:lvlText w:val="%1."/>
      <w:numFmt w:val="upperLetter"/>
      <w:start w:val="3"/>
    </w:lvl>
  </w:abstractNum>
  <w:abstractNum w:abstractNumId="73">
    <w:nsid w:val="50801EE1"/>
    <w:multiLevelType w:val="hybridMultilevel"/>
    <w:lvl w:ilvl="0">
      <w:lvlJc w:val="left"/>
      <w:lvlText w:val="%1."/>
      <w:numFmt w:val="upperLetter"/>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1."/>
      <w:numFmt w:val="upperLetter"/>
      <w:start w:val="2"/>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1."/>
      <w:numFmt w:val="decimal"/>
      <w:start w:val="1"/>
    </w:lvl>
  </w:abstractNum>
  <w:abstractNum w:abstractNumId="80">
    <w:nsid w:val="7D5E18F8"/>
    <w:multiLevelType w:val="hybridMultilevel"/>
    <w:lvl w:ilvl="0">
      <w:lvlJc w:val="left"/>
      <w:lvlText w:val="%1."/>
      <w:numFmt w:val="decimal"/>
      <w:start w:val="2"/>
    </w:lvl>
  </w:abstractNum>
  <w:abstractNum w:abstractNumId="81">
    <w:nsid w:val="5F3534A4"/>
    <w:multiLevelType w:val="hybridMultilevel"/>
    <w:lvl w:ilvl="0">
      <w:lvlJc w:val="left"/>
      <w:lvlText w:val="%1."/>
      <w:numFmt w:val="decimal"/>
      <w:start w:val="3"/>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1."/>
      <w:numFmt w:val="decimal"/>
      <w:start w:val="4"/>
    </w:lvl>
  </w:abstractNum>
  <w:abstractNum w:abstractNumId="86">
    <w:nsid w:val="14FCE74E"/>
    <w:multiLevelType w:val="hybridMultilevel"/>
    <w:lvl w:ilvl="0">
      <w:lvlJc w:val="left"/>
      <w:lvlText w:val="%1"/>
      <w:numFmt w:val="decimal"/>
      <w:start w:val="1"/>
    </w:lvl>
    <w:lvl w:ilvl="1">
      <w:lvlJc w:val="left"/>
      <w:lvlText w:val="(%2)"/>
      <w:numFmt w:val="decimal"/>
      <w:start w:val="1"/>
    </w:lvl>
  </w:abstractNum>
  <w:abstractNum w:abstractNumId="87">
    <w:nsid w:val="6A3DD3E8"/>
    <w:multiLevelType w:val="hybridMultilevel"/>
    <w:lvl w:ilvl="0">
      <w:lvlJc w:val="left"/>
      <w:lvlText w:val="%1."/>
      <w:numFmt w:val="decimal"/>
      <w:start w:val="6"/>
    </w:lvl>
    <w:lvl w:ilvl="1">
      <w:lvlJc w:val="left"/>
      <w:lvlText w:val="%2"/>
      <w:numFmt w:val="decimal"/>
      <w:start w:val="1"/>
    </w:lvl>
  </w:abstractNum>
  <w:abstractNum w:abstractNumId="88">
    <w:nsid w:val="71C91298"/>
    <w:multiLevelType w:val="hybridMultilevel"/>
    <w:lvl w:ilvl="0">
      <w:lvlJc w:val="left"/>
      <w:lvlText w:val="%1"/>
      <w:numFmt w:val="decimal"/>
      <w:start w:val="1"/>
    </w:lvl>
    <w:lvl w:ilvl="1">
      <w:lvlJc w:val="left"/>
      <w:lvlText w:val="(%2)"/>
      <w:numFmt w:val="decimal"/>
      <w:start w:val="1"/>
    </w:lvl>
  </w:abstractNum>
  <w:abstractNum w:abstractNumId="89">
    <w:nsid w:val="9DAF632"/>
    <w:multiLevelType w:val="hybridMultilevel"/>
    <w:lvl w:ilvl="0">
      <w:lvlJc w:val="left"/>
      <w:lvlText w:val="%1."/>
      <w:numFmt w:val="decimal"/>
      <w:start w:val="7"/>
    </w:lvl>
    <w:lvl w:ilvl="1">
      <w:lvlJc w:val="left"/>
      <w:lvlText w:val="%2"/>
      <w:numFmt w:val="decimal"/>
      <w:start w:val="1"/>
    </w:lvl>
  </w:abstractNum>
  <w:abstractNum w:abstractNumId="90">
    <w:nsid w:val="53299938"/>
    <w:multiLevelType w:val="hybridMultilevel"/>
    <w:lvl w:ilvl="0">
      <w:lvlJc w:val="left"/>
      <w:lvlText w:val="%1"/>
      <w:numFmt w:val="decimal"/>
      <w:start w:val="1"/>
    </w:lvl>
    <w:lvl w:ilvl="1">
      <w:lvlJc w:val="left"/>
      <w:lvlText w:val="(%2)"/>
      <w:numFmt w:val="decimal"/>
      <w:start w:val="1"/>
    </w:lvl>
  </w:abstractNum>
  <w:abstractNum w:abstractNumId="91">
    <w:nsid w:val="1FBFE8E0"/>
    <w:multiLevelType w:val="hybridMultilevel"/>
    <w:lvl w:ilvl="0">
      <w:lvlJc w:val="left"/>
      <w:lvlText w:val="%1."/>
      <w:numFmt w:val="decimal"/>
      <w:start w:val="8"/>
    </w:lvl>
    <w:lvl w:ilvl="1">
      <w:lvlJc w:val="left"/>
      <w:lvlText w:val="%2"/>
      <w:numFmt w:val="decimal"/>
      <w:start w:val="1"/>
    </w:lvl>
  </w:abstractNum>
  <w:abstractNum w:abstractNumId="92">
    <w:nsid w:val="5092CA79"/>
    <w:multiLevelType w:val="hybridMultilevel"/>
    <w:lvl w:ilvl="0">
      <w:lvlJc w:val="left"/>
      <w:lvlText w:val="(%1)"/>
      <w:numFmt w:val="decimal"/>
      <w:start w:val="1"/>
    </w:lvl>
  </w:abstractNum>
  <w:abstractNum w:abstractNumId="93">
    <w:nsid w:val="1D545C4D"/>
    <w:multiLevelType w:val="hybridMultilevel"/>
    <w:lvl w:ilvl="0">
      <w:lvlJc w:val="left"/>
      <w:lvlText w:val="(%1)"/>
      <w:numFmt w:val="decimal"/>
      <w:start w:val="1"/>
    </w:lvl>
  </w:abstractNum>
  <w:abstractNum w:abstractNumId="94">
    <w:nsid w:val="59ADEA3D"/>
    <w:multiLevelType w:val="hybridMultilevel"/>
    <w:lvl w:ilvl="0">
      <w:lvlJc w:val="left"/>
      <w:lvlText w:val="(%1)"/>
      <w:numFmt w:val="decimal"/>
      <w:start w:val="1"/>
    </w:lvl>
  </w:abstractNum>
  <w:abstractNum w:abstractNumId="95">
    <w:nsid w:val="288F1A34"/>
    <w:multiLevelType w:val="hybridMultilevel"/>
    <w:lvl w:ilvl="0">
      <w:lvlJc w:val="left"/>
      <w:lvlText w:val="(%1)"/>
      <w:numFmt w:val="decimal"/>
      <w:start w:val="1"/>
    </w:lvl>
  </w:abstractNum>
  <w:abstractNum w:abstractNumId="96">
    <w:nsid w:val="2A155DBC"/>
    <w:multiLevelType w:val="hybridMultilevel"/>
    <w:lvl w:ilvl="0">
      <w:lvlJc w:val="left"/>
      <w:lvlText w:val="(%1)"/>
      <w:numFmt w:val="decimal"/>
      <w:start w:val="1"/>
    </w:lvl>
  </w:abstractNum>
  <w:abstractNum w:abstractNumId="97">
    <w:nsid w:val="1D9F6E5F"/>
    <w:multiLevelType w:val="hybridMultilevel"/>
    <w:lvl w:ilvl="0">
      <w:lvlJc w:val="left"/>
      <w:lvlText w:val="(%1)"/>
      <w:numFmt w:val="decimal"/>
      <w:start w:val="1"/>
    </w:lvl>
  </w:abstractNum>
  <w:abstractNum w:abstractNumId="98">
    <w:nsid w:val="97E1B4E"/>
    <w:multiLevelType w:val="hybridMultilevel"/>
    <w:lvl w:ilvl="0">
      <w:lvlJc w:val="left"/>
      <w:lvlText w:val="(%1)"/>
      <w:numFmt w:val="decimal"/>
      <w:start w:val="1"/>
    </w:lvl>
  </w:abstractNum>
  <w:abstractNum w:abstractNumId="99">
    <w:nsid w:val="51088277"/>
    <w:multiLevelType w:val="hybridMultilevel"/>
    <w:lvl w:ilvl="0">
      <w:lvlJc w:val="left"/>
      <w:lvlText w:val="(%1)"/>
      <w:numFmt w:val="decimal"/>
      <w:start w:val="1"/>
    </w:lvl>
  </w:abstractNum>
  <w:abstractNum w:abstractNumId="100">
    <w:nsid w:val="1CA0C5FA"/>
    <w:multiLevelType w:val="hybridMultilevel"/>
    <w:lvl w:ilvl="0">
      <w:lvlJc w:val="left"/>
      <w:lvlText w:val="(%1)"/>
      <w:numFmt w:val="decimal"/>
      <w:start w:val="1"/>
    </w:lvl>
  </w:abstractNum>
  <w:abstractNum w:abstractNumId="101">
    <w:nsid w:val="53584BCB"/>
    <w:multiLevelType w:val="hybridMultilevel"/>
    <w:lvl w:ilvl="0">
      <w:lvlJc w:val="left"/>
      <w:lvlText w:val="(%1)"/>
      <w:numFmt w:val="decimal"/>
      <w:start w:val="1"/>
    </w:lvl>
  </w:abstractNum>
  <w:abstractNum w:abstractNumId="102">
    <w:nsid w:val="415E286C"/>
    <w:multiLevelType w:val="hybridMultilevel"/>
    <w:lvl w:ilvl="0">
      <w:lvlJc w:val="left"/>
      <w:lvlText w:val="%1"/>
      <w:numFmt w:val="decimal"/>
      <w:start w:val="1"/>
    </w:lvl>
    <w:lvl w:ilvl="1">
      <w:lvlJc w:val="left"/>
      <w:lvlText w:val="(%2)"/>
      <w:numFmt w:val="decimal"/>
      <w:start w:val="1"/>
    </w:lvl>
  </w:abstractNum>
  <w:abstractNum w:abstractNumId="103">
    <w:nsid w:val="7C58FD05"/>
    <w:multiLevelType w:val="hybridMultilevel"/>
    <w:lvl w:ilvl="0">
      <w:lvlJc w:val="left"/>
      <w:lvlText w:val="%1."/>
      <w:numFmt w:val="decimal"/>
      <w:start w:val="25"/>
    </w:lvl>
    <w:lvl w:ilvl="1">
      <w:lvlJc w:val="left"/>
      <w:lvlText w:val="%2"/>
      <w:numFmt w:val="decimal"/>
      <w:start w:val="1"/>
    </w:lvl>
  </w:abstractNum>
  <w:abstractNum w:abstractNumId="104">
    <w:nsid w:val="23D86AAC"/>
    <w:multiLevelType w:val="hybridMultilevel"/>
    <w:lvl w:ilvl="0">
      <w:lvlJc w:val="left"/>
      <w:lvlText w:val="(%1)"/>
      <w:numFmt w:val="decimal"/>
      <w:start w:val="1"/>
    </w:lvl>
  </w:abstractNum>
  <w:abstractNum w:abstractNumId="105">
    <w:nsid w:val="45E6D486"/>
    <w:multiLevelType w:val="hybridMultilevel"/>
    <w:lvl w:ilvl="0">
      <w:lvlJc w:val="left"/>
      <w:lvlText w:val="(%1)"/>
      <w:numFmt w:val="decimal"/>
      <w:start w:val="1"/>
    </w:lvl>
  </w:abstractNum>
  <w:abstractNum w:abstractNumId="106">
    <w:nsid w:val="5C10FE21"/>
    <w:multiLevelType w:val="hybridMultilevel"/>
    <w:lvl w:ilvl="0">
      <w:lvlJc w:val="left"/>
      <w:lvlText w:val="•"/>
      <w:numFmt w:val="bullet"/>
      <w:start w:val="1"/>
    </w:lvl>
  </w:abstractNum>
  <w:abstractNum w:abstractNumId="107">
    <w:nsid w:val="E7FFA2B"/>
    <w:multiLevelType w:val="hybridMultilevel"/>
    <w:lvl w:ilvl="0">
      <w:lvlJc w:val="left"/>
      <w:lvlText w:val="(%1)"/>
      <w:numFmt w:val="decimal"/>
      <w:start w:val="1"/>
    </w:lvl>
  </w:abstractNum>
  <w:abstractNum w:abstractNumId="108">
    <w:nsid w:val="3C5991AA"/>
    <w:multiLevelType w:val="hybridMultilevel"/>
    <w:lvl w:ilvl="0">
      <w:lvlJc w:val="left"/>
      <w:lvlText w:val="%1."/>
      <w:numFmt w:val="decimal"/>
      <w:start w:val="31"/>
    </w:lvl>
    <w:lvl w:ilvl="1">
      <w:lvlJc w:val="left"/>
      <w:lvlText w:val="(%2)"/>
      <w:numFmt w:val="lowerLetter"/>
      <w:start w:val="1"/>
    </w:lvl>
  </w:abstractNum>
  <w:abstractNum w:abstractNumId="109">
    <w:nsid w:val="4BD8591A"/>
    <w:multiLevelType w:val="hybridMultilevel"/>
    <w:lvl w:ilvl="0">
      <w:lvlJc w:val="left"/>
      <w:lvlText w:val="*"/>
      <w:numFmt w:val="bullet"/>
      <w:start w:val="1"/>
    </w:lvl>
  </w:abstractNum>
  <w:abstractNum w:abstractNumId="110">
    <w:nsid w:val="78DF6A55"/>
    <w:multiLevelType w:val="hybridMultilevel"/>
    <w:lvl w:ilvl="0">
      <w:lvlJc w:val="left"/>
      <w:lvlText w:val="†"/>
      <w:numFmt w:val="bullet"/>
      <w:start w:val="1"/>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decimal"/>
      <w:start w:val="1"/>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decimal"/>
      <w:start w:val="5"/>
    </w:lvl>
  </w:abstractNum>
  <w:abstractNum w:abstractNumId="115">
    <w:nsid w:val="69E373"/>
    <w:multiLevelType w:val="hybridMultilevel"/>
    <w:lvl w:ilvl="0">
      <w:lvlJc w:val="left"/>
      <w:lvlText w:val="(%1)"/>
      <w:numFmt w:val="lowerLetter"/>
      <w:start w:val="1"/>
    </w:lvl>
  </w:abstractNum>
  <w:abstractNum w:abstractNumId="116">
    <w:nsid w:val="2C27173B"/>
    <w:multiLevelType w:val="hybridMultilevel"/>
    <w:lvl w:ilvl="0">
      <w:lvlJc w:val="left"/>
      <w:lvlText w:val="%1."/>
      <w:numFmt w:val="decimal"/>
      <w:start w:val="1"/>
    </w:lvl>
  </w:abstractNum>
  <w:abstractNum w:abstractNumId="117">
    <w:nsid w:val="4C9B0904"/>
    <w:multiLevelType w:val="hybridMultilevel"/>
    <w:lvl w:ilvl="0">
      <w:lvlJc w:val="left"/>
      <w:lvlText w:val="(%1)"/>
      <w:numFmt w:val="lowerLetter"/>
      <w:start w:val="1"/>
    </w:lvl>
  </w:abstractNum>
  <w:abstractNum w:abstractNumId="118">
    <w:nsid w:val="6AA7B75C"/>
    <w:multiLevelType w:val="hybridMultilevel"/>
    <w:lvl w:ilvl="0">
      <w:lvlJc w:val="left"/>
      <w:lvlText w:val="%1."/>
      <w:numFmt w:val="decimal"/>
      <w:start w:val="5"/>
    </w:lvl>
  </w:abstractNum>
  <w:abstractNum w:abstractNumId="119">
    <w:nsid w:val="1DF029D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169" Type="http://schemas.openxmlformats.org/officeDocument/2006/relationships/hyperlink" Target="https://www.sec.gov/Archives/edgar/data/0001709048/000119312521316296/d206275dex41.htm" TargetMode="External"/><Relationship Id="rId170" Type="http://schemas.openxmlformats.org/officeDocument/2006/relationships/hyperlink" Target="https://www.sec.gov/Archives/edgar/data/1709048/000170904822000008/ex21.htm" TargetMode="External"/><Relationship Id="rId171" Type="http://schemas.openxmlformats.org/officeDocument/2006/relationships/hyperlink" Target="https://www.sec.gov/Archives/edgar/data/1709048/000170904822000008/ex22.htm" TargetMode="External"/><Relationship Id="rId172" Type="http://schemas.openxmlformats.org/officeDocument/2006/relationships/hyperlink" Target="https://www.sec.gov/Archives/edgar/data/1709048/000170904822000008/ex23.htm" TargetMode="External"/><Relationship Id="rId173" Type="http://schemas.openxmlformats.org/officeDocument/2006/relationships/hyperlink" Target="https://www.sec.gov/Archives/edgar/data/0001709048/000119312521290644/d192411dex107.htm" TargetMode="External"/><Relationship Id="rId174" Type="http://schemas.openxmlformats.org/officeDocument/2006/relationships/hyperlink" Target="https://www.sec.gov/Archives/edgar/data/0001709048/000119312521290644/d192411dex108.htm" TargetMode="External"/><Relationship Id="rId175" Type="http://schemas.openxmlformats.org/officeDocument/2006/relationships/hyperlink" Target="https://www.sec.gov/Archives/edgar/data/0001709048/000119312521290644/d192411dex101.htm" TargetMode="External"/><Relationship Id="rId176" Type="http://schemas.openxmlformats.org/officeDocument/2006/relationships/hyperlink" Target="https://www.sec.gov/Archives/edgar/data/0001709048/000119312521290644/d192411dex109.htm" TargetMode="External"/><Relationship Id="rId177" Type="http://schemas.openxmlformats.org/officeDocument/2006/relationships/hyperlink" Target="https://www.sec.gov/Archives/edgar/data/0001709048/000119312521290644/d192411dex1010.htm" TargetMode="External"/><Relationship Id="rId178" Type="http://schemas.openxmlformats.org/officeDocument/2006/relationships/hyperlink" Target="https://www.sec.gov/Archives/edgar/data/0001709048/000119312521290644/d192411dex1011.htm" TargetMode="External"/><Relationship Id="rId179" Type="http://schemas.openxmlformats.org/officeDocument/2006/relationships/hyperlink" Target="https://www.sec.gov/Archives/edgar/data/0001709048/000119312521290644/d192411dex103.htm" TargetMode="External"/><Relationship Id="rId180" Type="http://schemas.openxmlformats.org/officeDocument/2006/relationships/hyperlink" Target="https://www.sec.gov/Archives/edgar/data/0001709048/000119312521290644/d192411dex104.htm" TargetMode="External"/><Relationship Id="rId181" Type="http://schemas.openxmlformats.org/officeDocument/2006/relationships/hyperlink" Target="https://www.sec.gov/Archives/edgar/data/0001709048/000119312521290644/d192411dex105.htm" TargetMode="External"/><Relationship Id="rId182" Type="http://schemas.openxmlformats.org/officeDocument/2006/relationships/hyperlink" Target="https://www.sec.gov/Archives/edgar/data/0001709048/000119312521290644/d192411dex106.htm" TargetMode="External"/><Relationship Id="rId183" Type="http://schemas.openxmlformats.org/officeDocument/2006/relationships/hyperlink" Target="https://www.sec.gov/Archives/edgar/data/1709048/000170904822000008/ex411.htm" TargetMode="External"/><Relationship Id="rId184" Type="http://schemas.openxmlformats.org/officeDocument/2006/relationships/hyperlink" Target="https://www.sec.gov/Archives/edgar/data/1709048/000170904822000008/ex412.htm" TargetMode="External"/><Relationship Id="rId187" Type="http://schemas.openxmlformats.org/officeDocument/2006/relationships/hyperlink" Target="https://www.sec.gov/Archives/edgar/data/1709048/000170904822000008/ex413.htm" TargetMode="External"/><Relationship Id="rId188" Type="http://schemas.openxmlformats.org/officeDocument/2006/relationships/hyperlink" Target="https://www.sec.gov/Archives/edgar/data/0001709048/000119312521301511/d192411dex1015.htm" TargetMode="External"/><Relationship Id="rId189" Type="http://schemas.openxmlformats.org/officeDocument/2006/relationships/hyperlink" Target="https://www.sec.gov/Archives/edgar/data/0001709048/000119312521290644/d19241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2023-04-14T15:49:16Z</dcterms:created>
  <dcterms:modified xsi:type="dcterms:W3CDTF">2023-04-14T15:49:16Z</dcterms:modified>
</cp:coreProperties>
</file>