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7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Washington, D.C. 20549</w:t>
      </w:r>
    </w:p>
    <w:p>
      <w:pPr>
        <w:spacing w:after="0" w:line="94"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______________________</w:t>
      </w:r>
    </w:p>
    <w:p>
      <w:pPr>
        <w:spacing w:after="0" w:line="200" w:lineRule="exact"/>
        <w:rPr>
          <w:sz w:val="24"/>
          <w:szCs w:val="24"/>
          <w:color w:val="auto"/>
        </w:rPr>
      </w:pPr>
    </w:p>
    <w:p>
      <w:pPr>
        <w:jc w:val="center"/>
        <w:ind w:right="-700"/>
        <w:spacing w:after="0"/>
        <w:rPr>
          <w:sz w:val="20"/>
          <w:szCs w:val="20"/>
          <w:color w:val="auto"/>
        </w:rPr>
      </w:pPr>
      <w:r>
        <w:rPr>
          <w:rFonts w:ascii="Arial" w:cs="Arial" w:eastAsia="Arial" w:hAnsi="Arial"/>
          <w:sz w:val="32"/>
          <w:szCs w:val="32"/>
          <w:b w:val="1"/>
          <w:bCs w:val="1"/>
          <w:color w:val="auto"/>
        </w:rPr>
        <w:t>FORM 6-K</w:t>
      </w:r>
    </w:p>
    <w:p>
      <w:pPr>
        <w:spacing w:after="0" w:line="138"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______________________</w:t>
      </w:r>
    </w:p>
    <w:p>
      <w:pPr>
        <w:spacing w:after="0" w:line="214" w:lineRule="exact"/>
        <w:rPr>
          <w:sz w:val="24"/>
          <w:szCs w:val="24"/>
          <w:color w:val="auto"/>
        </w:rPr>
      </w:pPr>
    </w:p>
    <w:p>
      <w:pPr>
        <w:jc w:val="center"/>
        <w:ind w:left="2000" w:right="130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For the Year Ended December 31, 2021</w:t>
      </w:r>
    </w:p>
    <w:p>
      <w:pPr>
        <w:spacing w:after="0" w:line="22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Commission File Number 001-40974</w:t>
      </w:r>
    </w:p>
    <w:p>
      <w:pPr>
        <w:spacing w:after="0" w:line="127"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______________________</w:t>
      </w:r>
    </w:p>
    <w:p>
      <w:pPr>
        <w:spacing w:after="0" w:line="198" w:lineRule="exact"/>
        <w:rPr>
          <w:sz w:val="24"/>
          <w:szCs w:val="24"/>
          <w:color w:val="auto"/>
        </w:rPr>
      </w:pPr>
    </w:p>
    <w:p>
      <w:pPr>
        <w:jc w:val="center"/>
        <w:ind w:right="-700"/>
        <w:spacing w:after="0"/>
        <w:rPr>
          <w:sz w:val="20"/>
          <w:szCs w:val="20"/>
          <w:color w:val="auto"/>
        </w:rPr>
      </w:pPr>
      <w:r>
        <w:rPr>
          <w:rFonts w:ascii="Arial" w:cs="Arial" w:eastAsia="Arial" w:hAnsi="Arial"/>
          <w:sz w:val="43"/>
          <w:szCs w:val="43"/>
          <w:b w:val="1"/>
          <w:bCs w:val="1"/>
          <w:color w:val="auto"/>
        </w:rPr>
        <w:t>GLOBALFOUNDRIES Inc.</w:t>
      </w:r>
    </w:p>
    <w:p>
      <w:pPr>
        <w:spacing w:after="0" w:line="148"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______________________</w:t>
      </w:r>
    </w:p>
    <w:p>
      <w:pPr>
        <w:spacing w:after="0" w:line="209"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400 Stonebreak Road Extension</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Malta, NY 12020</w:t>
      </w:r>
    </w:p>
    <w:p>
      <w:pPr>
        <w:spacing w:after="0" w:line="2"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08"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______________________</w:t>
      </w:r>
    </w:p>
    <w:p>
      <w:pPr>
        <w:spacing w:after="0" w:line="21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040"/>
        <w:spacing w:after="0" w:line="207" w:lineRule="exact"/>
        <w:tabs>
          <w:tab w:leader="none" w:pos="53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wp:posOffset>
            </wp:positionH>
            <wp:positionV relativeFrom="paragraph">
              <wp:posOffset>221615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247650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39"/>
          </w:cols>
          <w:pgMar w:left="720" w:top="1300" w:right="1440"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color w:val="auto"/>
        </w:rPr>
        <w:t>Attached hereto is the following exhibit.</w:t>
      </w:r>
    </w:p>
    <w:p>
      <w:pPr>
        <w:spacing w:after="0" w:line="279" w:lineRule="exact"/>
        <w:rPr>
          <w:sz w:val="20"/>
          <w:szCs w:val="20"/>
          <w:color w:val="auto"/>
        </w:rPr>
      </w:pPr>
    </w:p>
    <w:p>
      <w:pPr>
        <w:spacing w:after="0"/>
        <w:tabs>
          <w:tab w:leader="none" w:pos="1260" w:val="left"/>
        </w:tabs>
        <w:rPr>
          <w:rFonts w:ascii="Arial" w:cs="Arial" w:eastAsia="Arial" w:hAnsi="Arial"/>
          <w:sz w:val="15"/>
          <w:szCs w:val="15"/>
          <w:color w:val="0000FF"/>
        </w:rPr>
      </w:pPr>
      <w:hyperlink w:anchor="page4">
        <w:r>
          <w:rPr>
            <w:rFonts w:ascii="Arial" w:cs="Arial" w:eastAsia="Arial" w:hAnsi="Arial"/>
            <w:sz w:val="18"/>
            <w:szCs w:val="18"/>
            <w:u w:val="single" w:color="auto"/>
            <w:color w:val="0000FF"/>
          </w:rPr>
          <w:t>Exhibit 99.1</w:t>
        </w:r>
      </w:hyperlink>
      <w:r>
        <w:rPr>
          <w:rFonts w:ascii="Arial" w:cs="Arial" w:eastAsia="Arial" w:hAnsi="Arial"/>
          <w:sz w:val="18"/>
          <w:szCs w:val="18"/>
          <w:color w:val="0000FF"/>
        </w:rPr>
        <w:tab/>
      </w:r>
      <w:hyperlink r:id="rId12">
        <w:r>
          <w:rPr>
            <w:rFonts w:ascii="Arial" w:cs="Arial" w:eastAsia="Arial" w:hAnsi="Arial"/>
            <w:sz w:val="15"/>
            <w:szCs w:val="15"/>
            <w:color w:val="0000FF"/>
          </w:rPr>
          <w:t>Press release issued by Registrant on February 8, 2022.</w:t>
        </w:r>
      </w:hyperlink>
    </w:p>
    <w:p>
      <w:pPr>
        <w:sectPr>
          <w:pgSz w:w="11900" w:h="16838" w:orient="portrait"/>
          <w:cols w:equalWidth="0" w:num="1">
            <w:col w:w="10119"/>
          </w:cols>
          <w:pgMar w:left="340" w:top="115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20" w:type="dxa"/>
            <w:vAlign w:val="bottom"/>
            <w:gridSpan w:val="2"/>
          </w:tcPr>
          <w:p>
            <w:pPr>
              <w:ind w:left="1740"/>
              <w:spacing w:after="0"/>
              <w:rPr>
                <w:sz w:val="20"/>
                <w:szCs w:val="20"/>
                <w:color w:val="auto"/>
              </w:rPr>
            </w:pPr>
            <w:r>
              <w:rPr>
                <w:rFonts w:ascii="Arial" w:cs="Arial" w:eastAsia="Arial" w:hAnsi="Arial"/>
                <w:sz w:val="18"/>
                <w:szCs w:val="18"/>
                <w:b w:val="1"/>
                <w:bCs w:val="1"/>
                <w:color w:val="auto"/>
              </w:rPr>
              <w:t>GLOBALFOUNDRIES Inc.</w:t>
            </w:r>
          </w:p>
        </w:tc>
      </w:tr>
      <w:tr>
        <w:trPr>
          <w:trHeight w:val="446"/>
        </w:trPr>
        <w:tc>
          <w:tcPr>
            <w:tcW w:w="3400" w:type="dxa"/>
            <w:vAlign w:val="bottom"/>
          </w:tcPr>
          <w:p>
            <w:pPr>
              <w:spacing w:after="0"/>
              <w:rPr>
                <w:sz w:val="20"/>
                <w:szCs w:val="20"/>
                <w:color w:val="auto"/>
              </w:rPr>
            </w:pPr>
            <w:r>
              <w:rPr>
                <w:rFonts w:ascii="Arial" w:cs="Arial" w:eastAsia="Arial" w:hAnsi="Arial"/>
                <w:sz w:val="18"/>
                <w:szCs w:val="18"/>
                <w:color w:val="auto"/>
              </w:rPr>
              <w:t>Date: February 8, 2022</w:t>
            </w:r>
          </w:p>
        </w:tc>
        <w:tc>
          <w:tcPr>
            <w:tcW w:w="2660" w:type="dxa"/>
            <w:vAlign w:val="bottom"/>
          </w:tcPr>
          <w:p>
            <w:pPr>
              <w:ind w:left="17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Caulfield</w:t>
            </w:r>
          </w:p>
        </w:tc>
      </w:tr>
      <w:tr>
        <w:trPr>
          <w:trHeight w:val="222"/>
        </w:trPr>
        <w:tc>
          <w:tcPr>
            <w:tcW w:w="3400" w:type="dxa"/>
            <w:vAlign w:val="bottom"/>
          </w:tcPr>
          <w:p>
            <w:pPr>
              <w:spacing w:after="0"/>
              <w:rPr>
                <w:sz w:val="19"/>
                <w:szCs w:val="19"/>
                <w:color w:val="auto"/>
              </w:rPr>
            </w:pPr>
          </w:p>
        </w:tc>
        <w:tc>
          <w:tcPr>
            <w:tcW w:w="2660" w:type="dxa"/>
            <w:vAlign w:val="bottom"/>
          </w:tcPr>
          <w:p>
            <w:pPr>
              <w:ind w:left="1740"/>
              <w:spacing w:after="0"/>
              <w:rPr>
                <w:sz w:val="20"/>
                <w:szCs w:val="20"/>
                <w:color w:val="auto"/>
              </w:rPr>
            </w:pPr>
            <w:r>
              <w:rPr>
                <w:rFonts w:ascii="Arial" w:cs="Arial" w:eastAsia="Arial" w:hAnsi="Arial"/>
                <w:sz w:val="18"/>
                <w:szCs w:val="18"/>
                <w:color w:val="auto"/>
              </w:rPr>
              <w:t>Name:</w:t>
            </w:r>
          </w:p>
        </w:tc>
        <w:tc>
          <w:tcPr>
            <w:tcW w:w="5160" w:type="dxa"/>
            <w:vAlign w:val="bottom"/>
          </w:tcPr>
          <w:p>
            <w:pPr>
              <w:ind w:left="20"/>
              <w:spacing w:after="0"/>
              <w:rPr>
                <w:sz w:val="20"/>
                <w:szCs w:val="20"/>
                <w:color w:val="auto"/>
              </w:rPr>
            </w:pPr>
            <w:r>
              <w:rPr>
                <w:rFonts w:ascii="Arial" w:cs="Arial" w:eastAsia="Arial" w:hAnsi="Arial"/>
                <w:sz w:val="18"/>
                <w:szCs w:val="18"/>
                <w:color w:val="auto"/>
              </w:rPr>
              <w:t>Dr. Thomas Caulfield</w:t>
            </w:r>
          </w:p>
        </w:tc>
      </w:tr>
      <w:tr>
        <w:trPr>
          <w:trHeight w:val="230"/>
        </w:trPr>
        <w:tc>
          <w:tcPr>
            <w:tcW w:w="3400" w:type="dxa"/>
            <w:vAlign w:val="bottom"/>
          </w:tcPr>
          <w:p>
            <w:pPr>
              <w:spacing w:after="0"/>
              <w:rPr>
                <w:sz w:val="20"/>
                <w:szCs w:val="20"/>
                <w:color w:val="auto"/>
              </w:rPr>
            </w:pPr>
          </w:p>
        </w:tc>
        <w:tc>
          <w:tcPr>
            <w:tcW w:w="2660" w:type="dxa"/>
            <w:vAlign w:val="bottom"/>
          </w:tcPr>
          <w:p>
            <w:pPr>
              <w:ind w:left="1740"/>
              <w:spacing w:after="0"/>
              <w:rPr>
                <w:sz w:val="20"/>
                <w:szCs w:val="20"/>
                <w:color w:val="auto"/>
              </w:rPr>
            </w:pPr>
            <w:r>
              <w:rPr>
                <w:rFonts w:ascii="Arial" w:cs="Arial" w:eastAsia="Arial" w:hAnsi="Arial"/>
                <w:sz w:val="18"/>
                <w:szCs w:val="18"/>
                <w:color w:val="auto"/>
              </w:rPr>
              <w:t>Title:</w:t>
            </w:r>
          </w:p>
        </w:tc>
        <w:tc>
          <w:tcPr>
            <w:tcW w:w="51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4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2357755" cy="45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35775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GlobalFoundries Reports Fourth Quarter and Fiscal Year 2021 Financial Results</w:t>
      </w:r>
    </w:p>
    <w:p>
      <w:pPr>
        <w:jc w:val="center"/>
        <w:spacing w:after="0"/>
        <w:rPr>
          <w:sz w:val="20"/>
          <w:szCs w:val="20"/>
          <w:color w:val="auto"/>
        </w:rPr>
      </w:pPr>
      <w:r>
        <w:rPr>
          <w:rFonts w:ascii="Arial" w:cs="Arial" w:eastAsia="Arial" w:hAnsi="Arial"/>
          <w:sz w:val="22"/>
          <w:szCs w:val="22"/>
          <w:i w:val="1"/>
          <w:iCs w:val="1"/>
          <w:color w:val="auto"/>
        </w:rPr>
        <w:t>Record Revenue, Gross, and Operating Margins</w:t>
      </w:r>
    </w:p>
    <w:p>
      <w:pPr>
        <w:spacing w:after="0" w:line="200" w:lineRule="exact"/>
        <w:rPr>
          <w:sz w:val="20"/>
          <w:szCs w:val="20"/>
          <w:color w:val="auto"/>
        </w:rPr>
      </w:pPr>
    </w:p>
    <w:p>
      <w:pPr>
        <w:spacing w:after="0" w:line="224"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b w:val="1"/>
          <w:bCs w:val="1"/>
          <w:color w:val="auto"/>
        </w:rPr>
        <w:t>Malta, New York</w:t>
      </w:r>
      <w:r>
        <w:rPr>
          <w:rFonts w:ascii="Arial" w:cs="Arial" w:eastAsia="Arial" w:hAnsi="Arial"/>
          <w:sz w:val="16"/>
          <w:szCs w:val="16"/>
          <w:color w:val="auto"/>
        </w:rPr>
        <w:t>, February 8, 2022 - GlobalFoundries Inc. (GF) (Nasdaq: GFS) today announced preliminary financial results for the fourth quarter and</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ended December 31, 2021.</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Fourth Quarter Financial Highlights</w:t>
      </w:r>
    </w:p>
    <w:p>
      <w:pPr>
        <w:spacing w:after="0" w:line="255" w:lineRule="exact"/>
        <w:rPr>
          <w:sz w:val="20"/>
          <w:szCs w:val="20"/>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revenue of $1.85 billion, up 9% sequentially.</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gross margin of 20.8% and adjusted gross margin of 21.5%.</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operating margin of 5% and adjusted operating margin of 8%.</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Net income margin of 2% and adjusted EBITDA margin of 32%.</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Cash and cash equivalents of $2.9 billion.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Full Year 2021 Financial Highlights</w:t>
      </w:r>
    </w:p>
    <w:p>
      <w:pPr>
        <w:spacing w:after="0" w:line="25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 of $6.6 billion, up 36% year-over-year.</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Record gross margin of 15% and adjusted gross margin of 16%.</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income margin of -4% and adjusted EBITDA margin of 28%.</w:t>
      </w:r>
    </w:p>
    <w:p>
      <w:pPr>
        <w:spacing w:after="0" w:line="26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“2021 was an outstanding year for GF, during which we drove an acceleration of our business plan by capitalizing on the demand for pervasive semiconductor solutions and the vital role we play in the semiconductor supply chain,” said Tom Caulfield, CEO of GF. “Our revenue grew 36% year-over-year, and we made significant progress towards our long-term financial profit model. The year was also marked by a growing number of long-term partnership agreements, with 30 customers committing more than $3.2 billion toward the continued expansion of our global manufacturing footprint to support strong demand. We are executing well, and believe we are on track to deliver another year of strong growth in revenue and profitability in 2022.”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Major 2021 Accomplishments and Key Fourth Quarter Business Highlights:</w:t>
      </w:r>
    </w:p>
    <w:p>
      <w:pPr>
        <w:spacing w:after="0" w:line="282" w:lineRule="exact"/>
        <w:rPr>
          <w:sz w:val="20"/>
          <w:szCs w:val="20"/>
          <w:color w:val="auto"/>
        </w:rPr>
      </w:pPr>
    </w:p>
    <w:p>
      <w:pPr>
        <w:ind w:left="660" w:hanging="328"/>
        <w:spacing w:after="0" w:line="259"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2021, GF entered into 30 significant long-term customer agreements that provide assurance to our customers and provide revenue visibility to GF.</w:t>
      </w:r>
    </w:p>
    <w:p>
      <w:pPr>
        <w:spacing w:after="0" w:line="206" w:lineRule="exact"/>
        <w:rPr>
          <w:rFonts w:ascii="Arial" w:cs="Arial" w:eastAsia="Arial" w:hAnsi="Arial"/>
          <w:sz w:val="16"/>
          <w:szCs w:val="16"/>
          <w:color w:val="auto"/>
        </w:rPr>
      </w:pPr>
    </w:p>
    <w:p>
      <w:pPr>
        <w:ind w:left="660" w:hanging="328"/>
        <w:spacing w:after="0" w:line="26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2021, GF broke ground on a new fab on its Singapore campus, expanded capacity in Fab 1 (Dresden) by over 25%, and announced expansion plans for its most advanced manufacturing facility in upstate New York.</w:t>
      </w: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GF set a "Journey to Zero Carbon" goal to reduce greenhouse gas emissions by 25% while expanding global manufacturing capacity.</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October 28, 2021, GF began trading on Nasdaq Stock Market under the ticker "GFS."</w:t>
      </w:r>
    </w:p>
    <w:p>
      <w:pPr>
        <w:spacing w:after="0" w:line="18" w:lineRule="exact"/>
        <w:rPr>
          <w:rFonts w:ascii="Arial" w:cs="Arial" w:eastAsia="Arial" w:hAnsi="Arial"/>
          <w:sz w:val="16"/>
          <w:szCs w:val="16"/>
          <w:color w:val="auto"/>
        </w:rPr>
      </w:pPr>
    </w:p>
    <w:p>
      <w:pPr>
        <w:ind w:left="660" w:hanging="328"/>
        <w:spacing w:after="0" w:line="26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fourth quarter, GF announced an extension of its wafer supply agreement with AMD, increasing the number of chips GF will supply, as well as extending the terms of the agreement to secure supply through 2025.</w:t>
      </w:r>
    </w:p>
    <w:p>
      <w:pPr>
        <w:ind w:left="660" w:hanging="328"/>
        <w:spacing w:after="0" w:line="26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fourth quarter, BMW signed a direct supply assurance agreement with high-tech microchip developer INOVA Semiconductors and GF to secure long-term semiconductor supplies.</w:t>
      </w:r>
    </w:p>
    <w:p>
      <w:pPr>
        <w:ind w:left="660" w:hanging="328"/>
        <w:spacing w:after="0" w:line="27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fourth quarter, GF and Ford announced a non-binding strategic collaboration to advance semiconductor manufacturing and technology development within the US, aiming to boost chip supplies for Ford and the US auto industry.</w:t>
      </w:r>
    </w:p>
    <w:p>
      <w:pPr>
        <w:sectPr>
          <w:pgSz w:w="11900" w:h="16838" w:orient="portrait"/>
          <w:cols w:equalWidth="0" w:num="1">
            <w:col w:w="11240"/>
          </w:cols>
          <w:pgMar w:left="320" w:top="1440" w:right="339" w:bottom="1440" w:gutter="0" w:footer="0" w:header="0"/>
        </w:sectPr>
      </w:pPr>
    </w:p>
    <w:bookmarkStart w:id="4" w:name="page5"/>
    <w:bookmarkEnd w:id="4"/>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Unaudited Summary Quarterly Results (in $M, except per share amounts and wafer shipments)</w:t>
      </w:r>
      <w:r>
        <w:rPr>
          <w:rFonts w:ascii="Arial" w:cs="Arial" w:eastAsia="Arial" w:hAnsi="Arial"/>
          <w:sz w:val="21"/>
          <w:szCs w:val="21"/>
          <w:b w:val="1"/>
          <w:bCs w:val="1"/>
          <w:color w:val="auto"/>
          <w:vertAlign w:val="superscript"/>
        </w:rPr>
        <w:t>1,2</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Year-over-year</w:t>
            </w:r>
          </w:p>
        </w:tc>
        <w:tc>
          <w:tcPr>
            <w:tcW w:w="380" w:type="dxa"/>
            <w:vAlign w:val="bottom"/>
          </w:tcPr>
          <w:p>
            <w:pPr>
              <w:spacing w:after="0"/>
              <w:rPr>
                <w:sz w:val="16"/>
                <w:szCs w:val="16"/>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Sequential</w:t>
            </w:r>
          </w:p>
        </w:tc>
      </w:tr>
      <w:tr>
        <w:trPr>
          <w:trHeight w:val="183"/>
        </w:trPr>
        <w:tc>
          <w:tcPr>
            <w:tcW w:w="3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Q4'20</w:t>
            </w:r>
          </w:p>
        </w:tc>
        <w:tc>
          <w:tcPr>
            <w:tcW w:w="500" w:type="dxa"/>
            <w:vAlign w:val="bottom"/>
          </w:tcPr>
          <w:p>
            <w:pPr>
              <w:spacing w:after="0"/>
              <w:rPr>
                <w:sz w:val="15"/>
                <w:szCs w:val="15"/>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Q3'21</w:t>
            </w:r>
          </w:p>
        </w:tc>
        <w:tc>
          <w:tcPr>
            <w:tcW w:w="124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Q4'21</w:t>
            </w:r>
          </w:p>
        </w:tc>
        <w:tc>
          <w:tcPr>
            <w:tcW w:w="48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Q4'20 vs Q4'21</w:t>
            </w:r>
          </w:p>
        </w:tc>
        <w:tc>
          <w:tcPr>
            <w:tcW w:w="380" w:type="dxa"/>
            <w:vAlign w:val="bottom"/>
          </w:tcPr>
          <w:p>
            <w:pPr>
              <w:spacing w:after="0"/>
              <w:rPr>
                <w:sz w:val="15"/>
                <w:szCs w:val="15"/>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Q3'21 vs Q4'21</w:t>
            </w:r>
          </w:p>
        </w:tc>
      </w:tr>
      <w:tr>
        <w:trPr>
          <w:trHeight w:val="142"/>
        </w:trPr>
        <w:tc>
          <w:tcPr>
            <w:tcW w:w="3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r>
      <w:tr>
        <w:trPr>
          <w:trHeight w:val="197"/>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56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rPr>
              <w:t>$1,062</w:t>
            </w: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$1,700</w:t>
            </w:r>
          </w:p>
        </w:tc>
        <w:tc>
          <w:tcPr>
            <w:tcW w:w="124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rPr>
              <w:t>$1,847</w:t>
            </w: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$785</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74%</w:t>
            </w:r>
          </w:p>
        </w:tc>
        <w:tc>
          <w:tcPr>
            <w:tcW w:w="8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$147</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9%</w:t>
            </w:r>
          </w:p>
        </w:tc>
      </w:tr>
      <w:tr>
        <w:trPr>
          <w:trHeight w:val="93"/>
        </w:trPr>
        <w:tc>
          <w:tcPr>
            <w:tcW w:w="3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Gross profit (loss)</w:t>
            </w:r>
          </w:p>
        </w:tc>
        <w:tc>
          <w:tcPr>
            <w:tcW w:w="156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8"/>
              </w:rPr>
              <w:t>$(218)</w:t>
            </w:r>
          </w:p>
        </w:tc>
        <w:tc>
          <w:tcPr>
            <w:tcW w:w="88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rPr>
              <w:t>$300</w:t>
            </w:r>
          </w:p>
        </w:tc>
        <w:tc>
          <w:tcPr>
            <w:tcW w:w="460" w:type="dxa"/>
            <w:vAlign w:val="bottom"/>
          </w:tcPr>
          <w:p>
            <w:pPr>
              <w:spacing w:after="0"/>
              <w:rPr>
                <w:sz w:val="17"/>
                <w:szCs w:val="17"/>
                <w:color w:val="auto"/>
              </w:rPr>
            </w:pPr>
          </w:p>
        </w:tc>
        <w:tc>
          <w:tcPr>
            <w:tcW w:w="86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$384</w:t>
            </w:r>
          </w:p>
        </w:tc>
        <w:tc>
          <w:tcPr>
            <w:tcW w:w="380" w:type="dxa"/>
            <w:vAlign w:val="bottom"/>
          </w:tcPr>
          <w:p>
            <w:pPr>
              <w:spacing w:after="0"/>
              <w:rPr>
                <w:sz w:val="17"/>
                <w:szCs w:val="17"/>
                <w:color w:val="auto"/>
              </w:rPr>
            </w:pP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$601</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276%</w:t>
            </w:r>
          </w:p>
        </w:tc>
        <w:tc>
          <w:tcPr>
            <w:tcW w:w="8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$84</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28%</w:t>
            </w:r>
          </w:p>
        </w:tc>
      </w:tr>
      <w:tr>
        <w:trPr>
          <w:trHeight w:val="229"/>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Gross margin</w:t>
            </w:r>
          </w:p>
        </w:tc>
        <w:tc>
          <w:tcPr>
            <w:tcW w:w="1560" w:type="dxa"/>
            <w:vAlign w:val="bottom"/>
            <w:gridSpan w:val="3"/>
          </w:tcPr>
          <w:p>
            <w:pPr>
              <w:jc w:val="center"/>
              <w:ind w:left="48"/>
              <w:spacing w:after="0"/>
              <w:rPr>
                <w:sz w:val="20"/>
                <w:szCs w:val="20"/>
                <w:color w:val="auto"/>
              </w:rPr>
            </w:pPr>
            <w:r>
              <w:rPr>
                <w:rFonts w:ascii="Arial" w:cs="Arial" w:eastAsia="Arial" w:hAnsi="Arial"/>
                <w:sz w:val="14"/>
                <w:szCs w:val="14"/>
                <w:i w:val="1"/>
                <w:iCs w:val="1"/>
                <w:color w:val="auto"/>
              </w:rPr>
              <w:t>(20.5)%</w:t>
            </w:r>
          </w:p>
        </w:tc>
        <w:tc>
          <w:tcPr>
            <w:tcW w:w="1340" w:type="dxa"/>
            <w:vAlign w:val="bottom"/>
            <w:gridSpan w:val="3"/>
          </w:tcPr>
          <w:p>
            <w:pPr>
              <w:jc w:val="center"/>
              <w:spacing w:after="0"/>
              <w:rPr>
                <w:sz w:val="20"/>
                <w:szCs w:val="20"/>
                <w:color w:val="auto"/>
              </w:rPr>
            </w:pPr>
            <w:r>
              <w:rPr>
                <w:rFonts w:ascii="Arial" w:cs="Arial" w:eastAsia="Arial" w:hAnsi="Arial"/>
                <w:sz w:val="14"/>
                <w:szCs w:val="14"/>
                <w:i w:val="1"/>
                <w:iCs w:val="1"/>
                <w:color w:val="auto"/>
              </w:rPr>
              <w:t>17.6%</w:t>
            </w:r>
          </w:p>
        </w:tc>
        <w:tc>
          <w:tcPr>
            <w:tcW w:w="1240" w:type="dxa"/>
            <w:vAlign w:val="bottom"/>
            <w:gridSpan w:val="3"/>
          </w:tcPr>
          <w:p>
            <w:pPr>
              <w:jc w:val="center"/>
              <w:ind w:left="28"/>
              <w:spacing w:after="0"/>
              <w:rPr>
                <w:sz w:val="20"/>
                <w:szCs w:val="20"/>
                <w:color w:val="auto"/>
              </w:rPr>
            </w:pPr>
            <w:r>
              <w:rPr>
                <w:rFonts w:ascii="Arial" w:cs="Arial" w:eastAsia="Arial" w:hAnsi="Arial"/>
                <w:sz w:val="14"/>
                <w:szCs w:val="14"/>
                <w:i w:val="1"/>
                <w:iCs w:val="1"/>
                <w:color w:val="auto"/>
              </w:rPr>
              <w:t>20.8%</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i w:val="1"/>
                <w:iCs w:val="1"/>
                <w:color w:val="auto"/>
              </w:rPr>
              <w:t>+4131bps</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i w:val="1"/>
                <w:iCs w:val="1"/>
                <w:color w:val="auto"/>
              </w:rPr>
              <w:t>+316bps</w:t>
            </w:r>
          </w:p>
        </w:tc>
      </w:tr>
      <w:tr>
        <w:trPr>
          <w:trHeight w:val="93"/>
        </w:trPr>
        <w:tc>
          <w:tcPr>
            <w:tcW w:w="3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Adjusted gross profit (loss)</w:t>
            </w:r>
          </w:p>
        </w:tc>
        <w:tc>
          <w:tcPr>
            <w:tcW w:w="156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8"/>
              </w:rPr>
              <w:t>$(218)</w:t>
            </w:r>
          </w:p>
        </w:tc>
        <w:tc>
          <w:tcPr>
            <w:tcW w:w="88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rPr>
              <w:t>$306</w:t>
            </w:r>
          </w:p>
        </w:tc>
        <w:tc>
          <w:tcPr>
            <w:tcW w:w="460" w:type="dxa"/>
            <w:vAlign w:val="bottom"/>
          </w:tcPr>
          <w:p>
            <w:pPr>
              <w:spacing w:after="0"/>
              <w:rPr>
                <w:sz w:val="17"/>
                <w:szCs w:val="17"/>
                <w:color w:val="auto"/>
              </w:rPr>
            </w:pPr>
          </w:p>
        </w:tc>
        <w:tc>
          <w:tcPr>
            <w:tcW w:w="86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$397</w:t>
            </w:r>
          </w:p>
        </w:tc>
        <w:tc>
          <w:tcPr>
            <w:tcW w:w="380" w:type="dxa"/>
            <w:vAlign w:val="bottom"/>
          </w:tcPr>
          <w:p>
            <w:pPr>
              <w:spacing w:after="0"/>
              <w:rPr>
                <w:sz w:val="17"/>
                <w:szCs w:val="17"/>
                <w:color w:val="auto"/>
              </w:rPr>
            </w:pP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$615</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282%</w:t>
            </w:r>
          </w:p>
        </w:tc>
        <w:tc>
          <w:tcPr>
            <w:tcW w:w="8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$91</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30%</w:t>
            </w:r>
          </w:p>
        </w:tc>
      </w:tr>
      <w:tr>
        <w:trPr>
          <w:trHeight w:val="229"/>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Adjusted gross margin</w:t>
            </w:r>
          </w:p>
        </w:tc>
        <w:tc>
          <w:tcPr>
            <w:tcW w:w="1560" w:type="dxa"/>
            <w:vAlign w:val="bottom"/>
            <w:gridSpan w:val="3"/>
          </w:tcPr>
          <w:p>
            <w:pPr>
              <w:jc w:val="center"/>
              <w:ind w:left="48"/>
              <w:spacing w:after="0"/>
              <w:rPr>
                <w:sz w:val="20"/>
                <w:szCs w:val="20"/>
                <w:color w:val="auto"/>
              </w:rPr>
            </w:pPr>
            <w:r>
              <w:rPr>
                <w:rFonts w:ascii="Arial" w:cs="Arial" w:eastAsia="Arial" w:hAnsi="Arial"/>
                <w:sz w:val="14"/>
                <w:szCs w:val="14"/>
                <w:i w:val="1"/>
                <w:iCs w:val="1"/>
                <w:color w:val="auto"/>
              </w:rPr>
              <w:t>(20.5)%</w:t>
            </w:r>
          </w:p>
        </w:tc>
        <w:tc>
          <w:tcPr>
            <w:tcW w:w="1340" w:type="dxa"/>
            <w:vAlign w:val="bottom"/>
            <w:gridSpan w:val="3"/>
          </w:tcPr>
          <w:p>
            <w:pPr>
              <w:jc w:val="center"/>
              <w:spacing w:after="0"/>
              <w:rPr>
                <w:sz w:val="20"/>
                <w:szCs w:val="20"/>
                <w:color w:val="auto"/>
              </w:rPr>
            </w:pPr>
            <w:r>
              <w:rPr>
                <w:rFonts w:ascii="Arial" w:cs="Arial" w:eastAsia="Arial" w:hAnsi="Arial"/>
                <w:sz w:val="14"/>
                <w:szCs w:val="14"/>
                <w:i w:val="1"/>
                <w:iCs w:val="1"/>
                <w:color w:val="auto"/>
              </w:rPr>
              <w:t>18.0%</w:t>
            </w:r>
          </w:p>
        </w:tc>
        <w:tc>
          <w:tcPr>
            <w:tcW w:w="1240" w:type="dxa"/>
            <w:vAlign w:val="bottom"/>
            <w:gridSpan w:val="3"/>
          </w:tcPr>
          <w:p>
            <w:pPr>
              <w:jc w:val="center"/>
              <w:ind w:left="28"/>
              <w:spacing w:after="0"/>
              <w:rPr>
                <w:sz w:val="20"/>
                <w:szCs w:val="20"/>
                <w:color w:val="auto"/>
              </w:rPr>
            </w:pPr>
            <w:r>
              <w:rPr>
                <w:rFonts w:ascii="Arial" w:cs="Arial" w:eastAsia="Arial" w:hAnsi="Arial"/>
                <w:sz w:val="14"/>
                <w:szCs w:val="14"/>
                <w:i w:val="1"/>
                <w:iCs w:val="1"/>
                <w:color w:val="auto"/>
              </w:rPr>
              <w:t>21.5%</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i w:val="1"/>
                <w:iCs w:val="1"/>
                <w:color w:val="auto"/>
              </w:rPr>
              <w:t>+4201bps</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i w:val="1"/>
                <w:iCs w:val="1"/>
                <w:color w:val="auto"/>
              </w:rPr>
              <w:t>+346bps</w:t>
            </w:r>
          </w:p>
        </w:tc>
      </w:tr>
      <w:tr>
        <w:trPr>
          <w:trHeight w:val="93"/>
        </w:trPr>
        <w:tc>
          <w:tcPr>
            <w:tcW w:w="3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156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8"/>
              </w:rPr>
              <w:t>$(491)</w:t>
            </w:r>
          </w:p>
        </w:tc>
        <w:tc>
          <w:tcPr>
            <w:tcW w:w="88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rPr>
              <w:t>$52</w:t>
            </w:r>
          </w:p>
        </w:tc>
        <w:tc>
          <w:tcPr>
            <w:tcW w:w="460" w:type="dxa"/>
            <w:vAlign w:val="bottom"/>
          </w:tcPr>
          <w:p>
            <w:pPr>
              <w:spacing w:after="0"/>
              <w:rPr>
                <w:sz w:val="17"/>
                <w:szCs w:val="17"/>
                <w:color w:val="auto"/>
              </w:rPr>
            </w:pPr>
          </w:p>
        </w:tc>
        <w:tc>
          <w:tcPr>
            <w:tcW w:w="86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$87</w:t>
            </w:r>
          </w:p>
        </w:tc>
        <w:tc>
          <w:tcPr>
            <w:tcW w:w="380" w:type="dxa"/>
            <w:vAlign w:val="bottom"/>
          </w:tcPr>
          <w:p>
            <w:pPr>
              <w:spacing w:after="0"/>
              <w:rPr>
                <w:sz w:val="17"/>
                <w:szCs w:val="17"/>
                <w:color w:val="auto"/>
              </w:rPr>
            </w:pP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$578</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118%</w:t>
            </w:r>
          </w:p>
        </w:tc>
        <w:tc>
          <w:tcPr>
            <w:tcW w:w="8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$35</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67%</w:t>
            </w:r>
          </w:p>
        </w:tc>
      </w:tr>
      <w:tr>
        <w:trPr>
          <w:trHeight w:val="229"/>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Operating margin</w:t>
            </w:r>
          </w:p>
        </w:tc>
        <w:tc>
          <w:tcPr>
            <w:tcW w:w="1040" w:type="dxa"/>
            <w:vAlign w:val="bottom"/>
            <w:gridSpan w:val="2"/>
          </w:tcPr>
          <w:p>
            <w:pPr>
              <w:jc w:val="center"/>
              <w:ind w:left="568"/>
              <w:spacing w:after="0"/>
              <w:rPr>
                <w:sz w:val="20"/>
                <w:szCs w:val="20"/>
                <w:color w:val="auto"/>
              </w:rPr>
            </w:pPr>
            <w:r>
              <w:rPr>
                <w:rFonts w:ascii="Arial" w:cs="Arial" w:eastAsia="Arial" w:hAnsi="Arial"/>
                <w:sz w:val="14"/>
                <w:szCs w:val="14"/>
                <w:i w:val="1"/>
                <w:iCs w:val="1"/>
                <w:color w:val="auto"/>
              </w:rPr>
              <w:t>(46)%</w:t>
            </w:r>
          </w:p>
        </w:tc>
        <w:tc>
          <w:tcPr>
            <w:tcW w:w="520" w:type="dxa"/>
            <w:vAlign w:val="bottom"/>
          </w:tcPr>
          <w:p>
            <w:pPr>
              <w:spacing w:after="0"/>
              <w:rPr>
                <w:sz w:val="19"/>
                <w:szCs w:val="19"/>
                <w:color w:val="auto"/>
              </w:rPr>
            </w:pPr>
          </w:p>
        </w:tc>
        <w:tc>
          <w:tcPr>
            <w:tcW w:w="880" w:type="dxa"/>
            <w:vAlign w:val="bottom"/>
            <w:gridSpan w:val="2"/>
          </w:tcPr>
          <w:p>
            <w:pPr>
              <w:jc w:val="center"/>
              <w:ind w:left="408"/>
              <w:spacing w:after="0"/>
              <w:rPr>
                <w:sz w:val="20"/>
                <w:szCs w:val="20"/>
                <w:color w:val="auto"/>
              </w:rPr>
            </w:pPr>
            <w:r>
              <w:rPr>
                <w:rFonts w:ascii="Arial" w:cs="Arial" w:eastAsia="Arial" w:hAnsi="Arial"/>
                <w:sz w:val="14"/>
                <w:szCs w:val="14"/>
                <w:i w:val="1"/>
                <w:iCs w:val="1"/>
                <w:color w:val="auto"/>
                <w:w w:val="98"/>
              </w:rPr>
              <w:t>3%</w:t>
            </w:r>
          </w:p>
        </w:tc>
        <w:tc>
          <w:tcPr>
            <w:tcW w:w="460" w:type="dxa"/>
            <w:vAlign w:val="bottom"/>
          </w:tcPr>
          <w:p>
            <w:pPr>
              <w:spacing w:after="0"/>
              <w:rPr>
                <w:sz w:val="19"/>
                <w:szCs w:val="19"/>
                <w:color w:val="auto"/>
              </w:rPr>
            </w:pPr>
          </w:p>
        </w:tc>
        <w:tc>
          <w:tcPr>
            <w:tcW w:w="860" w:type="dxa"/>
            <w:vAlign w:val="bottom"/>
            <w:gridSpan w:val="2"/>
          </w:tcPr>
          <w:p>
            <w:pPr>
              <w:jc w:val="center"/>
              <w:ind w:left="408"/>
              <w:spacing w:after="0"/>
              <w:rPr>
                <w:sz w:val="20"/>
                <w:szCs w:val="20"/>
                <w:color w:val="auto"/>
              </w:rPr>
            </w:pPr>
            <w:r>
              <w:rPr>
                <w:rFonts w:ascii="Arial" w:cs="Arial" w:eastAsia="Arial" w:hAnsi="Arial"/>
                <w:sz w:val="14"/>
                <w:szCs w:val="14"/>
                <w:i w:val="1"/>
                <w:iCs w:val="1"/>
                <w:color w:val="auto"/>
              </w:rPr>
              <w:t>5%</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i w:val="1"/>
                <w:iCs w:val="1"/>
                <w:color w:val="auto"/>
              </w:rPr>
              <w:t>+5092bps</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i w:val="1"/>
                <w:iCs w:val="1"/>
                <w:color w:val="auto"/>
              </w:rPr>
              <w:t>+163bps</w:t>
            </w:r>
          </w:p>
        </w:tc>
      </w:tr>
      <w:tr>
        <w:trPr>
          <w:trHeight w:val="93"/>
        </w:trPr>
        <w:tc>
          <w:tcPr>
            <w:tcW w:w="3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Adjusted operating profit (loss)</w:t>
            </w:r>
          </w:p>
        </w:tc>
        <w:tc>
          <w:tcPr>
            <w:tcW w:w="156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8"/>
              </w:rPr>
              <w:t>$(491)</w:t>
            </w:r>
          </w:p>
        </w:tc>
        <w:tc>
          <w:tcPr>
            <w:tcW w:w="88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rPr>
              <w:t>$81</w:t>
            </w:r>
          </w:p>
        </w:tc>
        <w:tc>
          <w:tcPr>
            <w:tcW w:w="460" w:type="dxa"/>
            <w:vAlign w:val="bottom"/>
          </w:tcPr>
          <w:p>
            <w:pPr>
              <w:spacing w:after="0"/>
              <w:rPr>
                <w:sz w:val="17"/>
                <w:szCs w:val="17"/>
                <w:color w:val="auto"/>
              </w:rPr>
            </w:pPr>
          </w:p>
        </w:tc>
        <w:tc>
          <w:tcPr>
            <w:tcW w:w="86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$142</w:t>
            </w:r>
          </w:p>
        </w:tc>
        <w:tc>
          <w:tcPr>
            <w:tcW w:w="380" w:type="dxa"/>
            <w:vAlign w:val="bottom"/>
          </w:tcPr>
          <w:p>
            <w:pPr>
              <w:spacing w:after="0"/>
              <w:rPr>
                <w:sz w:val="17"/>
                <w:szCs w:val="17"/>
                <w:color w:val="auto"/>
              </w:rPr>
            </w:pP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$633</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129%</w:t>
            </w:r>
          </w:p>
        </w:tc>
        <w:tc>
          <w:tcPr>
            <w:tcW w:w="8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$61</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75%</w:t>
            </w:r>
          </w:p>
        </w:tc>
      </w:tr>
      <w:tr>
        <w:trPr>
          <w:trHeight w:val="229"/>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Adjusted operating margin</w:t>
            </w:r>
          </w:p>
        </w:tc>
        <w:tc>
          <w:tcPr>
            <w:tcW w:w="1040" w:type="dxa"/>
            <w:vAlign w:val="bottom"/>
            <w:gridSpan w:val="2"/>
          </w:tcPr>
          <w:p>
            <w:pPr>
              <w:jc w:val="center"/>
              <w:ind w:left="568"/>
              <w:spacing w:after="0"/>
              <w:rPr>
                <w:sz w:val="20"/>
                <w:szCs w:val="20"/>
                <w:color w:val="auto"/>
              </w:rPr>
            </w:pPr>
            <w:r>
              <w:rPr>
                <w:rFonts w:ascii="Arial" w:cs="Arial" w:eastAsia="Arial" w:hAnsi="Arial"/>
                <w:sz w:val="14"/>
                <w:szCs w:val="14"/>
                <w:i w:val="1"/>
                <w:iCs w:val="1"/>
                <w:color w:val="auto"/>
              </w:rPr>
              <w:t>(46)%</w:t>
            </w:r>
          </w:p>
        </w:tc>
        <w:tc>
          <w:tcPr>
            <w:tcW w:w="520" w:type="dxa"/>
            <w:vAlign w:val="bottom"/>
          </w:tcPr>
          <w:p>
            <w:pPr>
              <w:spacing w:after="0"/>
              <w:rPr>
                <w:sz w:val="19"/>
                <w:szCs w:val="19"/>
                <w:color w:val="auto"/>
              </w:rPr>
            </w:pPr>
          </w:p>
        </w:tc>
        <w:tc>
          <w:tcPr>
            <w:tcW w:w="880" w:type="dxa"/>
            <w:vAlign w:val="bottom"/>
            <w:gridSpan w:val="2"/>
          </w:tcPr>
          <w:p>
            <w:pPr>
              <w:jc w:val="center"/>
              <w:ind w:left="408"/>
              <w:spacing w:after="0"/>
              <w:rPr>
                <w:sz w:val="20"/>
                <w:szCs w:val="20"/>
                <w:color w:val="auto"/>
              </w:rPr>
            </w:pPr>
            <w:r>
              <w:rPr>
                <w:rFonts w:ascii="Arial" w:cs="Arial" w:eastAsia="Arial" w:hAnsi="Arial"/>
                <w:sz w:val="14"/>
                <w:szCs w:val="14"/>
                <w:i w:val="1"/>
                <w:iCs w:val="1"/>
                <w:color w:val="auto"/>
                <w:w w:val="98"/>
              </w:rPr>
              <w:t>5%</w:t>
            </w:r>
          </w:p>
        </w:tc>
        <w:tc>
          <w:tcPr>
            <w:tcW w:w="460" w:type="dxa"/>
            <w:vAlign w:val="bottom"/>
          </w:tcPr>
          <w:p>
            <w:pPr>
              <w:spacing w:after="0"/>
              <w:rPr>
                <w:sz w:val="19"/>
                <w:szCs w:val="19"/>
                <w:color w:val="auto"/>
              </w:rPr>
            </w:pPr>
          </w:p>
        </w:tc>
        <w:tc>
          <w:tcPr>
            <w:tcW w:w="860" w:type="dxa"/>
            <w:vAlign w:val="bottom"/>
            <w:gridSpan w:val="2"/>
          </w:tcPr>
          <w:p>
            <w:pPr>
              <w:jc w:val="center"/>
              <w:ind w:left="408"/>
              <w:spacing w:after="0"/>
              <w:rPr>
                <w:sz w:val="20"/>
                <w:szCs w:val="20"/>
                <w:color w:val="auto"/>
              </w:rPr>
            </w:pPr>
            <w:r>
              <w:rPr>
                <w:rFonts w:ascii="Arial" w:cs="Arial" w:eastAsia="Arial" w:hAnsi="Arial"/>
                <w:sz w:val="14"/>
                <w:szCs w:val="14"/>
                <w:i w:val="1"/>
                <w:iCs w:val="1"/>
                <w:color w:val="auto"/>
              </w:rPr>
              <w:t>8%</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i w:val="1"/>
                <w:iCs w:val="1"/>
                <w:color w:val="auto"/>
              </w:rPr>
              <w:t>+5389bps</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i w:val="1"/>
                <w:iCs w:val="1"/>
                <w:color w:val="auto"/>
              </w:rPr>
              <w:t>+291bps</w:t>
            </w:r>
          </w:p>
        </w:tc>
      </w:tr>
      <w:tr>
        <w:trPr>
          <w:trHeight w:val="93"/>
        </w:trPr>
        <w:tc>
          <w:tcPr>
            <w:tcW w:w="3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56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8"/>
              </w:rPr>
              <w:t>$(524)</w:t>
            </w:r>
          </w:p>
        </w:tc>
        <w:tc>
          <w:tcPr>
            <w:tcW w:w="88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rPr>
              <w:t>$5</w:t>
            </w:r>
          </w:p>
        </w:tc>
        <w:tc>
          <w:tcPr>
            <w:tcW w:w="460" w:type="dxa"/>
            <w:vAlign w:val="bottom"/>
          </w:tcPr>
          <w:p>
            <w:pPr>
              <w:spacing w:after="0"/>
              <w:rPr>
                <w:sz w:val="17"/>
                <w:szCs w:val="17"/>
                <w:color w:val="auto"/>
              </w:rPr>
            </w:pPr>
          </w:p>
        </w:tc>
        <w:tc>
          <w:tcPr>
            <w:tcW w:w="86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$43</w:t>
            </w:r>
          </w:p>
        </w:tc>
        <w:tc>
          <w:tcPr>
            <w:tcW w:w="380" w:type="dxa"/>
            <w:vAlign w:val="bottom"/>
          </w:tcPr>
          <w:p>
            <w:pPr>
              <w:spacing w:after="0"/>
              <w:rPr>
                <w:sz w:val="17"/>
                <w:szCs w:val="17"/>
                <w:color w:val="auto"/>
              </w:rPr>
            </w:pP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$567</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108%</w:t>
            </w:r>
          </w:p>
        </w:tc>
        <w:tc>
          <w:tcPr>
            <w:tcW w:w="8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$38</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760%</w:t>
            </w:r>
          </w:p>
        </w:tc>
      </w:tr>
      <w:tr>
        <w:trPr>
          <w:trHeight w:val="229"/>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Net income (loss) margin</w:t>
            </w:r>
          </w:p>
        </w:tc>
        <w:tc>
          <w:tcPr>
            <w:tcW w:w="1040" w:type="dxa"/>
            <w:vAlign w:val="bottom"/>
            <w:gridSpan w:val="2"/>
          </w:tcPr>
          <w:p>
            <w:pPr>
              <w:jc w:val="center"/>
              <w:ind w:left="568"/>
              <w:spacing w:after="0"/>
              <w:rPr>
                <w:sz w:val="20"/>
                <w:szCs w:val="20"/>
                <w:color w:val="auto"/>
              </w:rPr>
            </w:pPr>
            <w:r>
              <w:rPr>
                <w:rFonts w:ascii="Arial" w:cs="Arial" w:eastAsia="Arial" w:hAnsi="Arial"/>
                <w:sz w:val="14"/>
                <w:szCs w:val="14"/>
                <w:i w:val="1"/>
                <w:iCs w:val="1"/>
                <w:color w:val="auto"/>
              </w:rPr>
              <w:t>(49)%</w:t>
            </w:r>
          </w:p>
        </w:tc>
        <w:tc>
          <w:tcPr>
            <w:tcW w:w="520" w:type="dxa"/>
            <w:vAlign w:val="bottom"/>
          </w:tcPr>
          <w:p>
            <w:pPr>
              <w:spacing w:after="0"/>
              <w:rPr>
                <w:sz w:val="19"/>
                <w:szCs w:val="19"/>
                <w:color w:val="auto"/>
              </w:rPr>
            </w:pPr>
          </w:p>
        </w:tc>
        <w:tc>
          <w:tcPr>
            <w:tcW w:w="880" w:type="dxa"/>
            <w:vAlign w:val="bottom"/>
            <w:gridSpan w:val="2"/>
          </w:tcPr>
          <w:p>
            <w:pPr>
              <w:jc w:val="center"/>
              <w:ind w:left="408"/>
              <w:spacing w:after="0"/>
              <w:rPr>
                <w:sz w:val="20"/>
                <w:szCs w:val="20"/>
                <w:color w:val="auto"/>
              </w:rPr>
            </w:pPr>
            <w:r>
              <w:rPr>
                <w:rFonts w:ascii="Arial" w:cs="Arial" w:eastAsia="Arial" w:hAnsi="Arial"/>
                <w:sz w:val="14"/>
                <w:szCs w:val="14"/>
                <w:i w:val="1"/>
                <w:iCs w:val="1"/>
                <w:color w:val="auto"/>
                <w:w w:val="98"/>
              </w:rPr>
              <w:t>0%</w:t>
            </w:r>
          </w:p>
        </w:tc>
        <w:tc>
          <w:tcPr>
            <w:tcW w:w="460" w:type="dxa"/>
            <w:vAlign w:val="bottom"/>
          </w:tcPr>
          <w:p>
            <w:pPr>
              <w:spacing w:after="0"/>
              <w:rPr>
                <w:sz w:val="19"/>
                <w:szCs w:val="19"/>
                <w:color w:val="auto"/>
              </w:rPr>
            </w:pPr>
          </w:p>
        </w:tc>
        <w:tc>
          <w:tcPr>
            <w:tcW w:w="860" w:type="dxa"/>
            <w:vAlign w:val="bottom"/>
            <w:gridSpan w:val="2"/>
          </w:tcPr>
          <w:p>
            <w:pPr>
              <w:jc w:val="center"/>
              <w:ind w:left="408"/>
              <w:spacing w:after="0"/>
              <w:rPr>
                <w:sz w:val="20"/>
                <w:szCs w:val="20"/>
                <w:color w:val="auto"/>
              </w:rPr>
            </w:pPr>
            <w:r>
              <w:rPr>
                <w:rFonts w:ascii="Arial" w:cs="Arial" w:eastAsia="Arial" w:hAnsi="Arial"/>
                <w:sz w:val="14"/>
                <w:szCs w:val="14"/>
                <w:i w:val="1"/>
                <w:iCs w:val="1"/>
                <w:color w:val="auto"/>
              </w:rPr>
              <w:t>2%</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i w:val="1"/>
                <w:iCs w:val="1"/>
                <w:color w:val="auto"/>
              </w:rPr>
              <w:t>+5165bps</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i w:val="1"/>
                <w:iCs w:val="1"/>
                <w:color w:val="auto"/>
              </w:rPr>
              <w:t>+201bps</w:t>
            </w:r>
          </w:p>
        </w:tc>
      </w:tr>
      <w:tr>
        <w:trPr>
          <w:trHeight w:val="93"/>
        </w:trPr>
        <w:tc>
          <w:tcPr>
            <w:tcW w:w="3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Adjusted net income (loss)</w:t>
            </w:r>
          </w:p>
        </w:tc>
        <w:tc>
          <w:tcPr>
            <w:tcW w:w="156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8"/>
              </w:rPr>
              <w:t>$(524)</w:t>
            </w:r>
          </w:p>
        </w:tc>
        <w:tc>
          <w:tcPr>
            <w:tcW w:w="88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rPr>
              <w:t>$34</w:t>
            </w:r>
          </w:p>
        </w:tc>
        <w:tc>
          <w:tcPr>
            <w:tcW w:w="460" w:type="dxa"/>
            <w:vAlign w:val="bottom"/>
          </w:tcPr>
          <w:p>
            <w:pPr>
              <w:spacing w:after="0"/>
              <w:rPr>
                <w:sz w:val="17"/>
                <w:szCs w:val="17"/>
                <w:color w:val="auto"/>
              </w:rPr>
            </w:pPr>
          </w:p>
        </w:tc>
        <w:tc>
          <w:tcPr>
            <w:tcW w:w="86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$98</w:t>
            </w:r>
          </w:p>
        </w:tc>
        <w:tc>
          <w:tcPr>
            <w:tcW w:w="380" w:type="dxa"/>
            <w:vAlign w:val="bottom"/>
          </w:tcPr>
          <w:p>
            <w:pPr>
              <w:spacing w:after="0"/>
              <w:rPr>
                <w:sz w:val="17"/>
                <w:szCs w:val="17"/>
                <w:color w:val="auto"/>
              </w:rPr>
            </w:pP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$622</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119%</w:t>
            </w:r>
          </w:p>
        </w:tc>
        <w:tc>
          <w:tcPr>
            <w:tcW w:w="8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$64</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187%</w:t>
            </w:r>
          </w:p>
        </w:tc>
      </w:tr>
      <w:tr>
        <w:trPr>
          <w:trHeight w:val="229"/>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Adjusted net income (loss) margin</w:t>
            </w:r>
          </w:p>
        </w:tc>
        <w:tc>
          <w:tcPr>
            <w:tcW w:w="1040" w:type="dxa"/>
            <w:vAlign w:val="bottom"/>
            <w:gridSpan w:val="2"/>
          </w:tcPr>
          <w:p>
            <w:pPr>
              <w:jc w:val="center"/>
              <w:ind w:left="568"/>
              <w:spacing w:after="0"/>
              <w:rPr>
                <w:sz w:val="20"/>
                <w:szCs w:val="20"/>
                <w:color w:val="auto"/>
              </w:rPr>
            </w:pPr>
            <w:r>
              <w:rPr>
                <w:rFonts w:ascii="Arial" w:cs="Arial" w:eastAsia="Arial" w:hAnsi="Arial"/>
                <w:sz w:val="14"/>
                <w:szCs w:val="14"/>
                <w:i w:val="1"/>
                <w:iCs w:val="1"/>
                <w:color w:val="auto"/>
              </w:rPr>
              <w:t>(49)%</w:t>
            </w:r>
          </w:p>
        </w:tc>
        <w:tc>
          <w:tcPr>
            <w:tcW w:w="520" w:type="dxa"/>
            <w:vAlign w:val="bottom"/>
          </w:tcPr>
          <w:p>
            <w:pPr>
              <w:spacing w:after="0"/>
              <w:rPr>
                <w:sz w:val="19"/>
                <w:szCs w:val="19"/>
                <w:color w:val="auto"/>
              </w:rPr>
            </w:pPr>
          </w:p>
        </w:tc>
        <w:tc>
          <w:tcPr>
            <w:tcW w:w="880" w:type="dxa"/>
            <w:vAlign w:val="bottom"/>
            <w:gridSpan w:val="2"/>
          </w:tcPr>
          <w:p>
            <w:pPr>
              <w:jc w:val="center"/>
              <w:ind w:left="408"/>
              <w:spacing w:after="0"/>
              <w:rPr>
                <w:sz w:val="20"/>
                <w:szCs w:val="20"/>
                <w:color w:val="auto"/>
              </w:rPr>
            </w:pPr>
            <w:r>
              <w:rPr>
                <w:rFonts w:ascii="Arial" w:cs="Arial" w:eastAsia="Arial" w:hAnsi="Arial"/>
                <w:sz w:val="14"/>
                <w:szCs w:val="14"/>
                <w:i w:val="1"/>
                <w:iCs w:val="1"/>
                <w:color w:val="auto"/>
                <w:w w:val="98"/>
              </w:rPr>
              <w:t>2%</w:t>
            </w:r>
          </w:p>
        </w:tc>
        <w:tc>
          <w:tcPr>
            <w:tcW w:w="460" w:type="dxa"/>
            <w:vAlign w:val="bottom"/>
          </w:tcPr>
          <w:p>
            <w:pPr>
              <w:spacing w:after="0"/>
              <w:rPr>
                <w:sz w:val="19"/>
                <w:szCs w:val="19"/>
                <w:color w:val="auto"/>
              </w:rPr>
            </w:pPr>
          </w:p>
        </w:tc>
        <w:tc>
          <w:tcPr>
            <w:tcW w:w="860" w:type="dxa"/>
            <w:vAlign w:val="bottom"/>
            <w:gridSpan w:val="2"/>
          </w:tcPr>
          <w:p>
            <w:pPr>
              <w:jc w:val="center"/>
              <w:ind w:left="408"/>
              <w:spacing w:after="0"/>
              <w:rPr>
                <w:sz w:val="20"/>
                <w:szCs w:val="20"/>
                <w:color w:val="auto"/>
              </w:rPr>
            </w:pPr>
            <w:r>
              <w:rPr>
                <w:rFonts w:ascii="Arial" w:cs="Arial" w:eastAsia="Arial" w:hAnsi="Arial"/>
                <w:sz w:val="14"/>
                <w:szCs w:val="14"/>
                <w:i w:val="1"/>
                <w:iCs w:val="1"/>
                <w:color w:val="auto"/>
              </w:rPr>
              <w:t>5%</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i w:val="1"/>
                <w:iCs w:val="1"/>
                <w:color w:val="auto"/>
              </w:rPr>
              <w:t>+5464bps</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i w:val="1"/>
                <w:iCs w:val="1"/>
                <w:color w:val="auto"/>
              </w:rPr>
              <w:t>+328bps</w:t>
            </w:r>
          </w:p>
        </w:tc>
      </w:tr>
      <w:tr>
        <w:trPr>
          <w:trHeight w:val="93"/>
        </w:trPr>
        <w:tc>
          <w:tcPr>
            <w:tcW w:w="3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 (EPS)</w:t>
            </w:r>
          </w:p>
        </w:tc>
        <w:tc>
          <w:tcPr>
            <w:tcW w:w="156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9"/>
              </w:rPr>
              <w:t>$(1.05)</w:t>
            </w:r>
          </w:p>
        </w:tc>
        <w:tc>
          <w:tcPr>
            <w:tcW w:w="88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rPr>
              <w:t>$0.01</w:t>
            </w:r>
          </w:p>
        </w:tc>
        <w:tc>
          <w:tcPr>
            <w:tcW w:w="460" w:type="dxa"/>
            <w:vAlign w:val="bottom"/>
          </w:tcPr>
          <w:p>
            <w:pPr>
              <w:spacing w:after="0"/>
              <w:rPr>
                <w:sz w:val="17"/>
                <w:szCs w:val="17"/>
                <w:color w:val="auto"/>
              </w:rPr>
            </w:pPr>
          </w:p>
        </w:tc>
        <w:tc>
          <w:tcPr>
            <w:tcW w:w="86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$0.08</w:t>
            </w:r>
          </w:p>
        </w:tc>
        <w:tc>
          <w:tcPr>
            <w:tcW w:w="380" w:type="dxa"/>
            <w:vAlign w:val="bottom"/>
          </w:tcPr>
          <w:p>
            <w:pPr>
              <w:spacing w:after="0"/>
              <w:rPr>
                <w:sz w:val="17"/>
                <w:szCs w:val="17"/>
                <w:color w:val="auto"/>
              </w:rPr>
            </w:pP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$1.13</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108%</w:t>
            </w:r>
          </w:p>
        </w:tc>
        <w:tc>
          <w:tcPr>
            <w:tcW w:w="8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$0.07</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700%</w:t>
            </w:r>
          </w:p>
        </w:tc>
      </w:tr>
      <w:tr>
        <w:trPr>
          <w:trHeight w:val="93"/>
        </w:trPr>
        <w:tc>
          <w:tcPr>
            <w:tcW w:w="3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197"/>
        </w:trPr>
        <w:tc>
          <w:tcPr>
            <w:tcW w:w="3360" w:type="dxa"/>
            <w:vAlign w:val="bottom"/>
          </w:tcPr>
          <w:p>
            <w:pPr>
              <w:ind w:left="60"/>
              <w:spacing w:after="0"/>
              <w:rPr>
                <w:sz w:val="20"/>
                <w:szCs w:val="20"/>
                <w:color w:val="auto"/>
              </w:rPr>
            </w:pPr>
            <w:r>
              <w:rPr>
                <w:rFonts w:ascii="Arial" w:cs="Arial" w:eastAsia="Arial" w:hAnsi="Arial"/>
                <w:sz w:val="14"/>
                <w:szCs w:val="14"/>
                <w:b w:val="1"/>
                <w:bCs w:val="1"/>
                <w:color w:val="auto"/>
              </w:rPr>
              <w:t>Adjusted diluted EPS</w:t>
            </w:r>
          </w:p>
        </w:tc>
        <w:tc>
          <w:tcPr>
            <w:tcW w:w="156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9"/>
              </w:rPr>
              <w:t>$(1.05)</w:t>
            </w:r>
          </w:p>
        </w:tc>
        <w:tc>
          <w:tcPr>
            <w:tcW w:w="88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rPr>
              <w:t>$0.07</w:t>
            </w:r>
          </w:p>
        </w:tc>
        <w:tc>
          <w:tcPr>
            <w:tcW w:w="460" w:type="dxa"/>
            <w:vAlign w:val="bottom"/>
          </w:tcPr>
          <w:p>
            <w:pPr>
              <w:spacing w:after="0"/>
              <w:rPr>
                <w:sz w:val="17"/>
                <w:szCs w:val="17"/>
                <w:color w:val="auto"/>
              </w:rPr>
            </w:pPr>
          </w:p>
        </w:tc>
        <w:tc>
          <w:tcPr>
            <w:tcW w:w="86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$0.18</w:t>
            </w:r>
          </w:p>
        </w:tc>
        <w:tc>
          <w:tcPr>
            <w:tcW w:w="380" w:type="dxa"/>
            <w:vAlign w:val="bottom"/>
          </w:tcPr>
          <w:p>
            <w:pPr>
              <w:spacing w:after="0"/>
              <w:rPr>
                <w:sz w:val="17"/>
                <w:szCs w:val="17"/>
                <w:color w:val="auto"/>
              </w:rPr>
            </w:pP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$1.23</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117%</w:t>
            </w:r>
          </w:p>
        </w:tc>
        <w:tc>
          <w:tcPr>
            <w:tcW w:w="8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$0.11</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157%</w:t>
            </w:r>
          </w:p>
        </w:tc>
      </w:tr>
      <w:tr>
        <w:trPr>
          <w:trHeight w:val="93"/>
        </w:trPr>
        <w:tc>
          <w:tcPr>
            <w:tcW w:w="3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198"/>
        </w:trPr>
        <w:tc>
          <w:tcPr>
            <w:tcW w:w="3360" w:type="dxa"/>
            <w:vAlign w:val="bottom"/>
          </w:tcPr>
          <w:p>
            <w:pPr>
              <w:ind w:left="60"/>
              <w:spacing w:after="0"/>
              <w:rPr>
                <w:sz w:val="20"/>
                <w:szCs w:val="20"/>
                <w:color w:val="auto"/>
              </w:rPr>
            </w:pPr>
            <w:r>
              <w:rPr>
                <w:rFonts w:ascii="Arial" w:cs="Arial" w:eastAsia="Arial" w:hAnsi="Arial"/>
                <w:sz w:val="14"/>
                <w:szCs w:val="14"/>
                <w:b w:val="1"/>
                <w:bCs w:val="1"/>
                <w:color w:val="auto"/>
              </w:rPr>
              <w:t>Adjusted EBITDA</w:t>
            </w:r>
          </w:p>
        </w:tc>
        <w:tc>
          <w:tcPr>
            <w:tcW w:w="104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rPr>
              <w:t>$166</w:t>
            </w:r>
          </w:p>
        </w:tc>
        <w:tc>
          <w:tcPr>
            <w:tcW w:w="520" w:type="dxa"/>
            <w:vAlign w:val="bottom"/>
          </w:tcPr>
          <w:p>
            <w:pPr>
              <w:spacing w:after="0"/>
              <w:rPr>
                <w:sz w:val="17"/>
                <w:szCs w:val="17"/>
                <w:color w:val="auto"/>
              </w:rPr>
            </w:pPr>
          </w:p>
        </w:tc>
        <w:tc>
          <w:tcPr>
            <w:tcW w:w="88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rPr>
              <w:t>$505</w:t>
            </w:r>
          </w:p>
        </w:tc>
        <w:tc>
          <w:tcPr>
            <w:tcW w:w="460" w:type="dxa"/>
            <w:vAlign w:val="bottom"/>
          </w:tcPr>
          <w:p>
            <w:pPr>
              <w:spacing w:after="0"/>
              <w:rPr>
                <w:sz w:val="17"/>
                <w:szCs w:val="17"/>
                <w:color w:val="auto"/>
              </w:rPr>
            </w:pPr>
          </w:p>
        </w:tc>
        <w:tc>
          <w:tcPr>
            <w:tcW w:w="86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$584</w:t>
            </w:r>
          </w:p>
        </w:tc>
        <w:tc>
          <w:tcPr>
            <w:tcW w:w="380" w:type="dxa"/>
            <w:vAlign w:val="bottom"/>
          </w:tcPr>
          <w:p>
            <w:pPr>
              <w:spacing w:after="0"/>
              <w:rPr>
                <w:sz w:val="17"/>
                <w:szCs w:val="17"/>
                <w:color w:val="auto"/>
              </w:rPr>
            </w:pP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$418</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251%</w:t>
            </w:r>
          </w:p>
        </w:tc>
        <w:tc>
          <w:tcPr>
            <w:tcW w:w="8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$79</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16%</w:t>
            </w:r>
          </w:p>
        </w:tc>
      </w:tr>
      <w:tr>
        <w:trPr>
          <w:trHeight w:val="229"/>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Adjusted EBITDA margin</w:t>
            </w:r>
          </w:p>
        </w:tc>
        <w:tc>
          <w:tcPr>
            <w:tcW w:w="1040" w:type="dxa"/>
            <w:vAlign w:val="bottom"/>
            <w:gridSpan w:val="2"/>
          </w:tcPr>
          <w:p>
            <w:pPr>
              <w:jc w:val="center"/>
              <w:ind w:left="568"/>
              <w:spacing w:after="0"/>
              <w:rPr>
                <w:sz w:val="20"/>
                <w:szCs w:val="20"/>
                <w:color w:val="auto"/>
              </w:rPr>
            </w:pPr>
            <w:r>
              <w:rPr>
                <w:rFonts w:ascii="Arial" w:cs="Arial" w:eastAsia="Arial" w:hAnsi="Arial"/>
                <w:sz w:val="14"/>
                <w:szCs w:val="14"/>
                <w:i w:val="1"/>
                <w:iCs w:val="1"/>
                <w:color w:val="auto"/>
                <w:w w:val="99"/>
              </w:rPr>
              <w:t>16%</w:t>
            </w:r>
          </w:p>
        </w:tc>
        <w:tc>
          <w:tcPr>
            <w:tcW w:w="520" w:type="dxa"/>
            <w:vAlign w:val="bottom"/>
          </w:tcPr>
          <w:p>
            <w:pPr>
              <w:spacing w:after="0"/>
              <w:rPr>
                <w:sz w:val="19"/>
                <w:szCs w:val="19"/>
                <w:color w:val="auto"/>
              </w:rPr>
            </w:pPr>
          </w:p>
        </w:tc>
        <w:tc>
          <w:tcPr>
            <w:tcW w:w="880" w:type="dxa"/>
            <w:vAlign w:val="bottom"/>
            <w:gridSpan w:val="2"/>
          </w:tcPr>
          <w:p>
            <w:pPr>
              <w:jc w:val="center"/>
              <w:ind w:left="408"/>
              <w:spacing w:after="0"/>
              <w:rPr>
                <w:sz w:val="20"/>
                <w:szCs w:val="20"/>
                <w:color w:val="auto"/>
              </w:rPr>
            </w:pPr>
            <w:r>
              <w:rPr>
                <w:rFonts w:ascii="Arial" w:cs="Arial" w:eastAsia="Arial" w:hAnsi="Arial"/>
                <w:sz w:val="14"/>
                <w:szCs w:val="14"/>
                <w:i w:val="1"/>
                <w:iCs w:val="1"/>
                <w:color w:val="auto"/>
                <w:w w:val="99"/>
              </w:rPr>
              <w:t>30%</w:t>
            </w:r>
          </w:p>
        </w:tc>
        <w:tc>
          <w:tcPr>
            <w:tcW w:w="460" w:type="dxa"/>
            <w:vAlign w:val="bottom"/>
          </w:tcPr>
          <w:p>
            <w:pPr>
              <w:spacing w:after="0"/>
              <w:rPr>
                <w:sz w:val="19"/>
                <w:szCs w:val="19"/>
                <w:color w:val="auto"/>
              </w:rPr>
            </w:pPr>
          </w:p>
        </w:tc>
        <w:tc>
          <w:tcPr>
            <w:tcW w:w="860" w:type="dxa"/>
            <w:vAlign w:val="bottom"/>
            <w:gridSpan w:val="2"/>
          </w:tcPr>
          <w:p>
            <w:pPr>
              <w:jc w:val="center"/>
              <w:ind w:left="408"/>
              <w:spacing w:after="0"/>
              <w:rPr>
                <w:sz w:val="20"/>
                <w:szCs w:val="20"/>
                <w:color w:val="auto"/>
              </w:rPr>
            </w:pPr>
            <w:r>
              <w:rPr>
                <w:rFonts w:ascii="Arial" w:cs="Arial" w:eastAsia="Arial" w:hAnsi="Arial"/>
                <w:sz w:val="14"/>
                <w:szCs w:val="14"/>
                <w:i w:val="1"/>
                <w:iCs w:val="1"/>
                <w:color w:val="auto"/>
              </w:rPr>
              <w:t>32%</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i w:val="1"/>
                <w:iCs w:val="1"/>
                <w:color w:val="auto"/>
              </w:rPr>
              <w:t>+1596bps</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i w:val="1"/>
                <w:iCs w:val="1"/>
                <w:color w:val="auto"/>
              </w:rPr>
              <w:t>+191bps</w:t>
            </w:r>
          </w:p>
        </w:tc>
      </w:tr>
      <w:tr>
        <w:trPr>
          <w:trHeight w:val="93"/>
        </w:trPr>
        <w:tc>
          <w:tcPr>
            <w:tcW w:w="3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198"/>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Cash from operations</w:t>
            </w:r>
          </w:p>
        </w:tc>
        <w:tc>
          <w:tcPr>
            <w:tcW w:w="104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rPr>
              <w:t>$201</w:t>
            </w:r>
          </w:p>
        </w:tc>
        <w:tc>
          <w:tcPr>
            <w:tcW w:w="520" w:type="dxa"/>
            <w:vAlign w:val="bottom"/>
          </w:tcPr>
          <w:p>
            <w:pPr>
              <w:spacing w:after="0"/>
              <w:rPr>
                <w:sz w:val="17"/>
                <w:szCs w:val="17"/>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$1,109</w:t>
            </w:r>
          </w:p>
        </w:tc>
        <w:tc>
          <w:tcPr>
            <w:tcW w:w="124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rPr>
              <w:t>$1,148</w:t>
            </w: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$947</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471%</w:t>
            </w:r>
          </w:p>
        </w:tc>
        <w:tc>
          <w:tcPr>
            <w:tcW w:w="8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$39</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4%</w:t>
            </w:r>
          </w:p>
        </w:tc>
      </w:tr>
      <w:tr>
        <w:trPr>
          <w:trHeight w:val="93"/>
        </w:trPr>
        <w:tc>
          <w:tcPr>
            <w:tcW w:w="33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Wafer shipments (300MM Equivalent) (in</w:t>
            </w: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0"/>
        </w:trPr>
        <w:tc>
          <w:tcPr>
            <w:tcW w:w="3360" w:type="dxa"/>
            <w:vAlign w:val="bottom"/>
          </w:tcPr>
          <w:p>
            <w:pPr>
              <w:ind w:left="20"/>
              <w:spacing w:after="0"/>
              <w:rPr>
                <w:sz w:val="20"/>
                <w:szCs w:val="20"/>
                <w:color w:val="auto"/>
              </w:rPr>
            </w:pPr>
            <w:r>
              <w:rPr>
                <w:rFonts w:ascii="Arial" w:cs="Arial" w:eastAsia="Arial" w:hAnsi="Arial"/>
                <w:sz w:val="14"/>
                <w:szCs w:val="14"/>
                <w:b w:val="1"/>
                <w:bCs w:val="1"/>
                <w:color w:val="auto"/>
              </w:rPr>
              <w:t>thousands)</w:t>
            </w:r>
          </w:p>
        </w:tc>
        <w:tc>
          <w:tcPr>
            <w:tcW w:w="1040" w:type="dxa"/>
            <w:vAlign w:val="bottom"/>
            <w:gridSpan w:val="2"/>
          </w:tcPr>
          <w:p>
            <w:pPr>
              <w:jc w:val="center"/>
              <w:ind w:left="568"/>
              <w:spacing w:after="0"/>
              <w:rPr>
                <w:sz w:val="20"/>
                <w:szCs w:val="20"/>
                <w:color w:val="auto"/>
              </w:rPr>
            </w:pPr>
            <w:r>
              <w:rPr>
                <w:rFonts w:ascii="Arial" w:cs="Arial" w:eastAsia="Arial" w:hAnsi="Arial"/>
                <w:sz w:val="14"/>
                <w:szCs w:val="14"/>
                <w:b w:val="1"/>
                <w:bCs w:val="1"/>
                <w:color w:val="auto"/>
              </w:rPr>
              <w:t>595</w:t>
            </w:r>
          </w:p>
        </w:tc>
        <w:tc>
          <w:tcPr>
            <w:tcW w:w="520" w:type="dxa"/>
            <w:vAlign w:val="bottom"/>
          </w:tcPr>
          <w:p>
            <w:pPr>
              <w:spacing w:after="0"/>
              <w:rPr>
                <w:sz w:val="16"/>
                <w:szCs w:val="16"/>
                <w:color w:val="auto"/>
              </w:rPr>
            </w:pPr>
          </w:p>
        </w:tc>
        <w:tc>
          <w:tcPr>
            <w:tcW w:w="880" w:type="dxa"/>
            <w:vAlign w:val="bottom"/>
            <w:gridSpan w:val="2"/>
          </w:tcPr>
          <w:p>
            <w:pPr>
              <w:jc w:val="center"/>
              <w:ind w:left="408"/>
              <w:spacing w:after="0"/>
              <w:rPr>
                <w:sz w:val="20"/>
                <w:szCs w:val="20"/>
                <w:color w:val="auto"/>
              </w:rPr>
            </w:pPr>
            <w:r>
              <w:rPr>
                <w:rFonts w:ascii="Arial" w:cs="Arial" w:eastAsia="Arial" w:hAnsi="Arial"/>
                <w:sz w:val="14"/>
                <w:szCs w:val="14"/>
                <w:b w:val="1"/>
                <w:bCs w:val="1"/>
                <w:color w:val="auto"/>
              </w:rPr>
              <w:t>609</w:t>
            </w:r>
          </w:p>
        </w:tc>
        <w:tc>
          <w:tcPr>
            <w:tcW w:w="460" w:type="dxa"/>
            <w:vAlign w:val="bottom"/>
          </w:tcPr>
          <w:p>
            <w:pPr>
              <w:spacing w:after="0"/>
              <w:rPr>
                <w:sz w:val="16"/>
                <w:szCs w:val="16"/>
                <w:color w:val="auto"/>
              </w:rPr>
            </w:pPr>
          </w:p>
        </w:tc>
        <w:tc>
          <w:tcPr>
            <w:tcW w:w="86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rPr>
              <w:t>622</w:t>
            </w:r>
          </w:p>
        </w:tc>
        <w:tc>
          <w:tcPr>
            <w:tcW w:w="380" w:type="dxa"/>
            <w:vAlign w:val="bottom"/>
          </w:tcPr>
          <w:p>
            <w:pPr>
              <w:spacing w:after="0"/>
              <w:rPr>
                <w:sz w:val="16"/>
                <w:szCs w:val="16"/>
                <w:color w:val="auto"/>
              </w:rPr>
            </w:pPr>
          </w:p>
        </w:tc>
        <w:tc>
          <w:tcPr>
            <w:tcW w:w="88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27</w:t>
            </w:r>
          </w:p>
        </w:tc>
        <w:tc>
          <w:tcPr>
            <w:tcW w:w="620" w:type="dxa"/>
            <w:vAlign w:val="bottom"/>
          </w:tcPr>
          <w:p>
            <w:pPr>
              <w:jc w:val="center"/>
              <w:ind w:left="268"/>
              <w:spacing w:after="0"/>
              <w:rPr>
                <w:sz w:val="20"/>
                <w:szCs w:val="20"/>
                <w:color w:val="auto"/>
              </w:rPr>
            </w:pPr>
            <w:r>
              <w:rPr>
                <w:rFonts w:ascii="Arial" w:cs="Arial" w:eastAsia="Arial" w:hAnsi="Arial"/>
                <w:sz w:val="14"/>
                <w:szCs w:val="14"/>
                <w:b w:val="1"/>
                <w:bCs w:val="1"/>
                <w:color w:val="auto"/>
                <w:w w:val="98"/>
              </w:rPr>
              <w:t>5%</w:t>
            </w:r>
          </w:p>
        </w:tc>
        <w:tc>
          <w:tcPr>
            <w:tcW w:w="480" w:type="dxa"/>
            <w:vAlign w:val="bottom"/>
          </w:tcPr>
          <w:p>
            <w:pPr>
              <w:spacing w:after="0"/>
              <w:rPr>
                <w:sz w:val="16"/>
                <w:szCs w:val="16"/>
                <w:color w:val="auto"/>
              </w:rPr>
            </w:pPr>
          </w:p>
        </w:tc>
        <w:tc>
          <w:tcPr>
            <w:tcW w:w="86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13</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2%</w:t>
            </w:r>
          </w:p>
        </w:tc>
      </w:tr>
    </w:tbl>
    <w:p>
      <w:pPr>
        <w:spacing w:after="0" w:line="343" w:lineRule="exact"/>
        <w:rPr>
          <w:sz w:val="20"/>
          <w:szCs w:val="20"/>
          <w:color w:val="auto"/>
        </w:rPr>
      </w:pPr>
    </w:p>
    <w:p>
      <w:pPr>
        <w:jc w:val="both"/>
        <w:ind w:left="340"/>
        <w:spacing w:after="0" w:line="187" w:lineRule="auto"/>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Adjusted gross profit, adjusted operating profit, adjusted net income, adjusted EBITDA, and diluted earnings per share are adjusted non-IFRS metrics; please see the reconciliation of IFRS to adjusted non-IFRS metrics in the Appendix.</w:t>
      </w:r>
    </w:p>
    <w:p>
      <w:pPr>
        <w:spacing w:after="0" w:line="1" w:lineRule="exact"/>
        <w:rPr>
          <w:sz w:val="20"/>
          <w:szCs w:val="20"/>
          <w:color w:val="auto"/>
        </w:rPr>
      </w:pPr>
    </w:p>
    <w:p>
      <w:pPr>
        <w:jc w:val="both"/>
        <w:ind w:left="340"/>
        <w:spacing w:after="0" w:line="190" w:lineRule="auto"/>
        <w:rPr>
          <w:sz w:val="20"/>
          <w:szCs w:val="20"/>
          <w:color w:val="auto"/>
        </w:rPr>
      </w:pPr>
      <w:r>
        <w:rPr>
          <w:rFonts w:ascii="Arial" w:cs="Arial" w:eastAsia="Arial" w:hAnsi="Arial"/>
          <w:sz w:val="16"/>
          <w:szCs w:val="16"/>
          <w:color w:val="auto"/>
          <w:vertAlign w:val="superscript"/>
        </w:rPr>
        <w:t>2</w:t>
      </w:r>
      <w:r>
        <w:rPr>
          <w:rFonts w:ascii="Arial" w:cs="Arial" w:eastAsia="Arial" w:hAnsi="Arial"/>
          <w:sz w:val="13"/>
          <w:szCs w:val="13"/>
          <w:color w:val="auto"/>
        </w:rPr>
        <w:t>In 2020, the majority of our customer contractual terms were amended in a manner that resulted in moving from recognizing wafer revenue on a Percentage-of-Completion basis to recognizing revenue on a Wafer Shipment basis. This resulted in a one-time, non-recurring reduction in net revenues recognized in 2020. Had the change in terms not occurred, net revenues for the quarter ended December 31, 2020 would have been an estimated $501 million higher than reported results.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Unaudited Summary Annual Results (in $M, except per share amounts)</w:t>
      </w:r>
      <w:r>
        <w:rPr>
          <w:rFonts w:ascii="Arial" w:cs="Arial" w:eastAsia="Arial" w:hAnsi="Arial"/>
          <w:sz w:val="21"/>
          <w:szCs w:val="21"/>
          <w:b w:val="1"/>
          <w:bCs w:val="1"/>
          <w:color w:val="auto"/>
          <w:vertAlign w:val="superscript"/>
        </w:rPr>
        <w:t>1,2</w:t>
      </w:r>
    </w:p>
    <w:p>
      <w:pPr>
        <w:spacing w:after="0" w:line="2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40" w:type="dxa"/>
            <w:vAlign w:val="bottom"/>
            <w:gridSpan w:val="4"/>
          </w:tcPr>
          <w:p>
            <w:pPr>
              <w:jc w:val="center"/>
              <w:ind w:left="748"/>
              <w:spacing w:after="0"/>
              <w:rPr>
                <w:sz w:val="20"/>
                <w:szCs w:val="20"/>
                <w:color w:val="auto"/>
              </w:rPr>
            </w:pPr>
            <w:r>
              <w:rPr>
                <w:rFonts w:ascii="Arial" w:cs="Arial" w:eastAsia="Arial" w:hAnsi="Arial"/>
                <w:sz w:val="14"/>
                <w:szCs w:val="14"/>
                <w:b w:val="1"/>
                <w:bCs w:val="1"/>
                <w:color w:val="auto"/>
              </w:rPr>
              <w:t>Year-over-year</w:t>
            </w:r>
          </w:p>
        </w:tc>
      </w:tr>
      <w:tr>
        <w:trPr>
          <w:trHeight w:val="183"/>
        </w:trPr>
        <w:tc>
          <w:tcPr>
            <w:tcW w:w="498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FY 2020</w:t>
            </w:r>
          </w:p>
        </w:tc>
        <w:tc>
          <w:tcPr>
            <w:tcW w:w="1080" w:type="dxa"/>
            <w:vAlign w:val="bottom"/>
            <w:gridSpan w:val="2"/>
          </w:tcPr>
          <w:p>
            <w:pPr>
              <w:ind w:left="520"/>
              <w:spacing w:after="0"/>
              <w:rPr>
                <w:sz w:val="20"/>
                <w:szCs w:val="20"/>
                <w:color w:val="auto"/>
              </w:rPr>
            </w:pPr>
            <w:r>
              <w:rPr>
                <w:rFonts w:ascii="Arial" w:cs="Arial" w:eastAsia="Arial" w:hAnsi="Arial"/>
                <w:sz w:val="14"/>
                <w:szCs w:val="14"/>
                <w:b w:val="1"/>
                <w:bCs w:val="1"/>
                <w:color w:val="auto"/>
              </w:rPr>
              <w:t>FY 2021</w:t>
            </w:r>
          </w:p>
        </w:tc>
        <w:tc>
          <w:tcPr>
            <w:tcW w:w="2940" w:type="dxa"/>
            <w:vAlign w:val="bottom"/>
            <w:gridSpan w:val="4"/>
          </w:tcPr>
          <w:p>
            <w:pPr>
              <w:jc w:val="center"/>
              <w:ind w:left="768"/>
              <w:spacing w:after="0"/>
              <w:rPr>
                <w:sz w:val="20"/>
                <w:szCs w:val="20"/>
                <w:color w:val="auto"/>
              </w:rPr>
            </w:pPr>
            <w:r>
              <w:rPr>
                <w:rFonts w:ascii="Arial" w:cs="Arial" w:eastAsia="Arial" w:hAnsi="Arial"/>
                <w:sz w:val="14"/>
                <w:szCs w:val="14"/>
                <w:b w:val="1"/>
                <w:bCs w:val="1"/>
                <w:color w:val="auto"/>
              </w:rPr>
              <w:t>FY20 vs FY21</w:t>
            </w:r>
          </w:p>
        </w:tc>
      </w:tr>
      <w:tr>
        <w:trPr>
          <w:trHeight w:val="142"/>
        </w:trPr>
        <w:tc>
          <w:tcPr>
            <w:tcW w:w="498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r>
      <w:tr>
        <w:trPr>
          <w:trHeight w:val="198"/>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$4,851</w:t>
            </w:r>
          </w:p>
        </w:tc>
        <w:tc>
          <w:tcPr>
            <w:tcW w:w="520" w:type="dxa"/>
            <w:vAlign w:val="bottom"/>
          </w:tcPr>
          <w:p>
            <w:pPr>
              <w:spacing w:after="0"/>
              <w:rPr>
                <w:sz w:val="17"/>
                <w:szCs w:val="17"/>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rPr>
              <w:t>$6,585</w:t>
            </w:r>
          </w:p>
        </w:tc>
        <w:tc>
          <w:tcPr>
            <w:tcW w:w="184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rPr>
              <w:t>$1,734</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36%</w:t>
            </w:r>
          </w:p>
        </w:tc>
      </w:tr>
      <w:tr>
        <w:trPr>
          <w:trHeight w:val="93"/>
        </w:trPr>
        <w:tc>
          <w:tcPr>
            <w:tcW w:w="49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98"/>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Gross profit (loss)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8"/>
              </w:rPr>
              <w:t>$(713)</w:t>
            </w:r>
          </w:p>
        </w:tc>
        <w:tc>
          <w:tcPr>
            <w:tcW w:w="520" w:type="dxa"/>
            <w:vAlign w:val="bottom"/>
          </w:tcPr>
          <w:p>
            <w:pPr>
              <w:spacing w:after="0"/>
              <w:rPr>
                <w:sz w:val="17"/>
                <w:szCs w:val="17"/>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rPr>
              <w:t>$1,013</w:t>
            </w:r>
          </w:p>
        </w:tc>
        <w:tc>
          <w:tcPr>
            <w:tcW w:w="184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rPr>
              <w:t>$1,726</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242%</w:t>
            </w:r>
          </w:p>
        </w:tc>
      </w:tr>
      <w:tr>
        <w:trPr>
          <w:trHeight w:val="230"/>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Gross margin</w:t>
            </w:r>
          </w:p>
        </w:tc>
        <w:tc>
          <w:tcPr>
            <w:tcW w:w="560" w:type="dxa"/>
            <w:vAlign w:val="bottom"/>
          </w:tcPr>
          <w:p>
            <w:pPr>
              <w:jc w:val="center"/>
              <w:spacing w:after="0"/>
              <w:rPr>
                <w:sz w:val="20"/>
                <w:szCs w:val="20"/>
                <w:color w:val="auto"/>
              </w:rPr>
            </w:pPr>
            <w:r>
              <w:rPr>
                <w:rFonts w:ascii="Arial" w:cs="Arial" w:eastAsia="Arial" w:hAnsi="Arial"/>
                <w:sz w:val="14"/>
                <w:szCs w:val="14"/>
                <w:i w:val="1"/>
                <w:iCs w:val="1"/>
                <w:color w:val="auto"/>
              </w:rPr>
              <w:t>(14.7)%</w:t>
            </w:r>
          </w:p>
        </w:tc>
        <w:tc>
          <w:tcPr>
            <w:tcW w:w="520" w:type="dxa"/>
            <w:vAlign w:val="bottom"/>
          </w:tcPr>
          <w:p>
            <w:pPr>
              <w:spacing w:after="0"/>
              <w:rPr>
                <w:sz w:val="19"/>
                <w:szCs w:val="19"/>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i w:val="1"/>
                <w:iCs w:val="1"/>
                <w:color w:val="auto"/>
              </w:rPr>
              <w:t>15.4%</w:t>
            </w: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i w:val="1"/>
                <w:iCs w:val="1"/>
                <w:color w:val="auto"/>
              </w:rPr>
              <w:t>+3008bps</w:t>
            </w:r>
          </w:p>
        </w:tc>
      </w:tr>
      <w:tr>
        <w:trPr>
          <w:trHeight w:val="93"/>
        </w:trPr>
        <w:tc>
          <w:tcPr>
            <w:tcW w:w="49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98"/>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Adjusted gross profit (loss)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8"/>
              </w:rPr>
              <w:t>$(713)</w:t>
            </w:r>
          </w:p>
        </w:tc>
        <w:tc>
          <w:tcPr>
            <w:tcW w:w="520" w:type="dxa"/>
            <w:vAlign w:val="bottom"/>
          </w:tcPr>
          <w:p>
            <w:pPr>
              <w:spacing w:after="0"/>
              <w:rPr>
                <w:sz w:val="17"/>
                <w:szCs w:val="17"/>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rPr>
              <w:t>$1,068</w:t>
            </w:r>
          </w:p>
        </w:tc>
        <w:tc>
          <w:tcPr>
            <w:tcW w:w="184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rPr>
              <w:t>$1,781</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250%</w:t>
            </w:r>
          </w:p>
        </w:tc>
      </w:tr>
      <w:tr>
        <w:trPr>
          <w:trHeight w:val="230"/>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Adjusted gross margin</w:t>
            </w:r>
          </w:p>
        </w:tc>
        <w:tc>
          <w:tcPr>
            <w:tcW w:w="560" w:type="dxa"/>
            <w:vAlign w:val="bottom"/>
          </w:tcPr>
          <w:p>
            <w:pPr>
              <w:jc w:val="center"/>
              <w:spacing w:after="0"/>
              <w:rPr>
                <w:sz w:val="20"/>
                <w:szCs w:val="20"/>
                <w:color w:val="auto"/>
              </w:rPr>
            </w:pPr>
            <w:r>
              <w:rPr>
                <w:rFonts w:ascii="Arial" w:cs="Arial" w:eastAsia="Arial" w:hAnsi="Arial"/>
                <w:sz w:val="14"/>
                <w:szCs w:val="14"/>
                <w:i w:val="1"/>
                <w:iCs w:val="1"/>
                <w:color w:val="auto"/>
              </w:rPr>
              <w:t>(14.7)%</w:t>
            </w:r>
          </w:p>
        </w:tc>
        <w:tc>
          <w:tcPr>
            <w:tcW w:w="520" w:type="dxa"/>
            <w:vAlign w:val="bottom"/>
          </w:tcPr>
          <w:p>
            <w:pPr>
              <w:spacing w:after="0"/>
              <w:rPr>
                <w:sz w:val="19"/>
                <w:szCs w:val="19"/>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i w:val="1"/>
                <w:iCs w:val="1"/>
                <w:color w:val="auto"/>
              </w:rPr>
              <w:t>16.2%</w:t>
            </w: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i w:val="1"/>
                <w:iCs w:val="1"/>
                <w:color w:val="auto"/>
              </w:rPr>
              <w:t>+3092bps</w:t>
            </w:r>
          </w:p>
        </w:tc>
      </w:tr>
      <w:tr>
        <w:trPr>
          <w:trHeight w:val="93"/>
        </w:trPr>
        <w:tc>
          <w:tcPr>
            <w:tcW w:w="49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98"/>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Operating profit (loss)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9"/>
              </w:rPr>
              <w:t>$(1,656)</w:t>
            </w:r>
          </w:p>
        </w:tc>
        <w:tc>
          <w:tcPr>
            <w:tcW w:w="520" w:type="dxa"/>
            <w:vAlign w:val="bottom"/>
          </w:tcPr>
          <w:p>
            <w:pPr>
              <w:spacing w:after="0"/>
              <w:rPr>
                <w:sz w:val="17"/>
                <w:szCs w:val="17"/>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7"/>
              </w:rPr>
              <w:t>$(60)</w:t>
            </w:r>
          </w:p>
        </w:tc>
        <w:tc>
          <w:tcPr>
            <w:tcW w:w="184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rPr>
              <w:t>$1,596</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96%</w:t>
            </w:r>
          </w:p>
        </w:tc>
      </w:tr>
      <w:tr>
        <w:trPr>
          <w:trHeight w:val="230"/>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Operating margin</w:t>
            </w:r>
          </w:p>
        </w:tc>
        <w:tc>
          <w:tcPr>
            <w:tcW w:w="560" w:type="dxa"/>
            <w:vAlign w:val="bottom"/>
          </w:tcPr>
          <w:p>
            <w:pPr>
              <w:jc w:val="center"/>
              <w:spacing w:after="0"/>
              <w:rPr>
                <w:sz w:val="20"/>
                <w:szCs w:val="20"/>
                <w:color w:val="auto"/>
              </w:rPr>
            </w:pPr>
            <w:r>
              <w:rPr>
                <w:rFonts w:ascii="Arial" w:cs="Arial" w:eastAsia="Arial" w:hAnsi="Arial"/>
                <w:sz w:val="14"/>
                <w:szCs w:val="14"/>
                <w:i w:val="1"/>
                <w:iCs w:val="1"/>
                <w:color w:val="auto"/>
              </w:rPr>
              <w:t>(34)%</w:t>
            </w:r>
          </w:p>
        </w:tc>
        <w:tc>
          <w:tcPr>
            <w:tcW w:w="520" w:type="dxa"/>
            <w:vAlign w:val="bottom"/>
          </w:tcPr>
          <w:p>
            <w:pPr>
              <w:spacing w:after="0"/>
              <w:rPr>
                <w:sz w:val="19"/>
                <w:szCs w:val="19"/>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i w:val="1"/>
                <w:iCs w:val="1"/>
                <w:color w:val="auto"/>
              </w:rPr>
              <w:t>(1)%</w:t>
            </w: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i w:val="1"/>
                <w:iCs w:val="1"/>
                <w:color w:val="auto"/>
              </w:rPr>
              <w:t>+3323bps</w:t>
            </w:r>
          </w:p>
        </w:tc>
      </w:tr>
      <w:tr>
        <w:trPr>
          <w:trHeight w:val="93"/>
        </w:trPr>
        <w:tc>
          <w:tcPr>
            <w:tcW w:w="49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98"/>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Adjusted operating profit (loss)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9"/>
              </w:rPr>
              <w:t>$(1,655)</w:t>
            </w:r>
          </w:p>
        </w:tc>
        <w:tc>
          <w:tcPr>
            <w:tcW w:w="520" w:type="dxa"/>
            <w:vAlign w:val="bottom"/>
          </w:tcPr>
          <w:p>
            <w:pPr>
              <w:spacing w:after="0"/>
              <w:rPr>
                <w:sz w:val="17"/>
                <w:szCs w:val="17"/>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rPr>
              <w:t>$168</w:t>
            </w:r>
          </w:p>
        </w:tc>
        <w:tc>
          <w:tcPr>
            <w:tcW w:w="184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rPr>
              <w:t>$1,823</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110%</w:t>
            </w:r>
          </w:p>
        </w:tc>
      </w:tr>
      <w:tr>
        <w:trPr>
          <w:trHeight w:val="230"/>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Adjusted operating margin</w:t>
            </w:r>
          </w:p>
        </w:tc>
        <w:tc>
          <w:tcPr>
            <w:tcW w:w="560" w:type="dxa"/>
            <w:vAlign w:val="bottom"/>
          </w:tcPr>
          <w:p>
            <w:pPr>
              <w:jc w:val="center"/>
              <w:spacing w:after="0"/>
              <w:rPr>
                <w:sz w:val="20"/>
                <w:szCs w:val="20"/>
                <w:color w:val="auto"/>
              </w:rPr>
            </w:pPr>
            <w:r>
              <w:rPr>
                <w:rFonts w:ascii="Arial" w:cs="Arial" w:eastAsia="Arial" w:hAnsi="Arial"/>
                <w:sz w:val="14"/>
                <w:szCs w:val="14"/>
                <w:i w:val="1"/>
                <w:iCs w:val="1"/>
                <w:color w:val="auto"/>
              </w:rPr>
              <w:t>(34)%</w:t>
            </w:r>
          </w:p>
        </w:tc>
        <w:tc>
          <w:tcPr>
            <w:tcW w:w="520" w:type="dxa"/>
            <w:vAlign w:val="bottom"/>
          </w:tcPr>
          <w:p>
            <w:pPr>
              <w:spacing w:after="0"/>
              <w:rPr>
                <w:sz w:val="19"/>
                <w:szCs w:val="19"/>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i w:val="1"/>
                <w:iCs w:val="1"/>
                <w:color w:val="auto"/>
                <w:w w:val="98"/>
              </w:rPr>
              <w:t>3%</w:t>
            </w: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i w:val="1"/>
                <w:iCs w:val="1"/>
                <w:color w:val="auto"/>
              </w:rPr>
              <w:t>+3667bps</w:t>
            </w:r>
          </w:p>
        </w:tc>
      </w:tr>
      <w:tr>
        <w:trPr>
          <w:trHeight w:val="93"/>
        </w:trPr>
        <w:tc>
          <w:tcPr>
            <w:tcW w:w="49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98"/>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9"/>
              </w:rPr>
              <w:t>$(1,351)</w:t>
            </w:r>
          </w:p>
        </w:tc>
        <w:tc>
          <w:tcPr>
            <w:tcW w:w="520" w:type="dxa"/>
            <w:vAlign w:val="bottom"/>
          </w:tcPr>
          <w:p>
            <w:pPr>
              <w:spacing w:after="0"/>
              <w:rPr>
                <w:sz w:val="17"/>
                <w:szCs w:val="17"/>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8"/>
              </w:rPr>
              <w:t>$(254)</w:t>
            </w:r>
          </w:p>
        </w:tc>
        <w:tc>
          <w:tcPr>
            <w:tcW w:w="184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rPr>
              <w:t>$1,097</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81%</w:t>
            </w:r>
          </w:p>
        </w:tc>
      </w:tr>
      <w:tr>
        <w:trPr>
          <w:trHeight w:val="230"/>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Net income (loss) margin</w:t>
            </w:r>
          </w:p>
        </w:tc>
        <w:tc>
          <w:tcPr>
            <w:tcW w:w="560" w:type="dxa"/>
            <w:vAlign w:val="bottom"/>
          </w:tcPr>
          <w:p>
            <w:pPr>
              <w:jc w:val="center"/>
              <w:spacing w:after="0"/>
              <w:rPr>
                <w:sz w:val="20"/>
                <w:szCs w:val="20"/>
                <w:color w:val="auto"/>
              </w:rPr>
            </w:pPr>
            <w:r>
              <w:rPr>
                <w:rFonts w:ascii="Arial" w:cs="Arial" w:eastAsia="Arial" w:hAnsi="Arial"/>
                <w:sz w:val="14"/>
                <w:szCs w:val="14"/>
                <w:i w:val="1"/>
                <w:iCs w:val="1"/>
                <w:color w:val="auto"/>
              </w:rPr>
              <w:t>(28)%</w:t>
            </w:r>
          </w:p>
        </w:tc>
        <w:tc>
          <w:tcPr>
            <w:tcW w:w="520" w:type="dxa"/>
            <w:vAlign w:val="bottom"/>
          </w:tcPr>
          <w:p>
            <w:pPr>
              <w:spacing w:after="0"/>
              <w:rPr>
                <w:sz w:val="19"/>
                <w:szCs w:val="19"/>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i w:val="1"/>
                <w:iCs w:val="1"/>
                <w:color w:val="auto"/>
              </w:rPr>
              <w:t>(4)%</w:t>
            </w: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i w:val="1"/>
                <w:iCs w:val="1"/>
                <w:color w:val="auto"/>
              </w:rPr>
              <w:t>+2399bps</w:t>
            </w:r>
          </w:p>
        </w:tc>
      </w:tr>
      <w:tr>
        <w:trPr>
          <w:trHeight w:val="93"/>
        </w:trPr>
        <w:tc>
          <w:tcPr>
            <w:tcW w:w="49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98"/>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Adjusted net income (loss)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9"/>
              </w:rPr>
              <w:t>$(1,350)</w:t>
            </w:r>
          </w:p>
        </w:tc>
        <w:tc>
          <w:tcPr>
            <w:tcW w:w="520" w:type="dxa"/>
            <w:vAlign w:val="bottom"/>
          </w:tcPr>
          <w:p>
            <w:pPr>
              <w:spacing w:after="0"/>
              <w:rPr>
                <w:sz w:val="17"/>
                <w:szCs w:val="17"/>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7"/>
              </w:rPr>
              <w:t>$(26)</w:t>
            </w:r>
          </w:p>
        </w:tc>
        <w:tc>
          <w:tcPr>
            <w:tcW w:w="184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rPr>
              <w:t>$1,324</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98%</w:t>
            </w:r>
          </w:p>
        </w:tc>
      </w:tr>
      <w:tr>
        <w:trPr>
          <w:trHeight w:val="229"/>
        </w:trPr>
        <w:tc>
          <w:tcPr>
            <w:tcW w:w="4980" w:type="dxa"/>
            <w:vAlign w:val="bottom"/>
          </w:tcPr>
          <w:p>
            <w:pPr>
              <w:ind w:left="20"/>
              <w:spacing w:after="0"/>
              <w:rPr>
                <w:sz w:val="20"/>
                <w:szCs w:val="20"/>
                <w:color w:val="auto"/>
              </w:rPr>
            </w:pPr>
            <w:r>
              <w:rPr>
                <w:rFonts w:ascii="Arial" w:cs="Arial" w:eastAsia="Arial" w:hAnsi="Arial"/>
                <w:sz w:val="14"/>
                <w:szCs w:val="14"/>
                <w:i w:val="1"/>
                <w:iCs w:val="1"/>
                <w:color w:val="auto"/>
              </w:rPr>
              <w:t>Adjusted net income (loss) margin</w:t>
            </w:r>
          </w:p>
        </w:tc>
        <w:tc>
          <w:tcPr>
            <w:tcW w:w="560" w:type="dxa"/>
            <w:vAlign w:val="bottom"/>
          </w:tcPr>
          <w:p>
            <w:pPr>
              <w:jc w:val="center"/>
              <w:spacing w:after="0"/>
              <w:rPr>
                <w:sz w:val="20"/>
                <w:szCs w:val="20"/>
                <w:color w:val="auto"/>
              </w:rPr>
            </w:pPr>
            <w:r>
              <w:rPr>
                <w:rFonts w:ascii="Arial" w:cs="Arial" w:eastAsia="Arial" w:hAnsi="Arial"/>
                <w:sz w:val="14"/>
                <w:szCs w:val="14"/>
                <w:i w:val="1"/>
                <w:iCs w:val="1"/>
                <w:color w:val="auto"/>
              </w:rPr>
              <w:t>(28)%</w:t>
            </w:r>
          </w:p>
        </w:tc>
        <w:tc>
          <w:tcPr>
            <w:tcW w:w="520" w:type="dxa"/>
            <w:vAlign w:val="bottom"/>
          </w:tcPr>
          <w:p>
            <w:pPr>
              <w:spacing w:after="0"/>
              <w:rPr>
                <w:sz w:val="19"/>
                <w:szCs w:val="19"/>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i w:val="1"/>
                <w:iCs w:val="1"/>
                <w:color w:val="auto"/>
                <w:w w:val="98"/>
              </w:rPr>
              <w:t>0%</w:t>
            </w: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i w:val="1"/>
                <w:iCs w:val="1"/>
                <w:color w:val="auto"/>
              </w:rPr>
              <w:t>+2744bps</w:t>
            </w:r>
          </w:p>
        </w:tc>
      </w:tr>
      <w:tr>
        <w:trPr>
          <w:trHeight w:val="93"/>
        </w:trPr>
        <w:tc>
          <w:tcPr>
            <w:tcW w:w="49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198"/>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share (EPS)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9"/>
              </w:rPr>
              <w:t>$(2.70)</w:t>
            </w:r>
          </w:p>
        </w:tc>
        <w:tc>
          <w:tcPr>
            <w:tcW w:w="520" w:type="dxa"/>
            <w:vAlign w:val="bottom"/>
          </w:tcPr>
          <w:p>
            <w:pPr>
              <w:spacing w:after="0"/>
              <w:rPr>
                <w:sz w:val="17"/>
                <w:szCs w:val="17"/>
                <w:color w:val="auto"/>
              </w:rPr>
            </w:pPr>
          </w:p>
        </w:tc>
        <w:tc>
          <w:tcPr>
            <w:tcW w:w="108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9"/>
              </w:rPr>
              <w:t>$(0.50)</w:t>
            </w:r>
          </w:p>
        </w:tc>
        <w:tc>
          <w:tcPr>
            <w:tcW w:w="1840" w:type="dxa"/>
            <w:vAlign w:val="bottom"/>
            <w:gridSpan w:val="2"/>
          </w:tcPr>
          <w:p>
            <w:pPr>
              <w:jc w:val="center"/>
              <w:ind w:left="808"/>
              <w:spacing w:after="0"/>
              <w:rPr>
                <w:sz w:val="20"/>
                <w:szCs w:val="20"/>
                <w:color w:val="auto"/>
              </w:rPr>
            </w:pPr>
            <w:r>
              <w:rPr>
                <w:rFonts w:ascii="Arial" w:cs="Arial" w:eastAsia="Arial" w:hAnsi="Arial"/>
                <w:sz w:val="14"/>
                <w:szCs w:val="14"/>
                <w:b w:val="1"/>
                <w:bCs w:val="1"/>
                <w:color w:val="auto"/>
              </w:rPr>
              <w:t>$2.20</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81%</w:t>
            </w:r>
          </w:p>
        </w:tc>
      </w:tr>
      <w:tr>
        <w:trPr>
          <w:trHeight w:val="93"/>
        </w:trPr>
        <w:tc>
          <w:tcPr>
            <w:tcW w:w="49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929005</wp:posOffset>
            </wp:positionV>
            <wp:extent cx="6395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90"/>
        </w:trPr>
        <w:tc>
          <w:tcPr>
            <w:tcW w:w="4320" w:type="dxa"/>
            <w:vAlign w:val="bottom"/>
          </w:tcPr>
          <w:p>
            <w:pPr>
              <w:ind w:left="60"/>
              <w:spacing w:after="0"/>
              <w:rPr>
                <w:sz w:val="20"/>
                <w:szCs w:val="20"/>
                <w:color w:val="auto"/>
              </w:rPr>
            </w:pPr>
            <w:r>
              <w:rPr>
                <w:rFonts w:ascii="Arial" w:cs="Arial" w:eastAsia="Arial" w:hAnsi="Arial"/>
                <w:sz w:val="14"/>
                <w:szCs w:val="14"/>
                <w:b w:val="1"/>
                <w:bCs w:val="1"/>
                <w:color w:val="auto"/>
              </w:rPr>
              <w:t>Adjusted diluted EPS</w:t>
            </w:r>
          </w:p>
        </w:tc>
        <w:tc>
          <w:tcPr>
            <w:tcW w:w="1740" w:type="dxa"/>
            <w:vAlign w:val="bottom"/>
          </w:tcPr>
          <w:p>
            <w:pPr>
              <w:jc w:val="center"/>
              <w:ind w:left="68"/>
              <w:spacing w:after="0"/>
              <w:rPr>
                <w:sz w:val="20"/>
                <w:szCs w:val="20"/>
                <w:color w:val="auto"/>
              </w:rPr>
            </w:pPr>
            <w:r>
              <w:rPr>
                <w:rFonts w:ascii="Arial" w:cs="Arial" w:eastAsia="Arial" w:hAnsi="Arial"/>
                <w:sz w:val="14"/>
                <w:szCs w:val="14"/>
                <w:b w:val="1"/>
                <w:bCs w:val="1"/>
                <w:color w:val="auto"/>
                <w:w w:val="99"/>
              </w:rPr>
              <w:t>$(2.70)</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9"/>
              </w:rPr>
              <w:t>$(0.05)</w:t>
            </w:r>
          </w:p>
        </w:tc>
        <w:tc>
          <w:tcPr>
            <w:tcW w:w="1320" w:type="dxa"/>
            <w:vAlign w:val="bottom"/>
          </w:tcPr>
          <w:p>
            <w:pPr>
              <w:jc w:val="center"/>
              <w:ind w:left="248"/>
              <w:spacing w:after="0"/>
              <w:rPr>
                <w:sz w:val="20"/>
                <w:szCs w:val="20"/>
                <w:color w:val="auto"/>
              </w:rPr>
            </w:pPr>
            <w:r>
              <w:rPr>
                <w:rFonts w:ascii="Arial" w:cs="Arial" w:eastAsia="Arial" w:hAnsi="Arial"/>
                <w:sz w:val="14"/>
                <w:szCs w:val="14"/>
                <w:b w:val="1"/>
                <w:bCs w:val="1"/>
                <w:color w:val="auto"/>
              </w:rPr>
              <w:t>$2.65</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98%</w:t>
            </w:r>
          </w:p>
        </w:tc>
      </w:tr>
      <w:tr>
        <w:trPr>
          <w:trHeight w:val="93"/>
        </w:trPr>
        <w:tc>
          <w:tcPr>
            <w:tcW w:w="43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197"/>
        </w:trPr>
        <w:tc>
          <w:tcPr>
            <w:tcW w:w="4320" w:type="dxa"/>
            <w:vAlign w:val="bottom"/>
          </w:tcPr>
          <w:p>
            <w:pPr>
              <w:ind w:left="60"/>
              <w:spacing w:after="0"/>
              <w:rPr>
                <w:sz w:val="20"/>
                <w:szCs w:val="20"/>
                <w:color w:val="auto"/>
              </w:rPr>
            </w:pPr>
            <w:r>
              <w:rPr>
                <w:rFonts w:ascii="Arial" w:cs="Arial" w:eastAsia="Arial" w:hAnsi="Arial"/>
                <w:sz w:val="14"/>
                <w:szCs w:val="14"/>
                <w:b w:val="1"/>
                <w:bCs w:val="1"/>
                <w:color w:val="auto"/>
              </w:rPr>
              <w:t>Adjusted EBITDA</w:t>
            </w:r>
          </w:p>
        </w:tc>
        <w:tc>
          <w:tcPr>
            <w:tcW w:w="1740" w:type="dxa"/>
            <w:vAlign w:val="bottom"/>
          </w:tcPr>
          <w:p>
            <w:pPr>
              <w:jc w:val="center"/>
              <w:ind w:left="68"/>
              <w:spacing w:after="0"/>
              <w:rPr>
                <w:sz w:val="20"/>
                <w:szCs w:val="20"/>
                <w:color w:val="auto"/>
              </w:rPr>
            </w:pPr>
            <w:r>
              <w:rPr>
                <w:rFonts w:ascii="Arial" w:cs="Arial" w:eastAsia="Arial" w:hAnsi="Arial"/>
                <w:sz w:val="14"/>
                <w:szCs w:val="14"/>
                <w:b w:val="1"/>
                <w:bCs w:val="1"/>
                <w:color w:val="auto"/>
              </w:rPr>
              <w:t>$976</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$1,848</w:t>
            </w:r>
          </w:p>
        </w:tc>
        <w:tc>
          <w:tcPr>
            <w:tcW w:w="1320" w:type="dxa"/>
            <w:vAlign w:val="bottom"/>
          </w:tcPr>
          <w:p>
            <w:pPr>
              <w:jc w:val="center"/>
              <w:ind w:left="248"/>
              <w:spacing w:after="0"/>
              <w:rPr>
                <w:sz w:val="20"/>
                <w:szCs w:val="20"/>
                <w:color w:val="auto"/>
              </w:rPr>
            </w:pPr>
            <w:r>
              <w:rPr>
                <w:rFonts w:ascii="Arial" w:cs="Arial" w:eastAsia="Arial" w:hAnsi="Arial"/>
                <w:sz w:val="14"/>
                <w:szCs w:val="14"/>
                <w:b w:val="1"/>
                <w:bCs w:val="1"/>
                <w:color w:val="auto"/>
              </w:rPr>
              <w:t>$872</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89%</w:t>
            </w:r>
          </w:p>
        </w:tc>
      </w:tr>
      <w:tr>
        <w:trPr>
          <w:trHeight w:val="229"/>
        </w:trPr>
        <w:tc>
          <w:tcPr>
            <w:tcW w:w="4320" w:type="dxa"/>
            <w:vAlign w:val="bottom"/>
          </w:tcPr>
          <w:p>
            <w:pPr>
              <w:ind w:left="20"/>
              <w:spacing w:after="0"/>
              <w:rPr>
                <w:sz w:val="20"/>
                <w:szCs w:val="20"/>
                <w:color w:val="auto"/>
              </w:rPr>
            </w:pPr>
            <w:r>
              <w:rPr>
                <w:rFonts w:ascii="Arial" w:cs="Arial" w:eastAsia="Arial" w:hAnsi="Arial"/>
                <w:sz w:val="14"/>
                <w:szCs w:val="14"/>
                <w:i w:val="1"/>
                <w:iCs w:val="1"/>
                <w:color w:val="auto"/>
              </w:rPr>
              <w:t>Adjusted EBITDA margin</w:t>
            </w:r>
          </w:p>
        </w:tc>
        <w:tc>
          <w:tcPr>
            <w:tcW w:w="1740" w:type="dxa"/>
            <w:vAlign w:val="bottom"/>
          </w:tcPr>
          <w:p>
            <w:pPr>
              <w:jc w:val="center"/>
              <w:ind w:left="68"/>
              <w:spacing w:after="0"/>
              <w:rPr>
                <w:sz w:val="20"/>
                <w:szCs w:val="20"/>
                <w:color w:val="auto"/>
              </w:rPr>
            </w:pPr>
            <w:r>
              <w:rPr>
                <w:rFonts w:ascii="Arial" w:cs="Arial" w:eastAsia="Arial" w:hAnsi="Arial"/>
                <w:sz w:val="14"/>
                <w:szCs w:val="14"/>
                <w:i w:val="1"/>
                <w:iCs w:val="1"/>
                <w:color w:val="auto"/>
                <w:w w:val="99"/>
              </w:rPr>
              <w:t>20%</w:t>
            </w:r>
          </w:p>
        </w:tc>
        <w:tc>
          <w:tcPr>
            <w:tcW w:w="1620" w:type="dxa"/>
            <w:vAlign w:val="bottom"/>
          </w:tcPr>
          <w:p>
            <w:pPr>
              <w:jc w:val="center"/>
              <w:spacing w:after="0"/>
              <w:rPr>
                <w:sz w:val="20"/>
                <w:szCs w:val="20"/>
                <w:color w:val="auto"/>
              </w:rPr>
            </w:pPr>
            <w:r>
              <w:rPr>
                <w:rFonts w:ascii="Arial" w:cs="Arial" w:eastAsia="Arial" w:hAnsi="Arial"/>
                <w:sz w:val="14"/>
                <w:szCs w:val="14"/>
                <w:i w:val="1"/>
                <w:iCs w:val="1"/>
                <w:color w:val="auto"/>
                <w:w w:val="99"/>
              </w:rPr>
              <w:t>28%</w:t>
            </w:r>
          </w:p>
        </w:tc>
        <w:tc>
          <w:tcPr>
            <w:tcW w:w="13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4"/>
                <w:szCs w:val="14"/>
                <w:i w:val="1"/>
                <w:iCs w:val="1"/>
                <w:color w:val="auto"/>
              </w:rPr>
              <w:t>+794bps</w:t>
            </w:r>
          </w:p>
        </w:tc>
      </w:tr>
      <w:tr>
        <w:trPr>
          <w:trHeight w:val="93"/>
        </w:trPr>
        <w:tc>
          <w:tcPr>
            <w:tcW w:w="43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198"/>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Cash from operations</w:t>
            </w:r>
          </w:p>
        </w:tc>
        <w:tc>
          <w:tcPr>
            <w:tcW w:w="1740" w:type="dxa"/>
            <w:vAlign w:val="bottom"/>
          </w:tcPr>
          <w:p>
            <w:pPr>
              <w:jc w:val="center"/>
              <w:ind w:left="68"/>
              <w:spacing w:after="0"/>
              <w:rPr>
                <w:sz w:val="20"/>
                <w:szCs w:val="20"/>
                <w:color w:val="auto"/>
              </w:rPr>
            </w:pPr>
            <w:r>
              <w:rPr>
                <w:rFonts w:ascii="Arial" w:cs="Arial" w:eastAsia="Arial" w:hAnsi="Arial"/>
                <w:sz w:val="14"/>
                <w:szCs w:val="14"/>
                <w:b w:val="1"/>
                <w:bCs w:val="1"/>
                <w:color w:val="auto"/>
              </w:rPr>
              <w:t>$1,006</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$2,839</w:t>
            </w:r>
          </w:p>
        </w:tc>
        <w:tc>
          <w:tcPr>
            <w:tcW w:w="1320" w:type="dxa"/>
            <w:vAlign w:val="bottom"/>
          </w:tcPr>
          <w:p>
            <w:pPr>
              <w:jc w:val="center"/>
              <w:ind w:left="248"/>
              <w:spacing w:after="0"/>
              <w:rPr>
                <w:sz w:val="20"/>
                <w:szCs w:val="20"/>
                <w:color w:val="auto"/>
              </w:rPr>
            </w:pPr>
            <w:r>
              <w:rPr>
                <w:rFonts w:ascii="Arial" w:cs="Arial" w:eastAsia="Arial" w:hAnsi="Arial"/>
                <w:sz w:val="14"/>
                <w:szCs w:val="14"/>
                <w:b w:val="1"/>
                <w:bCs w:val="1"/>
                <w:color w:val="auto"/>
              </w:rPr>
              <w:t>$1,833</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182%</w:t>
            </w:r>
          </w:p>
        </w:tc>
      </w:tr>
      <w:tr>
        <w:trPr>
          <w:trHeight w:val="93"/>
        </w:trPr>
        <w:tc>
          <w:tcPr>
            <w:tcW w:w="43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198"/>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Wafer shipments (300MM Equivalent) (in thousands)</w:t>
            </w:r>
          </w:p>
        </w:tc>
        <w:tc>
          <w:tcPr>
            <w:tcW w:w="1740" w:type="dxa"/>
            <w:vAlign w:val="bottom"/>
          </w:tcPr>
          <w:p>
            <w:pPr>
              <w:jc w:val="center"/>
              <w:ind w:left="68"/>
              <w:spacing w:after="0"/>
              <w:rPr>
                <w:sz w:val="20"/>
                <w:szCs w:val="20"/>
                <w:color w:val="auto"/>
              </w:rPr>
            </w:pPr>
            <w:r>
              <w:rPr>
                <w:rFonts w:ascii="Arial" w:cs="Arial" w:eastAsia="Arial" w:hAnsi="Arial"/>
                <w:sz w:val="14"/>
                <w:szCs w:val="14"/>
                <w:b w:val="1"/>
                <w:bCs w:val="1"/>
                <w:color w:val="auto"/>
              </w:rPr>
              <w:t>2,030</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2,374</w:t>
            </w:r>
          </w:p>
        </w:tc>
        <w:tc>
          <w:tcPr>
            <w:tcW w:w="1320" w:type="dxa"/>
            <w:vAlign w:val="bottom"/>
          </w:tcPr>
          <w:p>
            <w:pPr>
              <w:jc w:val="center"/>
              <w:ind w:left="248"/>
              <w:spacing w:after="0"/>
              <w:rPr>
                <w:sz w:val="20"/>
                <w:szCs w:val="20"/>
                <w:color w:val="auto"/>
              </w:rPr>
            </w:pPr>
            <w:r>
              <w:rPr>
                <w:rFonts w:ascii="Arial" w:cs="Arial" w:eastAsia="Arial" w:hAnsi="Arial"/>
                <w:sz w:val="14"/>
                <w:szCs w:val="14"/>
                <w:b w:val="1"/>
                <w:bCs w:val="1"/>
                <w:color w:val="auto"/>
              </w:rPr>
              <w:t>344</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17%</w:t>
            </w:r>
          </w:p>
        </w:tc>
      </w:tr>
    </w:tbl>
    <w:p>
      <w:pPr>
        <w:spacing w:after="0" w:line="343" w:lineRule="exact"/>
        <w:rPr>
          <w:sz w:val="20"/>
          <w:szCs w:val="20"/>
          <w:color w:val="auto"/>
        </w:rPr>
      </w:pPr>
    </w:p>
    <w:p>
      <w:pPr>
        <w:jc w:val="both"/>
        <w:ind w:left="340"/>
        <w:spacing w:after="0" w:line="187" w:lineRule="auto"/>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Adjusted gross profit, adjusted operating profit, adjusted net income, adjusted EBITDA, and adjusted diluted earnings per share are adjusted non-IFRS metrics; please see the reconciliation of IFRS to adjusted non-IFRS metrics in the appendix.</w:t>
      </w:r>
    </w:p>
    <w:p>
      <w:pPr>
        <w:spacing w:after="0" w:line="1" w:lineRule="exact"/>
        <w:rPr>
          <w:sz w:val="20"/>
          <w:szCs w:val="20"/>
          <w:color w:val="auto"/>
        </w:rPr>
      </w:pPr>
    </w:p>
    <w:p>
      <w:pPr>
        <w:jc w:val="both"/>
        <w:ind w:left="340"/>
        <w:spacing w:after="0" w:line="196" w:lineRule="auto"/>
        <w:rPr>
          <w:sz w:val="20"/>
          <w:szCs w:val="20"/>
          <w:color w:val="auto"/>
        </w:rPr>
      </w:pPr>
      <w:r>
        <w:rPr>
          <w:rFonts w:ascii="Arial" w:cs="Arial" w:eastAsia="Arial" w:hAnsi="Arial"/>
          <w:sz w:val="16"/>
          <w:szCs w:val="16"/>
          <w:color w:val="auto"/>
          <w:vertAlign w:val="superscript"/>
        </w:rPr>
        <w:t>2</w:t>
      </w:r>
      <w:r>
        <w:rPr>
          <w:rFonts w:ascii="Arial" w:cs="Arial" w:eastAsia="Arial" w:hAnsi="Arial"/>
          <w:sz w:val="13"/>
          <w:szCs w:val="13"/>
          <w:color w:val="auto"/>
        </w:rPr>
        <w:t>In 2020, the majority of our customer contractual terms were amended in a manner that resulted in moving from recognizing wafer revenue on a Percentage-of-Completion basis to recognizing revenue on a Wafer Shipment basis. This resulted in a one-time, non-recurring reduction in net revenues recognized in 2020. Had the change in terms not occurred, net revenues for the year ended December 31, 2020 would have been an estimated $810 million higher than reported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Summary of First Quarter 2022 Outlook (in $M except per share amounts)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2440" w:type="dxa"/>
            <w:vAlign w:val="bottom"/>
            <w:gridSpan w:val="2"/>
          </w:tcPr>
          <w:p>
            <w:pPr>
              <w:ind w:left="1340"/>
              <w:spacing w:after="0"/>
              <w:rPr>
                <w:sz w:val="20"/>
                <w:szCs w:val="20"/>
                <w:color w:val="auto"/>
              </w:rPr>
            </w:pPr>
            <w:r>
              <w:rPr>
                <w:rFonts w:ascii="Arial" w:cs="Arial" w:eastAsia="Arial" w:hAnsi="Arial"/>
                <w:sz w:val="16"/>
                <w:szCs w:val="16"/>
                <w:b w:val="1"/>
                <w:bCs w:val="1"/>
                <w:color w:val="auto"/>
              </w:rPr>
              <w:t>IFRS</w:t>
            </w:r>
          </w:p>
        </w:tc>
        <w:tc>
          <w:tcPr>
            <w:tcW w:w="2980" w:type="dxa"/>
            <w:vAlign w:val="bottom"/>
            <w:gridSpan w:val="2"/>
          </w:tcPr>
          <w:p>
            <w:pPr>
              <w:jc w:val="center"/>
              <w:spacing w:after="0"/>
              <w:rPr>
                <w:sz w:val="20"/>
                <w:szCs w:val="20"/>
                <w:color w:val="auto"/>
              </w:rPr>
            </w:pPr>
            <w:r>
              <w:rPr>
                <w:rFonts w:ascii="Arial" w:cs="Arial" w:eastAsia="Arial" w:hAnsi="Arial"/>
                <w:sz w:val="16"/>
                <w:szCs w:val="16"/>
                <w:b w:val="1"/>
                <w:bCs w:val="1"/>
                <w:color w:val="auto"/>
              </w:rPr>
              <w:t>Share-based compensation</w:t>
            </w:r>
          </w:p>
        </w:tc>
        <w:tc>
          <w:tcPr>
            <w:tcW w:w="2500" w:type="dxa"/>
            <w:vAlign w:val="bottom"/>
            <w:gridSpan w:val="2"/>
          </w:tcPr>
          <w:p>
            <w:pPr>
              <w:ind w:left="440"/>
              <w:spacing w:after="0"/>
              <w:rPr>
                <w:sz w:val="20"/>
                <w:szCs w:val="20"/>
                <w:color w:val="auto"/>
              </w:rPr>
            </w:pPr>
            <w:r>
              <w:rPr>
                <w:rFonts w:ascii="Arial" w:cs="Arial" w:eastAsia="Arial" w:hAnsi="Arial"/>
                <w:sz w:val="16"/>
                <w:szCs w:val="16"/>
                <w:b w:val="1"/>
                <w:bCs w:val="1"/>
                <w:color w:val="auto"/>
              </w:rPr>
              <w:t>Non-IFRS Adjusted</w:t>
            </w:r>
          </w:p>
        </w:tc>
      </w:tr>
      <w:tr>
        <w:trPr>
          <w:trHeight w:val="33"/>
        </w:trPr>
        <w:tc>
          <w:tcPr>
            <w:tcW w:w="30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2"/>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r>
      <w:tr>
        <w:trPr>
          <w:trHeight w:val="198"/>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$1,880</w:t>
            </w: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 $1,920</w:t>
            </w:r>
          </w:p>
        </w:tc>
        <w:tc>
          <w:tcPr>
            <w:tcW w:w="2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50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w:t>
            </w:r>
          </w:p>
        </w:tc>
      </w:tr>
      <w:tr>
        <w:trPr>
          <w:trHeight w:val="229"/>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Gross Profit</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$383</w:t>
            </w: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 $413</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 $26</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$409</w:t>
            </w: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 $437</w:t>
            </w:r>
          </w:p>
        </w:tc>
      </w:tr>
      <w:tr>
        <w:trPr>
          <w:trHeight w:val="230"/>
        </w:trPr>
        <w:tc>
          <w:tcPr>
            <w:tcW w:w="3080" w:type="dxa"/>
            <w:vAlign w:val="bottom"/>
          </w:tcPr>
          <w:p>
            <w:pPr>
              <w:ind w:left="140"/>
              <w:spacing w:after="0"/>
              <w:rPr>
                <w:sz w:val="20"/>
                <w:szCs w:val="20"/>
                <w:color w:val="auto"/>
              </w:rPr>
            </w:pPr>
            <w:r>
              <w:rPr>
                <w:rFonts w:ascii="Arial" w:cs="Arial" w:eastAsia="Arial" w:hAnsi="Arial"/>
                <w:sz w:val="14"/>
                <w:szCs w:val="14"/>
                <w:i w:val="1"/>
                <w:iCs w:val="1"/>
                <w:color w:val="auto"/>
              </w:rPr>
              <w:t>Gross Margin (mid-point)</w:t>
            </w:r>
          </w:p>
        </w:tc>
        <w:tc>
          <w:tcPr>
            <w:tcW w:w="2440" w:type="dxa"/>
            <w:vAlign w:val="bottom"/>
            <w:gridSpan w:val="2"/>
          </w:tcPr>
          <w:p>
            <w:pPr>
              <w:jc w:val="center"/>
              <w:ind w:left="527"/>
              <w:spacing w:after="0"/>
              <w:rPr>
                <w:sz w:val="20"/>
                <w:szCs w:val="20"/>
                <w:color w:val="auto"/>
              </w:rPr>
            </w:pPr>
            <w:r>
              <w:rPr>
                <w:rFonts w:ascii="Arial" w:cs="Arial" w:eastAsia="Arial" w:hAnsi="Arial"/>
                <w:sz w:val="14"/>
                <w:szCs w:val="14"/>
                <w:i w:val="1"/>
                <w:iCs w:val="1"/>
                <w:color w:val="auto"/>
              </w:rPr>
              <w:t>20.9%</w:t>
            </w:r>
          </w:p>
        </w:tc>
        <w:tc>
          <w:tcPr>
            <w:tcW w:w="2980" w:type="dxa"/>
            <w:vAlign w:val="bottom"/>
            <w:gridSpan w:val="2"/>
          </w:tcPr>
          <w:p>
            <w:pPr>
              <w:jc w:val="center"/>
              <w:spacing w:after="0"/>
              <w:rPr>
                <w:sz w:val="20"/>
                <w:szCs w:val="20"/>
                <w:color w:val="auto"/>
              </w:rPr>
            </w:pPr>
            <w:r>
              <w:rPr>
                <w:rFonts w:ascii="Arial" w:cs="Arial" w:eastAsia="Arial" w:hAnsi="Arial"/>
                <w:sz w:val="14"/>
                <w:szCs w:val="14"/>
                <w:i w:val="1"/>
                <w:iCs w:val="1"/>
                <w:color w:val="auto"/>
              </w:rPr>
              <w:t>—</w:t>
            </w:r>
          </w:p>
        </w:tc>
        <w:tc>
          <w:tcPr>
            <w:tcW w:w="2500" w:type="dxa"/>
            <w:vAlign w:val="bottom"/>
            <w:gridSpan w:val="2"/>
          </w:tcPr>
          <w:p>
            <w:pPr>
              <w:jc w:val="center"/>
              <w:ind w:right="68"/>
              <w:spacing w:after="0"/>
              <w:rPr>
                <w:sz w:val="20"/>
                <w:szCs w:val="20"/>
                <w:color w:val="auto"/>
              </w:rPr>
            </w:pPr>
            <w:r>
              <w:rPr>
                <w:rFonts w:ascii="Arial" w:cs="Arial" w:eastAsia="Arial" w:hAnsi="Arial"/>
                <w:sz w:val="14"/>
                <w:szCs w:val="14"/>
                <w:i w:val="1"/>
                <w:iCs w:val="1"/>
                <w:color w:val="auto"/>
              </w:rPr>
              <w:t>22.3%</w:t>
            </w:r>
          </w:p>
        </w:tc>
      </w:tr>
      <w:tr>
        <w:trPr>
          <w:trHeight w:val="229"/>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Operating Profit</w:t>
            </w:r>
          </w:p>
        </w:tc>
        <w:tc>
          <w:tcPr>
            <w:tcW w:w="2440" w:type="dxa"/>
            <w:vAlign w:val="bottom"/>
            <w:gridSpan w:val="2"/>
          </w:tcPr>
          <w:p>
            <w:pPr>
              <w:jc w:val="center"/>
              <w:ind w:left="527"/>
              <w:spacing w:after="0"/>
              <w:rPr>
                <w:sz w:val="20"/>
                <w:szCs w:val="20"/>
                <w:color w:val="auto"/>
              </w:rPr>
            </w:pPr>
            <w:r>
              <w:rPr>
                <w:rFonts w:ascii="Arial" w:cs="Arial" w:eastAsia="Arial" w:hAnsi="Arial"/>
                <w:sz w:val="14"/>
                <w:szCs w:val="14"/>
                <w:b w:val="1"/>
                <w:bCs w:val="1"/>
                <w:color w:val="auto"/>
              </w:rPr>
              <w:t>$101- $145</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 $63</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$164</w:t>
            </w: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 $202</w:t>
            </w:r>
          </w:p>
        </w:tc>
      </w:tr>
      <w:tr>
        <w:trPr>
          <w:trHeight w:val="230"/>
        </w:trPr>
        <w:tc>
          <w:tcPr>
            <w:tcW w:w="3080" w:type="dxa"/>
            <w:vAlign w:val="bottom"/>
          </w:tcPr>
          <w:p>
            <w:pPr>
              <w:ind w:left="140"/>
              <w:spacing w:after="0"/>
              <w:rPr>
                <w:sz w:val="20"/>
                <w:szCs w:val="20"/>
                <w:color w:val="auto"/>
              </w:rPr>
            </w:pPr>
            <w:r>
              <w:rPr>
                <w:rFonts w:ascii="Arial" w:cs="Arial" w:eastAsia="Arial" w:hAnsi="Arial"/>
                <w:sz w:val="14"/>
                <w:szCs w:val="14"/>
                <w:i w:val="1"/>
                <w:iCs w:val="1"/>
                <w:color w:val="auto"/>
              </w:rPr>
              <w:t>Operating Margin (mid-point)</w:t>
            </w:r>
          </w:p>
        </w:tc>
        <w:tc>
          <w:tcPr>
            <w:tcW w:w="2440" w:type="dxa"/>
            <w:vAlign w:val="bottom"/>
            <w:gridSpan w:val="2"/>
          </w:tcPr>
          <w:p>
            <w:pPr>
              <w:jc w:val="center"/>
              <w:ind w:left="527"/>
              <w:spacing w:after="0"/>
              <w:rPr>
                <w:sz w:val="20"/>
                <w:szCs w:val="20"/>
                <w:color w:val="auto"/>
              </w:rPr>
            </w:pPr>
            <w:r>
              <w:rPr>
                <w:rFonts w:ascii="Arial" w:cs="Arial" w:eastAsia="Arial" w:hAnsi="Arial"/>
                <w:sz w:val="14"/>
                <w:szCs w:val="14"/>
                <w:i w:val="1"/>
                <w:iCs w:val="1"/>
                <w:color w:val="auto"/>
              </w:rPr>
              <w:t>6.5%</w:t>
            </w:r>
          </w:p>
        </w:tc>
        <w:tc>
          <w:tcPr>
            <w:tcW w:w="2980" w:type="dxa"/>
            <w:vAlign w:val="bottom"/>
            <w:gridSpan w:val="2"/>
          </w:tcPr>
          <w:p>
            <w:pPr>
              <w:jc w:val="center"/>
              <w:spacing w:after="0"/>
              <w:rPr>
                <w:sz w:val="20"/>
                <w:szCs w:val="20"/>
                <w:color w:val="auto"/>
              </w:rPr>
            </w:pPr>
            <w:r>
              <w:rPr>
                <w:rFonts w:ascii="Arial" w:cs="Arial" w:eastAsia="Arial" w:hAnsi="Arial"/>
                <w:sz w:val="14"/>
                <w:szCs w:val="14"/>
                <w:i w:val="1"/>
                <w:iCs w:val="1"/>
                <w:color w:val="auto"/>
              </w:rPr>
              <w:t>—</w:t>
            </w:r>
          </w:p>
        </w:tc>
        <w:tc>
          <w:tcPr>
            <w:tcW w:w="2500" w:type="dxa"/>
            <w:vAlign w:val="bottom"/>
            <w:gridSpan w:val="2"/>
          </w:tcPr>
          <w:p>
            <w:pPr>
              <w:jc w:val="center"/>
              <w:ind w:right="68"/>
              <w:spacing w:after="0"/>
              <w:rPr>
                <w:sz w:val="20"/>
                <w:szCs w:val="20"/>
                <w:color w:val="auto"/>
              </w:rPr>
            </w:pPr>
            <w:r>
              <w:rPr>
                <w:rFonts w:ascii="Arial" w:cs="Arial" w:eastAsia="Arial" w:hAnsi="Arial"/>
                <w:sz w:val="14"/>
                <w:szCs w:val="14"/>
                <w:i w:val="1"/>
                <w:iCs w:val="1"/>
                <w:color w:val="auto"/>
              </w:rPr>
              <w:t>9.6%</w:t>
            </w:r>
          </w:p>
        </w:tc>
      </w:tr>
      <w:tr>
        <w:trPr>
          <w:trHeight w:val="229"/>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 $96</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 $63</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$117</w:t>
            </w: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 $153</w:t>
            </w:r>
          </w:p>
        </w:tc>
      </w:tr>
      <w:tr>
        <w:trPr>
          <w:trHeight w:val="229"/>
        </w:trPr>
        <w:tc>
          <w:tcPr>
            <w:tcW w:w="3080" w:type="dxa"/>
            <w:vAlign w:val="bottom"/>
          </w:tcPr>
          <w:p>
            <w:pPr>
              <w:ind w:left="140"/>
              <w:spacing w:after="0"/>
              <w:rPr>
                <w:sz w:val="20"/>
                <w:szCs w:val="20"/>
                <w:color w:val="auto"/>
              </w:rPr>
            </w:pPr>
            <w:r>
              <w:rPr>
                <w:rFonts w:ascii="Arial" w:cs="Arial" w:eastAsia="Arial" w:hAnsi="Arial"/>
                <w:sz w:val="14"/>
                <w:szCs w:val="14"/>
                <w:i w:val="1"/>
                <w:iCs w:val="1"/>
                <w:color w:val="auto"/>
              </w:rPr>
              <w:t>Net Income Margin (mid-point)</w:t>
            </w:r>
          </w:p>
        </w:tc>
        <w:tc>
          <w:tcPr>
            <w:tcW w:w="2440" w:type="dxa"/>
            <w:vAlign w:val="bottom"/>
            <w:gridSpan w:val="2"/>
          </w:tcPr>
          <w:p>
            <w:pPr>
              <w:jc w:val="center"/>
              <w:ind w:left="527"/>
              <w:spacing w:after="0"/>
              <w:rPr>
                <w:sz w:val="20"/>
                <w:szCs w:val="20"/>
                <w:color w:val="auto"/>
              </w:rPr>
            </w:pPr>
            <w:r>
              <w:rPr>
                <w:rFonts w:ascii="Arial" w:cs="Arial" w:eastAsia="Arial" w:hAnsi="Arial"/>
                <w:sz w:val="14"/>
                <w:szCs w:val="14"/>
                <w:i w:val="1"/>
                <w:iCs w:val="1"/>
                <w:color w:val="auto"/>
              </w:rPr>
              <w:t>3.9%</w:t>
            </w:r>
          </w:p>
        </w:tc>
        <w:tc>
          <w:tcPr>
            <w:tcW w:w="2980" w:type="dxa"/>
            <w:vAlign w:val="bottom"/>
            <w:gridSpan w:val="2"/>
          </w:tcPr>
          <w:p>
            <w:pPr>
              <w:jc w:val="center"/>
              <w:spacing w:after="0"/>
              <w:rPr>
                <w:sz w:val="20"/>
                <w:szCs w:val="20"/>
                <w:color w:val="auto"/>
              </w:rPr>
            </w:pPr>
            <w:r>
              <w:rPr>
                <w:rFonts w:ascii="Arial" w:cs="Arial" w:eastAsia="Arial" w:hAnsi="Arial"/>
                <w:sz w:val="14"/>
                <w:szCs w:val="14"/>
                <w:i w:val="1"/>
                <w:iCs w:val="1"/>
                <w:color w:val="auto"/>
              </w:rPr>
              <w:t>—</w:t>
            </w:r>
          </w:p>
        </w:tc>
        <w:tc>
          <w:tcPr>
            <w:tcW w:w="2500" w:type="dxa"/>
            <w:vAlign w:val="bottom"/>
            <w:gridSpan w:val="2"/>
          </w:tcPr>
          <w:p>
            <w:pPr>
              <w:jc w:val="center"/>
              <w:ind w:right="68"/>
              <w:spacing w:after="0"/>
              <w:rPr>
                <w:sz w:val="20"/>
                <w:szCs w:val="20"/>
                <w:color w:val="auto"/>
              </w:rPr>
            </w:pPr>
            <w:r>
              <w:rPr>
                <w:rFonts w:ascii="Arial" w:cs="Arial" w:eastAsia="Arial" w:hAnsi="Arial"/>
                <w:sz w:val="14"/>
                <w:szCs w:val="14"/>
                <w:i w:val="1"/>
                <w:iCs w:val="1"/>
                <w:color w:val="auto"/>
              </w:rPr>
              <w:t>7.1%</w:t>
            </w:r>
          </w:p>
        </w:tc>
      </w:tr>
      <w:tr>
        <w:trPr>
          <w:trHeight w:val="230"/>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Diluted EPS</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 $0.17</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1540" w:type="dxa"/>
            <w:vAlign w:val="bottom"/>
          </w:tcPr>
          <w:p>
            <w:pPr>
              <w:ind w:left="20"/>
              <w:spacing w:after="0"/>
              <w:rPr>
                <w:sz w:val="20"/>
                <w:szCs w:val="20"/>
                <w:color w:val="auto"/>
              </w:rPr>
            </w:pPr>
            <w:r>
              <w:rPr>
                <w:rFonts w:ascii="Arial" w:cs="Arial" w:eastAsia="Arial" w:hAnsi="Arial"/>
                <w:sz w:val="14"/>
                <w:szCs w:val="14"/>
                <w:b w:val="1"/>
                <w:bCs w:val="1"/>
                <w:color w:val="auto"/>
              </w:rPr>
              <w:t>- $0.11</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$0.21</w:t>
            </w: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 $0.27</w:t>
            </w:r>
          </w:p>
        </w:tc>
      </w:tr>
      <w:tr>
        <w:trPr>
          <w:trHeight w:val="230"/>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Adj. EBITDA</w:t>
            </w:r>
          </w:p>
        </w:tc>
        <w:tc>
          <w:tcPr>
            <w:tcW w:w="2440" w:type="dxa"/>
            <w:vAlign w:val="bottom"/>
            <w:gridSpan w:val="2"/>
          </w:tcPr>
          <w:p>
            <w:pPr>
              <w:jc w:val="center"/>
              <w:ind w:left="547"/>
              <w:spacing w:after="0"/>
              <w:rPr>
                <w:sz w:val="20"/>
                <w:szCs w:val="20"/>
                <w:color w:val="auto"/>
              </w:rPr>
            </w:pPr>
            <w:r>
              <w:rPr>
                <w:rFonts w:ascii="Arial" w:cs="Arial" w:eastAsia="Arial" w:hAnsi="Arial"/>
                <w:sz w:val="14"/>
                <w:szCs w:val="14"/>
                <w:b w:val="1"/>
                <w:bCs w:val="1"/>
                <w:color w:val="auto"/>
                <w:w w:val="99"/>
              </w:rPr>
              <w:t>—</w:t>
            </w:r>
          </w:p>
        </w:tc>
        <w:tc>
          <w:tcPr>
            <w:tcW w:w="2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$580</w:t>
            </w: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 $620</w:t>
            </w:r>
          </w:p>
        </w:tc>
      </w:tr>
      <w:tr>
        <w:trPr>
          <w:trHeight w:val="230"/>
        </w:trPr>
        <w:tc>
          <w:tcPr>
            <w:tcW w:w="3080" w:type="dxa"/>
            <w:vAlign w:val="bottom"/>
          </w:tcPr>
          <w:p>
            <w:pPr>
              <w:ind w:left="140"/>
              <w:spacing w:after="0"/>
              <w:rPr>
                <w:sz w:val="20"/>
                <w:szCs w:val="20"/>
                <w:color w:val="auto"/>
              </w:rPr>
            </w:pPr>
            <w:r>
              <w:rPr>
                <w:rFonts w:ascii="Arial" w:cs="Arial" w:eastAsia="Arial" w:hAnsi="Arial"/>
                <w:sz w:val="14"/>
                <w:szCs w:val="14"/>
                <w:i w:val="1"/>
                <w:iCs w:val="1"/>
                <w:color w:val="auto"/>
              </w:rPr>
              <w:t>EBITDA Margin (mid-point)</w:t>
            </w:r>
          </w:p>
        </w:tc>
        <w:tc>
          <w:tcPr>
            <w:tcW w:w="2440" w:type="dxa"/>
            <w:vAlign w:val="bottom"/>
            <w:gridSpan w:val="2"/>
          </w:tcPr>
          <w:p>
            <w:pPr>
              <w:jc w:val="center"/>
              <w:ind w:left="547"/>
              <w:spacing w:after="0"/>
              <w:rPr>
                <w:sz w:val="20"/>
                <w:szCs w:val="20"/>
                <w:color w:val="auto"/>
              </w:rPr>
            </w:pPr>
            <w:r>
              <w:rPr>
                <w:rFonts w:ascii="Arial" w:cs="Arial" w:eastAsia="Arial" w:hAnsi="Arial"/>
                <w:sz w:val="14"/>
                <w:szCs w:val="14"/>
                <w:i w:val="1"/>
                <w:iCs w:val="1"/>
                <w:color w:val="auto"/>
                <w:w w:val="99"/>
              </w:rPr>
              <w:t>—</w:t>
            </w:r>
          </w:p>
        </w:tc>
        <w:tc>
          <w:tcPr>
            <w:tcW w:w="2980" w:type="dxa"/>
            <w:vAlign w:val="bottom"/>
            <w:gridSpan w:val="2"/>
          </w:tcPr>
          <w:p>
            <w:pPr>
              <w:jc w:val="center"/>
              <w:spacing w:after="0"/>
              <w:rPr>
                <w:sz w:val="20"/>
                <w:szCs w:val="20"/>
                <w:color w:val="auto"/>
              </w:rPr>
            </w:pPr>
            <w:r>
              <w:rPr>
                <w:rFonts w:ascii="Arial" w:cs="Arial" w:eastAsia="Arial" w:hAnsi="Arial"/>
                <w:sz w:val="14"/>
                <w:szCs w:val="14"/>
                <w:i w:val="1"/>
                <w:iCs w:val="1"/>
                <w:color w:val="auto"/>
              </w:rPr>
              <w:t>—</w:t>
            </w:r>
          </w:p>
        </w:tc>
        <w:tc>
          <w:tcPr>
            <w:tcW w:w="2500" w:type="dxa"/>
            <w:vAlign w:val="bottom"/>
            <w:gridSpan w:val="2"/>
          </w:tcPr>
          <w:p>
            <w:pPr>
              <w:jc w:val="center"/>
              <w:ind w:right="68"/>
              <w:spacing w:after="0"/>
              <w:rPr>
                <w:sz w:val="20"/>
                <w:szCs w:val="20"/>
                <w:color w:val="auto"/>
              </w:rPr>
            </w:pPr>
            <w:r>
              <w:rPr>
                <w:rFonts w:ascii="Arial" w:cs="Arial" w:eastAsia="Arial" w:hAnsi="Arial"/>
                <w:sz w:val="14"/>
                <w:szCs w:val="14"/>
                <w:i w:val="1"/>
                <w:iCs w:val="1"/>
                <w:color w:val="auto"/>
              </w:rPr>
              <w:t>31.6%</w:t>
            </w:r>
          </w:p>
        </w:tc>
      </w:tr>
    </w:tbl>
    <w:p>
      <w:pPr>
        <w:spacing w:after="0" w:line="89" w:lineRule="exact"/>
        <w:rPr>
          <w:sz w:val="20"/>
          <w:szCs w:val="20"/>
          <w:color w:val="auto"/>
        </w:rPr>
      </w:pPr>
    </w:p>
    <w:p>
      <w:pPr>
        <w:jc w:val="both"/>
        <w:spacing w:after="0" w:line="212" w:lineRule="auto"/>
        <w:rPr>
          <w:sz w:val="20"/>
          <w:szCs w:val="20"/>
          <w:color w:val="auto"/>
        </w:rPr>
      </w:pPr>
      <w:r>
        <w:rPr>
          <w:rFonts w:ascii="Arial" w:cs="Arial" w:eastAsia="Arial" w:hAnsi="Arial"/>
          <w:sz w:val="13"/>
          <w:szCs w:val="13"/>
          <w:i w:val="1"/>
          <w:iCs w:val="1"/>
          <w:color w:val="auto"/>
        </w:rPr>
        <w:t>The guidance provided above contains forward-looking statements as defined in the Securities Exchange Act of 1934, as amended, and is subject to the safe harbors created therein. The guidance includes management’s beliefs and assumptions and is based on information currently available. GF has not provided a reconciliation of its First Fiscal Quarter outlook for adjusted Non-IFRS EBITDA and related Margin because estimates of all of the reconciling items cannot be provided without unreasonable efforts. Certain factors that are materially significant to GF’s ability to estimate these items are out of its control and/or cannot be reasonably predicted.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 except per share amounts)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Revenue</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sales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Gross profit (loss)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expenses: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w:t>
      </w:r>
    </w:p>
    <w:p>
      <w:pPr>
        <w:spacing w:after="0" w:line="69" w:lineRule="exact"/>
        <w:rPr>
          <w:sz w:val="20"/>
          <w:szCs w:val="20"/>
          <w:color w:val="auto"/>
        </w:rPr>
      </w:pPr>
    </w:p>
    <w:p>
      <w:pPr>
        <w:ind w:left="20" w:right="480"/>
        <w:spacing w:after="0" w:line="352" w:lineRule="auto"/>
        <w:rPr>
          <w:sz w:val="20"/>
          <w:szCs w:val="20"/>
          <w:color w:val="auto"/>
        </w:rPr>
      </w:pPr>
      <w:r>
        <w:rPr>
          <w:rFonts w:ascii="Arial" w:cs="Arial" w:eastAsia="Arial" w:hAnsi="Arial"/>
          <w:sz w:val="14"/>
          <w:szCs w:val="14"/>
          <w:color w:val="auto"/>
        </w:rPr>
        <w:t>Sales, marketing, general and administrative Total operating expenses</w:t>
      </w:r>
    </w:p>
    <w:p>
      <w:pPr>
        <w:ind w:left="20"/>
        <w:spacing w:after="0"/>
        <w:rPr>
          <w:sz w:val="20"/>
          <w:szCs w:val="20"/>
          <w:color w:val="auto"/>
        </w:rPr>
      </w:pPr>
      <w:r>
        <w:rPr>
          <w:rFonts w:ascii="Arial" w:cs="Arial" w:eastAsia="Arial" w:hAnsi="Arial"/>
          <w:sz w:val="14"/>
          <w:szCs w:val="14"/>
          <w:color w:val="auto"/>
        </w:rPr>
        <w:t>Impairment charge</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other operating charges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profit (loss)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Finance expense, net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 (loss)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Income tax benefit (expense)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income (loss)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Earnings (loss) per share: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Basic</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Diluted</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 used in earnings (loss) per share calculation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Unaudited Consolidated Statements of Operations</w:t>
      </w:r>
    </w:p>
    <w:p>
      <w:pPr>
        <w:spacing w:after="0" w:line="293"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3700" w:type="dxa"/>
            <w:vAlign w:val="bottom"/>
            <w:gridSpan w:val="4"/>
          </w:tcPr>
          <w:p>
            <w:pPr>
              <w:ind w:left="1040"/>
              <w:spacing w:after="0"/>
              <w:rPr>
                <w:sz w:val="20"/>
                <w:szCs w:val="20"/>
                <w:color w:val="auto"/>
              </w:rPr>
            </w:pPr>
            <w:r>
              <w:rPr>
                <w:rFonts w:ascii="Arial" w:cs="Arial" w:eastAsia="Arial" w:hAnsi="Arial"/>
                <w:sz w:val="14"/>
                <w:szCs w:val="14"/>
                <w:b w:val="1"/>
                <w:bCs w:val="1"/>
                <w:color w:val="auto"/>
              </w:rPr>
              <w:t>Three Months Ended</w:t>
            </w:r>
          </w:p>
        </w:tc>
        <w:tc>
          <w:tcPr>
            <w:tcW w:w="3440" w:type="dxa"/>
            <w:vAlign w:val="bottom"/>
            <w:gridSpan w:val="3"/>
          </w:tcPr>
          <w:p>
            <w:pPr>
              <w:ind w:left="1280"/>
              <w:spacing w:after="0"/>
              <w:rPr>
                <w:sz w:val="20"/>
                <w:szCs w:val="20"/>
                <w:color w:val="auto"/>
              </w:rPr>
            </w:pPr>
            <w:r>
              <w:rPr>
                <w:rFonts w:ascii="Arial" w:cs="Arial" w:eastAsia="Arial" w:hAnsi="Arial"/>
                <w:sz w:val="14"/>
                <w:szCs w:val="14"/>
                <w:b w:val="1"/>
                <w:bCs w:val="1"/>
                <w:color w:val="auto"/>
              </w:rPr>
              <w:t>Years Ended</w:t>
            </w:r>
          </w:p>
        </w:tc>
      </w:tr>
      <w:tr>
        <w:trPr>
          <w:trHeight w:val="25"/>
        </w:trPr>
        <w:tc>
          <w:tcPr>
            <w:tcW w:w="188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8"/>
        </w:trPr>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2020</w:t>
            </w:r>
          </w:p>
        </w:tc>
        <w:tc>
          <w:tcPr>
            <w:tcW w:w="18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2021</w:t>
            </w: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2020</w:t>
            </w:r>
          </w:p>
        </w:tc>
        <w:tc>
          <w:tcPr>
            <w:tcW w:w="1640" w:type="dxa"/>
            <w:vAlign w:val="bottom"/>
          </w:tcPr>
          <w:p>
            <w:pPr>
              <w:ind w:left="200"/>
              <w:spacing w:after="0"/>
              <w:rPr>
                <w:sz w:val="20"/>
                <w:szCs w:val="20"/>
                <w:color w:val="auto"/>
              </w:rPr>
            </w:pPr>
            <w:r>
              <w:rPr>
                <w:rFonts w:ascii="Arial" w:cs="Arial" w:eastAsia="Arial" w:hAnsi="Arial"/>
                <w:sz w:val="14"/>
                <w:szCs w:val="14"/>
                <w:b w:val="1"/>
                <w:bCs w:val="1"/>
                <w:color w:val="auto"/>
              </w:rPr>
              <w:t>December 31, 2021</w:t>
            </w:r>
          </w:p>
        </w:tc>
      </w:tr>
      <w:tr>
        <w:trPr>
          <w:trHeight w:val="25"/>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46"/>
        </w:trPr>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$1,062</w:t>
            </w:r>
          </w:p>
        </w:tc>
        <w:tc>
          <w:tcPr>
            <w:tcW w:w="1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$1,847</w:t>
            </w:r>
          </w:p>
        </w:tc>
        <w:tc>
          <w:tcPr>
            <w:tcW w:w="2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$4,851</w:t>
            </w:r>
          </w:p>
        </w:tc>
        <w:tc>
          <w:tcPr>
            <w:tcW w:w="1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$6,585</w:t>
            </w:r>
          </w:p>
        </w:tc>
      </w:tr>
      <w:tr>
        <w:trPr>
          <w:trHeight w:val="230"/>
        </w:trPr>
        <w:tc>
          <w:tcPr>
            <w:tcW w:w="1700" w:type="dxa"/>
            <w:vAlign w:val="bottom"/>
          </w:tcPr>
          <w:p>
            <w:pPr>
              <w:jc w:val="center"/>
              <w:spacing w:after="0"/>
              <w:rPr>
                <w:sz w:val="20"/>
                <w:szCs w:val="20"/>
                <w:color w:val="auto"/>
              </w:rPr>
            </w:pPr>
            <w:r>
              <w:rPr>
                <w:rFonts w:ascii="Arial" w:cs="Arial" w:eastAsia="Arial" w:hAnsi="Arial"/>
                <w:sz w:val="14"/>
                <w:szCs w:val="14"/>
                <w:color w:val="auto"/>
              </w:rPr>
              <w:t>1,280</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1,463</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5,563</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5,572</w:t>
            </w:r>
          </w:p>
        </w:tc>
      </w:tr>
      <w:tr>
        <w:trPr>
          <w:trHeight w:val="25"/>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8"/>
        </w:trPr>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(218)</w:t>
            </w: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384</w:t>
            </w:r>
          </w:p>
        </w:tc>
        <w:tc>
          <w:tcPr>
            <w:tcW w:w="2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(712)</w:t>
            </w:r>
          </w:p>
        </w:tc>
        <w:tc>
          <w:tcPr>
            <w:tcW w:w="1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1,013</w:t>
            </w:r>
          </w:p>
        </w:tc>
      </w:tr>
      <w:tr>
        <w:trPr>
          <w:trHeight w:val="25"/>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414"/>
        </w:trPr>
        <w:tc>
          <w:tcPr>
            <w:tcW w:w="1700" w:type="dxa"/>
            <w:vAlign w:val="bottom"/>
          </w:tcPr>
          <w:p>
            <w:pPr>
              <w:jc w:val="center"/>
              <w:spacing w:after="0"/>
              <w:rPr>
                <w:sz w:val="20"/>
                <w:szCs w:val="20"/>
                <w:color w:val="auto"/>
              </w:rPr>
            </w:pPr>
            <w:r>
              <w:rPr>
                <w:rFonts w:ascii="Arial" w:cs="Arial" w:eastAsia="Arial" w:hAnsi="Arial"/>
                <w:sz w:val="14"/>
                <w:szCs w:val="14"/>
                <w:color w:val="auto"/>
              </w:rPr>
              <w:t>116</w:t>
            </w:r>
          </w:p>
        </w:tc>
        <w:tc>
          <w:tcPr>
            <w:tcW w:w="1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130</w:t>
            </w:r>
          </w:p>
        </w:tc>
        <w:tc>
          <w:tcPr>
            <w:tcW w:w="2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476</w:t>
            </w:r>
          </w:p>
        </w:tc>
        <w:tc>
          <w:tcPr>
            <w:tcW w:w="1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478</w:t>
            </w:r>
          </w:p>
        </w:tc>
      </w:tr>
      <w:tr>
        <w:trPr>
          <w:trHeight w:val="229"/>
        </w:trPr>
        <w:tc>
          <w:tcPr>
            <w:tcW w:w="1700" w:type="dxa"/>
            <w:vAlign w:val="bottom"/>
          </w:tcPr>
          <w:p>
            <w:pPr>
              <w:jc w:val="center"/>
              <w:spacing w:after="0"/>
              <w:rPr>
                <w:sz w:val="20"/>
                <w:szCs w:val="20"/>
                <w:color w:val="auto"/>
              </w:rPr>
            </w:pPr>
            <w:r>
              <w:rPr>
                <w:rFonts w:ascii="Arial" w:cs="Arial" w:eastAsia="Arial" w:hAnsi="Arial"/>
                <w:sz w:val="14"/>
                <w:szCs w:val="14"/>
                <w:color w:val="auto"/>
              </w:rPr>
              <w:t>136</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167</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445</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595</w:t>
            </w:r>
          </w:p>
        </w:tc>
      </w:tr>
      <w:tr>
        <w:trPr>
          <w:trHeight w:val="25"/>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8"/>
        </w:trPr>
        <w:tc>
          <w:tcPr>
            <w:tcW w:w="1700" w:type="dxa"/>
            <w:vAlign w:val="bottom"/>
          </w:tcPr>
          <w:p>
            <w:pPr>
              <w:jc w:val="center"/>
              <w:spacing w:after="0"/>
              <w:rPr>
                <w:sz w:val="20"/>
                <w:szCs w:val="20"/>
                <w:color w:val="auto"/>
              </w:rPr>
            </w:pPr>
            <w:r>
              <w:rPr>
                <w:rFonts w:ascii="Arial" w:cs="Arial" w:eastAsia="Arial" w:hAnsi="Arial"/>
                <w:sz w:val="14"/>
                <w:szCs w:val="14"/>
                <w:color w:val="auto"/>
              </w:rPr>
              <w:t>252</w:t>
            </w: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297</w:t>
            </w:r>
          </w:p>
        </w:tc>
        <w:tc>
          <w:tcPr>
            <w:tcW w:w="2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921</w:t>
            </w:r>
          </w:p>
        </w:tc>
        <w:tc>
          <w:tcPr>
            <w:tcW w:w="1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1,073</w:t>
            </w:r>
          </w:p>
        </w:tc>
      </w:tr>
      <w:tr>
        <w:trPr>
          <w:trHeight w:val="25"/>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8"/>
        </w:trPr>
        <w:tc>
          <w:tcPr>
            <w:tcW w:w="1700" w:type="dxa"/>
            <w:vAlign w:val="bottom"/>
          </w:tcPr>
          <w:p>
            <w:pPr>
              <w:jc w:val="center"/>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7"/>
                <w:szCs w:val="17"/>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1620" w:type="dxa"/>
            <w:vAlign w:val="bottom"/>
          </w:tcPr>
          <w:p>
            <w:pPr>
              <w:jc w:val="center"/>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5"/>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8"/>
        </w:trPr>
        <w:tc>
          <w:tcPr>
            <w:tcW w:w="1700" w:type="dxa"/>
            <w:vAlign w:val="bottom"/>
          </w:tcPr>
          <w:p>
            <w:pPr>
              <w:jc w:val="center"/>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7"/>
                <w:szCs w:val="17"/>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1620" w:type="dxa"/>
            <w:vAlign w:val="bottom"/>
          </w:tcPr>
          <w:p>
            <w:pPr>
              <w:jc w:val="center"/>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5"/>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8"/>
        </w:trPr>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(491)</w:t>
            </w: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87</w:t>
            </w:r>
          </w:p>
        </w:tc>
        <w:tc>
          <w:tcPr>
            <w:tcW w:w="2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(1,656)</w:t>
            </w:r>
          </w:p>
        </w:tc>
        <w:tc>
          <w:tcPr>
            <w:tcW w:w="1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(60)</w:t>
            </w:r>
          </w:p>
        </w:tc>
      </w:tr>
      <w:tr>
        <w:trPr>
          <w:trHeight w:val="230"/>
        </w:trPr>
        <w:tc>
          <w:tcPr>
            <w:tcW w:w="1700" w:type="dxa"/>
            <w:vAlign w:val="bottom"/>
          </w:tcPr>
          <w:p>
            <w:pPr>
              <w:jc w:val="center"/>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6"/>
              </w:rPr>
              <w:t>(26)</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(151)</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(108)</w:t>
            </w:r>
          </w:p>
        </w:tc>
      </w:tr>
      <w:tr>
        <w:trPr>
          <w:trHeight w:val="230"/>
        </w:trPr>
        <w:tc>
          <w:tcPr>
            <w:tcW w:w="1700" w:type="dxa"/>
            <w:vAlign w:val="bottom"/>
          </w:tcPr>
          <w:p>
            <w:pPr>
              <w:jc w:val="center"/>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8</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444</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(8)</w:t>
            </w:r>
          </w:p>
        </w:tc>
      </w:tr>
      <w:tr>
        <w:trPr>
          <w:trHeight w:val="229"/>
        </w:trPr>
        <w:tc>
          <w:tcPr>
            <w:tcW w:w="1700" w:type="dxa"/>
            <w:vAlign w:val="bottom"/>
          </w:tcPr>
          <w:p>
            <w:pPr>
              <w:jc w:val="center"/>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6"/>
              </w:rPr>
              <w:t>(26)</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(78)</w:t>
            </w:r>
          </w:p>
        </w:tc>
      </w:tr>
      <w:tr>
        <w:trPr>
          <w:trHeight w:val="25"/>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8"/>
        </w:trPr>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(524)</w:t>
            </w: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43</w:t>
            </w:r>
          </w:p>
        </w:tc>
        <w:tc>
          <w:tcPr>
            <w:tcW w:w="2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(1,351)</w:t>
            </w:r>
          </w:p>
        </w:tc>
        <w:tc>
          <w:tcPr>
            <w:tcW w:w="1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(254)</w:t>
            </w:r>
          </w:p>
        </w:tc>
      </w:tr>
      <w:tr>
        <w:trPr>
          <w:trHeight w:val="25"/>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414"/>
        </w:trPr>
        <w:tc>
          <w:tcPr>
            <w:tcW w:w="1700" w:type="dxa"/>
            <w:vAlign w:val="bottom"/>
          </w:tcPr>
          <w:p>
            <w:pPr>
              <w:jc w:val="center"/>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$0.08</w:t>
            </w:r>
          </w:p>
        </w:tc>
        <w:tc>
          <w:tcPr>
            <w:tcW w:w="2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$(2.70)</w:t>
            </w:r>
          </w:p>
        </w:tc>
        <w:tc>
          <w:tcPr>
            <w:tcW w:w="1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$(0.50)</w:t>
            </w:r>
          </w:p>
        </w:tc>
      </w:tr>
      <w:tr>
        <w:trPr>
          <w:trHeight w:val="25"/>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8"/>
        </w:trPr>
        <w:tc>
          <w:tcPr>
            <w:tcW w:w="1700" w:type="dxa"/>
            <w:vAlign w:val="bottom"/>
          </w:tcPr>
          <w:p>
            <w:pPr>
              <w:jc w:val="center"/>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$0.08</w:t>
            </w:r>
          </w:p>
        </w:tc>
        <w:tc>
          <w:tcPr>
            <w:tcW w:w="2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$(2.70)</w:t>
            </w:r>
          </w:p>
        </w:tc>
        <w:tc>
          <w:tcPr>
            <w:tcW w:w="1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$(0.50)</w:t>
            </w:r>
          </w:p>
        </w:tc>
      </w:tr>
      <w:tr>
        <w:trPr>
          <w:trHeight w:val="25"/>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ectPr>
          <w:pgSz w:w="11900" w:h="16838" w:orient="portrait"/>
          <w:cols w:equalWidth="0" w:num="2">
            <w:col w:w="3340" w:space="340"/>
            <w:col w:w="7560"/>
          </w:cols>
          <w:pgMar w:left="320" w:top="1440" w:right="339" w:bottom="1440" w:gutter="0" w:footer="0" w:header="0"/>
          <w:type w:val="continuous"/>
        </w:sectPr>
      </w:pPr>
    </w:p>
    <w:bookmarkStart w:id="6" w:name="page7"/>
    <w:bookmarkEnd w:id="6"/>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Basic</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3020" w:type="dxa"/>
        <w:tblCellMar>
          <w:top w:w="0" w:type="dxa"/>
          <w:left w:w="0" w:type="dxa"/>
          <w:bottom w:w="0" w:type="dxa"/>
          <w:right w:w="0" w:type="dxa"/>
        </w:tblCellMar>
      </w:tblPr>
      <w:tr>
        <w:trPr>
          <w:trHeight w:val="172"/>
        </w:trPr>
        <w:tc>
          <w:tcPr>
            <w:tcW w:w="1700" w:type="dxa"/>
            <w:vAlign w:val="bottom"/>
          </w:tcPr>
          <w:p>
            <w:pPr>
              <w:jc w:val="right"/>
              <w:ind w:right="668"/>
              <w:spacing w:after="0"/>
              <w:rPr>
                <w:sz w:val="20"/>
                <w:szCs w:val="20"/>
                <w:color w:val="auto"/>
              </w:rPr>
            </w:pPr>
            <w:r>
              <w:rPr>
                <w:rFonts w:ascii="Arial" w:cs="Arial" w:eastAsia="Arial" w:hAnsi="Arial"/>
                <w:sz w:val="14"/>
                <w:szCs w:val="14"/>
                <w:color w:val="auto"/>
              </w:rPr>
              <w:t>500</w:t>
            </w:r>
          </w:p>
        </w:tc>
        <w:tc>
          <w:tcPr>
            <w:tcW w:w="180" w:type="dxa"/>
            <w:vAlign w:val="bottom"/>
          </w:tcPr>
          <w:p>
            <w:pPr>
              <w:spacing w:after="0"/>
              <w:rPr>
                <w:sz w:val="14"/>
                <w:szCs w:val="14"/>
                <w:color w:val="auto"/>
              </w:rPr>
            </w:pPr>
          </w:p>
        </w:tc>
        <w:tc>
          <w:tcPr>
            <w:tcW w:w="1620" w:type="dxa"/>
            <w:vAlign w:val="bottom"/>
          </w:tcPr>
          <w:p>
            <w:pPr>
              <w:jc w:val="right"/>
              <w:ind w:right="608"/>
              <w:spacing w:after="0"/>
              <w:rPr>
                <w:sz w:val="20"/>
                <w:szCs w:val="20"/>
                <w:color w:val="auto"/>
              </w:rPr>
            </w:pPr>
            <w:r>
              <w:rPr>
                <w:rFonts w:ascii="Arial" w:cs="Arial" w:eastAsia="Arial" w:hAnsi="Arial"/>
                <w:sz w:val="14"/>
                <w:szCs w:val="14"/>
                <w:color w:val="auto"/>
              </w:rPr>
              <w:t>522</w:t>
            </w:r>
          </w:p>
        </w:tc>
        <w:tc>
          <w:tcPr>
            <w:tcW w:w="200" w:type="dxa"/>
            <w:vAlign w:val="bottom"/>
          </w:tcPr>
          <w:p>
            <w:pPr>
              <w:spacing w:after="0"/>
              <w:rPr>
                <w:sz w:val="14"/>
                <w:szCs w:val="14"/>
                <w:color w:val="auto"/>
              </w:rPr>
            </w:pP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500</w:t>
            </w:r>
          </w:p>
        </w:tc>
        <w:tc>
          <w:tcPr>
            <w:tcW w:w="180" w:type="dxa"/>
            <w:vAlign w:val="bottom"/>
          </w:tcPr>
          <w:p>
            <w:pPr>
              <w:spacing w:after="0"/>
              <w:rPr>
                <w:sz w:val="14"/>
                <w:szCs w:val="14"/>
                <w:color w:val="auto"/>
              </w:rPr>
            </w:pPr>
          </w:p>
        </w:tc>
        <w:tc>
          <w:tcPr>
            <w:tcW w:w="1620" w:type="dxa"/>
            <w:vAlign w:val="bottom"/>
          </w:tcPr>
          <w:p>
            <w:pPr>
              <w:jc w:val="right"/>
              <w:ind w:right="608"/>
              <w:spacing w:after="0"/>
              <w:rPr>
                <w:sz w:val="20"/>
                <w:szCs w:val="20"/>
                <w:color w:val="auto"/>
              </w:rPr>
            </w:pPr>
            <w:r>
              <w:rPr>
                <w:rFonts w:ascii="Arial" w:cs="Arial" w:eastAsia="Arial" w:hAnsi="Arial"/>
                <w:sz w:val="14"/>
                <w:szCs w:val="14"/>
                <w:color w:val="auto"/>
              </w:rPr>
              <w:t>506</w:t>
            </w:r>
          </w:p>
        </w:tc>
      </w:tr>
      <w:tr>
        <w:trPr>
          <w:trHeight w:val="26"/>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8"/>
        </w:trPr>
        <w:tc>
          <w:tcPr>
            <w:tcW w:w="1700" w:type="dxa"/>
            <w:vAlign w:val="bottom"/>
          </w:tcPr>
          <w:p>
            <w:pPr>
              <w:jc w:val="right"/>
              <w:ind w:right="668"/>
              <w:spacing w:after="0"/>
              <w:rPr>
                <w:sz w:val="20"/>
                <w:szCs w:val="20"/>
                <w:color w:val="auto"/>
              </w:rPr>
            </w:pPr>
            <w:r>
              <w:rPr>
                <w:rFonts w:ascii="Arial" w:cs="Arial" w:eastAsia="Arial" w:hAnsi="Arial"/>
                <w:sz w:val="14"/>
                <w:szCs w:val="14"/>
                <w:color w:val="auto"/>
              </w:rPr>
              <w:t>500</w:t>
            </w:r>
          </w:p>
        </w:tc>
        <w:tc>
          <w:tcPr>
            <w:tcW w:w="180" w:type="dxa"/>
            <w:vAlign w:val="bottom"/>
          </w:tcPr>
          <w:p>
            <w:pPr>
              <w:spacing w:after="0"/>
              <w:rPr>
                <w:sz w:val="17"/>
                <w:szCs w:val="17"/>
                <w:color w:val="auto"/>
              </w:rPr>
            </w:pPr>
          </w:p>
        </w:tc>
        <w:tc>
          <w:tcPr>
            <w:tcW w:w="1620" w:type="dxa"/>
            <w:vAlign w:val="bottom"/>
          </w:tcPr>
          <w:p>
            <w:pPr>
              <w:jc w:val="right"/>
              <w:ind w:right="608"/>
              <w:spacing w:after="0"/>
              <w:rPr>
                <w:sz w:val="20"/>
                <w:szCs w:val="20"/>
                <w:color w:val="auto"/>
              </w:rPr>
            </w:pPr>
            <w:r>
              <w:rPr>
                <w:rFonts w:ascii="Arial" w:cs="Arial" w:eastAsia="Arial" w:hAnsi="Arial"/>
                <w:sz w:val="14"/>
                <w:szCs w:val="14"/>
                <w:color w:val="auto"/>
              </w:rPr>
              <w:t>540</w:t>
            </w:r>
          </w:p>
        </w:tc>
        <w:tc>
          <w:tcPr>
            <w:tcW w:w="200" w:type="dxa"/>
            <w:vAlign w:val="bottom"/>
          </w:tcPr>
          <w:p>
            <w:pPr>
              <w:spacing w:after="0"/>
              <w:rPr>
                <w:sz w:val="17"/>
                <w:szCs w:val="17"/>
                <w:color w:val="auto"/>
              </w:rPr>
            </w:pPr>
          </w:p>
        </w:tc>
        <w:tc>
          <w:tcPr>
            <w:tcW w:w="1620" w:type="dxa"/>
            <w:vAlign w:val="bottom"/>
          </w:tcPr>
          <w:p>
            <w:pPr>
              <w:jc w:val="right"/>
              <w:ind w:right="628"/>
              <w:spacing w:after="0"/>
              <w:rPr>
                <w:sz w:val="20"/>
                <w:szCs w:val="20"/>
                <w:color w:val="auto"/>
              </w:rPr>
            </w:pPr>
            <w:r>
              <w:rPr>
                <w:rFonts w:ascii="Arial" w:cs="Arial" w:eastAsia="Arial" w:hAnsi="Arial"/>
                <w:sz w:val="14"/>
                <w:szCs w:val="14"/>
                <w:color w:val="auto"/>
              </w:rPr>
              <w:t>500</w:t>
            </w:r>
          </w:p>
        </w:tc>
        <w:tc>
          <w:tcPr>
            <w:tcW w:w="180" w:type="dxa"/>
            <w:vAlign w:val="bottom"/>
          </w:tcPr>
          <w:p>
            <w:pPr>
              <w:spacing w:after="0"/>
              <w:rPr>
                <w:sz w:val="17"/>
                <w:szCs w:val="17"/>
                <w:color w:val="auto"/>
              </w:rPr>
            </w:pPr>
          </w:p>
        </w:tc>
        <w:tc>
          <w:tcPr>
            <w:tcW w:w="1620" w:type="dxa"/>
            <w:vAlign w:val="bottom"/>
          </w:tcPr>
          <w:p>
            <w:pPr>
              <w:jc w:val="right"/>
              <w:ind w:right="608"/>
              <w:spacing w:after="0"/>
              <w:rPr>
                <w:sz w:val="20"/>
                <w:szCs w:val="20"/>
                <w:color w:val="auto"/>
              </w:rPr>
            </w:pPr>
            <w:r>
              <w:rPr>
                <w:rFonts w:ascii="Arial" w:cs="Arial" w:eastAsia="Arial" w:hAnsi="Arial"/>
                <w:sz w:val="14"/>
                <w:szCs w:val="14"/>
                <w:color w:val="auto"/>
              </w:rPr>
              <w:t>506</w:t>
            </w:r>
          </w:p>
        </w:tc>
      </w:tr>
      <w:tr>
        <w:trPr>
          <w:trHeight w:val="26"/>
        </w:trPr>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ind w:left="2320"/>
        <w:spacing w:after="0"/>
        <w:rPr>
          <w:sz w:val="20"/>
          <w:szCs w:val="20"/>
          <w:color w:val="auto"/>
        </w:rPr>
      </w:pPr>
      <w:r>
        <w:rPr>
          <w:rFonts w:ascii="Arial" w:cs="Arial" w:eastAsia="Arial" w:hAnsi="Arial"/>
          <w:sz w:val="16"/>
          <w:szCs w:val="16"/>
          <w:b w:val="1"/>
          <w:bCs w:val="1"/>
          <w:u w:val="single" w:color="auto"/>
          <w:color w:val="auto"/>
        </w:rPr>
        <w:t>Unaudited Consolidated Statements of Financial Position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20"/>
                <w:szCs w:val="20"/>
                <w:color w:val="auto"/>
              </w:rPr>
            </w:pPr>
            <w:r>
              <w:rPr>
                <w:rFonts w:ascii="Arial" w:cs="Arial" w:eastAsia="Arial" w:hAnsi="Arial"/>
                <w:sz w:val="14"/>
                <w:szCs w:val="14"/>
                <w:b w:val="1"/>
                <w:bCs w:val="1"/>
                <w:color w:val="auto"/>
              </w:rPr>
              <w:t>(in $M)</w:t>
            </w: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960" w:type="dxa"/>
            <w:vAlign w:val="bottom"/>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6"/>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6"/>
        </w:trPr>
        <w:tc>
          <w:tcPr>
            <w:tcW w:w="488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020" w:type="dxa"/>
            <w:vAlign w:val="bottom"/>
          </w:tcPr>
          <w:p>
            <w:pPr>
              <w:jc w:val="center"/>
              <w:spacing w:after="0"/>
              <w:rPr>
                <w:sz w:val="20"/>
                <w:szCs w:val="20"/>
                <w:color w:val="auto"/>
              </w:rPr>
            </w:pPr>
            <w:r>
              <w:rPr>
                <w:rFonts w:ascii="Arial" w:cs="Arial" w:eastAsia="Arial" w:hAnsi="Arial"/>
                <w:sz w:val="14"/>
                <w:szCs w:val="14"/>
                <w:color w:val="auto"/>
              </w:rPr>
              <w:t>$908</w:t>
            </w:r>
          </w:p>
        </w:tc>
        <w:tc>
          <w:tcPr>
            <w:tcW w:w="2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$2,939</w:t>
            </w: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4"/>
                <w:szCs w:val="14"/>
                <w:color w:val="auto"/>
              </w:rPr>
              <w:t>Receivables, prepayments and other</w:t>
            </w:r>
          </w:p>
        </w:tc>
        <w:tc>
          <w:tcPr>
            <w:tcW w:w="2020" w:type="dxa"/>
            <w:vAlign w:val="bottom"/>
          </w:tcPr>
          <w:p>
            <w:pPr>
              <w:jc w:val="center"/>
              <w:spacing w:after="0"/>
              <w:rPr>
                <w:sz w:val="20"/>
                <w:szCs w:val="20"/>
                <w:color w:val="auto"/>
              </w:rPr>
            </w:pPr>
            <w:r>
              <w:rPr>
                <w:rFonts w:ascii="Arial" w:cs="Arial" w:eastAsia="Arial" w:hAnsi="Arial"/>
                <w:sz w:val="14"/>
                <w:szCs w:val="14"/>
                <w:color w:val="auto"/>
              </w:rPr>
              <w:t>1,159</w:t>
            </w:r>
          </w:p>
        </w:tc>
        <w:tc>
          <w:tcPr>
            <w:tcW w:w="2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1,231</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4"/>
                <w:szCs w:val="14"/>
                <w:color w:val="auto"/>
              </w:rPr>
              <w:t>Inventories</w:t>
            </w:r>
          </w:p>
        </w:tc>
        <w:tc>
          <w:tcPr>
            <w:tcW w:w="2020" w:type="dxa"/>
            <w:vAlign w:val="bottom"/>
          </w:tcPr>
          <w:p>
            <w:pPr>
              <w:jc w:val="center"/>
              <w:spacing w:after="0"/>
              <w:rPr>
                <w:sz w:val="20"/>
                <w:szCs w:val="20"/>
                <w:color w:val="auto"/>
              </w:rPr>
            </w:pPr>
            <w:r>
              <w:rPr>
                <w:rFonts w:ascii="Arial" w:cs="Arial" w:eastAsia="Arial" w:hAnsi="Arial"/>
                <w:sz w:val="14"/>
                <w:szCs w:val="14"/>
                <w:color w:val="auto"/>
              </w:rPr>
              <w:t>920</w:t>
            </w:r>
          </w:p>
        </w:tc>
        <w:tc>
          <w:tcPr>
            <w:tcW w:w="2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26"/>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Current assets</w:t>
            </w:r>
          </w:p>
        </w:tc>
        <w:tc>
          <w:tcPr>
            <w:tcW w:w="2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2,987</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5,291</w:t>
            </w:r>
          </w:p>
        </w:tc>
        <w:tc>
          <w:tcPr>
            <w:tcW w:w="0" w:type="dxa"/>
            <w:vAlign w:val="bottom"/>
          </w:tcPr>
          <w:p>
            <w:pPr>
              <w:spacing w:after="0"/>
              <w:rPr>
                <w:sz w:val="1"/>
                <w:szCs w:val="1"/>
                <w:color w:val="auto"/>
              </w:rPr>
            </w:pPr>
          </w:p>
        </w:tc>
      </w:tr>
      <w:tr>
        <w:trPr>
          <w:trHeight w:val="26"/>
        </w:trPr>
        <w:tc>
          <w:tcPr>
            <w:tcW w:w="4880" w:type="dxa"/>
            <w:vAlign w:val="bottom"/>
            <w:vMerge w:val="restart"/>
          </w:tcPr>
          <w:p>
            <w:pPr>
              <w:spacing w:after="0"/>
              <w:rPr>
                <w:sz w:val="20"/>
                <w:szCs w:val="20"/>
                <w:color w:val="auto"/>
              </w:rPr>
            </w:pPr>
            <w:r>
              <w:rPr>
                <w:rFonts w:ascii="Arial" w:cs="Arial" w:eastAsia="Arial" w:hAnsi="Arial"/>
                <w:sz w:val="14"/>
                <w:szCs w:val="14"/>
                <w:color w:val="auto"/>
              </w:rPr>
              <w:t>Deferred tax assets</w:t>
            </w:r>
          </w:p>
        </w:tc>
        <w:tc>
          <w:tcPr>
            <w:tcW w:w="2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880" w:type="dxa"/>
            <w:vAlign w:val="bottom"/>
            <w:vMerge w:val="continue"/>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444</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2020" w:type="dxa"/>
            <w:vAlign w:val="bottom"/>
          </w:tcPr>
          <w:p>
            <w:pPr>
              <w:jc w:val="center"/>
              <w:spacing w:after="0"/>
              <w:rPr>
                <w:sz w:val="20"/>
                <w:szCs w:val="20"/>
                <w:color w:val="auto"/>
              </w:rPr>
            </w:pPr>
            <w:r>
              <w:rPr>
                <w:rFonts w:ascii="Arial" w:cs="Arial" w:eastAsia="Arial" w:hAnsi="Arial"/>
                <w:sz w:val="14"/>
                <w:szCs w:val="14"/>
                <w:color w:val="auto"/>
              </w:rPr>
              <w:t>8,226</w:t>
            </w:r>
          </w:p>
        </w:tc>
        <w:tc>
          <w:tcPr>
            <w:tcW w:w="2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8,713</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4"/>
                <w:szCs w:val="14"/>
                <w:color w:val="auto"/>
              </w:rPr>
              <w:t>Other assets</w:t>
            </w:r>
          </w:p>
        </w:tc>
        <w:tc>
          <w:tcPr>
            <w:tcW w:w="2020" w:type="dxa"/>
            <w:vAlign w:val="bottom"/>
          </w:tcPr>
          <w:p>
            <w:pPr>
              <w:jc w:val="center"/>
              <w:spacing w:after="0"/>
              <w:rPr>
                <w:sz w:val="20"/>
                <w:szCs w:val="20"/>
                <w:color w:val="auto"/>
              </w:rPr>
            </w:pPr>
            <w:r>
              <w:rPr>
                <w:rFonts w:ascii="Arial" w:cs="Arial" w:eastAsia="Arial" w:hAnsi="Arial"/>
                <w:sz w:val="14"/>
                <w:szCs w:val="14"/>
                <w:color w:val="auto"/>
              </w:rPr>
              <w:t>665</w:t>
            </w:r>
          </w:p>
        </w:tc>
        <w:tc>
          <w:tcPr>
            <w:tcW w:w="2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26"/>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Noncurrent assets</w:t>
            </w:r>
          </w:p>
        </w:tc>
        <w:tc>
          <w:tcPr>
            <w:tcW w:w="2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9,335</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9,737</w:t>
            </w:r>
          </w:p>
        </w:tc>
        <w:tc>
          <w:tcPr>
            <w:tcW w:w="0" w:type="dxa"/>
            <w:vAlign w:val="bottom"/>
          </w:tcPr>
          <w:p>
            <w:pPr>
              <w:spacing w:after="0"/>
              <w:rPr>
                <w:sz w:val="1"/>
                <w:szCs w:val="1"/>
                <w:color w:val="auto"/>
              </w:rPr>
            </w:pPr>
          </w:p>
        </w:tc>
      </w:tr>
      <w:tr>
        <w:trPr>
          <w:trHeight w:val="26"/>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Total assets</w:t>
            </w:r>
          </w:p>
        </w:tc>
        <w:tc>
          <w:tcPr>
            <w:tcW w:w="2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880" w:type="dxa"/>
            <w:vAlign w:val="bottom"/>
            <w:vMerge w:val="continue"/>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$12,322</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$15,028</w:t>
            </w:r>
          </w:p>
        </w:tc>
        <w:tc>
          <w:tcPr>
            <w:tcW w:w="0" w:type="dxa"/>
            <w:vAlign w:val="bottom"/>
          </w:tcPr>
          <w:p>
            <w:pPr>
              <w:spacing w:after="0"/>
              <w:rPr>
                <w:sz w:val="1"/>
                <w:szCs w:val="1"/>
                <w:color w:val="auto"/>
              </w:rPr>
            </w:pPr>
          </w:p>
        </w:tc>
      </w:tr>
      <w:tr>
        <w:trPr>
          <w:trHeight w:val="26"/>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2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80" w:type="dxa"/>
            <w:vAlign w:val="bottom"/>
            <w:vMerge w:val="continue"/>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2020" w:type="dxa"/>
            <w:vAlign w:val="bottom"/>
          </w:tcPr>
          <w:p>
            <w:pPr>
              <w:jc w:val="center"/>
              <w:spacing w:after="0"/>
              <w:rPr>
                <w:sz w:val="20"/>
                <w:szCs w:val="20"/>
                <w:color w:val="auto"/>
              </w:rPr>
            </w:pPr>
            <w:r>
              <w:rPr>
                <w:rFonts w:ascii="Arial" w:cs="Arial" w:eastAsia="Arial" w:hAnsi="Arial"/>
                <w:sz w:val="14"/>
                <w:szCs w:val="14"/>
                <w:color w:val="auto"/>
              </w:rPr>
              <w:t>$382</w:t>
            </w:r>
          </w:p>
        </w:tc>
        <w:tc>
          <w:tcPr>
            <w:tcW w:w="2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4"/>
                <w:szCs w:val="14"/>
                <w:color w:val="auto"/>
              </w:rPr>
              <w:t>Other current liabilities</w:t>
            </w:r>
          </w:p>
        </w:tc>
        <w:tc>
          <w:tcPr>
            <w:tcW w:w="2020" w:type="dxa"/>
            <w:vAlign w:val="bottom"/>
          </w:tcPr>
          <w:p>
            <w:pPr>
              <w:jc w:val="center"/>
              <w:spacing w:after="0"/>
              <w:rPr>
                <w:sz w:val="20"/>
                <w:szCs w:val="20"/>
                <w:color w:val="auto"/>
              </w:rPr>
            </w:pPr>
            <w:r>
              <w:rPr>
                <w:rFonts w:ascii="Arial" w:cs="Arial" w:eastAsia="Arial" w:hAnsi="Arial"/>
                <w:sz w:val="14"/>
                <w:szCs w:val="14"/>
                <w:color w:val="auto"/>
              </w:rPr>
              <w:t>1,514</w:t>
            </w:r>
          </w:p>
        </w:tc>
        <w:tc>
          <w:tcPr>
            <w:tcW w:w="2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2,866</w:t>
            </w:r>
          </w:p>
        </w:tc>
        <w:tc>
          <w:tcPr>
            <w:tcW w:w="0" w:type="dxa"/>
            <w:vAlign w:val="bottom"/>
          </w:tcPr>
          <w:p>
            <w:pPr>
              <w:spacing w:after="0"/>
              <w:rPr>
                <w:sz w:val="1"/>
                <w:szCs w:val="1"/>
                <w:color w:val="auto"/>
              </w:rPr>
            </w:pPr>
          </w:p>
        </w:tc>
      </w:tr>
      <w:tr>
        <w:trPr>
          <w:trHeight w:val="26"/>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Current liabilities</w:t>
            </w:r>
          </w:p>
        </w:tc>
        <w:tc>
          <w:tcPr>
            <w:tcW w:w="2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880" w:type="dxa"/>
            <w:vAlign w:val="bottom"/>
            <w:vMerge w:val="continue"/>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1,896</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3,163</w:t>
            </w:r>
          </w:p>
        </w:tc>
        <w:tc>
          <w:tcPr>
            <w:tcW w:w="0" w:type="dxa"/>
            <w:vAlign w:val="bottom"/>
          </w:tcPr>
          <w:p>
            <w:pPr>
              <w:spacing w:after="0"/>
              <w:rPr>
                <w:sz w:val="1"/>
                <w:szCs w:val="1"/>
                <w:color w:val="auto"/>
              </w:rPr>
            </w:pPr>
          </w:p>
        </w:tc>
      </w:tr>
      <w:tr>
        <w:trPr>
          <w:trHeight w:val="26"/>
        </w:trPr>
        <w:tc>
          <w:tcPr>
            <w:tcW w:w="4880" w:type="dxa"/>
            <w:vAlign w:val="bottom"/>
            <w:vMerge w:val="restart"/>
          </w:tcPr>
          <w:p>
            <w:pPr>
              <w:spacing w:after="0"/>
              <w:rPr>
                <w:sz w:val="20"/>
                <w:szCs w:val="20"/>
                <w:color w:val="auto"/>
              </w:rPr>
            </w:pPr>
            <w:r>
              <w:rPr>
                <w:rFonts w:ascii="Arial" w:cs="Arial" w:eastAsia="Arial" w:hAnsi="Arial"/>
                <w:sz w:val="14"/>
                <w:szCs w:val="14"/>
                <w:color w:val="auto"/>
              </w:rPr>
              <w:t>Noncurrent portion of long-term debt</w:t>
            </w:r>
          </w:p>
        </w:tc>
        <w:tc>
          <w:tcPr>
            <w:tcW w:w="2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1,956</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1,716</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4"/>
                <w:szCs w:val="14"/>
                <w:color w:val="auto"/>
              </w:rPr>
              <w:t>Other liabilities</w:t>
            </w:r>
          </w:p>
        </w:tc>
        <w:tc>
          <w:tcPr>
            <w:tcW w:w="2020" w:type="dxa"/>
            <w:vAlign w:val="bottom"/>
          </w:tcPr>
          <w:p>
            <w:pPr>
              <w:jc w:val="center"/>
              <w:spacing w:after="0"/>
              <w:rPr>
                <w:sz w:val="20"/>
                <w:szCs w:val="20"/>
                <w:color w:val="auto"/>
              </w:rPr>
            </w:pPr>
            <w:r>
              <w:rPr>
                <w:rFonts w:ascii="Arial" w:cs="Arial" w:eastAsia="Arial" w:hAnsi="Arial"/>
                <w:sz w:val="14"/>
                <w:szCs w:val="14"/>
                <w:color w:val="auto"/>
              </w:rPr>
              <w:t>1,228</w:t>
            </w:r>
          </w:p>
        </w:tc>
        <w:tc>
          <w:tcPr>
            <w:tcW w:w="2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2,116</w:t>
            </w:r>
          </w:p>
        </w:tc>
        <w:tc>
          <w:tcPr>
            <w:tcW w:w="0" w:type="dxa"/>
            <w:vAlign w:val="bottom"/>
          </w:tcPr>
          <w:p>
            <w:pPr>
              <w:spacing w:after="0"/>
              <w:rPr>
                <w:sz w:val="1"/>
                <w:szCs w:val="1"/>
                <w:color w:val="auto"/>
              </w:rPr>
            </w:pPr>
          </w:p>
        </w:tc>
      </w:tr>
      <w:tr>
        <w:trPr>
          <w:trHeight w:val="25"/>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Noncurrent liabilities</w:t>
            </w:r>
          </w:p>
        </w:tc>
        <w:tc>
          <w:tcPr>
            <w:tcW w:w="2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880" w:type="dxa"/>
            <w:vAlign w:val="bottom"/>
            <w:vMerge w:val="continue"/>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3,184</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3,832</w:t>
            </w:r>
          </w:p>
        </w:tc>
        <w:tc>
          <w:tcPr>
            <w:tcW w:w="0" w:type="dxa"/>
            <w:vAlign w:val="bottom"/>
          </w:tcPr>
          <w:p>
            <w:pPr>
              <w:spacing w:after="0"/>
              <w:rPr>
                <w:sz w:val="1"/>
                <w:szCs w:val="1"/>
                <w:color w:val="auto"/>
              </w:rPr>
            </w:pPr>
          </w:p>
        </w:tc>
      </w:tr>
      <w:tr>
        <w:trPr>
          <w:trHeight w:val="25"/>
        </w:trPr>
        <w:tc>
          <w:tcPr>
            <w:tcW w:w="4880" w:type="dxa"/>
            <w:vAlign w:val="bottom"/>
            <w:vMerge w:val="restart"/>
          </w:tcPr>
          <w:p>
            <w:pPr>
              <w:spacing w:after="0"/>
              <w:rPr>
                <w:sz w:val="20"/>
                <w:szCs w:val="20"/>
                <w:color w:val="auto"/>
              </w:rPr>
            </w:pPr>
            <w:r>
              <w:rPr>
                <w:rFonts w:ascii="Arial" w:cs="Arial" w:eastAsia="Arial" w:hAnsi="Arial"/>
                <w:sz w:val="14"/>
                <w:szCs w:val="14"/>
                <w:color w:val="auto"/>
              </w:rPr>
              <w:t>Stockholders’ equity:</w:t>
            </w:r>
          </w:p>
        </w:tc>
        <w:tc>
          <w:tcPr>
            <w:tcW w:w="2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880" w:type="dxa"/>
            <w:vAlign w:val="bottom"/>
            <w:vMerge w:val="continue"/>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4"/>
                <w:szCs w:val="14"/>
                <w:color w:val="auto"/>
              </w:rPr>
              <w:t>Common stock/additional paid-in capital</w:t>
            </w:r>
          </w:p>
        </w:tc>
        <w:tc>
          <w:tcPr>
            <w:tcW w:w="2020" w:type="dxa"/>
            <w:vAlign w:val="bottom"/>
          </w:tcPr>
          <w:p>
            <w:pPr>
              <w:jc w:val="center"/>
              <w:spacing w:after="0"/>
              <w:rPr>
                <w:sz w:val="20"/>
                <w:szCs w:val="20"/>
                <w:color w:val="auto"/>
              </w:rPr>
            </w:pPr>
            <w:r>
              <w:rPr>
                <w:rFonts w:ascii="Arial" w:cs="Arial" w:eastAsia="Arial" w:hAnsi="Arial"/>
                <w:sz w:val="14"/>
                <w:szCs w:val="14"/>
                <w:color w:val="auto"/>
              </w:rPr>
              <w:t>11,718</w:t>
            </w:r>
          </w:p>
        </w:tc>
        <w:tc>
          <w:tcPr>
            <w:tcW w:w="2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23,498</w:t>
            </w:r>
          </w:p>
        </w:tc>
        <w:tc>
          <w:tcPr>
            <w:tcW w:w="0" w:type="dxa"/>
            <w:vAlign w:val="bottom"/>
          </w:tcPr>
          <w:p>
            <w:pPr>
              <w:spacing w:after="0"/>
              <w:rPr>
                <w:sz w:val="1"/>
                <w:szCs w:val="1"/>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4"/>
                <w:szCs w:val="14"/>
                <w:color w:val="auto"/>
              </w:rPr>
              <w:t>Accumulated deficit</w:t>
            </w:r>
          </w:p>
        </w:tc>
        <w:tc>
          <w:tcPr>
            <w:tcW w:w="2020" w:type="dxa"/>
            <w:vAlign w:val="bottom"/>
          </w:tcPr>
          <w:p>
            <w:pPr>
              <w:jc w:val="center"/>
              <w:spacing w:after="0"/>
              <w:rPr>
                <w:sz w:val="20"/>
                <w:szCs w:val="20"/>
                <w:color w:val="auto"/>
              </w:rPr>
            </w:pPr>
            <w:r>
              <w:rPr>
                <w:rFonts w:ascii="Arial" w:cs="Arial" w:eastAsia="Arial" w:hAnsi="Arial"/>
                <w:sz w:val="14"/>
                <w:szCs w:val="14"/>
                <w:color w:val="auto"/>
                <w:w w:val="99"/>
              </w:rPr>
              <w:t>(15,219)</w:t>
            </w:r>
          </w:p>
        </w:tc>
        <w:tc>
          <w:tcPr>
            <w:tcW w:w="2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(15,469)</w:t>
            </w:r>
          </w:p>
        </w:tc>
        <w:tc>
          <w:tcPr>
            <w:tcW w:w="0" w:type="dxa"/>
            <w:vAlign w:val="bottom"/>
          </w:tcPr>
          <w:p>
            <w:pPr>
              <w:spacing w:after="0"/>
              <w:rPr>
                <w:sz w:val="1"/>
                <w:szCs w:val="1"/>
                <w:color w:val="auto"/>
              </w:rPr>
            </w:pPr>
          </w:p>
        </w:tc>
      </w:tr>
      <w:tr>
        <w:trPr>
          <w:trHeight w:val="255"/>
        </w:trPr>
        <w:tc>
          <w:tcPr>
            <w:tcW w:w="4880" w:type="dxa"/>
            <w:vAlign w:val="bottom"/>
          </w:tcPr>
          <w:p>
            <w:pPr>
              <w:spacing w:after="0"/>
              <w:rPr>
                <w:sz w:val="20"/>
                <w:szCs w:val="20"/>
                <w:color w:val="auto"/>
              </w:rPr>
            </w:pPr>
            <w:r>
              <w:rPr>
                <w:rFonts w:ascii="Arial" w:cs="Arial" w:eastAsia="Arial" w:hAnsi="Arial"/>
                <w:sz w:val="14"/>
                <w:szCs w:val="14"/>
                <w:color w:val="auto"/>
              </w:rPr>
              <w:t>Loan from shareholder and other</w:t>
            </w:r>
            <w:r>
              <w:rPr>
                <w:rFonts w:ascii="Arial" w:cs="Arial" w:eastAsia="Arial" w:hAnsi="Arial"/>
                <w:sz w:val="18"/>
                <w:szCs w:val="18"/>
                <w:color w:val="auto"/>
                <w:vertAlign w:val="superscript"/>
              </w:rPr>
              <w:t>1</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10,743</w:t>
            </w:r>
          </w:p>
        </w:tc>
        <w:tc>
          <w:tcPr>
            <w:tcW w:w="220" w:type="dxa"/>
            <w:vAlign w:val="bottom"/>
          </w:tcPr>
          <w:p>
            <w:pPr>
              <w:spacing w:after="0"/>
              <w:rPr>
                <w:sz w:val="22"/>
                <w:szCs w:val="22"/>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4880" w:type="dxa"/>
            <w:vAlign w:val="bottom"/>
          </w:tcPr>
          <w:p>
            <w:pPr>
              <w:spacing w:after="0"/>
              <w:rPr>
                <w:sz w:val="20"/>
                <w:szCs w:val="20"/>
                <w:color w:val="auto"/>
              </w:rPr>
            </w:pPr>
            <w:r>
              <w:rPr>
                <w:rFonts w:ascii="Arial" w:cs="Arial" w:eastAsia="Arial" w:hAnsi="Arial"/>
                <w:sz w:val="14"/>
                <w:szCs w:val="14"/>
                <w:b w:val="1"/>
                <w:bCs w:val="1"/>
                <w:color w:val="auto"/>
              </w:rPr>
              <w:t>Total liabilities and equity</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$12,322</w:t>
            </w:r>
          </w:p>
        </w:tc>
        <w:tc>
          <w:tcPr>
            <w:tcW w:w="2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$15,028</w:t>
            </w:r>
          </w:p>
        </w:tc>
        <w:tc>
          <w:tcPr>
            <w:tcW w:w="0" w:type="dxa"/>
            <w:vAlign w:val="bottom"/>
          </w:tcPr>
          <w:p>
            <w:pPr>
              <w:spacing w:after="0"/>
              <w:rPr>
                <w:sz w:val="1"/>
                <w:szCs w:val="1"/>
                <w:color w:val="auto"/>
              </w:rPr>
            </w:pPr>
          </w:p>
        </w:tc>
      </w:tr>
      <w:tr>
        <w:trPr>
          <w:trHeight w:val="25"/>
        </w:trPr>
        <w:tc>
          <w:tcPr>
            <w:tcW w:w="488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60" w:space="620"/>
            <w:col w:w="10140"/>
          </w:cols>
          <w:pgMar w:left="340" w:top="1440" w:right="339" w:bottom="1122" w:gutter="0" w:footer="0" w:header="0"/>
        </w:sectPr>
      </w:pPr>
    </w:p>
    <w:p>
      <w:pPr>
        <w:spacing w:after="0" w:line="104" w:lineRule="exact"/>
        <w:rPr>
          <w:sz w:val="20"/>
          <w:szCs w:val="20"/>
          <w:color w:val="auto"/>
        </w:rPr>
      </w:pPr>
    </w:p>
    <w:p>
      <w:pPr>
        <w:ind w:left="640"/>
        <w:spacing w:after="0" w:line="197" w:lineRule="auto"/>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On October 3, 2021, GF executed the conversion of the entire Shareholder Loans balance of $10.113 billion under our loan facilities with Mubadala Investment Company PJSC into additional paid-in-capital, which did not have an impact on shares outstanding or have any dilutive effects, as no additional shares were issued.</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Unaudited Consolidated Statements of 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700" w:type="dxa"/>
            <w:vAlign w:val="bottom"/>
            <w:gridSpan w:val="4"/>
          </w:tcPr>
          <w:p>
            <w:pPr>
              <w:ind w:left="1040"/>
              <w:spacing w:after="0"/>
              <w:rPr>
                <w:sz w:val="20"/>
                <w:szCs w:val="20"/>
                <w:color w:val="auto"/>
              </w:rPr>
            </w:pPr>
            <w:r>
              <w:rPr>
                <w:rFonts w:ascii="Arial" w:cs="Arial" w:eastAsia="Arial" w:hAnsi="Arial"/>
                <w:sz w:val="14"/>
                <w:szCs w:val="14"/>
                <w:b w:val="1"/>
                <w:bCs w:val="1"/>
                <w:color w:val="auto"/>
              </w:rPr>
              <w:t>Three Months Ended</w:t>
            </w:r>
          </w:p>
        </w:tc>
        <w:tc>
          <w:tcPr>
            <w:tcW w:w="3440" w:type="dxa"/>
            <w:vAlign w:val="bottom"/>
            <w:gridSpan w:val="3"/>
          </w:tcPr>
          <w:p>
            <w:pPr>
              <w:ind w:left="12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25"/>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(in $M)</w:t>
            </w:r>
          </w:p>
        </w:tc>
        <w:tc>
          <w:tcPr>
            <w:tcW w:w="188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80" w:type="dxa"/>
            <w:vAlign w:val="bottom"/>
            <w:vMerge w:val="continue"/>
          </w:tcPr>
          <w:p>
            <w:pPr>
              <w:spacing w:after="0"/>
              <w:rPr>
                <w:sz w:val="17"/>
                <w:szCs w:val="17"/>
                <w:color w:val="auto"/>
              </w:rPr>
            </w:pP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2020</w:t>
            </w:r>
          </w:p>
        </w:tc>
        <w:tc>
          <w:tcPr>
            <w:tcW w:w="182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2021</w:t>
            </w: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2020</w:t>
            </w:r>
          </w:p>
        </w:tc>
        <w:tc>
          <w:tcPr>
            <w:tcW w:w="1640" w:type="dxa"/>
            <w:vAlign w:val="bottom"/>
          </w:tcPr>
          <w:p>
            <w:pPr>
              <w:ind w:left="2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5"/>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6"/>
        </w:trPr>
        <w:tc>
          <w:tcPr>
            <w:tcW w:w="40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4"/>
                <w:szCs w:val="14"/>
                <w:color w:val="auto"/>
              </w:rPr>
              <w:t>Net income (loss)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$(524)</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$43</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$(1,351)</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700" w:type="dxa"/>
            <w:vAlign w:val="bottom"/>
          </w:tcPr>
          <w:p>
            <w:pPr>
              <w:jc w:val="center"/>
              <w:spacing w:after="0"/>
              <w:rPr>
                <w:sz w:val="20"/>
                <w:szCs w:val="20"/>
                <w:color w:val="auto"/>
              </w:rPr>
            </w:pPr>
            <w:r>
              <w:rPr>
                <w:rFonts w:ascii="Arial" w:cs="Arial" w:eastAsia="Arial" w:hAnsi="Arial"/>
                <w:sz w:val="14"/>
                <w:szCs w:val="14"/>
                <w:color w:val="auto"/>
              </w:rPr>
              <w:t>626</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419</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2,523</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4"/>
                <w:szCs w:val="14"/>
                <w:color w:val="auto"/>
              </w:rPr>
              <w:t>Finance expense, net</w:t>
            </w:r>
          </w:p>
        </w:tc>
        <w:tc>
          <w:tcPr>
            <w:tcW w:w="1700" w:type="dxa"/>
            <w:vAlign w:val="bottom"/>
          </w:tcPr>
          <w:p>
            <w:pPr>
              <w:jc w:val="center"/>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151</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4"/>
                <w:szCs w:val="14"/>
                <w:color w:val="auto"/>
              </w:rPr>
              <w:t>Deferred income taxes</w:t>
            </w:r>
          </w:p>
        </w:tc>
        <w:tc>
          <w:tcPr>
            <w:tcW w:w="1700" w:type="dxa"/>
            <w:vAlign w:val="bottom"/>
          </w:tcPr>
          <w:p>
            <w:pPr>
              <w:jc w:val="center"/>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4"/>
                <w:szCs w:val="14"/>
                <w:color w:val="auto"/>
              </w:rPr>
              <w:t>Other non-cash operating activities</w:t>
            </w:r>
          </w:p>
        </w:tc>
        <w:tc>
          <w:tcPr>
            <w:tcW w:w="1700" w:type="dxa"/>
            <w:vAlign w:val="bottom"/>
          </w:tcPr>
          <w:p>
            <w:pPr>
              <w:jc w:val="center"/>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(9)</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(338)</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4"/>
                <w:szCs w:val="14"/>
                <w:color w:val="auto"/>
              </w:rPr>
              <w:t>Net change in working capital</w:t>
            </w:r>
          </w:p>
        </w:tc>
        <w:tc>
          <w:tcPr>
            <w:tcW w:w="1700" w:type="dxa"/>
            <w:vAlign w:val="bottom"/>
          </w:tcPr>
          <w:p>
            <w:pPr>
              <w:jc w:val="center"/>
              <w:spacing w:after="0"/>
              <w:rPr>
                <w:sz w:val="20"/>
                <w:szCs w:val="20"/>
                <w:color w:val="auto"/>
              </w:rPr>
            </w:pPr>
            <w:r>
              <w:rPr>
                <w:rFonts w:ascii="Arial" w:cs="Arial" w:eastAsia="Arial" w:hAnsi="Arial"/>
                <w:sz w:val="14"/>
                <w:szCs w:val="14"/>
                <w:color w:val="auto"/>
              </w:rPr>
              <w:t>98</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629</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59</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1,230</w:t>
            </w:r>
          </w:p>
        </w:tc>
        <w:tc>
          <w:tcPr>
            <w:tcW w:w="0" w:type="dxa"/>
            <w:vAlign w:val="bottom"/>
          </w:tcPr>
          <w:p>
            <w:pPr>
              <w:spacing w:after="0"/>
              <w:rPr>
                <w:sz w:val="1"/>
                <w:szCs w:val="1"/>
                <w:color w:val="auto"/>
              </w:rPr>
            </w:pPr>
          </w:p>
        </w:tc>
      </w:tr>
      <w:tr>
        <w:trPr>
          <w:trHeight w:val="25"/>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80" w:type="dxa"/>
            <w:vAlign w:val="bottom"/>
            <w:vMerge w:val="continue"/>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201</w:t>
            </w: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1,148</w:t>
            </w:r>
          </w:p>
        </w:tc>
        <w:tc>
          <w:tcPr>
            <w:tcW w:w="2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1,006</w:t>
            </w:r>
          </w:p>
        </w:tc>
        <w:tc>
          <w:tcPr>
            <w:tcW w:w="1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2,839</w:t>
            </w:r>
          </w:p>
        </w:tc>
        <w:tc>
          <w:tcPr>
            <w:tcW w:w="0" w:type="dxa"/>
            <w:vAlign w:val="bottom"/>
          </w:tcPr>
          <w:p>
            <w:pPr>
              <w:spacing w:after="0"/>
              <w:rPr>
                <w:sz w:val="1"/>
                <w:szCs w:val="1"/>
                <w:color w:val="auto"/>
              </w:rPr>
            </w:pPr>
          </w:p>
        </w:tc>
      </w:tr>
      <w:tr>
        <w:trPr>
          <w:trHeight w:val="25"/>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7"/>
        </w:trPr>
        <w:tc>
          <w:tcPr>
            <w:tcW w:w="40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4"/>
                <w:szCs w:val="14"/>
                <w:color w:val="auto"/>
              </w:rPr>
              <w:t>Purchases of property, plant, equipment, and intangible assets</w:t>
            </w:r>
          </w:p>
        </w:tc>
        <w:tc>
          <w:tcPr>
            <w:tcW w:w="1700" w:type="dxa"/>
            <w:vAlign w:val="bottom"/>
          </w:tcPr>
          <w:p>
            <w:pPr>
              <w:jc w:val="center"/>
              <w:spacing w:after="0"/>
              <w:rPr>
                <w:sz w:val="20"/>
                <w:szCs w:val="20"/>
                <w:color w:val="auto"/>
              </w:rPr>
            </w:pPr>
            <w:r>
              <w:rPr>
                <w:rFonts w:ascii="Arial" w:cs="Arial" w:eastAsia="Arial" w:hAnsi="Arial"/>
                <w:sz w:val="14"/>
                <w:szCs w:val="14"/>
                <w:color w:val="auto"/>
              </w:rPr>
              <w:t>(203)</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7"/>
              </w:rPr>
              <w:t>(649)</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(592)</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(1,766)</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4"/>
                <w:szCs w:val="14"/>
                <w:color w:val="auto"/>
              </w:rPr>
              <w:t>Other investing activities</w:t>
            </w:r>
          </w:p>
        </w:tc>
        <w:tc>
          <w:tcPr>
            <w:tcW w:w="1700" w:type="dxa"/>
            <w:vAlign w:val="bottom"/>
          </w:tcPr>
          <w:p>
            <w:pPr>
              <w:jc w:val="center"/>
              <w:spacing w:after="0"/>
              <w:rPr>
                <w:sz w:val="20"/>
                <w:szCs w:val="20"/>
                <w:color w:val="auto"/>
              </w:rPr>
            </w:pPr>
            <w:r>
              <w:rPr>
                <w:rFonts w:ascii="Arial" w:cs="Arial" w:eastAsia="Arial" w:hAnsi="Arial"/>
                <w:sz w:val="14"/>
                <w:szCs w:val="14"/>
                <w:color w:val="auto"/>
              </w:rPr>
              <w:t>126</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226</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25"/>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80" w:type="dxa"/>
            <w:vAlign w:val="bottom"/>
            <w:vMerge w:val="continue"/>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(77)</w:t>
            </w: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7"/>
              </w:rPr>
              <w:t>(626)</w:t>
            </w:r>
          </w:p>
        </w:tc>
        <w:tc>
          <w:tcPr>
            <w:tcW w:w="2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(366)</w:t>
            </w:r>
          </w:p>
        </w:tc>
        <w:tc>
          <w:tcPr>
            <w:tcW w:w="1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(1,450)</w:t>
            </w:r>
          </w:p>
        </w:tc>
        <w:tc>
          <w:tcPr>
            <w:tcW w:w="0" w:type="dxa"/>
            <w:vAlign w:val="bottom"/>
          </w:tcPr>
          <w:p>
            <w:pPr>
              <w:spacing w:after="0"/>
              <w:rPr>
                <w:sz w:val="1"/>
                <w:szCs w:val="1"/>
                <w:color w:val="auto"/>
              </w:rPr>
            </w:pPr>
          </w:p>
        </w:tc>
      </w:tr>
      <w:tr>
        <w:trPr>
          <w:trHeight w:val="25"/>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7"/>
        </w:trPr>
        <w:tc>
          <w:tcPr>
            <w:tcW w:w="40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4"/>
                <w:szCs w:val="14"/>
                <w:color w:val="auto"/>
              </w:rPr>
              <w:t>Proceeds from issuance of equity instruments</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w:t>
            </w:r>
          </w:p>
        </w:tc>
        <w:tc>
          <w:tcPr>
            <w:tcW w:w="1620" w:type="dxa"/>
            <w:vAlign w:val="bottom"/>
          </w:tcPr>
          <w:p>
            <w:pPr>
              <w:jc w:val="center"/>
              <w:spacing w:after="0"/>
              <w:rPr>
                <w:sz w:val="20"/>
                <w:szCs w:val="20"/>
                <w:color w:val="auto"/>
              </w:rPr>
            </w:pPr>
            <w:r>
              <w:rPr>
                <w:rFonts w:ascii="Arial" w:cs="Arial" w:eastAsia="Arial" w:hAnsi="Arial"/>
                <w:sz w:val="14"/>
                <w:szCs w:val="14"/>
                <w:color w:val="auto"/>
              </w:rPr>
              <w:t>$1,444</w:t>
            </w:r>
          </w:p>
        </w:tc>
        <w:tc>
          <w:tcPr>
            <w:tcW w:w="200" w:type="dxa"/>
            <w:vAlign w:val="bottom"/>
          </w:tcPr>
          <w:p>
            <w:pPr>
              <w:spacing w:after="0"/>
              <w:rPr>
                <w:sz w:val="19"/>
                <w:szCs w:val="19"/>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w:t>
            </w:r>
          </w:p>
        </w:tc>
        <w:tc>
          <w:tcPr>
            <w:tcW w:w="1640" w:type="dxa"/>
            <w:vAlign w:val="bottom"/>
          </w:tcPr>
          <w:p>
            <w:pPr>
              <w:jc w:val="center"/>
              <w:spacing w:after="0"/>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4"/>
                <w:szCs w:val="14"/>
                <w:color w:val="auto"/>
              </w:rPr>
              <w:t>Repayments of shareholder loan</w:t>
            </w:r>
          </w:p>
        </w:tc>
        <w:tc>
          <w:tcPr>
            <w:tcW w:w="1700" w:type="dxa"/>
            <w:vAlign w:val="bottom"/>
          </w:tcPr>
          <w:p>
            <w:pPr>
              <w:jc w:val="center"/>
              <w:spacing w:after="0"/>
              <w:rPr>
                <w:sz w:val="20"/>
                <w:szCs w:val="20"/>
                <w:color w:val="auto"/>
              </w:rPr>
            </w:pPr>
            <w:r>
              <w:rPr>
                <w:rFonts w:ascii="Arial" w:cs="Arial" w:eastAsia="Arial" w:hAnsi="Arial"/>
                <w:sz w:val="14"/>
                <w:szCs w:val="14"/>
                <w:color w:val="auto"/>
              </w:rPr>
              <w:t>(137)</w:t>
            </w:r>
          </w:p>
        </w:tc>
        <w:tc>
          <w:tcPr>
            <w:tcW w:w="180" w:type="dxa"/>
            <w:vAlign w:val="bottom"/>
          </w:tcPr>
          <w:p>
            <w:pPr>
              <w:spacing w:after="0"/>
              <w:rPr>
                <w:sz w:val="19"/>
                <w:szCs w:val="19"/>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1620" w:type="dxa"/>
            <w:vAlign w:val="bottom"/>
          </w:tcPr>
          <w:p>
            <w:pPr>
              <w:jc w:val="center"/>
              <w:spacing w:after="0"/>
              <w:rPr>
                <w:sz w:val="20"/>
                <w:szCs w:val="20"/>
                <w:color w:val="auto"/>
              </w:rPr>
            </w:pPr>
            <w:r>
              <w:rPr>
                <w:rFonts w:ascii="Arial" w:cs="Arial" w:eastAsia="Arial" w:hAnsi="Arial"/>
                <w:sz w:val="14"/>
                <w:szCs w:val="14"/>
                <w:color w:val="auto"/>
              </w:rPr>
              <w:t>(487)</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4"/>
                <w:szCs w:val="14"/>
                <w:color w:val="auto"/>
              </w:rPr>
              <w:t>Repayment of debt, net</w:t>
            </w:r>
          </w:p>
        </w:tc>
        <w:tc>
          <w:tcPr>
            <w:tcW w:w="1700" w:type="dxa"/>
            <w:vAlign w:val="bottom"/>
          </w:tcPr>
          <w:p>
            <w:pPr>
              <w:jc w:val="center"/>
              <w:spacing w:after="0"/>
              <w:rPr>
                <w:sz w:val="20"/>
                <w:szCs w:val="20"/>
                <w:color w:val="auto"/>
              </w:rPr>
            </w:pPr>
            <w:r>
              <w:rPr>
                <w:rFonts w:ascii="Arial" w:cs="Arial" w:eastAsia="Arial" w:hAnsi="Arial"/>
                <w:sz w:val="14"/>
                <w:szCs w:val="14"/>
                <w:color w:val="auto"/>
              </w:rPr>
              <w:t>(248)</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6"/>
              </w:rPr>
              <w:t>(72)</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(556)</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4"/>
                <w:szCs w:val="14"/>
                <w:color w:val="auto"/>
              </w:rPr>
              <w:t>Other financing activities</w:t>
            </w:r>
          </w:p>
        </w:tc>
        <w:tc>
          <w:tcPr>
            <w:tcW w:w="1700" w:type="dxa"/>
            <w:vAlign w:val="bottom"/>
          </w:tcPr>
          <w:p>
            <w:pPr>
              <w:jc w:val="center"/>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310</w:t>
            </w:r>
          </w:p>
        </w:tc>
        <w:tc>
          <w:tcPr>
            <w:tcW w:w="1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6"/>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80" w:type="dxa"/>
            <w:vAlign w:val="bottom"/>
            <w:vMerge w:val="continue"/>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(347)</w:t>
            </w: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1,399</w:t>
            </w:r>
          </w:p>
        </w:tc>
        <w:tc>
          <w:tcPr>
            <w:tcW w:w="2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(732)</w:t>
            </w:r>
          </w:p>
        </w:tc>
        <w:tc>
          <w:tcPr>
            <w:tcW w:w="1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650</w:t>
            </w:r>
          </w:p>
        </w:tc>
        <w:tc>
          <w:tcPr>
            <w:tcW w:w="0" w:type="dxa"/>
            <w:vAlign w:val="bottom"/>
          </w:tcPr>
          <w:p>
            <w:pPr>
              <w:spacing w:after="0"/>
              <w:rPr>
                <w:sz w:val="1"/>
                <w:szCs w:val="1"/>
                <w:color w:val="auto"/>
              </w:rPr>
            </w:pPr>
          </w:p>
        </w:tc>
      </w:tr>
      <w:tr>
        <w:trPr>
          <w:trHeight w:val="26"/>
        </w:trPr>
        <w:tc>
          <w:tcPr>
            <w:tcW w:w="4080" w:type="dxa"/>
            <w:vAlign w:val="bottom"/>
            <w:vMerge w:val="restart"/>
          </w:tcPr>
          <w:p>
            <w:pPr>
              <w:spacing w:after="0"/>
              <w:rPr>
                <w:sz w:val="20"/>
                <w:szCs w:val="20"/>
                <w:color w:val="auto"/>
              </w:rPr>
            </w:pPr>
            <w:r>
              <w:rPr>
                <w:rFonts w:ascii="Arial" w:cs="Arial" w:eastAsia="Arial" w:hAnsi="Arial"/>
                <w:sz w:val="14"/>
                <w:szCs w:val="14"/>
                <w:color w:val="auto"/>
              </w:rPr>
              <w:t>Effect of exchange rate changes</w:t>
            </w: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080" w:type="dxa"/>
            <w:vAlign w:val="bottom"/>
            <w:vMerge w:val="continue"/>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(1)</w:t>
            </w:r>
          </w:p>
        </w:tc>
        <w:tc>
          <w:tcPr>
            <w:tcW w:w="2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122" w:gutter="0" w:footer="0" w:header="0"/>
          <w:type w:val="continuous"/>
        </w:sectPr>
      </w:pPr>
    </w:p>
    <w:bookmarkStart w:id="7" w:name="page8"/>
    <w:bookmarkEnd w:id="7"/>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4100" w:type="dxa"/>
            <w:vAlign w:val="bottom"/>
          </w:tcPr>
          <w:p>
            <w:pPr>
              <w:spacing w:after="0"/>
              <w:rPr>
                <w:sz w:val="20"/>
                <w:szCs w:val="20"/>
                <w:color w:val="auto"/>
              </w:rPr>
            </w:pPr>
            <w:r>
              <w:rPr>
                <w:rFonts w:ascii="Arial" w:cs="Arial" w:eastAsia="Arial" w:hAnsi="Arial"/>
                <w:sz w:val="14"/>
                <w:szCs w:val="14"/>
                <w:b w:val="1"/>
                <w:bCs w:val="1"/>
                <w:color w:val="auto"/>
              </w:rPr>
              <w:t>Net change in cash and cash equivalents</w:t>
            </w: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(221)</w:t>
            </w:r>
          </w:p>
        </w:tc>
        <w:tc>
          <w:tcPr>
            <w:tcW w:w="18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1,920</w:t>
            </w:r>
          </w:p>
        </w:tc>
        <w:tc>
          <w:tcPr>
            <w:tcW w:w="20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(89)</w:t>
            </w:r>
          </w:p>
        </w:tc>
        <w:tc>
          <w:tcPr>
            <w:tcW w:w="18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2,031</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4"/>
                <w:szCs w:val="14"/>
                <w:color w:val="auto"/>
              </w:rPr>
              <w:t>Cash and cash equivalents at the beginning of the period</w:t>
            </w:r>
          </w:p>
        </w:tc>
        <w:tc>
          <w:tcPr>
            <w:tcW w:w="1700" w:type="dxa"/>
            <w:vAlign w:val="bottom"/>
          </w:tcPr>
          <w:p>
            <w:pPr>
              <w:jc w:val="center"/>
              <w:spacing w:after="0"/>
              <w:rPr>
                <w:sz w:val="20"/>
                <w:szCs w:val="20"/>
                <w:color w:val="auto"/>
              </w:rPr>
            </w:pPr>
            <w:r>
              <w:rPr>
                <w:rFonts w:ascii="Arial" w:cs="Arial" w:eastAsia="Arial" w:hAnsi="Arial"/>
                <w:sz w:val="14"/>
                <w:szCs w:val="14"/>
                <w:color w:val="auto"/>
              </w:rPr>
              <w:t>1,129</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1,019</w:t>
            </w:r>
          </w:p>
        </w:tc>
        <w:tc>
          <w:tcPr>
            <w:tcW w:w="2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997</w:t>
            </w:r>
          </w:p>
        </w:tc>
        <w:tc>
          <w:tcPr>
            <w:tcW w:w="18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26"/>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Cash and cash equivalents at the end of the period</w:t>
            </w: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100" w:type="dxa"/>
            <w:vAlign w:val="bottom"/>
            <w:vMerge w:val="continue"/>
          </w:tcPr>
          <w:p>
            <w:pPr>
              <w:spacing w:after="0"/>
              <w:rPr>
                <w:sz w:val="17"/>
                <w:szCs w:val="17"/>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$908</w:t>
            </w: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$2,939</w:t>
            </w:r>
          </w:p>
        </w:tc>
        <w:tc>
          <w:tcPr>
            <w:tcW w:w="2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$908</w:t>
            </w:r>
          </w:p>
        </w:tc>
        <w:tc>
          <w:tcPr>
            <w:tcW w:w="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$2,939</w:t>
            </w: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Unaudited Reconciliation of IFRS to Adjusted Non-IFRS</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3"/>
          </w:tcPr>
          <w:p>
            <w:pPr>
              <w:ind w:left="10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33"/>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(in $M)</w:t>
            </w:r>
          </w:p>
        </w:tc>
        <w:tc>
          <w:tcPr>
            <w:tcW w:w="15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20" w:type="dxa"/>
            <w:vAlign w:val="bottom"/>
            <w:vMerge w:val="continue"/>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September 30, 2021</w:t>
            </w: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7"/>
        </w:trPr>
        <w:tc>
          <w:tcPr>
            <w:tcW w:w="3520" w:type="dxa"/>
            <w:vAlign w:val="bottom"/>
          </w:tcPr>
          <w:p>
            <w:pPr>
              <w:spacing w:after="0"/>
              <w:rPr>
                <w:sz w:val="20"/>
                <w:szCs w:val="20"/>
                <w:color w:val="auto"/>
              </w:rPr>
            </w:pPr>
            <w:r>
              <w:rPr>
                <w:rFonts w:ascii="Arial" w:cs="Arial" w:eastAsia="Arial" w:hAnsi="Arial"/>
                <w:sz w:val="14"/>
                <w:szCs w:val="14"/>
                <w:b w:val="1"/>
                <w:bCs w:val="1"/>
                <w:color w:val="auto"/>
              </w:rPr>
              <w:t>Gross profit (loss)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$(218)</w:t>
            </w:r>
          </w:p>
        </w:tc>
        <w:tc>
          <w:tcPr>
            <w:tcW w:w="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$300</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$384</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$(713)</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$1,013</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4"/>
                <w:szCs w:val="14"/>
                <w:color w:val="auto"/>
              </w:rPr>
              <w:t>Share based compensation</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Adjusted gross profit (loss)</w:t>
            </w: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520" w:type="dxa"/>
            <w:vAlign w:val="bottom"/>
            <w:vMerge w:val="continue"/>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$(218)</w:t>
            </w:r>
          </w:p>
        </w:tc>
        <w:tc>
          <w:tcPr>
            <w:tcW w:w="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$306</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$397</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$(713)</w:t>
            </w: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$1,068</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9"/>
        </w:trPr>
        <w:tc>
          <w:tcPr>
            <w:tcW w:w="3520" w:type="dxa"/>
            <w:vAlign w:val="bottom"/>
          </w:tcPr>
          <w:p>
            <w:pPr>
              <w:spacing w:after="0"/>
              <w:rPr>
                <w:sz w:val="20"/>
                <w:szCs w:val="20"/>
                <w:color w:val="auto"/>
              </w:rPr>
            </w:pPr>
            <w:r>
              <w:rPr>
                <w:rFonts w:ascii="Arial" w:cs="Arial" w:eastAsia="Arial" w:hAnsi="Arial"/>
                <w:sz w:val="14"/>
                <w:szCs w:val="14"/>
                <w:b w:val="1"/>
                <w:bCs w:val="1"/>
                <w:color w:val="auto"/>
              </w:rPr>
              <w:t>Operating profit (loss)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$(491)</w:t>
            </w:r>
          </w:p>
        </w:tc>
        <w:tc>
          <w:tcPr>
            <w:tcW w:w="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$52</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$(1,656)</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4"/>
                <w:szCs w:val="14"/>
                <w:color w:val="auto"/>
              </w:rPr>
              <w:t>Share based compensation</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6"/>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Adjusted operating profit (loss)</w:t>
            </w: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520" w:type="dxa"/>
            <w:vAlign w:val="bottom"/>
            <w:vMerge w:val="continue"/>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$(491)</w:t>
            </w:r>
          </w:p>
        </w:tc>
        <w:tc>
          <w:tcPr>
            <w:tcW w:w="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$81</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$142</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$(1,655)</w:t>
            </w: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4"/>
        </w:trPr>
        <w:tc>
          <w:tcPr>
            <w:tcW w:w="352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$(524)</w:t>
            </w:r>
          </w:p>
        </w:tc>
        <w:tc>
          <w:tcPr>
            <w:tcW w:w="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$43</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$(1,351)</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4"/>
                <w:szCs w:val="14"/>
                <w:color w:val="auto"/>
              </w:rPr>
              <w:t>Share based compensation</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6"/>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Adjusted net income (loss)</w:t>
            </w: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520" w:type="dxa"/>
            <w:vAlign w:val="bottom"/>
            <w:vMerge w:val="continue"/>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$(524)</w:t>
            </w:r>
          </w:p>
        </w:tc>
        <w:tc>
          <w:tcPr>
            <w:tcW w:w="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$34</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$98</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$(1,350)</w:t>
            </w: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4"/>
        </w:trPr>
        <w:tc>
          <w:tcPr>
            <w:tcW w:w="3520" w:type="dxa"/>
            <w:vAlign w:val="bottom"/>
          </w:tcPr>
          <w:p>
            <w:pPr>
              <w:spacing w:after="0"/>
              <w:rPr>
                <w:sz w:val="20"/>
                <w:szCs w:val="20"/>
                <w:color w:val="auto"/>
              </w:rPr>
            </w:pPr>
            <w:r>
              <w:rPr>
                <w:rFonts w:ascii="Arial" w:cs="Arial" w:eastAsia="Arial" w:hAnsi="Arial"/>
                <w:sz w:val="14"/>
                <w:szCs w:val="14"/>
                <w:b w:val="1"/>
                <w:bCs w:val="1"/>
                <w:color w:val="auto"/>
              </w:rPr>
              <w:t>Earnings per share (EPS)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$(1.05)</w:t>
            </w:r>
          </w:p>
        </w:tc>
        <w:tc>
          <w:tcPr>
            <w:tcW w:w="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$0.01</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$0.08</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$(2.70)</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$(0.50)</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4"/>
                <w:szCs w:val="14"/>
                <w:color w:val="auto"/>
              </w:rPr>
              <w:t>Share based compensation</w:t>
            </w:r>
          </w:p>
        </w:tc>
        <w:tc>
          <w:tcPr>
            <w:tcW w:w="1460" w:type="dxa"/>
            <w:vAlign w:val="bottom"/>
          </w:tcPr>
          <w:p>
            <w:pPr>
              <w:jc w:val="center"/>
              <w:spacing w:after="0"/>
              <w:rPr>
                <w:sz w:val="20"/>
                <w:szCs w:val="20"/>
                <w:color w:val="auto"/>
              </w:rPr>
            </w:pPr>
            <w:r>
              <w:rPr>
                <w:rFonts w:ascii="Arial" w:cs="Arial" w:eastAsia="Arial" w:hAnsi="Arial"/>
                <w:sz w:val="14"/>
                <w:szCs w:val="14"/>
                <w:color w:val="auto"/>
              </w:rPr>
              <w:t>$0.00</w:t>
            </w:r>
          </w:p>
        </w:tc>
        <w:tc>
          <w:tcPr>
            <w:tcW w:w="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$0.06</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$0.10</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$0.00</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520" w:type="dxa"/>
            <w:vAlign w:val="bottom"/>
          </w:tcPr>
          <w:p>
            <w:pPr>
              <w:spacing w:after="0"/>
              <w:rPr>
                <w:sz w:val="20"/>
                <w:szCs w:val="20"/>
                <w:color w:val="auto"/>
              </w:rPr>
            </w:pPr>
            <w:r>
              <w:rPr>
                <w:rFonts w:ascii="Arial" w:cs="Arial" w:eastAsia="Arial" w:hAnsi="Arial"/>
                <w:sz w:val="14"/>
                <w:szCs w:val="14"/>
                <w:b w:val="1"/>
                <w:bCs w:val="1"/>
                <w:color w:val="auto"/>
              </w:rPr>
              <w:t>Adjusted earnings (loss) per share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$(1.05)</w:t>
            </w:r>
          </w:p>
        </w:tc>
        <w:tc>
          <w:tcPr>
            <w:tcW w:w="8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$0.07</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$0.18</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$(2.70)</w:t>
            </w: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$(0.05)</w:t>
            </w: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Unaudited Reconciliation of Net Income (Loss) to Adjusted EBITDA</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3"/>
          </w:tcPr>
          <w:p>
            <w:pPr>
              <w:ind w:left="106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33"/>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(in $M)</w:t>
            </w:r>
          </w:p>
        </w:tc>
        <w:tc>
          <w:tcPr>
            <w:tcW w:w="15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60" w:type="dxa"/>
            <w:vAlign w:val="bottom"/>
            <w:vMerge w:val="continue"/>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September 30, 2021</w:t>
            </w: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2021</w:t>
            </w: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460" w:type="dxa"/>
            <w:vAlign w:val="bottom"/>
          </w:tcPr>
          <w:p>
            <w:pPr>
              <w:ind w:left="8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7"/>
        </w:trPr>
        <w:tc>
          <w:tcPr>
            <w:tcW w:w="3560" w:type="dxa"/>
            <w:vAlign w:val="bottom"/>
          </w:tcPr>
          <w:p>
            <w:pPr>
              <w:spacing w:after="0"/>
              <w:rPr>
                <w:sz w:val="20"/>
                <w:szCs w:val="20"/>
                <w:color w:val="auto"/>
              </w:rPr>
            </w:pPr>
            <w:r>
              <w:rPr>
                <w:rFonts w:ascii="Arial" w:cs="Arial" w:eastAsia="Arial" w:hAnsi="Arial"/>
                <w:sz w:val="14"/>
                <w:szCs w:val="14"/>
                <w:b w:val="1"/>
                <w:bCs w:val="1"/>
                <w:color w:val="auto"/>
              </w:rPr>
              <w:t>Net income (loss) for the period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$(524)</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$43</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$(1,351)</w:t>
            </w:r>
          </w:p>
        </w:tc>
        <w:tc>
          <w:tcPr>
            <w:tcW w:w="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4"/>
                <w:szCs w:val="14"/>
                <w:i w:val="1"/>
                <w:iCs w:val="1"/>
                <w:color w:val="auto"/>
              </w:rPr>
              <w:t>Adjustments: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440" w:type="dxa"/>
            <w:vAlign w:val="bottom"/>
          </w:tcPr>
          <w:p>
            <w:pPr>
              <w:jc w:val="center"/>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$415</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$2,523</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4"/>
                <w:szCs w:val="14"/>
                <w:color w:val="auto"/>
              </w:rPr>
              <w:t>Finance expense</w:t>
            </w:r>
          </w:p>
        </w:tc>
        <w:tc>
          <w:tcPr>
            <w:tcW w:w="1440" w:type="dxa"/>
            <w:vAlign w:val="bottom"/>
          </w:tcPr>
          <w:p>
            <w:pPr>
              <w:jc w:val="center"/>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440" w:type="dxa"/>
            <w:vAlign w:val="bottom"/>
          </w:tcPr>
          <w:p>
            <w:pPr>
              <w:jc w:val="center"/>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4"/>
                <w:szCs w:val="14"/>
                <w:color w:val="auto"/>
              </w:rPr>
              <w:t>Share based compensation</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tcPr>
          <w:p>
            <w:pPr>
              <w:jc w:val="center"/>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4"/>
                <w:szCs w:val="14"/>
                <w:color w:val="auto"/>
              </w:rPr>
              <w:t>Restructuring and corporate severance programs</w:t>
            </w:r>
          </w:p>
        </w:tc>
        <w:tc>
          <w:tcPr>
            <w:tcW w:w="1440" w:type="dxa"/>
            <w:vAlign w:val="bottom"/>
          </w:tcPr>
          <w:p>
            <w:pPr>
              <w:jc w:val="center"/>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4"/>
                <w:szCs w:val="14"/>
                <w:color w:val="auto"/>
              </w:rPr>
              <w:t>(Gains) on transactions, legal settlements and</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9"/>
                <w:szCs w:val="19"/>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9"/>
                <w:szCs w:val="19"/>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9"/>
                <w:szCs w:val="19"/>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$(356)</w:t>
            </w:r>
          </w:p>
        </w:tc>
        <w:tc>
          <w:tcPr>
            <w:tcW w:w="80" w:type="dxa"/>
            <w:vAlign w:val="bottom"/>
          </w:tcPr>
          <w:p>
            <w:pPr>
              <w:spacing w:after="0"/>
              <w:rPr>
                <w:sz w:val="19"/>
                <w:szCs w:val="19"/>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81"/>
        </w:trPr>
        <w:tc>
          <w:tcPr>
            <w:tcW w:w="3560" w:type="dxa"/>
            <w:vAlign w:val="bottom"/>
            <w:vMerge w:val="restart"/>
          </w:tcPr>
          <w:p>
            <w:pPr>
              <w:spacing w:after="0"/>
              <w:rPr>
                <w:sz w:val="20"/>
                <w:szCs w:val="20"/>
                <w:color w:val="auto"/>
              </w:rPr>
            </w:pPr>
            <w:r>
              <w:rPr>
                <w:rFonts w:ascii="Arial" w:cs="Arial" w:eastAsia="Arial" w:hAnsi="Arial"/>
                <w:sz w:val="14"/>
                <w:szCs w:val="14"/>
                <w:color w:val="auto"/>
              </w:rPr>
              <w:t>transaction expenses</w:t>
            </w:r>
          </w:p>
        </w:tc>
        <w:tc>
          <w:tcPr>
            <w:tcW w:w="14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56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w:t>
            </w: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$166</w:t>
            </w: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$505</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$584</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$976</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$1,848</w:t>
            </w: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Adjusted Financial Measures (Non-IFRS)</w:t>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32" w:lineRule="auto"/>
        <w:rPr>
          <w:sz w:val="20"/>
          <w:szCs w:val="20"/>
          <w:color w:val="auto"/>
        </w:rPr>
      </w:pPr>
      <w:r>
        <w:rPr>
          <w:rFonts w:ascii="Arial" w:cs="Arial" w:eastAsia="Arial" w:hAnsi="Arial"/>
          <w:sz w:val="16"/>
          <w:szCs w:val="16"/>
          <w:color w:val="auto"/>
        </w:rPr>
        <w:t>In addition to the financial information presented in accordance with IFRS, this press release includes the following adjusted non-IFRS metrics: adjusted gross profit, adjusted operating profit, adjusted net income (loss), adjusted diluted EPS and adjusted EBITDA. We define adjusted gross profit (loss) as gross profit (loss) adjusted for share-based compensation expense. We define adjusted operating profit (loss) as profit (loss) from operations adjusted for share-based compensation expense. We define adjusted net income (loss) as net income (loss) adjusted for share-based compensation expense. We define adjusted EPS as adjusted net income (loss) divided by the dilutive shares. We define adjusted EBITDA as net income (loss), excluding the impact of interest expense, tax expense, depreciation, amortization adjusted for share-based compensation expense, transaction gains and associated expenses, restructuring charges and litigation settlements.</w:t>
      </w:r>
    </w:p>
    <w:p>
      <w:pPr>
        <w:spacing w:after="0" w:line="227" w:lineRule="exact"/>
        <w:rPr>
          <w:sz w:val="20"/>
          <w:szCs w:val="20"/>
          <w:color w:val="auto"/>
        </w:rPr>
      </w:pPr>
    </w:p>
    <w:p>
      <w:pPr>
        <w:jc w:val="both"/>
        <w:spacing w:after="0" w:line="219" w:lineRule="auto"/>
        <w:rPr>
          <w:sz w:val="20"/>
          <w:szCs w:val="20"/>
          <w:color w:val="auto"/>
        </w:rPr>
      </w:pPr>
      <w:r>
        <w:rPr>
          <w:rFonts w:ascii="Arial" w:cs="Arial" w:eastAsia="Arial" w:hAnsi="Arial"/>
          <w:sz w:val="16"/>
          <w:szCs w:val="16"/>
          <w:color w:val="auto"/>
        </w:rPr>
        <w:t>We believe that in addition to our results determined in accordance with IFRS, these adjusted non-IFRS measures are useful in evaluating our business and the underlying trends that are affecting our performance. These adjusted non-IFRS financial measures provide supplemental information regarding our operating performance that excludes certain gains, losses and non-cash charges that occur relatively infrequently and/or that we consider to be unrelated to our core operations. These adjusted non-IFRS measures are used by both our management and our board of directors, together with the comparable IFRS information, in evaluating our current performance and planning future business activities.</w:t>
      </w:r>
    </w:p>
    <w:p>
      <w:pPr>
        <w:spacing w:after="0" w:line="214" w:lineRule="exact"/>
        <w:rPr>
          <w:sz w:val="20"/>
          <w:szCs w:val="20"/>
          <w:color w:val="auto"/>
        </w:rPr>
      </w:pPr>
    </w:p>
    <w:p>
      <w:pPr>
        <w:jc w:val="both"/>
        <w:spacing w:after="0" w:line="218" w:lineRule="auto"/>
        <w:rPr>
          <w:sz w:val="20"/>
          <w:szCs w:val="20"/>
          <w:color w:val="auto"/>
        </w:rPr>
      </w:pPr>
      <w:r>
        <w:rPr>
          <w:rFonts w:ascii="Arial" w:cs="Arial" w:eastAsia="Arial" w:hAnsi="Arial"/>
          <w:sz w:val="16"/>
          <w:szCs w:val="16"/>
          <w:color w:val="auto"/>
        </w:rPr>
        <w:t>We believe that these adjusted non-IFRS measures, when used in conjunction with our IFRS financial information, also allow investors and users of our financial statements to better evaluate our financial performance in comparison to other periods and to other companies in our industry. However, adjusted non-IFRS financial information is presented for supplemental informational purposes only and should not be considered in isolation or as a substitute for financial information presented in accordance with IFRS. Our presentation of adjusted non-IFRS measures should not be construed as an inference that our future results will be unaffected by unusual or nonrecurring items. Other companies in our industry may calculate these measures differently, which may limit their usefulness as a comparative measure.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Our results are preliminary prior to the filing of form 20-F.</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 and Webcast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GF will host a conference call with the financial community on Tuesday, February 8, 2022 at 4:30 p.m. U.S. Eastern Standard Time (EST) to review the</w:t>
      </w:r>
    </w:p>
    <w:p>
      <w:pPr>
        <w:spacing w:after="0"/>
        <w:rPr>
          <w:sz w:val="20"/>
          <w:szCs w:val="20"/>
          <w:color w:val="auto"/>
        </w:rPr>
      </w:pPr>
      <w:r>
        <w:rPr>
          <w:rFonts w:ascii="Arial" w:cs="Arial" w:eastAsia="Arial" w:hAnsi="Arial"/>
          <w:sz w:val="16"/>
          <w:szCs w:val="16"/>
          <w:color w:val="auto"/>
        </w:rPr>
        <w:t>Fourth Quarter and Full Year 2021 results in detail. Interested parties may join the scheduled conference call by dialing the following numbers:</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380" w:type="dxa"/>
            <w:vAlign w:val="bottom"/>
          </w:tcPr>
          <w:p>
            <w:pPr>
              <w:spacing w:after="0"/>
              <w:rPr>
                <w:sz w:val="20"/>
                <w:szCs w:val="20"/>
                <w:color w:val="auto"/>
              </w:rPr>
            </w:pPr>
            <w:r>
              <w:rPr>
                <w:rFonts w:ascii="Arial" w:cs="Arial" w:eastAsia="Arial" w:hAnsi="Arial"/>
                <w:sz w:val="16"/>
                <w:szCs w:val="16"/>
                <w:color w:val="auto"/>
              </w:rPr>
              <w:t>Within the U.S.:</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1-877-788-0411</w:t>
            </w:r>
          </w:p>
        </w:tc>
      </w:tr>
      <w:tr>
        <w:trPr>
          <w:trHeight w:val="162"/>
        </w:trPr>
        <w:tc>
          <w:tcPr>
            <w:tcW w:w="1380" w:type="dxa"/>
            <w:vAlign w:val="bottom"/>
          </w:tcPr>
          <w:p>
            <w:pPr>
              <w:spacing w:after="0" w:line="162" w:lineRule="exact"/>
              <w:rPr>
                <w:sz w:val="20"/>
                <w:szCs w:val="20"/>
                <w:color w:val="auto"/>
              </w:rPr>
            </w:pPr>
            <w:r>
              <w:rPr>
                <w:rFonts w:ascii="Arial" w:cs="Arial" w:eastAsia="Arial" w:hAnsi="Arial"/>
                <w:sz w:val="16"/>
                <w:szCs w:val="16"/>
                <w:color w:val="auto"/>
              </w:rPr>
              <w:t>Outside the U.S.:</w:t>
            </w:r>
          </w:p>
        </w:tc>
        <w:tc>
          <w:tcPr>
            <w:tcW w:w="1400" w:type="dxa"/>
            <w:vAlign w:val="bottom"/>
          </w:tcPr>
          <w:p>
            <w:pPr>
              <w:jc w:val="right"/>
              <w:spacing w:after="0" w:line="162" w:lineRule="exact"/>
              <w:rPr>
                <w:sz w:val="20"/>
                <w:szCs w:val="20"/>
                <w:color w:val="auto"/>
              </w:rPr>
            </w:pPr>
            <w:r>
              <w:rPr>
                <w:rFonts w:ascii="Arial" w:cs="Arial" w:eastAsia="Arial" w:hAnsi="Arial"/>
                <w:sz w:val="16"/>
                <w:szCs w:val="16"/>
                <w:color w:val="auto"/>
              </w:rPr>
              <w:t>1-615-489-8522</w:t>
            </w:r>
          </w:p>
        </w:tc>
      </w:tr>
    </w:tbl>
    <w:p>
      <w:pPr>
        <w:ind w:left="660"/>
        <w:spacing w:after="0"/>
        <w:tabs>
          <w:tab w:leader="none" w:pos="2420" w:val="left"/>
        </w:tabs>
        <w:rPr>
          <w:sz w:val="20"/>
          <w:szCs w:val="20"/>
          <w:color w:val="auto"/>
        </w:rPr>
      </w:pPr>
      <w:r>
        <w:rPr>
          <w:rFonts w:ascii="Arial" w:cs="Arial" w:eastAsia="Arial" w:hAnsi="Arial"/>
          <w:sz w:val="16"/>
          <w:szCs w:val="16"/>
          <w:color w:val="auto"/>
        </w:rPr>
        <w:t>Participant Passcode:</w:t>
        <w:tab/>
        <w:t>8285067</w:t>
      </w:r>
    </w:p>
    <w:p>
      <w:pPr>
        <w:spacing w:after="0" w:line="221"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 call will be webcast and can be accessed from the GF Investor Relations website https://investors.gf.com. A replay of the call will be available on the GF Investor Relations website within 24 hours of the actual call.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Globalfoundries</w:t>
      </w:r>
    </w:p>
    <w:p>
      <w:pPr>
        <w:spacing w:after="0" w:line="241"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 xml:space="preserve">GlobalFoundries® (GF®) is one of the world’s leading semiconductor manufacturers. GF is redefining innovation and semiconductor manufacturing by developing and delivering feature-rich process technology solutions that provide leadership performance in pervasive high growth markets. GF offers a unique mix of design, development and fabrication services. With a talented and diverse workforce and an at-scale manufacturing footprint spanning the U.S., Europe and Asia, GF is a trusted technology source to its worldwide customers. For more information, visit </w:t>
      </w:r>
      <w:r>
        <w:rPr>
          <w:rFonts w:ascii="Arial" w:cs="Arial" w:eastAsia="Arial" w:hAnsi="Arial"/>
          <w:sz w:val="16"/>
          <w:szCs w:val="16"/>
          <w:u w:val="single" w:color="auto"/>
          <w:color w:val="0000FF"/>
        </w:rPr>
        <w:t>www.gf.com</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41" w:lineRule="exact"/>
        <w:rPr>
          <w:sz w:val="20"/>
          <w:szCs w:val="20"/>
          <w:color w:val="auto"/>
        </w:rPr>
      </w:pPr>
    </w:p>
    <w:p>
      <w:pPr>
        <w:jc w:val="both"/>
        <w:spacing w:after="0" w:line="215" w:lineRule="auto"/>
        <w:rPr>
          <w:sz w:val="20"/>
          <w:szCs w:val="20"/>
          <w:color w:val="auto"/>
        </w:rPr>
      </w:pPr>
      <w:r>
        <w:rPr>
          <w:rFonts w:ascii="Arial" w:cs="Arial" w:eastAsia="Arial" w:hAnsi="Arial"/>
          <w:sz w:val="16"/>
          <w:szCs w:val="16"/>
          <w:color w:val="auto"/>
        </w:rPr>
        <w:t>This press release includes express and implied “forward-looking statements,” including but not limited to, statements regarding our financial outlook, future guidance, product development, business strategy and plans, and market trends, opportunities and positioning. Forward-looking statements are based on our management’s beliefs and assumptions and on information currently available to our management. These forward-looking statements are based on current expectations, estimates, forecasts and projections. Words such as “expect,” “anticipate,” “should,” “believe,” “hope,” “target,” “project,” “goals,” “estimate,” “potential,” “predict,” “may,” “will,” “might,” “could,” “intend,” “shall” and variations of these terms and similar expressions are intended to identify these forward-looking statements, although not all forward-looking statements contain these identifying words. Forward-looking statements are subject to a number of risks and uncertainties, many of which involve factors or circumstances that are beyond our control. For example, our business could be impacted by the COVID-19 pandemic and actions taken in response to it; the market for our products may develop more slowly than expected or than it has in the past;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damage our reputation; we could experience interruptions</w:t>
      </w:r>
    </w:p>
    <w:p>
      <w:pPr>
        <w:sectPr>
          <w:pgSz w:w="11900" w:h="16838" w:orient="portrait"/>
          <w:cols w:equalWidth="0" w:num="1">
            <w:col w:w="11240"/>
          </w:cols>
          <w:pgMar w:left="320" w:top="1424" w:right="339" w:bottom="1440" w:gutter="0" w:footer="0" w:header="0"/>
        </w:sectPr>
      </w:pPr>
    </w:p>
    <w:bookmarkStart w:id="9" w:name="page10"/>
    <w:bookmarkEnd w:id="9"/>
    <w:p>
      <w:pPr>
        <w:jc w:val="both"/>
        <w:spacing w:after="0" w:line="218" w:lineRule="auto"/>
        <w:rPr>
          <w:sz w:val="20"/>
          <w:szCs w:val="20"/>
          <w:color w:val="auto"/>
        </w:rPr>
      </w:pPr>
      <w:r>
        <w:rPr>
          <w:rFonts w:ascii="Arial" w:cs="Arial" w:eastAsia="Arial" w:hAnsi="Arial"/>
          <w:sz w:val="16"/>
          <w:szCs w:val="16"/>
          <w:color w:val="auto"/>
        </w:rPr>
        <w:t>or performance problems associated with our technology, including a service outage; and global economic conditions could deteriorate.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spacing w:after="0" w:line="212" w:lineRule="exact"/>
        <w:rPr>
          <w:sz w:val="20"/>
          <w:szCs w:val="20"/>
          <w:color w:val="auto"/>
        </w:rPr>
      </w:pPr>
    </w:p>
    <w:p>
      <w:pPr>
        <w:jc w:val="both"/>
        <w:spacing w:after="0" w:line="216" w:lineRule="auto"/>
        <w:rPr>
          <w:sz w:val="20"/>
          <w:szCs w:val="20"/>
          <w:color w:val="auto"/>
        </w:rPr>
      </w:pPr>
      <w:r>
        <w:rPr>
          <w:rFonts w:ascii="Arial" w:cs="Arial" w:eastAsia="Arial" w:hAnsi="Arial"/>
          <w:sz w:val="16"/>
          <w:szCs w:val="16"/>
          <w:color w:val="auto"/>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listed in our SEC filings. Copies of our SEC filings are available on our Investor Relations website, investors.gf.com, or from the SEC website, www.sec.gov.</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further information, please contact: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rPr>
          <w:sz w:val="20"/>
          <w:szCs w:val="20"/>
          <w:color w:val="auto"/>
        </w:rPr>
      </w:pPr>
      <w:r>
        <w:rPr>
          <w:rFonts w:ascii="Arial" w:cs="Arial" w:eastAsia="Arial" w:hAnsi="Arial"/>
          <w:sz w:val="16"/>
          <w:szCs w:val="16"/>
          <w:u w:val="single" w:color="auto"/>
          <w:color w:val="0000FF"/>
        </w:rPr>
        <w:t>ir@gf.com</w:t>
      </w:r>
    </w:p>
    <w:sectPr>
      <w:pgSz w:w="11900" w:h="16838" w:orient="portrait"/>
      <w:cols w:equalWidth="0" w:num="1">
        <w:col w:w="11240"/>
      </w:cols>
      <w:pgMar w:left="320" w:top="14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image" Target="media/image6.png"/><Relationship Id="rId12" Type="http://schemas.openxmlformats.org/officeDocument/2006/relationships/hyperlink" Target="https://www.sec.gov/Archives/edgar/data/1709048/000119312521343710/d17370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2022-02-08T15:18:51Z</dcterms:created>
  <dcterms:modified xsi:type="dcterms:W3CDTF">2022-02-08T15:18:51Z</dcterms:modified>
</cp:coreProperties>
</file>