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3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0" w:lineRule="exact"/>
        <w:rPr>
          <w:sz w:val="24"/>
          <w:szCs w:val="24"/>
          <w:color w:val="auto"/>
        </w:rPr>
      </w:pPr>
    </w:p>
    <w:p>
      <w:pPr>
        <w:spacing w:after="0" w:line="221"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220" w:lineRule="exact"/>
        <w:rPr>
          <w:sz w:val="24"/>
          <w:szCs w:val="24"/>
          <w:color w:val="auto"/>
        </w:rPr>
      </w:pPr>
    </w:p>
    <w:p>
      <w:pPr>
        <w:ind w:left="540"/>
        <w:spacing w:after="0"/>
        <w:rPr>
          <w:sz w:val="20"/>
          <w:szCs w:val="20"/>
          <w:color w:val="auto"/>
        </w:rPr>
      </w:pPr>
      <w:r>
        <w:rPr>
          <w:rFonts w:ascii="Georgia" w:cs="Georgia" w:eastAsia="Georgia" w:hAnsi="Georgia"/>
          <w:sz w:val="22"/>
          <w:szCs w:val="22"/>
          <w:b w:val="1"/>
          <w:bCs w:val="1"/>
          <w:color w:val="auto"/>
        </w:rPr>
        <w:t xml:space="preserve">REPORT OF FOREIGN PRIVATE ISSUER PURSUANT TO RULE 13a-16 OR </w:t>
      </w:r>
      <w:r>
        <w:rPr>
          <w:rFonts w:ascii="Times New Roman" w:cs="Times New Roman" w:eastAsia="Times New Roman" w:hAnsi="Times New Roman"/>
          <w:sz w:val="22"/>
          <w:szCs w:val="22"/>
          <w:b w:val="1"/>
          <w:bCs w:val="1"/>
          <w:color w:val="auto"/>
        </w:rPr>
        <w:t>15d-16 UNDER THE</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month of May 2025</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001-40974</w:t>
      </w:r>
    </w:p>
    <w:p>
      <w:pPr>
        <w:spacing w:after="0" w:line="2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GLOBALFOUNDRIES Inc.</w:t>
      </w:r>
    </w:p>
    <w:p>
      <w:pPr>
        <w:spacing w:after="0" w:line="3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400 Stonebreak Road Extension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Malta, NY 12020</w:t>
      </w:r>
    </w:p>
    <w:p>
      <w:pPr>
        <w:spacing w:after="0" w:line="180" w:lineRule="exact"/>
        <w:rPr>
          <w:sz w:val="24"/>
          <w:szCs w:val="24"/>
          <w:color w:val="auto"/>
        </w:rPr>
      </w:pPr>
    </w:p>
    <w:p>
      <w:pPr>
        <w:ind w:left="180" w:right="2040" w:firstLine="468"/>
        <w:spacing w:after="0" w:line="3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375"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Attached hereto is the following exhibit.</w:t>
      </w:r>
    </w:p>
    <w:p>
      <w:pPr>
        <w:spacing w:after="0" w:line="293"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0000FF"/>
                <w:w w:val="98"/>
              </w:rPr>
              <w:t>Exhibit 99.1</w:t>
            </w:r>
          </w:p>
        </w:tc>
        <w:tc>
          <w:tcPr>
            <w:tcW w:w="1100" w:type="dxa"/>
            <w:vAlign w:val="bottom"/>
          </w:tcPr>
          <w:p>
            <w:pPr>
              <w:spacing w:after="0"/>
              <w:rPr>
                <w:sz w:val="18"/>
                <w:szCs w:val="18"/>
                <w:color w:val="auto"/>
              </w:rPr>
            </w:pPr>
          </w:p>
        </w:tc>
        <w:tc>
          <w:tcPr>
            <w:tcW w:w="92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Unaudited Interim Condensed Consolidated Financial Statements as of March 31, 2025 and December 31, 2024 and for the</w:t>
            </w:r>
          </w:p>
        </w:tc>
      </w:tr>
      <w:tr>
        <w:trPr>
          <w:trHeight w:val="20"/>
        </w:trPr>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900" w:type="dxa"/>
            <w:vAlign w:val="bottom"/>
            <w:shd w:val="clear" w:color="auto" w:fill="0000FF"/>
          </w:tcPr>
          <w:p>
            <w:pPr>
              <w:spacing w:after="0" w:line="20" w:lineRule="exact"/>
              <w:rPr>
                <w:sz w:val="1"/>
                <w:szCs w:val="1"/>
                <w:color w:val="auto"/>
              </w:rPr>
            </w:pPr>
          </w:p>
        </w:tc>
        <w:tc>
          <w:tcPr>
            <w:tcW w:w="39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three months ended March 31, 2025 and 2024, and Management's Discussion and Analysis of Financial Condition and Results</w:t>
            </w: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100" w:type="dxa"/>
            <w:vAlign w:val="bottom"/>
            <w:tcBorders>
              <w:top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of Operations for the three months ended March 31, 2025 and 2024.</w:t>
            </w:r>
          </w:p>
        </w:tc>
        <w:tc>
          <w:tcPr>
            <w:tcW w:w="120" w:type="dxa"/>
            <w:vAlign w:val="bottom"/>
          </w:tcPr>
          <w:p>
            <w:pPr>
              <w:spacing w:after="0"/>
              <w:rPr>
                <w:sz w:val="17"/>
                <w:szCs w:val="17"/>
                <w:color w:val="auto"/>
              </w:rPr>
            </w:pPr>
          </w:p>
        </w:tc>
      </w:tr>
      <w:tr>
        <w:trPr>
          <w:trHeight w:val="2093"/>
        </w:trPr>
        <w:tc>
          <w:tcPr>
            <w:tcW w:w="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4900" w:type="dxa"/>
            <w:vAlign w:val="bottom"/>
            <w:tcBorders>
              <w:top w:val="single" w:sz="8" w:color="0000FF"/>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firstLine="648"/>
        <w:spacing w:after="0" w:line="27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180" w:type="dxa"/>
            <w:vAlign w:val="bottom"/>
          </w:tcPr>
          <w:p>
            <w:pPr>
              <w:spacing w:after="0"/>
              <w:rPr>
                <w:sz w:val="20"/>
                <w:szCs w:val="20"/>
                <w:color w:val="auto"/>
              </w:rPr>
            </w:pPr>
          </w:p>
        </w:tc>
        <w:tc>
          <w:tcPr>
            <w:tcW w:w="7940" w:type="dxa"/>
            <w:vAlign w:val="bottom"/>
            <w:gridSpan w:val="2"/>
          </w:tcPr>
          <w:p>
            <w:pPr>
              <w:ind w:left="1800"/>
              <w:spacing w:after="0"/>
              <w:rPr>
                <w:sz w:val="20"/>
                <w:szCs w:val="20"/>
                <w:color w:val="auto"/>
              </w:rPr>
            </w:pPr>
            <w:r>
              <w:rPr>
                <w:rFonts w:ascii="Times New Roman" w:cs="Times New Roman" w:eastAsia="Times New Roman" w:hAnsi="Times New Roman"/>
                <w:sz w:val="18"/>
                <w:szCs w:val="18"/>
                <w:b w:val="1"/>
                <w:bCs w:val="1"/>
                <w:color w:val="auto"/>
              </w:rPr>
              <w:t>GLOBALFOUNDRIES Inc.</w:t>
            </w:r>
          </w:p>
        </w:tc>
      </w:tr>
      <w:tr>
        <w:trPr>
          <w:trHeight w:val="702"/>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2025</w:t>
            </w:r>
          </w:p>
        </w:tc>
        <w:tc>
          <w:tcPr>
            <w:tcW w:w="294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John Hollister</w:t>
            </w:r>
          </w:p>
        </w:tc>
      </w:tr>
      <w:tr>
        <w:trPr>
          <w:trHeight w:val="40"/>
        </w:trPr>
        <w:tc>
          <w:tcPr>
            <w:tcW w:w="3180" w:type="dxa"/>
            <w:vAlign w:val="bottom"/>
          </w:tcPr>
          <w:p>
            <w:pPr>
              <w:spacing w:after="0"/>
              <w:rPr>
                <w:sz w:val="3"/>
                <w:szCs w:val="3"/>
                <w:color w:val="auto"/>
              </w:rPr>
            </w:pPr>
          </w:p>
        </w:tc>
        <w:tc>
          <w:tcPr>
            <w:tcW w:w="2940" w:type="dxa"/>
            <w:vAlign w:val="bottom"/>
          </w:tcPr>
          <w:p>
            <w:pPr>
              <w:spacing w:after="0"/>
              <w:rPr>
                <w:sz w:val="3"/>
                <w:szCs w:val="3"/>
                <w:color w:val="auto"/>
              </w:rPr>
            </w:pPr>
          </w:p>
        </w:tc>
        <w:tc>
          <w:tcPr>
            <w:tcW w:w="5000" w:type="dxa"/>
            <w:vAlign w:val="bottom"/>
            <w:tcBorders>
              <w:bottom w:val="single" w:sz="8" w:color="auto"/>
            </w:tcBorders>
          </w:tcPr>
          <w:p>
            <w:pPr>
              <w:spacing w:after="0"/>
              <w:rPr>
                <w:sz w:val="3"/>
                <w:szCs w:val="3"/>
                <w:color w:val="auto"/>
              </w:rPr>
            </w:pPr>
          </w:p>
        </w:tc>
      </w:tr>
      <w:tr>
        <w:trPr>
          <w:trHeight w:val="237"/>
        </w:trPr>
        <w:tc>
          <w:tcPr>
            <w:tcW w:w="3180" w:type="dxa"/>
            <w:vAlign w:val="bottom"/>
          </w:tcPr>
          <w:p>
            <w:pPr>
              <w:spacing w:after="0"/>
              <w:rPr>
                <w:sz w:val="20"/>
                <w:szCs w:val="20"/>
                <w:color w:val="auto"/>
              </w:rPr>
            </w:pPr>
          </w:p>
        </w:tc>
        <w:tc>
          <w:tcPr>
            <w:tcW w:w="294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Name:</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Hollister</w:t>
            </w:r>
          </w:p>
        </w:tc>
      </w:tr>
      <w:tr>
        <w:trPr>
          <w:trHeight w:val="283"/>
        </w:trPr>
        <w:tc>
          <w:tcPr>
            <w:tcW w:w="3180" w:type="dxa"/>
            <w:vAlign w:val="bottom"/>
          </w:tcPr>
          <w:p>
            <w:pPr>
              <w:spacing w:after="0"/>
              <w:rPr>
                <w:sz w:val="24"/>
                <w:szCs w:val="24"/>
                <w:color w:val="auto"/>
              </w:rPr>
            </w:pPr>
          </w:p>
        </w:tc>
        <w:tc>
          <w:tcPr>
            <w:tcW w:w="294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Title:</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9920" w:type="dxa"/>
            <w:vAlign w:val="bottom"/>
            <w:gridSpan w:val="8"/>
          </w:tcPr>
          <w:p>
            <w:pPr>
              <w:spacing w:after="0"/>
              <w:rPr>
                <w:sz w:val="20"/>
                <w:szCs w:val="20"/>
                <w:color w:val="auto"/>
              </w:rPr>
            </w:pPr>
            <w:r>
              <w:rPr>
                <w:rFonts w:ascii="Arial" w:cs="Arial" w:eastAsia="Arial" w:hAnsi="Arial"/>
                <w:sz w:val="18"/>
                <w:szCs w:val="18"/>
                <w:b w:val="1"/>
                <w:bCs w:val="1"/>
                <w:color w:val="auto"/>
              </w:rPr>
              <w:t>Part 1 - Unaudited Financial Statements</w:t>
            </w:r>
          </w:p>
        </w:tc>
        <w:tc>
          <w:tcPr>
            <w:tcW w:w="1300" w:type="dxa"/>
            <w:vAlign w:val="bottom"/>
            <w:gridSpan w:val="5"/>
          </w:tcPr>
          <w:p>
            <w:pPr>
              <w:ind w:left="440"/>
              <w:spacing w:after="0"/>
              <w:rPr>
                <w:sz w:val="20"/>
                <w:szCs w:val="20"/>
                <w:color w:val="auto"/>
              </w:rPr>
            </w:pPr>
            <w:r>
              <w:rPr>
                <w:rFonts w:ascii="Arial" w:cs="Arial" w:eastAsia="Arial" w:hAnsi="Arial"/>
                <w:sz w:val="18"/>
                <w:szCs w:val="18"/>
                <w:b w:val="1"/>
                <w:bCs w:val="1"/>
                <w:color w:val="auto"/>
              </w:rPr>
              <w:t>Page</w:t>
            </w:r>
          </w:p>
        </w:tc>
      </w:tr>
      <w:tr>
        <w:trPr>
          <w:trHeight w:val="29"/>
        </w:trPr>
        <w:tc>
          <w:tcPr>
            <w:tcW w:w="20" w:type="dxa"/>
            <w:vAlign w:val="bottom"/>
            <w:tcBorders>
              <w:bottom w:val="single" w:sz="8" w:color="auto"/>
            </w:tcBorders>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453"/>
        </w:trPr>
        <w:tc>
          <w:tcPr>
            <w:tcW w:w="20" w:type="dxa"/>
            <w:vAlign w:val="bottom"/>
          </w:tcPr>
          <w:p>
            <w:pPr>
              <w:spacing w:after="0"/>
              <w:rPr>
                <w:sz w:val="24"/>
                <w:szCs w:val="24"/>
                <w:color w:val="auto"/>
              </w:rPr>
            </w:pPr>
          </w:p>
        </w:tc>
        <w:tc>
          <w:tcPr>
            <w:tcW w:w="9920" w:type="dxa"/>
            <w:vAlign w:val="bottom"/>
            <w:gridSpan w:val="8"/>
          </w:tcPr>
          <w:p>
            <w:pPr>
              <w:spacing w:after="0"/>
              <w:rPr>
                <w:sz w:val="20"/>
                <w:szCs w:val="20"/>
                <w:color w:val="auto"/>
              </w:rPr>
            </w:pPr>
            <w:r>
              <w:rPr>
                <w:rFonts w:ascii="Arial" w:cs="Arial" w:eastAsia="Arial" w:hAnsi="Arial"/>
                <w:sz w:val="18"/>
                <w:szCs w:val="18"/>
                <w:color w:val="0000FF"/>
              </w:rPr>
              <w:t>Interim Condensed Consolidated Statements of Financial Position</w:t>
            </w:r>
          </w:p>
        </w:tc>
        <w:tc>
          <w:tcPr>
            <w:tcW w:w="840" w:type="dxa"/>
            <w:vAlign w:val="bottom"/>
            <w:gridSpan w:val="4"/>
          </w:tcPr>
          <w:p>
            <w:pPr>
              <w:jc w:val="center"/>
              <w:ind w:left="370"/>
              <w:spacing w:after="0"/>
              <w:rPr>
                <w:sz w:val="20"/>
                <w:szCs w:val="20"/>
                <w:color w:val="auto"/>
              </w:rPr>
            </w:pPr>
            <w:r>
              <w:rPr>
                <w:rFonts w:ascii="Arial" w:cs="Arial" w:eastAsia="Arial" w:hAnsi="Arial"/>
                <w:sz w:val="18"/>
                <w:szCs w:val="18"/>
                <w:color w:val="0000FF"/>
                <w:w w:val="99"/>
              </w:rPr>
              <w:t>2</w:t>
            </w:r>
          </w:p>
        </w:tc>
        <w:tc>
          <w:tcPr>
            <w:tcW w:w="46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47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4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right w:val="single" w:sz="8" w:color="0000FF"/>
            </w:tcBorders>
          </w:tcPr>
          <w:p>
            <w:pPr>
              <w:spacing w:after="0"/>
              <w:rPr>
                <w:sz w:val="2"/>
                <w:szCs w:val="2"/>
                <w:color w:val="auto"/>
              </w:rPr>
            </w:pPr>
          </w:p>
        </w:tc>
        <w:tc>
          <w:tcPr>
            <w:tcW w:w="200" w:type="dxa"/>
            <w:vAlign w:val="bottom"/>
            <w:tcBorders>
              <w:left w:val="single" w:sz="8" w:color="0000FF"/>
            </w:tcBorders>
          </w:tcPr>
          <w:p>
            <w:pPr>
              <w:spacing w:after="0"/>
              <w:rPr>
                <w:sz w:val="2"/>
                <w:szCs w:val="2"/>
                <w:color w:val="auto"/>
              </w:rPr>
            </w:pPr>
          </w:p>
        </w:tc>
        <w:tc>
          <w:tcPr>
            <w:tcW w:w="460" w:type="dxa"/>
            <w:vAlign w:val="bottom"/>
          </w:tcPr>
          <w:p>
            <w:pPr>
              <w:spacing w:after="0"/>
              <w:rPr>
                <w:sz w:val="2"/>
                <w:szCs w:val="2"/>
                <w:color w:val="auto"/>
              </w:rPr>
            </w:pPr>
          </w:p>
        </w:tc>
      </w:tr>
      <w:tr>
        <w:trPr>
          <w:trHeight w:val="256"/>
        </w:trPr>
        <w:tc>
          <w:tcPr>
            <w:tcW w:w="20" w:type="dxa"/>
            <w:vAlign w:val="bottom"/>
          </w:tcPr>
          <w:p>
            <w:pPr>
              <w:spacing w:after="0"/>
              <w:rPr>
                <w:sz w:val="22"/>
                <w:szCs w:val="22"/>
                <w:color w:val="auto"/>
              </w:rPr>
            </w:pPr>
          </w:p>
        </w:tc>
        <w:tc>
          <w:tcPr>
            <w:tcW w:w="4720" w:type="dxa"/>
            <w:vAlign w:val="bottom"/>
          </w:tcPr>
          <w:p>
            <w:pPr>
              <w:spacing w:after="0"/>
              <w:rPr>
                <w:sz w:val="20"/>
                <w:szCs w:val="20"/>
                <w:color w:val="auto"/>
              </w:rPr>
            </w:pPr>
            <w:r>
              <w:rPr>
                <w:rFonts w:ascii="Arial" w:cs="Arial" w:eastAsia="Arial" w:hAnsi="Arial"/>
                <w:sz w:val="18"/>
                <w:szCs w:val="18"/>
                <w:color w:val="0000FF"/>
                <w:w w:val="99"/>
              </w:rPr>
              <w:t>Interim Condensed Consolidated Statements of Operations</w:t>
            </w:r>
          </w:p>
        </w:tc>
        <w:tc>
          <w:tcPr>
            <w:tcW w:w="520" w:type="dxa"/>
            <w:vAlign w:val="bottom"/>
            <w:gridSpan w:val="3"/>
          </w:tcPr>
          <w:p>
            <w:pPr>
              <w:spacing w:after="0"/>
              <w:rPr>
                <w:sz w:val="22"/>
                <w:szCs w:val="22"/>
                <w:color w:val="auto"/>
              </w:rPr>
            </w:pPr>
          </w:p>
        </w:tc>
        <w:tc>
          <w:tcPr>
            <w:tcW w:w="4680" w:type="dxa"/>
            <w:vAlign w:val="bottom"/>
            <w:gridSpan w:val="4"/>
          </w:tcPr>
          <w:p>
            <w:pPr>
              <w:spacing w:after="0"/>
              <w:rPr>
                <w:sz w:val="22"/>
                <w:szCs w:val="22"/>
                <w:color w:val="auto"/>
              </w:rPr>
            </w:pPr>
          </w:p>
        </w:tc>
        <w:tc>
          <w:tcPr>
            <w:tcW w:w="640" w:type="dxa"/>
            <w:vAlign w:val="bottom"/>
            <w:gridSpan w:val="3"/>
          </w:tcPr>
          <w:p>
            <w:pPr>
              <w:spacing w:after="0"/>
              <w:rPr>
                <w:sz w:val="22"/>
                <w:szCs w:val="22"/>
                <w:color w:val="auto"/>
              </w:rPr>
            </w:pPr>
          </w:p>
        </w:tc>
        <w:tc>
          <w:tcPr>
            <w:tcW w:w="200" w:type="dxa"/>
            <w:vAlign w:val="bottom"/>
          </w:tcPr>
          <w:p>
            <w:pPr>
              <w:jc w:val="center"/>
              <w:ind w:right="67"/>
              <w:spacing w:after="0"/>
              <w:rPr>
                <w:sz w:val="20"/>
                <w:szCs w:val="20"/>
                <w:color w:val="auto"/>
              </w:rPr>
            </w:pPr>
            <w:r>
              <w:rPr>
                <w:rFonts w:ascii="Arial" w:cs="Arial" w:eastAsia="Arial" w:hAnsi="Arial"/>
                <w:sz w:val="15"/>
                <w:szCs w:val="15"/>
                <w:color w:val="0000FF"/>
                <w:w w:val="71"/>
              </w:rPr>
              <w:t>3</w:t>
            </w:r>
          </w:p>
        </w:tc>
        <w:tc>
          <w:tcPr>
            <w:tcW w:w="46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920" w:type="dxa"/>
            <w:vAlign w:val="bottom"/>
            <w:gridSpan w:val="8"/>
          </w:tcPr>
          <w:p>
            <w:pPr>
              <w:spacing w:after="0"/>
              <w:rPr>
                <w:sz w:val="20"/>
                <w:szCs w:val="20"/>
                <w:color w:val="auto"/>
              </w:rPr>
            </w:pPr>
            <w:r>
              <w:rPr>
                <w:rFonts w:ascii="Arial" w:cs="Arial" w:eastAsia="Arial" w:hAnsi="Arial"/>
                <w:sz w:val="18"/>
                <w:szCs w:val="18"/>
                <w:color w:val="0000FF"/>
              </w:rPr>
              <w:t>Interim Condensed Consolidated Statements of Comprehensive Income (Loss)</w:t>
            </w:r>
          </w:p>
        </w:tc>
        <w:tc>
          <w:tcPr>
            <w:tcW w:w="840" w:type="dxa"/>
            <w:vAlign w:val="bottom"/>
            <w:gridSpan w:val="4"/>
          </w:tcPr>
          <w:p>
            <w:pPr>
              <w:jc w:val="center"/>
              <w:ind w:left="370"/>
              <w:spacing w:after="0"/>
              <w:rPr>
                <w:sz w:val="20"/>
                <w:szCs w:val="20"/>
                <w:color w:val="auto"/>
              </w:rPr>
            </w:pPr>
            <w:r>
              <w:rPr>
                <w:rFonts w:ascii="Arial" w:cs="Arial" w:eastAsia="Arial" w:hAnsi="Arial"/>
                <w:sz w:val="18"/>
                <w:szCs w:val="18"/>
                <w:color w:val="0000FF"/>
                <w:w w:val="99"/>
              </w:rPr>
              <w:t>4</w:t>
            </w:r>
          </w:p>
        </w:tc>
        <w:tc>
          <w:tcPr>
            <w:tcW w:w="46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0000FF"/>
                <w:w w:val="99"/>
              </w:rPr>
              <w:t>Interim Condensed Consolidated Statements of Cash Flows</w:t>
            </w:r>
          </w:p>
        </w:tc>
        <w:tc>
          <w:tcPr>
            <w:tcW w:w="1500" w:type="dxa"/>
            <w:vAlign w:val="bottom"/>
            <w:gridSpan w:val="4"/>
          </w:tcPr>
          <w:p>
            <w:pPr>
              <w:spacing w:after="0"/>
              <w:rPr>
                <w:sz w:val="22"/>
                <w:szCs w:val="22"/>
                <w:color w:val="auto"/>
              </w:rPr>
            </w:pPr>
          </w:p>
        </w:tc>
        <w:tc>
          <w:tcPr>
            <w:tcW w:w="3640" w:type="dxa"/>
            <w:vAlign w:val="bottom"/>
            <w:gridSpan w:val="2"/>
          </w:tcPr>
          <w:p>
            <w:pPr>
              <w:spacing w:after="0"/>
              <w:rPr>
                <w:sz w:val="22"/>
                <w:szCs w:val="22"/>
                <w:color w:val="auto"/>
              </w:rPr>
            </w:pPr>
          </w:p>
        </w:tc>
        <w:tc>
          <w:tcPr>
            <w:tcW w:w="640" w:type="dxa"/>
            <w:vAlign w:val="bottom"/>
            <w:gridSpan w:val="3"/>
          </w:tcPr>
          <w:p>
            <w:pPr>
              <w:spacing w:after="0"/>
              <w:rPr>
                <w:sz w:val="22"/>
                <w:szCs w:val="22"/>
                <w:color w:val="auto"/>
              </w:rPr>
            </w:pPr>
          </w:p>
        </w:tc>
        <w:tc>
          <w:tcPr>
            <w:tcW w:w="200" w:type="dxa"/>
            <w:vAlign w:val="bottom"/>
          </w:tcPr>
          <w:p>
            <w:pPr>
              <w:jc w:val="center"/>
              <w:ind w:right="67"/>
              <w:spacing w:after="0"/>
              <w:rPr>
                <w:sz w:val="20"/>
                <w:szCs w:val="20"/>
                <w:color w:val="auto"/>
              </w:rPr>
            </w:pPr>
            <w:r>
              <w:rPr>
                <w:rFonts w:ascii="Arial" w:cs="Arial" w:eastAsia="Arial" w:hAnsi="Arial"/>
                <w:sz w:val="15"/>
                <w:szCs w:val="15"/>
                <w:color w:val="0000FF"/>
                <w:w w:val="71"/>
              </w:rPr>
              <w:t>5</w:t>
            </w:r>
          </w:p>
        </w:tc>
        <w:tc>
          <w:tcPr>
            <w:tcW w:w="46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5300" w:type="dxa"/>
            <w:vAlign w:val="bottom"/>
            <w:gridSpan w:val="5"/>
          </w:tcPr>
          <w:p>
            <w:pPr>
              <w:spacing w:after="0"/>
              <w:rPr>
                <w:sz w:val="20"/>
                <w:szCs w:val="20"/>
                <w:color w:val="auto"/>
              </w:rPr>
            </w:pPr>
            <w:r>
              <w:rPr>
                <w:rFonts w:ascii="Arial" w:cs="Arial" w:eastAsia="Arial" w:hAnsi="Arial"/>
                <w:sz w:val="18"/>
                <w:szCs w:val="18"/>
                <w:color w:val="0000FF"/>
                <w:w w:val="99"/>
              </w:rPr>
              <w:t>Interim Condensed Consolidated Statements of Changes in Equity</w:t>
            </w:r>
          </w:p>
        </w:tc>
        <w:tc>
          <w:tcPr>
            <w:tcW w:w="4620" w:type="dxa"/>
            <w:vAlign w:val="bottom"/>
            <w:gridSpan w:val="3"/>
          </w:tcPr>
          <w:p>
            <w:pPr>
              <w:spacing w:after="0"/>
              <w:rPr>
                <w:sz w:val="22"/>
                <w:szCs w:val="22"/>
                <w:color w:val="auto"/>
              </w:rPr>
            </w:pPr>
          </w:p>
        </w:tc>
        <w:tc>
          <w:tcPr>
            <w:tcW w:w="640" w:type="dxa"/>
            <w:vAlign w:val="bottom"/>
            <w:gridSpan w:val="3"/>
          </w:tcPr>
          <w:p>
            <w:pPr>
              <w:spacing w:after="0"/>
              <w:rPr>
                <w:sz w:val="22"/>
                <w:szCs w:val="22"/>
                <w:color w:val="auto"/>
              </w:rPr>
            </w:pPr>
          </w:p>
        </w:tc>
        <w:tc>
          <w:tcPr>
            <w:tcW w:w="200" w:type="dxa"/>
            <w:vAlign w:val="bottom"/>
          </w:tcPr>
          <w:p>
            <w:pPr>
              <w:jc w:val="center"/>
              <w:ind w:right="67"/>
              <w:spacing w:after="0"/>
              <w:rPr>
                <w:sz w:val="20"/>
                <w:szCs w:val="20"/>
                <w:color w:val="auto"/>
              </w:rPr>
            </w:pPr>
            <w:r>
              <w:rPr>
                <w:rFonts w:ascii="Arial" w:cs="Arial" w:eastAsia="Arial" w:hAnsi="Arial"/>
                <w:sz w:val="15"/>
                <w:szCs w:val="15"/>
                <w:color w:val="0000FF"/>
                <w:w w:val="71"/>
              </w:rPr>
              <w:t>6</w:t>
            </w:r>
          </w:p>
        </w:tc>
        <w:tc>
          <w:tcPr>
            <w:tcW w:w="46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6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0000FF"/>
                <w:w w:val="99"/>
              </w:rPr>
              <w:t>Notes to Interim Condensed Consolidated Financial Statements</w:t>
            </w:r>
          </w:p>
        </w:tc>
        <w:tc>
          <w:tcPr>
            <w:tcW w:w="220" w:type="dxa"/>
            <w:vAlign w:val="bottom"/>
            <w:gridSpan w:val="2"/>
          </w:tcPr>
          <w:p>
            <w:pPr>
              <w:spacing w:after="0"/>
              <w:rPr>
                <w:sz w:val="22"/>
                <w:szCs w:val="22"/>
                <w:color w:val="auto"/>
              </w:rPr>
            </w:pPr>
          </w:p>
        </w:tc>
        <w:tc>
          <w:tcPr>
            <w:tcW w:w="4620" w:type="dxa"/>
            <w:vAlign w:val="bottom"/>
            <w:gridSpan w:val="3"/>
          </w:tcPr>
          <w:p>
            <w:pPr>
              <w:spacing w:after="0"/>
              <w:rPr>
                <w:sz w:val="22"/>
                <w:szCs w:val="22"/>
                <w:color w:val="auto"/>
              </w:rPr>
            </w:pPr>
          </w:p>
        </w:tc>
        <w:tc>
          <w:tcPr>
            <w:tcW w:w="1300" w:type="dxa"/>
            <w:vAlign w:val="bottom"/>
            <w:gridSpan w:val="5"/>
          </w:tcPr>
          <w:p>
            <w:pPr>
              <w:jc w:val="center"/>
              <w:spacing w:after="0"/>
              <w:rPr>
                <w:sz w:val="20"/>
                <w:szCs w:val="20"/>
                <w:color w:val="auto"/>
              </w:rPr>
            </w:pPr>
            <w:r>
              <w:rPr>
                <w:rFonts w:ascii="Arial" w:cs="Arial" w:eastAsia="Arial" w:hAnsi="Arial"/>
                <w:sz w:val="18"/>
                <w:szCs w:val="18"/>
                <w:color w:val="0000FF"/>
                <w:w w:val="99"/>
              </w:rPr>
              <w:t>7</w:t>
            </w:r>
            <w:r>
              <w:rPr>
                <w:rFonts w:ascii="Arial" w:cs="Arial" w:eastAsia="Arial" w:hAnsi="Arial"/>
                <w:sz w:val="18"/>
                <w:szCs w:val="18"/>
                <w:color w:val="000000"/>
                <w:w w:val="99"/>
              </w:rPr>
              <w:t>-</w:t>
            </w:r>
            <w:r>
              <w:rPr>
                <w:rFonts w:ascii="Arial" w:cs="Arial" w:eastAsia="Arial" w:hAnsi="Arial"/>
                <w:sz w:val="18"/>
                <w:szCs w:val="18"/>
                <w:color w:val="0000FF"/>
                <w:w w:val="99"/>
              </w:rPr>
              <w:t>16</w:t>
            </w:r>
          </w:p>
        </w:tc>
      </w:tr>
      <w:tr>
        <w:trPr>
          <w:trHeight w:val="20"/>
        </w:trPr>
        <w:tc>
          <w:tcPr>
            <w:tcW w:w="20" w:type="dxa"/>
            <w:vAlign w:val="bottom"/>
          </w:tcPr>
          <w:p>
            <w:pPr>
              <w:spacing w:after="0" w:line="20" w:lineRule="exact"/>
              <w:rPr>
                <w:sz w:val="1"/>
                <w:szCs w:val="1"/>
                <w:color w:val="auto"/>
              </w:rPr>
            </w:pPr>
          </w:p>
        </w:tc>
        <w:tc>
          <w:tcPr>
            <w:tcW w:w="4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9920" w:type="dxa"/>
            <w:vAlign w:val="bottom"/>
            <w:gridSpan w:val="3"/>
          </w:tcPr>
          <w:p>
            <w:pPr>
              <w:spacing w:after="0"/>
              <w:rPr>
                <w:sz w:val="20"/>
                <w:szCs w:val="20"/>
                <w:color w:val="auto"/>
              </w:rPr>
            </w:pPr>
            <w:r>
              <w:rPr>
                <w:rFonts w:ascii="Arial" w:cs="Arial" w:eastAsia="Arial" w:hAnsi="Arial"/>
                <w:sz w:val="18"/>
                <w:szCs w:val="18"/>
                <w:b w:val="1"/>
                <w:bCs w:val="1"/>
                <w:color w:val="auto"/>
              </w:rPr>
              <w:t>Part 2</w:t>
            </w:r>
          </w:p>
        </w:tc>
        <w:tc>
          <w:tcPr>
            <w:tcW w:w="420" w:type="dxa"/>
            <w:vAlign w:val="bottom"/>
          </w:tcPr>
          <w:p>
            <w:pPr>
              <w:spacing w:after="0"/>
              <w:rPr>
                <w:sz w:val="21"/>
                <w:szCs w:val="21"/>
                <w:color w:val="auto"/>
              </w:rPr>
            </w:pPr>
          </w:p>
        </w:tc>
        <w:tc>
          <w:tcPr>
            <w:tcW w:w="880" w:type="dxa"/>
            <w:vAlign w:val="bottom"/>
            <w:gridSpan w:val="4"/>
          </w:tcPr>
          <w:p>
            <w:pPr>
              <w:ind w:left="20"/>
              <w:spacing w:after="0"/>
              <w:rPr>
                <w:sz w:val="20"/>
                <w:szCs w:val="20"/>
                <w:color w:val="auto"/>
              </w:rPr>
            </w:pPr>
            <w:r>
              <w:rPr>
                <w:rFonts w:ascii="Arial" w:cs="Arial" w:eastAsia="Arial" w:hAnsi="Arial"/>
                <w:sz w:val="18"/>
                <w:szCs w:val="18"/>
                <w:b w:val="1"/>
                <w:bCs w:val="1"/>
                <w:color w:val="auto"/>
              </w:rPr>
              <w:t>Page</w:t>
            </w:r>
          </w:p>
        </w:tc>
      </w:tr>
      <w:tr>
        <w:trPr>
          <w:trHeight w:val="28"/>
        </w:trPr>
        <w:tc>
          <w:tcPr>
            <w:tcW w:w="20" w:type="dxa"/>
            <w:vAlign w:val="bottom"/>
            <w:tcBorders>
              <w:bottom w:val="single" w:sz="8" w:color="auto"/>
            </w:tcBorders>
          </w:tcPr>
          <w:p>
            <w:pPr>
              <w:spacing w:after="0"/>
              <w:rPr>
                <w:sz w:val="2"/>
                <w:szCs w:val="2"/>
                <w:color w:val="auto"/>
              </w:rPr>
            </w:pPr>
          </w:p>
        </w:tc>
        <w:tc>
          <w:tcPr>
            <w:tcW w:w="70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453"/>
        </w:trPr>
        <w:tc>
          <w:tcPr>
            <w:tcW w:w="20" w:type="dxa"/>
            <w:vAlign w:val="bottom"/>
          </w:tcPr>
          <w:p>
            <w:pPr>
              <w:spacing w:after="0"/>
              <w:rPr>
                <w:sz w:val="24"/>
                <w:szCs w:val="24"/>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300" w:type="dxa"/>
            <w:vAlign w:val="bottom"/>
            <w:gridSpan w:val="5"/>
          </w:tcPr>
          <w:p>
            <w:pPr>
              <w:ind w:left="420"/>
              <w:spacing w:after="0"/>
              <w:rPr>
                <w:sz w:val="20"/>
                <w:szCs w:val="20"/>
                <w:color w:val="auto"/>
              </w:rPr>
            </w:pPr>
            <w:r>
              <w:rPr>
                <w:rFonts w:ascii="Arial" w:cs="Arial" w:eastAsia="Arial" w:hAnsi="Arial"/>
                <w:sz w:val="18"/>
                <w:szCs w:val="18"/>
                <w:color w:val="0000FF"/>
              </w:rPr>
              <w:t>17</w:t>
            </w:r>
            <w:r>
              <w:rPr>
                <w:rFonts w:ascii="Arial" w:cs="Arial" w:eastAsia="Arial" w:hAnsi="Arial"/>
                <w:sz w:val="18"/>
                <w:szCs w:val="18"/>
                <w:color w:val="000000"/>
              </w:rPr>
              <w:t>-</w:t>
            </w:r>
            <w:r>
              <w:rPr>
                <w:rFonts w:ascii="Arial" w:cs="Arial" w:eastAsia="Arial" w:hAnsi="Arial"/>
                <w:sz w:val="18"/>
                <w:szCs w:val="18"/>
                <w:color w:val="0000FF"/>
              </w:rPr>
              <w:t>23</w:t>
            </w:r>
          </w:p>
        </w:tc>
      </w:tr>
      <w:tr>
        <w:trPr>
          <w:trHeight w:val="20"/>
        </w:trPr>
        <w:tc>
          <w:tcPr>
            <w:tcW w:w="20" w:type="dxa"/>
            <w:vAlign w:val="bottom"/>
          </w:tcPr>
          <w:p>
            <w:pPr>
              <w:spacing w:after="0" w:line="20" w:lineRule="exact"/>
              <w:rPr>
                <w:sz w:val="1"/>
                <w:szCs w:val="1"/>
                <w:color w:val="auto"/>
              </w:rPr>
            </w:pPr>
          </w:p>
        </w:tc>
        <w:tc>
          <w:tcPr>
            <w:tcW w:w="7080" w:type="dxa"/>
            <w:vAlign w:val="bottom"/>
            <w:shd w:val="clear" w:color="auto" w:fill="0000FF"/>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INTERIM CONDENSED CONSOLIDATED STATEMENTS OF FINANCIAL POSITION</w:t>
      </w:r>
    </w:p>
    <w:p>
      <w:pPr>
        <w:jc w:val="center"/>
        <w:spacing w:after="0" w:line="228" w:lineRule="auto"/>
        <w:rPr>
          <w:sz w:val="20"/>
          <w:szCs w:val="20"/>
          <w:color w:val="auto"/>
        </w:rPr>
      </w:pPr>
      <w:r>
        <w:rPr>
          <w:rFonts w:ascii="Arial" w:cs="Arial" w:eastAsia="Arial" w:hAnsi="Arial"/>
          <w:sz w:val="16"/>
          <w:szCs w:val="16"/>
          <w:b w:val="1"/>
          <w:bCs w:val="1"/>
          <w:color w:val="auto"/>
        </w:rPr>
        <w:t>As of March 31, 2025 and December 31, 2024</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 except per share amounts)</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gridSpan w:val="3"/>
          </w:tcPr>
          <w:p>
            <w:pPr>
              <w:jc w:val="right"/>
              <w:spacing w:after="0"/>
              <w:rPr>
                <w:sz w:val="20"/>
                <w:szCs w:val="20"/>
                <w:color w:val="auto"/>
              </w:rPr>
            </w:pPr>
            <w:r>
              <w:rPr>
                <w:rFonts w:ascii="Arial" w:cs="Arial" w:eastAsia="Arial" w:hAnsi="Arial"/>
                <w:sz w:val="16"/>
                <w:szCs w:val="16"/>
                <w:b w:val="1"/>
                <w:bCs w:val="1"/>
                <w:color w:val="auto"/>
              </w:rPr>
              <w:t>As of</w:t>
            </w:r>
          </w:p>
        </w:tc>
        <w:tc>
          <w:tcPr>
            <w:tcW w:w="1360" w:type="dxa"/>
            <w:vAlign w:val="bottom"/>
          </w:tcPr>
          <w:p>
            <w:pPr>
              <w:spacing w:after="0"/>
              <w:rPr>
                <w:sz w:val="19"/>
                <w:szCs w:val="19"/>
                <w:color w:val="auto"/>
              </w:rPr>
            </w:pPr>
          </w:p>
        </w:tc>
      </w:tr>
      <w:tr>
        <w:trPr>
          <w:trHeight w:val="21"/>
        </w:trPr>
        <w:tc>
          <w:tcPr>
            <w:tcW w:w="7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09"/>
        </w:trPr>
        <w:tc>
          <w:tcPr>
            <w:tcW w:w="7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ind w:right="379"/>
              <w:spacing w:after="0"/>
              <w:rPr>
                <w:sz w:val="20"/>
                <w:szCs w:val="20"/>
                <w:color w:val="auto"/>
              </w:rPr>
            </w:pPr>
            <w:r>
              <w:rPr>
                <w:rFonts w:ascii="Arial" w:cs="Arial" w:eastAsia="Arial" w:hAnsi="Arial"/>
                <w:sz w:val="16"/>
                <w:szCs w:val="16"/>
                <w:b w:val="1"/>
                <w:bCs w:val="1"/>
                <w:color w:val="auto"/>
              </w:rPr>
              <w:t>March 31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ind w:right="219"/>
              <w:spacing w:after="0"/>
              <w:rPr>
                <w:sz w:val="20"/>
                <w:szCs w:val="20"/>
                <w:color w:val="auto"/>
              </w:rPr>
            </w:pPr>
            <w:r>
              <w:rPr>
                <w:rFonts w:ascii="Arial" w:cs="Arial" w:eastAsia="Arial" w:hAnsi="Arial"/>
                <w:sz w:val="16"/>
                <w:szCs w:val="16"/>
                <w:b w:val="1"/>
                <w:bCs w:val="1"/>
                <w:color w:val="auto"/>
              </w:rPr>
              <w:t>December 31</w:t>
            </w:r>
          </w:p>
        </w:tc>
      </w:tr>
      <w:tr>
        <w:trPr>
          <w:trHeight w:val="223"/>
        </w:trPr>
        <w:tc>
          <w:tcPr>
            <w:tcW w:w="7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ind w:right="539"/>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ind w:right="539"/>
              <w:spacing w:after="0"/>
              <w:rPr>
                <w:sz w:val="20"/>
                <w:szCs w:val="20"/>
                <w:color w:val="auto"/>
              </w:rPr>
            </w:pPr>
            <w:r>
              <w:rPr>
                <w:rFonts w:ascii="Arial" w:cs="Arial" w:eastAsia="Arial" w:hAnsi="Arial"/>
                <w:sz w:val="16"/>
                <w:szCs w:val="16"/>
                <w:b w:val="1"/>
                <w:bCs w:val="1"/>
                <w:color w:val="auto"/>
              </w:rPr>
              <w:t>2024</w:t>
            </w:r>
          </w:p>
        </w:tc>
      </w:tr>
      <w:tr>
        <w:trPr>
          <w:trHeight w:val="21"/>
        </w:trPr>
        <w:tc>
          <w:tcPr>
            <w:tcW w:w="79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37"/>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16"/>
        </w:trPr>
        <w:tc>
          <w:tcPr>
            <w:tcW w:w="796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7"/>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1,596</w:t>
            </w:r>
          </w:p>
        </w:tc>
        <w:tc>
          <w:tcPr>
            <w:tcW w:w="8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2,192</w:t>
            </w:r>
          </w:p>
        </w:tc>
      </w:tr>
      <w:tr>
        <w:trPr>
          <w:trHeight w:val="228"/>
        </w:trPr>
        <w:tc>
          <w:tcPr>
            <w:tcW w:w="7960" w:type="dxa"/>
            <w:vAlign w:val="bottom"/>
          </w:tcPr>
          <w:p>
            <w:pPr>
              <w:ind w:left="20"/>
              <w:spacing w:after="0"/>
              <w:rPr>
                <w:sz w:val="20"/>
                <w:szCs w:val="20"/>
                <w:color w:val="auto"/>
              </w:rPr>
            </w:pPr>
            <w:r>
              <w:rPr>
                <w:rFonts w:ascii="Arial" w:cs="Arial" w:eastAsia="Arial" w:hAnsi="Arial"/>
                <w:sz w:val="16"/>
                <w:szCs w:val="16"/>
                <w:color w:val="auto"/>
              </w:rPr>
              <w:t>Marketable securities</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1,281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1,194</w:t>
            </w:r>
          </w:p>
        </w:tc>
      </w:tr>
      <w:tr>
        <w:trPr>
          <w:trHeight w:val="29"/>
        </w:trPr>
        <w:tc>
          <w:tcPr>
            <w:tcW w:w="7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6"/>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Receivables, prepayments and other assets</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1,415</w:t>
            </w:r>
          </w:p>
        </w:tc>
        <w:tc>
          <w:tcPr>
            <w:tcW w:w="8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1,406</w:t>
            </w:r>
          </w:p>
        </w:tc>
      </w:tr>
      <w:tr>
        <w:trPr>
          <w:trHeight w:val="228"/>
        </w:trPr>
        <w:tc>
          <w:tcPr>
            <w:tcW w:w="7960" w:type="dxa"/>
            <w:vAlign w:val="bottom"/>
          </w:tcPr>
          <w:p>
            <w:pPr>
              <w:ind w:left="20"/>
              <w:spacing w:after="0"/>
              <w:rPr>
                <w:sz w:val="20"/>
                <w:szCs w:val="20"/>
                <w:color w:val="auto"/>
              </w:rPr>
            </w:pPr>
            <w:r>
              <w:rPr>
                <w:rFonts w:ascii="Arial" w:cs="Arial" w:eastAsia="Arial" w:hAnsi="Arial"/>
                <w:sz w:val="16"/>
                <w:szCs w:val="16"/>
                <w:color w:val="auto"/>
              </w:rPr>
              <w:t>Inventories</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1,813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1,624</w:t>
            </w:r>
          </w:p>
        </w:tc>
      </w:tr>
      <w:tr>
        <w:trPr>
          <w:trHeight w:val="29"/>
        </w:trPr>
        <w:tc>
          <w:tcPr>
            <w:tcW w:w="7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current assets</w:t>
            </w:r>
          </w:p>
        </w:tc>
        <w:tc>
          <w:tcPr>
            <w:tcW w:w="2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6,105</w:t>
            </w:r>
          </w:p>
        </w:tc>
        <w:tc>
          <w:tcPr>
            <w:tcW w:w="80" w:type="dxa"/>
            <w:vAlign w:val="bottom"/>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6,416</w:t>
            </w:r>
          </w:p>
        </w:tc>
      </w:tr>
      <w:tr>
        <w:trPr>
          <w:trHeight w:val="196"/>
        </w:trPr>
        <w:tc>
          <w:tcPr>
            <w:tcW w:w="7960" w:type="dxa"/>
            <w:vAlign w:val="bottom"/>
          </w:tcPr>
          <w:p>
            <w:pPr>
              <w:ind w:left="20"/>
              <w:spacing w:after="0"/>
              <w:rPr>
                <w:sz w:val="20"/>
                <w:szCs w:val="20"/>
                <w:color w:val="auto"/>
              </w:rPr>
            </w:pPr>
            <w:r>
              <w:rPr>
                <w:rFonts w:ascii="Arial" w:cs="Arial" w:eastAsia="Arial" w:hAnsi="Arial"/>
                <w:sz w:val="16"/>
                <w:szCs w:val="16"/>
                <w:b w:val="1"/>
                <w:bCs w:val="1"/>
                <w:color w:val="auto"/>
              </w:rPr>
              <w:t>Non-current assets:</w:t>
            </w: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37"/>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7,626</w:t>
            </w:r>
          </w:p>
        </w:tc>
        <w:tc>
          <w:tcPr>
            <w:tcW w:w="8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7,762</w:t>
            </w:r>
          </w:p>
        </w:tc>
      </w:tr>
      <w:tr>
        <w:trPr>
          <w:trHeight w:val="228"/>
        </w:trPr>
        <w:tc>
          <w:tcPr>
            <w:tcW w:w="7960" w:type="dxa"/>
            <w:vAlign w:val="bottom"/>
          </w:tcPr>
          <w:p>
            <w:pPr>
              <w:ind w:left="20"/>
              <w:spacing w:after="0"/>
              <w:rPr>
                <w:sz w:val="20"/>
                <w:szCs w:val="20"/>
                <w:color w:val="auto"/>
              </w:rPr>
            </w:pPr>
            <w:r>
              <w:rPr>
                <w:rFonts w:ascii="Arial" w:cs="Arial" w:eastAsia="Arial" w:hAnsi="Arial"/>
                <w:sz w:val="16"/>
                <w:szCs w:val="16"/>
                <w:color w:val="auto"/>
              </w:rPr>
              <w:t>Marketable securities</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820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839</w:t>
            </w:r>
          </w:p>
        </w:tc>
      </w:tr>
      <w:tr>
        <w:trPr>
          <w:trHeight w:val="29"/>
        </w:trPr>
        <w:tc>
          <w:tcPr>
            <w:tcW w:w="7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 and intangible assets, net</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739</w:t>
            </w:r>
          </w:p>
        </w:tc>
        <w:tc>
          <w:tcPr>
            <w:tcW w:w="8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660</w:t>
            </w:r>
          </w:p>
        </w:tc>
      </w:tr>
      <w:tr>
        <w:trPr>
          <w:trHeight w:val="227"/>
        </w:trPr>
        <w:tc>
          <w:tcPr>
            <w:tcW w:w="7960" w:type="dxa"/>
            <w:vAlign w:val="bottom"/>
          </w:tcPr>
          <w:p>
            <w:pPr>
              <w:ind w:left="20"/>
              <w:spacing w:after="0"/>
              <w:rPr>
                <w:sz w:val="20"/>
                <w:szCs w:val="20"/>
                <w:color w:val="auto"/>
              </w:rPr>
            </w:pPr>
            <w:r>
              <w:rPr>
                <w:rFonts w:ascii="Arial" w:cs="Arial" w:eastAsia="Arial" w:hAnsi="Arial"/>
                <w:sz w:val="16"/>
                <w:szCs w:val="16"/>
                <w:color w:val="auto"/>
              </w:rPr>
              <w:t>Right-of-use assets</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499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498</w:t>
            </w:r>
          </w:p>
        </w:tc>
      </w:tr>
      <w:tr>
        <w:trPr>
          <w:trHeight w:val="29"/>
        </w:trPr>
        <w:tc>
          <w:tcPr>
            <w:tcW w:w="7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6"/>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Receivables, prepayments and other assets</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372</w:t>
            </w:r>
          </w:p>
        </w:tc>
        <w:tc>
          <w:tcPr>
            <w:tcW w:w="8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351</w:t>
            </w:r>
          </w:p>
        </w:tc>
      </w:tr>
      <w:tr>
        <w:trPr>
          <w:trHeight w:val="228"/>
        </w:trPr>
        <w:tc>
          <w:tcPr>
            <w:tcW w:w="7960" w:type="dxa"/>
            <w:vAlign w:val="bottom"/>
          </w:tcPr>
          <w:p>
            <w:pPr>
              <w:ind w:left="20"/>
              <w:spacing w:after="0"/>
              <w:rPr>
                <w:sz w:val="20"/>
                <w:szCs w:val="20"/>
                <w:color w:val="auto"/>
              </w:rPr>
            </w:pPr>
            <w:r>
              <w:rPr>
                <w:rFonts w:ascii="Arial" w:cs="Arial" w:eastAsia="Arial" w:hAnsi="Arial"/>
                <w:sz w:val="16"/>
                <w:szCs w:val="16"/>
                <w:color w:val="auto"/>
              </w:rPr>
              <w:t>Deferred tax assets</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250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188</w:t>
            </w:r>
          </w:p>
        </w:tc>
      </w:tr>
      <w:tr>
        <w:trPr>
          <w:trHeight w:val="29"/>
        </w:trPr>
        <w:tc>
          <w:tcPr>
            <w:tcW w:w="7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7"/>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non-current financial assets</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80" w:type="dxa"/>
            <w:vAlign w:val="bottom"/>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w:t>
            </w:r>
          </w:p>
        </w:tc>
      </w:tr>
      <w:tr>
        <w:trPr>
          <w:trHeight w:val="250"/>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non-current assets</w:t>
            </w:r>
          </w:p>
        </w:tc>
        <w:tc>
          <w:tcPr>
            <w:tcW w:w="28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10,374</w:t>
            </w:r>
          </w:p>
        </w:tc>
        <w:tc>
          <w:tcPr>
            <w:tcW w:w="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10,383</w:t>
            </w:r>
          </w:p>
        </w:tc>
      </w:tr>
      <w:tr>
        <w:trPr>
          <w:trHeight w:val="257"/>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16,479</w:t>
            </w:r>
          </w:p>
        </w:tc>
        <w:tc>
          <w:tcPr>
            <w:tcW w:w="80" w:type="dxa"/>
            <w:vAlign w:val="bottom"/>
          </w:tcPr>
          <w:p>
            <w:pPr>
              <w:spacing w:after="0"/>
              <w:rPr>
                <w:sz w:val="22"/>
                <w:szCs w:val="22"/>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16,799</w:t>
            </w:r>
          </w:p>
        </w:tc>
      </w:tr>
      <w:tr>
        <w:trPr>
          <w:trHeight w:val="257"/>
        </w:trPr>
        <w:tc>
          <w:tcPr>
            <w:tcW w:w="7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16"/>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796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6"/>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Trade payables and other current liabilities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2,195</w:t>
            </w:r>
          </w:p>
        </w:tc>
        <w:tc>
          <w:tcPr>
            <w:tcW w:w="8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2,092</w:t>
            </w:r>
          </w:p>
        </w:tc>
      </w:tr>
      <w:tr>
        <w:trPr>
          <w:trHeight w:val="228"/>
        </w:trPr>
        <w:tc>
          <w:tcPr>
            <w:tcW w:w="7960" w:type="dxa"/>
            <w:vAlign w:val="bottom"/>
          </w:tcPr>
          <w:p>
            <w:pPr>
              <w:ind w:left="20"/>
              <w:spacing w:after="0"/>
              <w:rPr>
                <w:sz w:val="20"/>
                <w:szCs w:val="20"/>
                <w:color w:val="auto"/>
              </w:rPr>
            </w:pPr>
            <w:r>
              <w:rPr>
                <w:rFonts w:ascii="Arial" w:cs="Arial" w:eastAsia="Arial" w:hAnsi="Arial"/>
                <w:sz w:val="16"/>
                <w:szCs w:val="16"/>
                <w:color w:val="auto"/>
              </w:rPr>
              <w:t>Current portion of deferred income from government grants</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29"/>
        </w:trPr>
        <w:tc>
          <w:tcPr>
            <w:tcW w:w="7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6"/>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portion of lease obligations</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8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r>
      <w:tr>
        <w:trPr>
          <w:trHeight w:val="228"/>
        </w:trPr>
        <w:tc>
          <w:tcPr>
            <w:tcW w:w="7960" w:type="dxa"/>
            <w:vAlign w:val="bottom"/>
          </w:tcPr>
          <w:p>
            <w:pPr>
              <w:ind w:left="20"/>
              <w:spacing w:after="0"/>
              <w:rPr>
                <w:sz w:val="20"/>
                <w:szCs w:val="20"/>
                <w:color w:val="auto"/>
              </w:rPr>
            </w:pPr>
            <w:r>
              <w:rPr>
                <w:rFonts w:ascii="Arial" w:cs="Arial" w:eastAsia="Arial" w:hAnsi="Arial"/>
                <w:sz w:val="16"/>
                <w:szCs w:val="16"/>
                <w:color w:val="auto"/>
              </w:rPr>
              <w:t>Current portion of long-term debt</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753</w:t>
            </w:r>
          </w:p>
        </w:tc>
      </w:tr>
      <w:tr>
        <w:trPr>
          <w:trHeight w:val="29"/>
        </w:trPr>
        <w:tc>
          <w:tcPr>
            <w:tcW w:w="7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6"/>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Provisions</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50"/>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current liabilities</w:t>
            </w:r>
          </w:p>
        </w:tc>
        <w:tc>
          <w:tcPr>
            <w:tcW w:w="28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2,428</w:t>
            </w:r>
          </w:p>
        </w:tc>
        <w:tc>
          <w:tcPr>
            <w:tcW w:w="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3,044</w:t>
            </w:r>
          </w:p>
        </w:tc>
      </w:tr>
      <w:tr>
        <w:trPr>
          <w:trHeight w:val="196"/>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Non-current liabilities</w:t>
            </w: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bl>
    <w:p>
      <w:pPr>
        <w:spacing w:after="0" w:line="13" w:lineRule="exact"/>
        <w:rPr>
          <w:sz w:val="20"/>
          <w:szCs w:val="20"/>
          <w:color w:val="auto"/>
        </w:rPr>
      </w:pPr>
    </w:p>
    <w:p>
      <w:pPr>
        <w:sectPr>
          <w:pgSz w:w="11900" w:h="16838" w:orient="portrait"/>
          <w:cols w:equalWidth="0" w:num="1">
            <w:col w:w="11240"/>
          </w:cols>
          <w:pgMar w:left="320" w:top="98" w:right="339" w:bottom="574" w:gutter="0" w:footer="0" w:header="0"/>
        </w:sectPr>
      </w:pPr>
    </w:p>
    <w:p>
      <w:pPr>
        <w:ind w:left="20"/>
        <w:spacing w:after="0"/>
        <w:rPr>
          <w:sz w:val="20"/>
          <w:szCs w:val="20"/>
          <w:color w:val="auto"/>
        </w:rPr>
      </w:pPr>
      <w:r>
        <w:rPr>
          <w:rFonts w:ascii="Arial" w:cs="Arial" w:eastAsia="Arial" w:hAnsi="Arial"/>
          <w:sz w:val="16"/>
          <w:szCs w:val="16"/>
          <w:color w:val="auto"/>
        </w:rPr>
        <w:t>Non-current portion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6060440" cy="163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60440" cy="16319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non-current liabilities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Non-current portion of lease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6060440" cy="163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60440" cy="16319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Non-current portion of deferred income from government grants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606044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60440" cy="171450"/>
                    </a:xfrm>
                    <a:prstGeom prst="rect">
                      <a:avLst/>
                    </a:prstGeom>
                    <a:noFill/>
                  </pic:spPr>
                </pic:pic>
              </a:graphicData>
            </a:graphic>
          </wp:anchor>
        </w:drawing>
      </w:r>
    </w:p>
    <w:p>
      <w:pPr>
        <w:spacing w:after="0" w:line="9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non-current liabilities</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6060440" cy="146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60440" cy="146050"/>
                    </a:xfrm>
                    <a:prstGeom prst="rect">
                      <a:avLst/>
                    </a:prstGeom>
                    <a:noFill/>
                  </pic:spPr>
                </pic:pic>
              </a:graphicData>
            </a:graphic>
          </wp:anchor>
        </w:drawing>
      </w:r>
    </w:p>
    <w:p>
      <w:pPr>
        <w:spacing w:after="0" w:line="25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606044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60440" cy="16319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Share capital</w:t>
      </w:r>
    </w:p>
    <w:p>
      <w:pPr>
        <w:spacing w:after="0" w:line="73" w:lineRule="exact"/>
        <w:rPr>
          <w:sz w:val="20"/>
          <w:szCs w:val="20"/>
          <w:color w:val="auto"/>
        </w:rPr>
      </w:pPr>
    </w:p>
    <w:p>
      <w:pPr>
        <w:ind w:left="20"/>
        <w:spacing w:after="0" w:line="299" w:lineRule="auto"/>
        <w:rPr>
          <w:sz w:val="20"/>
          <w:szCs w:val="20"/>
          <w:color w:val="auto"/>
        </w:rPr>
      </w:pPr>
      <w:r>
        <w:rPr>
          <w:rFonts w:ascii="Arial" w:cs="Arial" w:eastAsia="Arial" w:hAnsi="Arial"/>
          <w:sz w:val="16"/>
          <w:szCs w:val="16"/>
          <w:color w:val="auto"/>
        </w:rPr>
        <w:t>Ordinary shares, $0.02 par value, 554,733,529 and 552,912,823 shares issued and outstanding as of March 31, 2025 and December 31, 2024,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6060440" cy="1625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60440" cy="1625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Additional paid-in capital</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6060440" cy="162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60440" cy="16256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Accumulated other comprehensive income</w:t>
      </w:r>
    </w:p>
    <w:p>
      <w:pPr>
        <w:spacing w:after="0" w:line="20" w:lineRule="exact"/>
        <w:rPr>
          <w:sz w:val="20"/>
          <w:szCs w:val="20"/>
          <w:color w:val="auto"/>
        </w:rPr>
      </w:pPr>
      <w:r>
        <w:rPr>
          <w:sz w:val="20"/>
          <w:szCs w:val="20"/>
          <w:color w:val="auto"/>
        </w:rPr>
        <w:br w:type="column"/>
      </w:r>
    </w:p>
    <w:p>
      <w:pPr>
        <w:jc w:val="right"/>
        <w:ind w:right="40"/>
        <w:spacing w:after="0"/>
        <w:rPr>
          <w:sz w:val="20"/>
          <w:szCs w:val="20"/>
          <w:color w:val="auto"/>
        </w:rPr>
      </w:pPr>
      <w:r>
        <w:rPr>
          <w:rFonts w:ascii="Arial" w:cs="Arial" w:eastAsia="Arial" w:hAnsi="Arial"/>
          <w:sz w:val="16"/>
          <w:szCs w:val="16"/>
          <w:color w:val="auto"/>
        </w:rPr>
        <w:t>1,071</w:t>
      </w:r>
    </w:p>
    <w:p>
      <w:pPr>
        <w:spacing w:after="0" w:line="73"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1,060</w:t>
      </w:r>
    </w:p>
    <w:p>
      <w:pPr>
        <w:spacing w:after="0" w:line="73"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426</w:t>
      </w:r>
    </w:p>
    <w:p>
      <w:pPr>
        <w:spacing w:after="0" w:line="73"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226</w:t>
      </w:r>
    </w:p>
    <w:p>
      <w:pPr>
        <w:spacing w:after="0" w:line="73"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164</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6"/>
          <w:szCs w:val="16"/>
          <w:b w:val="1"/>
          <w:bCs w:val="1"/>
          <w:color w:val="auto"/>
        </w:rPr>
        <w:t>2,947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38100</wp:posOffset>
            </wp:positionV>
            <wp:extent cx="10115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spacing w:after="0" w:line="66" w:lineRule="exact"/>
        <w:rPr>
          <w:sz w:val="20"/>
          <w:szCs w:val="20"/>
          <w:color w:val="auto"/>
        </w:rPr>
      </w:pPr>
    </w:p>
    <w:p>
      <w:pPr>
        <w:ind w:left="1103" w:hanging="1103"/>
        <w:spacing w:after="0"/>
        <w:tabs>
          <w:tab w:leader="none" w:pos="1103"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5,375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343" w:hanging="1343"/>
        <w:spacing w:after="0"/>
        <w:tabs>
          <w:tab w:leader="none" w:pos="1343" w:val="left"/>
        </w:tabs>
        <w:numPr>
          <w:ilvl w:val="0"/>
          <w:numId w:val="2"/>
        </w:numPr>
        <w:rPr>
          <w:rFonts w:ascii="Arial" w:cs="Arial" w:eastAsia="Arial" w:hAnsi="Arial"/>
          <w:sz w:val="16"/>
          <w:szCs w:val="16"/>
          <w:color w:val="auto"/>
        </w:rPr>
      </w:pPr>
      <w:r>
        <w:rPr>
          <w:rFonts w:ascii="Arial" w:cs="Arial" w:eastAsia="Arial" w:hAnsi="Arial"/>
          <w:sz w:val="16"/>
          <w:szCs w:val="16"/>
          <w:color w:val="auto"/>
        </w:rPr>
        <w:t>11</w:t>
      </w:r>
    </w:p>
    <w:p>
      <w:pPr>
        <w:spacing w:after="0" w:line="72" w:lineRule="exact"/>
        <w:rPr>
          <w:rFonts w:ascii="Arial" w:cs="Arial" w:eastAsia="Arial" w:hAnsi="Arial"/>
          <w:sz w:val="16"/>
          <w:szCs w:val="16"/>
          <w:color w:val="auto"/>
        </w:rPr>
      </w:pPr>
    </w:p>
    <w:p>
      <w:pPr>
        <w:ind w:left="1003"/>
        <w:spacing w:after="0"/>
        <w:rPr>
          <w:rFonts w:ascii="Arial" w:cs="Arial" w:eastAsia="Arial" w:hAnsi="Arial"/>
          <w:sz w:val="16"/>
          <w:szCs w:val="16"/>
          <w:color w:val="auto"/>
        </w:rPr>
      </w:pPr>
      <w:r>
        <w:rPr>
          <w:rFonts w:ascii="Arial" w:cs="Arial" w:eastAsia="Arial" w:hAnsi="Arial"/>
          <w:sz w:val="16"/>
          <w:szCs w:val="16"/>
          <w:color w:val="auto"/>
        </w:rPr>
        <w:t>24,046</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(13,056)</w:t>
      </w:r>
    </w:p>
    <w:p>
      <w:pPr>
        <w:spacing w:after="0" w:line="73"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38100</wp:posOffset>
            </wp:positionV>
            <wp:extent cx="10115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80"/>
        <w:spacing w:after="0"/>
        <w:rPr>
          <w:sz w:val="20"/>
          <w:szCs w:val="20"/>
          <w:color w:val="auto"/>
        </w:rPr>
      </w:pPr>
      <w:r>
        <w:rPr>
          <w:rFonts w:ascii="Arial" w:cs="Arial" w:eastAsia="Arial" w:hAnsi="Arial"/>
          <w:sz w:val="16"/>
          <w:szCs w:val="16"/>
          <w:color w:val="auto"/>
        </w:rPr>
        <w:t>1,053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38100</wp:posOffset>
            </wp:positionV>
            <wp:extent cx="1011555"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11555" cy="163195"/>
                    </a:xfrm>
                    <a:prstGeom prst="rect">
                      <a:avLst/>
                    </a:prstGeom>
                    <a:noFill/>
                  </pic:spPr>
                </pic:pic>
              </a:graphicData>
            </a:graphic>
          </wp:anchor>
        </w:drawing>
      </w:r>
    </w:p>
    <w:p>
      <w:pPr>
        <w:spacing w:after="0" w:line="53"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1,022</w:t>
      </w:r>
    </w:p>
    <w:p>
      <w:pPr>
        <w:spacing w:after="0" w:line="73"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424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38100</wp:posOffset>
            </wp:positionV>
            <wp:extent cx="1011555"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11555" cy="163195"/>
                    </a:xfrm>
                    <a:prstGeom prst="rect">
                      <a:avLst/>
                    </a:prstGeom>
                    <a:noFill/>
                  </pic:spPr>
                </pic:pic>
              </a:graphicData>
            </a:graphic>
          </wp:anchor>
        </w:drawing>
      </w:r>
    </w:p>
    <w:p>
      <w:pPr>
        <w:spacing w:after="0" w:line="53"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235</w:t>
      </w:r>
    </w:p>
    <w:p>
      <w:pPr>
        <w:spacing w:after="0" w:line="73"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38100</wp:posOffset>
            </wp:positionV>
            <wp:extent cx="101155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11555" cy="171450"/>
                    </a:xfrm>
                    <a:prstGeom prst="rect">
                      <a:avLst/>
                    </a:prstGeom>
                    <a:noFill/>
                  </pic:spPr>
                </pic:pic>
              </a:graphicData>
            </a:graphic>
          </wp:anchor>
        </w:drawing>
      </w:r>
    </w:p>
    <w:p>
      <w:pPr>
        <w:spacing w:after="0" w:line="66" w:lineRule="exact"/>
        <w:rPr>
          <w:sz w:val="20"/>
          <w:szCs w:val="20"/>
          <w:color w:val="auto"/>
        </w:rPr>
      </w:pPr>
    </w:p>
    <w:p>
      <w:pPr>
        <w:jc w:val="right"/>
        <w:ind w:right="80"/>
        <w:spacing w:after="0"/>
        <w:rPr>
          <w:sz w:val="20"/>
          <w:szCs w:val="20"/>
          <w:color w:val="auto"/>
        </w:rPr>
      </w:pPr>
      <w:r>
        <w:rPr>
          <w:rFonts w:ascii="Arial" w:cs="Arial" w:eastAsia="Arial" w:hAnsi="Arial"/>
          <w:sz w:val="16"/>
          <w:szCs w:val="16"/>
          <w:b w:val="1"/>
          <w:bCs w:val="1"/>
          <w:color w:val="auto"/>
        </w:rPr>
        <w:t>2,931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38100</wp:posOffset>
            </wp:positionV>
            <wp:extent cx="10115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spacing w:after="0" w:line="66" w:lineRule="exact"/>
        <w:rPr>
          <w:sz w:val="20"/>
          <w:szCs w:val="20"/>
          <w:color w:val="auto"/>
        </w:rPr>
      </w:pPr>
    </w:p>
    <w:p>
      <w:pPr>
        <w:ind w:left="1100" w:hanging="1095"/>
        <w:spacing w:after="0"/>
        <w:tabs>
          <w:tab w:leader="none" w:pos="110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5,975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337820</wp:posOffset>
            </wp:positionV>
            <wp:extent cx="1011555"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11555" cy="16319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38100</wp:posOffset>
            </wp:positionV>
            <wp:extent cx="1011555"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1155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340" w:hanging="1335"/>
        <w:spacing w:after="0"/>
        <w:tabs>
          <w:tab w:leader="none" w:pos="1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11</w:t>
      </w:r>
    </w:p>
    <w:p>
      <w:pPr>
        <w:spacing w:after="0" w:line="72" w:lineRule="exact"/>
        <w:rPr>
          <w:rFonts w:ascii="Arial" w:cs="Arial" w:eastAsia="Arial" w:hAnsi="Arial"/>
          <w:sz w:val="16"/>
          <w:szCs w:val="16"/>
          <w:color w:val="auto"/>
        </w:rPr>
      </w:pPr>
    </w:p>
    <w:p>
      <w:pPr>
        <w:ind w:left="1020"/>
        <w:spacing w:after="0"/>
        <w:rPr>
          <w:rFonts w:ascii="Arial" w:cs="Arial" w:eastAsia="Arial" w:hAnsi="Arial"/>
          <w:sz w:val="16"/>
          <w:szCs w:val="16"/>
          <w:color w:val="auto"/>
        </w:rPr>
      </w:pPr>
      <w:r>
        <w:rPr>
          <w:rFonts w:ascii="Arial" w:cs="Arial" w:eastAsia="Arial" w:hAnsi="Arial"/>
          <w:sz w:val="16"/>
          <w:szCs w:val="16"/>
          <w:color w:val="auto"/>
        </w:rPr>
        <w:t>24,014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1011555"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11555" cy="162560"/>
                    </a:xfrm>
                    <a:prstGeom prst="rect">
                      <a:avLst/>
                    </a:prstGeom>
                    <a:noFill/>
                  </pic:spPr>
                </pic:pic>
              </a:graphicData>
            </a:graphic>
          </wp:anchor>
        </w:drawing>
      </w:r>
    </w:p>
    <w:p>
      <w:pPr>
        <w:spacing w:after="0" w:line="53"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(13,266)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38100</wp:posOffset>
            </wp:positionV>
            <wp:extent cx="1011555" cy="162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11555" cy="162560"/>
                    </a:xfrm>
                    <a:prstGeom prst="rect">
                      <a:avLst/>
                    </a:prstGeom>
                    <a:noFill/>
                  </pic:spPr>
                </pic:pic>
              </a:graphicData>
            </a:graphic>
          </wp:anchor>
        </w:drawing>
      </w:r>
    </w:p>
    <w:p>
      <w:pPr>
        <w:spacing w:after="0" w:line="53"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38100</wp:posOffset>
            </wp:positionV>
            <wp:extent cx="10115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spacing w:after="0" w:line="86" w:lineRule="exact"/>
        <w:rPr>
          <w:sz w:val="20"/>
          <w:szCs w:val="20"/>
          <w:color w:val="auto"/>
        </w:rPr>
      </w:pPr>
    </w:p>
    <w:p>
      <w:pPr>
        <w:sectPr>
          <w:pgSz w:w="11900" w:h="16838" w:orient="portrait"/>
          <w:cols w:equalWidth="0" w:num="3">
            <w:col w:w="7280" w:space="697"/>
            <w:col w:w="1543" w:space="140"/>
            <w:col w:w="1580"/>
          </w:cols>
          <w:pgMar w:left="320" w:top="98" w:right="339" w:bottom="574"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7960" w:type="dxa"/>
            <w:vAlign w:val="bottom"/>
          </w:tcPr>
          <w:p>
            <w:pPr>
              <w:ind w:left="20"/>
              <w:spacing w:after="0"/>
              <w:rPr>
                <w:sz w:val="20"/>
                <w:szCs w:val="20"/>
                <w:color w:val="auto"/>
              </w:rPr>
            </w:pPr>
            <w:r>
              <w:rPr>
                <w:rFonts w:ascii="Arial" w:cs="Arial" w:eastAsia="Arial" w:hAnsi="Arial"/>
                <w:sz w:val="16"/>
                <w:szCs w:val="16"/>
                <w:b w:val="1"/>
                <w:bCs w:val="1"/>
                <w:color w:val="auto"/>
              </w:rPr>
              <w:t>Equity attributable to the shareholders of GLOBALFOUNDRIES Inc.</w:t>
            </w: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11,054</w:t>
            </w:r>
          </w:p>
        </w:tc>
      </w:tr>
      <w:tr>
        <w:trPr>
          <w:trHeight w:val="21"/>
        </w:trPr>
        <w:tc>
          <w:tcPr>
            <w:tcW w:w="79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Non-controlling interests</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50"/>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equity</w:t>
            </w:r>
          </w:p>
        </w:tc>
        <w:tc>
          <w:tcPr>
            <w:tcW w:w="56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11,104</w:t>
            </w:r>
          </w:p>
        </w:tc>
      </w:tr>
      <w:tr>
        <w:trPr>
          <w:trHeight w:val="257"/>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and equity</w:t>
            </w: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16,479</w:t>
            </w:r>
          </w:p>
        </w:tc>
      </w:tr>
    </w:tbl>
    <w:p>
      <w:pPr>
        <w:spacing w:after="0" w:line="20" w:lineRule="exact"/>
        <w:rPr>
          <w:sz w:val="20"/>
          <w:szCs w:val="20"/>
          <w:color w:val="auto"/>
        </w:rPr>
      </w:pPr>
      <w:r>
        <w:rPr>
          <w:sz w:val="20"/>
          <w:szCs w:val="20"/>
          <w:color w:val="auto"/>
        </w:rPr>
        <w:br w:type="column"/>
      </w:r>
    </w:p>
    <w:p>
      <w:pPr>
        <w:jc w:val="right"/>
        <w:ind w:right="80"/>
        <w:spacing w:after="0"/>
        <w:rPr>
          <w:sz w:val="20"/>
          <w:szCs w:val="20"/>
          <w:color w:val="auto"/>
        </w:rPr>
      </w:pPr>
      <w:r>
        <w:rPr>
          <w:rFonts w:ascii="Arial" w:cs="Arial" w:eastAsia="Arial" w:hAnsi="Arial"/>
          <w:sz w:val="16"/>
          <w:szCs w:val="16"/>
          <w:b w:val="1"/>
          <w:bCs w:val="1"/>
          <w:color w:val="auto"/>
        </w:rPr>
        <w:t>10,776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38100</wp:posOffset>
            </wp:positionV>
            <wp:extent cx="101155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11555" cy="171450"/>
                    </a:xfrm>
                    <a:prstGeom prst="rect">
                      <a:avLst/>
                    </a:prstGeom>
                    <a:noFill/>
                  </pic:spPr>
                </pic:pic>
              </a:graphicData>
            </a:graphic>
          </wp:anchor>
        </w:drawing>
      </w:r>
    </w:p>
    <w:p>
      <w:pPr>
        <w:spacing w:after="0" w:line="66"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38100</wp:posOffset>
            </wp:positionV>
            <wp:extent cx="10115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spacing w:after="0" w:line="66" w:lineRule="exact"/>
        <w:rPr>
          <w:sz w:val="20"/>
          <w:szCs w:val="20"/>
          <w:color w:val="auto"/>
        </w:rPr>
      </w:pPr>
    </w:p>
    <w:p>
      <w:pPr>
        <w:jc w:val="right"/>
        <w:ind w:right="80"/>
        <w:spacing w:after="0"/>
        <w:rPr>
          <w:sz w:val="20"/>
          <w:szCs w:val="20"/>
          <w:color w:val="auto"/>
        </w:rPr>
      </w:pPr>
      <w:r>
        <w:rPr>
          <w:rFonts w:ascii="Arial" w:cs="Arial" w:eastAsia="Arial" w:hAnsi="Arial"/>
          <w:sz w:val="16"/>
          <w:szCs w:val="16"/>
          <w:b w:val="1"/>
          <w:bCs w:val="1"/>
          <w:color w:val="auto"/>
        </w:rPr>
        <w:t>10,824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38100</wp:posOffset>
            </wp:positionV>
            <wp:extent cx="1011555" cy="188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11555" cy="188595"/>
                    </a:xfrm>
                    <a:prstGeom prst="rect">
                      <a:avLst/>
                    </a:prstGeom>
                    <a:noFill/>
                  </pic:spPr>
                </pic:pic>
              </a:graphicData>
            </a:graphic>
          </wp:anchor>
        </w:drawing>
      </w:r>
    </w:p>
    <w:p>
      <w:pPr>
        <w:spacing w:after="0" w:line="66" w:lineRule="exact"/>
        <w:rPr>
          <w:sz w:val="20"/>
          <w:szCs w:val="20"/>
          <w:color w:val="auto"/>
        </w:rPr>
      </w:pPr>
    </w:p>
    <w:p>
      <w:pPr>
        <w:ind w:left="1020" w:hanging="1015"/>
        <w:spacing w:after="0"/>
        <w:tabs>
          <w:tab w:leader="none" w:pos="1020"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16,799</w:t>
      </w:r>
    </w:p>
    <w:p>
      <w:pPr>
        <w:spacing w:after="0" w:line="298" w:lineRule="exact"/>
        <w:rPr>
          <w:sz w:val="20"/>
          <w:szCs w:val="20"/>
          <w:color w:val="auto"/>
        </w:rPr>
      </w:pPr>
    </w:p>
    <w:p>
      <w:pPr>
        <w:sectPr>
          <w:pgSz w:w="11900" w:h="16838" w:orient="portrait"/>
          <w:cols w:equalWidth="0" w:num="2">
            <w:col w:w="9560" w:space="100"/>
            <w:col w:w="1580"/>
          </w:cols>
          <w:pgMar w:left="320" w:top="98" w:right="339" w:bottom="57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interim condensed consolidated financial statements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574"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INTERIM CONDENSED CONSOLIDATED STATEMENTS OF OPERATIONS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Three Months Ended March 31, 2025 and 2024</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00" w:type="dxa"/>
            <w:vAlign w:val="bottom"/>
          </w:tcPr>
          <w:p>
            <w:pPr>
              <w:spacing w:after="0"/>
              <w:rPr>
                <w:sz w:val="19"/>
                <w:szCs w:val="19"/>
                <w:color w:val="auto"/>
              </w:rPr>
            </w:pPr>
          </w:p>
        </w:tc>
        <w:tc>
          <w:tcPr>
            <w:tcW w:w="300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540" w:type="dxa"/>
            <w:vAlign w:val="bottom"/>
          </w:tcPr>
          <w:p>
            <w:pPr>
              <w:spacing w:after="0"/>
              <w:rPr>
                <w:sz w:val="19"/>
                <w:szCs w:val="19"/>
                <w:color w:val="auto"/>
              </w:rPr>
            </w:pPr>
          </w:p>
        </w:tc>
      </w:tr>
      <w:tr>
        <w:trPr>
          <w:trHeight w:val="21"/>
        </w:trPr>
        <w:tc>
          <w:tcPr>
            <w:tcW w:w="77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229"/>
        </w:trPr>
        <w:tc>
          <w:tcPr>
            <w:tcW w:w="770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b w:val="1"/>
                <w:bCs w:val="1"/>
                <w:color w:val="auto"/>
              </w:rPr>
              <w:t>2025</w:t>
            </w:r>
          </w:p>
        </w:tc>
        <w:tc>
          <w:tcPr>
            <w:tcW w:w="580" w:type="dxa"/>
            <w:vAlign w:val="bottom"/>
          </w:tcPr>
          <w:p>
            <w:pPr>
              <w:spacing w:after="0"/>
              <w:rPr>
                <w:sz w:val="19"/>
                <w:szCs w:val="19"/>
                <w:color w:val="auto"/>
              </w:rPr>
            </w:pPr>
          </w:p>
        </w:tc>
        <w:tc>
          <w:tcPr>
            <w:tcW w:w="126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2024</w:t>
            </w:r>
          </w:p>
        </w:tc>
        <w:tc>
          <w:tcPr>
            <w:tcW w:w="540" w:type="dxa"/>
            <w:vAlign w:val="bottom"/>
          </w:tcPr>
          <w:p>
            <w:pPr>
              <w:spacing w:after="0"/>
              <w:rPr>
                <w:sz w:val="19"/>
                <w:szCs w:val="19"/>
                <w:color w:val="auto"/>
              </w:rPr>
            </w:pPr>
          </w:p>
        </w:tc>
      </w:tr>
      <w:tr>
        <w:trPr>
          <w:trHeight w:val="21"/>
        </w:trPr>
        <w:tc>
          <w:tcPr>
            <w:tcW w:w="77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230"/>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116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1,585</w:t>
            </w:r>
          </w:p>
        </w:tc>
        <w:tc>
          <w:tcPr>
            <w:tcW w:w="80" w:type="dxa"/>
            <w:vAlign w:val="bottom"/>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1,549</w:t>
            </w:r>
          </w:p>
        </w:tc>
      </w:tr>
      <w:tr>
        <w:trPr>
          <w:trHeight w:val="228"/>
        </w:trPr>
        <w:tc>
          <w:tcPr>
            <w:tcW w:w="770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1,230</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1,156</w:t>
            </w:r>
          </w:p>
        </w:tc>
      </w:tr>
      <w:tr>
        <w:trPr>
          <w:trHeight w:val="29"/>
        </w:trPr>
        <w:tc>
          <w:tcPr>
            <w:tcW w:w="77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Gross profit</w:t>
            </w:r>
          </w:p>
        </w:tc>
        <w:tc>
          <w:tcPr>
            <w:tcW w:w="1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355</w:t>
            </w:r>
          </w:p>
        </w:tc>
        <w:tc>
          <w:tcPr>
            <w:tcW w:w="80" w:type="dxa"/>
            <w:vAlign w:val="bottom"/>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393</w:t>
            </w:r>
          </w:p>
        </w:tc>
      </w:tr>
      <w:tr>
        <w:trPr>
          <w:trHeight w:val="221"/>
        </w:trPr>
        <w:tc>
          <w:tcPr>
            <w:tcW w:w="7700" w:type="dxa"/>
            <w:vAlign w:val="bottom"/>
          </w:tcPr>
          <w:p>
            <w:pPr>
              <w:ind w:left="20"/>
              <w:spacing w:after="0"/>
              <w:rPr>
                <w:sz w:val="20"/>
                <w:szCs w:val="20"/>
                <w:color w:val="auto"/>
              </w:rPr>
            </w:pPr>
            <w:r>
              <w:rPr>
                <w:rFonts w:ascii="Arial" w:cs="Arial" w:eastAsia="Arial" w:hAnsi="Arial"/>
                <w:sz w:val="16"/>
                <w:szCs w:val="16"/>
                <w:color w:val="auto"/>
              </w:rPr>
              <w:t>Research and development expenses</w:t>
            </w:r>
          </w:p>
        </w:tc>
        <w:tc>
          <w:tcPr>
            <w:tcW w:w="1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127</w:t>
            </w:r>
          </w:p>
        </w:tc>
        <w:tc>
          <w:tcPr>
            <w:tcW w:w="8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124</w:t>
            </w:r>
          </w:p>
        </w:tc>
      </w:tr>
      <w:tr>
        <w:trPr>
          <w:trHeight w:val="29"/>
        </w:trPr>
        <w:tc>
          <w:tcPr>
            <w:tcW w:w="7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7"/>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 and other</w:t>
            </w:r>
          </w:p>
        </w:tc>
        <w:tc>
          <w:tcPr>
            <w:tcW w:w="11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80" w:type="dxa"/>
            <w:vAlign w:val="bottom"/>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w:t>
            </w:r>
          </w:p>
        </w:tc>
      </w:tr>
      <w:tr>
        <w:trPr>
          <w:trHeight w:val="229"/>
        </w:trPr>
        <w:tc>
          <w:tcPr>
            <w:tcW w:w="770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1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204</w:t>
            </w:r>
          </w:p>
        </w:tc>
        <w:tc>
          <w:tcPr>
            <w:tcW w:w="8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246</w:t>
            </w:r>
          </w:p>
        </w:tc>
      </w:tr>
      <w:tr>
        <w:trPr>
          <w:trHeight w:val="21"/>
        </w:trPr>
        <w:tc>
          <w:tcPr>
            <w:tcW w:w="77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230"/>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Income from operations</w:t>
            </w:r>
          </w:p>
        </w:tc>
        <w:tc>
          <w:tcPr>
            <w:tcW w:w="11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151</w:t>
            </w:r>
          </w:p>
        </w:tc>
        <w:tc>
          <w:tcPr>
            <w:tcW w:w="80" w:type="dxa"/>
            <w:vAlign w:val="bottom"/>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147</w:t>
            </w:r>
          </w:p>
        </w:tc>
      </w:tr>
      <w:tr>
        <w:trPr>
          <w:trHeight w:val="227"/>
        </w:trPr>
        <w:tc>
          <w:tcPr>
            <w:tcW w:w="7700" w:type="dxa"/>
            <w:vAlign w:val="bottom"/>
          </w:tcPr>
          <w:p>
            <w:pPr>
              <w:ind w:left="20"/>
              <w:spacing w:after="0"/>
              <w:rPr>
                <w:sz w:val="20"/>
                <w:szCs w:val="20"/>
                <w:color w:val="auto"/>
              </w:rPr>
            </w:pPr>
            <w:r>
              <w:rPr>
                <w:rFonts w:ascii="Arial" w:cs="Arial" w:eastAsia="Arial" w:hAnsi="Arial"/>
                <w:sz w:val="16"/>
                <w:szCs w:val="16"/>
                <w:color w:val="auto"/>
              </w:rPr>
              <w:t>Finance income (expense) net</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9"/>
        </w:trPr>
        <w:tc>
          <w:tcPr>
            <w:tcW w:w="7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6"/>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11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80" w:type="dxa"/>
            <w:vAlign w:val="bottom"/>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29"/>
        </w:trPr>
        <w:tc>
          <w:tcPr>
            <w:tcW w:w="770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1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195</w:t>
            </w:r>
          </w:p>
        </w:tc>
        <w:tc>
          <w:tcPr>
            <w:tcW w:w="8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155</w:t>
            </w:r>
          </w:p>
        </w:tc>
      </w:tr>
      <w:tr>
        <w:trPr>
          <w:trHeight w:val="21"/>
        </w:trPr>
        <w:tc>
          <w:tcPr>
            <w:tcW w:w="7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7"/>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(expense) benefit</w:t>
            </w:r>
          </w:p>
        </w:tc>
        <w:tc>
          <w:tcPr>
            <w:tcW w:w="11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80" w:type="dxa"/>
            <w:vAlign w:val="bottom"/>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29"/>
        </w:trPr>
        <w:tc>
          <w:tcPr>
            <w:tcW w:w="770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1160" w:type="dxa"/>
            <w:vAlign w:val="bottom"/>
            <w:tcBorders>
              <w:top w:val="single" w:sz="8" w:color="auto"/>
            </w:tcBorders>
          </w:tcPr>
          <w:p>
            <w:pPr>
              <w:jc w:val="right"/>
              <w:ind w:right="959"/>
              <w:spacing w:after="0"/>
              <w:rPr>
                <w:sz w:val="20"/>
                <w:szCs w:val="20"/>
                <w:color w:val="auto"/>
              </w:rPr>
            </w:pPr>
            <w:r>
              <w:rPr>
                <w:rFonts w:ascii="Arial" w:cs="Arial" w:eastAsia="Arial" w:hAnsi="Arial"/>
                <w:sz w:val="16"/>
                <w:szCs w:val="16"/>
                <w:b w:val="1"/>
                <w:bCs w:val="1"/>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211</w:t>
            </w:r>
          </w:p>
        </w:tc>
        <w:tc>
          <w:tcPr>
            <w:tcW w:w="80" w:type="dxa"/>
            <w:vAlign w:val="bottom"/>
          </w:tcPr>
          <w:p>
            <w:pPr>
              <w:spacing w:after="0"/>
              <w:rPr>
                <w:sz w:val="19"/>
                <w:szCs w:val="19"/>
                <w:color w:val="auto"/>
              </w:rPr>
            </w:pPr>
          </w:p>
        </w:tc>
        <w:tc>
          <w:tcPr>
            <w:tcW w:w="1180" w:type="dxa"/>
            <w:vAlign w:val="bottom"/>
            <w:tcBorders>
              <w:top w:val="single" w:sz="8" w:color="auto"/>
            </w:tcBorders>
          </w:tcPr>
          <w:p>
            <w:pPr>
              <w:jc w:val="right"/>
              <w:ind w:right="979"/>
              <w:spacing w:after="0"/>
              <w:rPr>
                <w:sz w:val="20"/>
                <w:szCs w:val="20"/>
                <w:color w:val="auto"/>
              </w:rPr>
            </w:pPr>
            <w:r>
              <w:rPr>
                <w:rFonts w:ascii="Arial" w:cs="Arial" w:eastAsia="Arial" w:hAnsi="Arial"/>
                <w:sz w:val="16"/>
                <w:szCs w:val="16"/>
                <w:b w:val="1"/>
                <w:bCs w:val="1"/>
                <w:color w:val="auto"/>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134</w:t>
            </w:r>
          </w:p>
        </w:tc>
      </w:tr>
      <w:tr>
        <w:trPr>
          <w:trHeight w:val="21"/>
        </w:trPr>
        <w:tc>
          <w:tcPr>
            <w:tcW w:w="77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217"/>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Attributable to:</w:t>
            </w:r>
          </w:p>
        </w:tc>
        <w:tc>
          <w:tcPr>
            <w:tcW w:w="11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r>
      <w:tr>
        <w:trPr>
          <w:trHeight w:val="227"/>
        </w:trPr>
        <w:tc>
          <w:tcPr>
            <w:tcW w:w="7700" w:type="dxa"/>
            <w:vAlign w:val="bottom"/>
          </w:tcPr>
          <w:p>
            <w:pPr>
              <w:ind w:left="20"/>
              <w:spacing w:after="0"/>
              <w:rPr>
                <w:sz w:val="20"/>
                <w:szCs w:val="20"/>
                <w:color w:val="auto"/>
              </w:rPr>
            </w:pPr>
            <w:r>
              <w:rPr>
                <w:rFonts w:ascii="Arial" w:cs="Arial" w:eastAsia="Arial" w:hAnsi="Arial"/>
                <w:sz w:val="16"/>
                <w:szCs w:val="16"/>
                <w:color w:val="auto"/>
              </w:rPr>
              <w:t>Shareholders of GLOBALFOUNDRIES Inc.</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210</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133</w:t>
            </w:r>
          </w:p>
        </w:tc>
      </w:tr>
      <w:tr>
        <w:trPr>
          <w:trHeight w:val="29"/>
        </w:trPr>
        <w:tc>
          <w:tcPr>
            <w:tcW w:w="7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6"/>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Non-controlling interests</w:t>
            </w:r>
          </w:p>
        </w:tc>
        <w:tc>
          <w:tcPr>
            <w:tcW w:w="11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57"/>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income</w:t>
            </w:r>
          </w:p>
        </w:tc>
        <w:tc>
          <w:tcPr>
            <w:tcW w:w="1160" w:type="dxa"/>
            <w:vAlign w:val="bottom"/>
            <w:tcBorders>
              <w:top w:val="single" w:sz="8" w:color="auto"/>
              <w:bottom w:val="single" w:sz="8" w:color="auto"/>
            </w:tcBorders>
          </w:tcPr>
          <w:p>
            <w:pPr>
              <w:jc w:val="right"/>
              <w:ind w:right="959"/>
              <w:spacing w:after="0"/>
              <w:rPr>
                <w:sz w:val="20"/>
                <w:szCs w:val="20"/>
                <w:color w:val="auto"/>
              </w:rPr>
            </w:pPr>
            <w:r>
              <w:rPr>
                <w:rFonts w:ascii="Arial" w:cs="Arial" w:eastAsia="Arial" w:hAnsi="Arial"/>
                <w:sz w:val="16"/>
                <w:szCs w:val="16"/>
                <w:b w:val="1"/>
                <w:bCs w:val="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211</w:t>
            </w:r>
          </w:p>
        </w:tc>
        <w:tc>
          <w:tcPr>
            <w:tcW w:w="80" w:type="dxa"/>
            <w:vAlign w:val="bottom"/>
          </w:tcPr>
          <w:p>
            <w:pPr>
              <w:spacing w:after="0"/>
              <w:rPr>
                <w:sz w:val="22"/>
                <w:szCs w:val="22"/>
                <w:color w:val="auto"/>
              </w:rPr>
            </w:pPr>
          </w:p>
        </w:tc>
        <w:tc>
          <w:tcPr>
            <w:tcW w:w="1180" w:type="dxa"/>
            <w:vAlign w:val="bottom"/>
            <w:tcBorders>
              <w:top w:val="single" w:sz="8" w:color="auto"/>
              <w:bottom w:val="single" w:sz="8" w:color="auto"/>
            </w:tcBorders>
          </w:tcPr>
          <w:p>
            <w:pPr>
              <w:jc w:val="right"/>
              <w:ind w:right="979"/>
              <w:spacing w:after="0"/>
              <w:rPr>
                <w:sz w:val="20"/>
                <w:szCs w:val="20"/>
                <w:color w:val="auto"/>
              </w:rPr>
            </w:pPr>
            <w:r>
              <w:rPr>
                <w:rFonts w:ascii="Arial" w:cs="Arial" w:eastAsia="Arial" w:hAnsi="Arial"/>
                <w:sz w:val="16"/>
                <w:szCs w:val="16"/>
                <w:b w:val="1"/>
                <w:bCs w:val="1"/>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134</w:t>
            </w:r>
          </w:p>
        </w:tc>
      </w:tr>
      <w:tr>
        <w:trPr>
          <w:trHeight w:val="223"/>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earnings per share attributable to the equity holders of the Company:</w:t>
            </w:r>
          </w:p>
        </w:tc>
        <w:tc>
          <w:tcPr>
            <w:tcW w:w="11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r>
      <w:tr>
        <w:trPr>
          <w:trHeight w:val="228"/>
        </w:trPr>
        <w:tc>
          <w:tcPr>
            <w:tcW w:w="7700" w:type="dxa"/>
            <w:vAlign w:val="bottom"/>
          </w:tcPr>
          <w:p>
            <w:pPr>
              <w:ind w:left="20"/>
              <w:spacing w:after="0"/>
              <w:rPr>
                <w:sz w:val="20"/>
                <w:szCs w:val="20"/>
                <w:color w:val="auto"/>
              </w:rPr>
            </w:pPr>
            <w:r>
              <w:rPr>
                <w:rFonts w:ascii="Arial" w:cs="Arial" w:eastAsia="Arial" w:hAnsi="Arial"/>
                <w:sz w:val="16"/>
                <w:szCs w:val="16"/>
                <w:color w:val="auto"/>
              </w:rPr>
              <w:t>Basic</w:t>
            </w:r>
          </w:p>
        </w:tc>
        <w:tc>
          <w:tcPr>
            <w:tcW w:w="1160" w:type="dxa"/>
            <w:vAlign w:val="bottom"/>
          </w:tcPr>
          <w:p>
            <w:pPr>
              <w:jc w:val="right"/>
              <w:ind w:right="95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0.38</w:t>
            </w:r>
          </w:p>
        </w:tc>
        <w:tc>
          <w:tcPr>
            <w:tcW w:w="1260" w:type="dxa"/>
            <w:vAlign w:val="bottom"/>
            <w:gridSpan w:val="2"/>
          </w:tcPr>
          <w:p>
            <w:pPr>
              <w:jc w:val="right"/>
              <w:ind w:right="97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0.24</w:t>
            </w:r>
          </w:p>
        </w:tc>
      </w:tr>
      <w:tr>
        <w:trPr>
          <w:trHeight w:val="29"/>
        </w:trPr>
        <w:tc>
          <w:tcPr>
            <w:tcW w:w="7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540" w:type="dxa"/>
            <w:vAlign w:val="bottom"/>
          </w:tcPr>
          <w:p>
            <w:pPr>
              <w:spacing w:after="0"/>
              <w:rPr>
                <w:sz w:val="2"/>
                <w:szCs w:val="2"/>
                <w:color w:val="auto"/>
              </w:rPr>
            </w:pPr>
          </w:p>
        </w:tc>
      </w:tr>
      <w:tr>
        <w:trPr>
          <w:trHeight w:val="237"/>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116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0.38</w:t>
            </w:r>
          </w:p>
        </w:tc>
        <w:tc>
          <w:tcPr>
            <w:tcW w:w="80" w:type="dxa"/>
            <w:vAlign w:val="bottom"/>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0.24</w:t>
            </w:r>
          </w:p>
        </w:tc>
      </w:tr>
      <w:tr>
        <w:trPr>
          <w:trHeight w:val="228"/>
        </w:trPr>
        <w:tc>
          <w:tcPr>
            <w:tcW w:w="770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9"/>
        </w:trPr>
        <w:tc>
          <w:tcPr>
            <w:tcW w:w="7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7"/>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11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80" w:type="dxa"/>
            <w:vAlign w:val="bottom"/>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555</w:t>
            </w:r>
          </w:p>
        </w:tc>
      </w:tr>
      <w:tr>
        <w:trPr>
          <w:trHeight w:val="228"/>
        </w:trPr>
        <w:tc>
          <w:tcPr>
            <w:tcW w:w="7700" w:type="dxa"/>
            <w:vAlign w:val="bottom"/>
          </w:tcPr>
          <w:p>
            <w:pPr>
              <w:ind w:left="20"/>
              <w:spacing w:after="0"/>
              <w:rPr>
                <w:sz w:val="20"/>
                <w:szCs w:val="20"/>
                <w:color w:val="auto"/>
              </w:rPr>
            </w:pPr>
            <w:r>
              <w:rPr>
                <w:rFonts w:ascii="Arial" w:cs="Arial" w:eastAsia="Arial" w:hAnsi="Arial"/>
                <w:sz w:val="16"/>
                <w:szCs w:val="16"/>
                <w:color w:val="auto"/>
              </w:rPr>
              <w:t>Diluted</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557</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558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interim condensed consolidated financial statements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INTERIM CONDENSED CONSOLIDATED STATEMENTS OF COMPREHENSIVE INCOME (LOSS)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Three Months Ended March 31, 2025 and 2024</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80" w:type="dxa"/>
            <w:vAlign w:val="bottom"/>
          </w:tcPr>
          <w:p>
            <w:pPr>
              <w:spacing w:after="0"/>
              <w:rPr>
                <w:sz w:val="19"/>
                <w:szCs w:val="19"/>
                <w:color w:val="auto"/>
              </w:rPr>
            </w:pPr>
          </w:p>
        </w:tc>
        <w:tc>
          <w:tcPr>
            <w:tcW w:w="3080" w:type="dxa"/>
            <w:vAlign w:val="bottom"/>
            <w:gridSpan w:val="4"/>
          </w:tcPr>
          <w:p>
            <w:pPr>
              <w:jc w:val="right"/>
              <w:ind w:right="39"/>
              <w:spacing w:after="0"/>
              <w:rPr>
                <w:sz w:val="20"/>
                <w:szCs w:val="20"/>
                <w:color w:val="auto"/>
              </w:rPr>
            </w:pPr>
            <w:r>
              <w:rPr>
                <w:rFonts w:ascii="Arial" w:cs="Arial" w:eastAsia="Arial" w:hAnsi="Arial"/>
                <w:sz w:val="16"/>
                <w:szCs w:val="16"/>
                <w:b w:val="1"/>
                <w:bCs w:val="1"/>
                <w:color w:val="auto"/>
              </w:rPr>
              <w:t>Three Months Ended March 31</w:t>
            </w:r>
          </w:p>
        </w:tc>
        <w:tc>
          <w:tcPr>
            <w:tcW w:w="480" w:type="dxa"/>
            <w:vAlign w:val="bottom"/>
          </w:tcPr>
          <w:p>
            <w:pPr>
              <w:spacing w:after="0"/>
              <w:rPr>
                <w:sz w:val="19"/>
                <w:szCs w:val="19"/>
                <w:color w:val="auto"/>
              </w:rPr>
            </w:pPr>
          </w:p>
        </w:tc>
      </w:tr>
      <w:tr>
        <w:trPr>
          <w:trHeight w:val="21"/>
        </w:trPr>
        <w:tc>
          <w:tcPr>
            <w:tcW w:w="76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229"/>
        </w:trPr>
        <w:tc>
          <w:tcPr>
            <w:tcW w:w="7680" w:type="dxa"/>
            <w:vAlign w:val="bottom"/>
          </w:tcPr>
          <w:p>
            <w:pPr>
              <w:spacing w:after="0"/>
              <w:rPr>
                <w:sz w:val="19"/>
                <w:szCs w:val="19"/>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b w:val="1"/>
                <w:bCs w:val="1"/>
                <w:color w:val="auto"/>
              </w:rPr>
              <w:t>2025</w:t>
            </w:r>
          </w:p>
        </w:tc>
        <w:tc>
          <w:tcPr>
            <w:tcW w:w="520" w:type="dxa"/>
            <w:vAlign w:val="bottom"/>
          </w:tcPr>
          <w:p>
            <w:pPr>
              <w:spacing w:after="0"/>
              <w:rPr>
                <w:sz w:val="19"/>
                <w:szCs w:val="19"/>
                <w:color w:val="auto"/>
              </w:rPr>
            </w:pPr>
          </w:p>
        </w:tc>
        <w:tc>
          <w:tcPr>
            <w:tcW w:w="134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2024</w:t>
            </w:r>
          </w:p>
        </w:tc>
        <w:tc>
          <w:tcPr>
            <w:tcW w:w="480" w:type="dxa"/>
            <w:vAlign w:val="bottom"/>
          </w:tcPr>
          <w:p>
            <w:pPr>
              <w:spacing w:after="0"/>
              <w:rPr>
                <w:sz w:val="19"/>
                <w:szCs w:val="19"/>
                <w:color w:val="auto"/>
              </w:rPr>
            </w:pPr>
          </w:p>
        </w:tc>
      </w:tr>
      <w:tr>
        <w:trPr>
          <w:trHeight w:val="21"/>
        </w:trPr>
        <w:tc>
          <w:tcPr>
            <w:tcW w:w="76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217"/>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12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r>
      <w:tr>
        <w:trPr>
          <w:trHeight w:val="227"/>
        </w:trPr>
        <w:tc>
          <w:tcPr>
            <w:tcW w:w="7680" w:type="dxa"/>
            <w:vAlign w:val="bottom"/>
          </w:tcPr>
          <w:p>
            <w:pPr>
              <w:ind w:left="20"/>
              <w:spacing w:after="0"/>
              <w:rPr>
                <w:sz w:val="20"/>
                <w:szCs w:val="20"/>
                <w:color w:val="auto"/>
              </w:rPr>
            </w:pPr>
            <w:r>
              <w:rPr>
                <w:rFonts w:ascii="Arial" w:cs="Arial" w:eastAsia="Arial" w:hAnsi="Arial"/>
                <w:sz w:val="16"/>
                <w:szCs w:val="16"/>
                <w:color w:val="auto"/>
              </w:rPr>
              <w:t>Attributable to:</w:t>
            </w:r>
          </w:p>
        </w:tc>
        <w:tc>
          <w:tcPr>
            <w:tcW w:w="1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9"/>
        </w:trPr>
        <w:tc>
          <w:tcPr>
            <w:tcW w:w="76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480" w:type="dxa"/>
            <w:vAlign w:val="bottom"/>
          </w:tcPr>
          <w:p>
            <w:pPr>
              <w:spacing w:after="0"/>
              <w:rPr>
                <w:sz w:val="2"/>
                <w:szCs w:val="2"/>
                <w:color w:val="auto"/>
              </w:rPr>
            </w:pPr>
          </w:p>
        </w:tc>
      </w:tr>
      <w:tr>
        <w:trPr>
          <w:trHeight w:val="237"/>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Shareholders of GLOBALFOUNDRIES Inc.</w:t>
            </w: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05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w:t>
            </w:r>
          </w:p>
        </w:tc>
      </w:tr>
      <w:tr>
        <w:trPr>
          <w:trHeight w:val="228"/>
        </w:trPr>
        <w:tc>
          <w:tcPr>
            <w:tcW w:w="7680" w:type="dxa"/>
            <w:vAlign w:val="bottom"/>
          </w:tcPr>
          <w:p>
            <w:pPr>
              <w:ind w:left="20"/>
              <w:spacing w:after="0"/>
              <w:rPr>
                <w:sz w:val="20"/>
                <w:szCs w:val="20"/>
                <w:color w:val="auto"/>
              </w:rPr>
            </w:pPr>
            <w:r>
              <w:rPr>
                <w:rFonts w:ascii="Arial" w:cs="Arial" w:eastAsia="Arial" w:hAnsi="Arial"/>
                <w:sz w:val="16"/>
                <w:szCs w:val="16"/>
                <w:color w:val="auto"/>
              </w:rPr>
              <w:t>Non-controlling interests</w:t>
            </w:r>
          </w:p>
        </w:tc>
        <w:tc>
          <w:tcPr>
            <w:tcW w:w="1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9"/>
        </w:trPr>
        <w:tc>
          <w:tcPr>
            <w:tcW w:w="76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7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1220" w:type="dxa"/>
            <w:vAlign w:val="bottom"/>
            <w:tcBorders>
              <w:top w:val="single" w:sz="8" w:color="auto"/>
              <w:bottom w:val="single" w:sz="8" w:color="CCEEFF"/>
            </w:tcBorders>
            <w:shd w:val="clear" w:color="auto" w:fill="CCEEFF"/>
          </w:tcPr>
          <w:p>
            <w:pPr>
              <w:jc w:val="right"/>
              <w:ind w:right="1019"/>
              <w:spacing w:after="0"/>
              <w:rPr>
                <w:sz w:val="20"/>
                <w:szCs w:val="20"/>
                <w:color w:val="auto"/>
              </w:rPr>
            </w:pPr>
            <w:r>
              <w:rPr>
                <w:rFonts w:ascii="Arial" w:cs="Arial" w:eastAsia="Arial" w:hAnsi="Arial"/>
                <w:sz w:val="16"/>
                <w:szCs w:val="16"/>
                <w:b w:val="1"/>
                <w:bCs w:val="1"/>
                <w:color w:val="auto"/>
              </w:rPr>
              <w:t>$</w:t>
            </w: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211</w:t>
            </w:r>
          </w:p>
        </w:tc>
        <w:tc>
          <w:tcPr>
            <w:tcW w:w="100" w:type="dxa"/>
            <w:vAlign w:val="bottom"/>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ind w:right="1059"/>
              <w:spacing w:after="0"/>
              <w:rPr>
                <w:sz w:val="20"/>
                <w:szCs w:val="20"/>
                <w:color w:val="auto"/>
              </w:rPr>
            </w:pPr>
            <w:r>
              <w:rPr>
                <w:rFonts w:ascii="Arial" w:cs="Arial" w:eastAsia="Arial" w:hAnsi="Arial"/>
                <w:sz w:val="16"/>
                <w:szCs w:val="16"/>
                <w:b w:val="1"/>
                <w:bCs w:val="1"/>
                <w:color w:val="auto"/>
                <w:w w:val="89"/>
              </w:rPr>
              <w:t>$</w:t>
            </w:r>
          </w:p>
        </w:tc>
        <w:tc>
          <w:tcPr>
            <w:tcW w:w="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134</w:t>
            </w:r>
          </w:p>
        </w:tc>
      </w:tr>
      <w:tr>
        <w:trPr>
          <w:trHeight w:val="250"/>
        </w:trPr>
        <w:tc>
          <w:tcPr>
            <w:tcW w:w="7680" w:type="dxa"/>
            <w:vAlign w:val="bottom"/>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r>
      <w:tr>
        <w:trPr>
          <w:trHeight w:val="237"/>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Other comprehensive income (loss), net of tax:</w:t>
            </w:r>
          </w:p>
        </w:tc>
        <w:tc>
          <w:tcPr>
            <w:tcW w:w="12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r>
      <w:tr>
        <w:trPr>
          <w:trHeight w:val="235"/>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Items that may be reclassified subsequently to income:</w:t>
            </w:r>
          </w:p>
        </w:tc>
        <w:tc>
          <w:tcPr>
            <w:tcW w:w="1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1"/>
        </w:trPr>
        <w:tc>
          <w:tcPr>
            <w:tcW w:w="7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37"/>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Foreign exchange fluctuation reserve</w:t>
            </w: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05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28"/>
        </w:trPr>
        <w:tc>
          <w:tcPr>
            <w:tcW w:w="7680" w:type="dxa"/>
            <w:vAlign w:val="bottom"/>
          </w:tcPr>
          <w:p>
            <w:pPr>
              <w:ind w:left="20"/>
              <w:spacing w:after="0"/>
              <w:rPr>
                <w:sz w:val="20"/>
                <w:szCs w:val="20"/>
                <w:color w:val="auto"/>
              </w:rPr>
            </w:pPr>
            <w:r>
              <w:rPr>
                <w:rFonts w:ascii="Arial" w:cs="Arial" w:eastAsia="Arial" w:hAnsi="Arial"/>
                <w:sz w:val="16"/>
                <w:szCs w:val="16"/>
                <w:color w:val="auto"/>
              </w:rPr>
              <w:t>Effective portion of changes in the fair value of cash flow hedges</w:t>
            </w:r>
          </w:p>
        </w:tc>
        <w:tc>
          <w:tcPr>
            <w:tcW w:w="1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9"/>
        </w:trPr>
        <w:tc>
          <w:tcPr>
            <w:tcW w:w="76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7"/>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Fair value gain (loss) on investments measured at fair value through other comprehensive income</w:t>
            </w:r>
          </w:p>
        </w:tc>
        <w:tc>
          <w:tcPr>
            <w:tcW w:w="12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Total other comprehensive income (loss)</w:t>
            </w:r>
          </w:p>
        </w:tc>
        <w:tc>
          <w:tcPr>
            <w:tcW w:w="1220" w:type="dxa"/>
            <w:vAlign w:val="bottom"/>
            <w:tcBorders>
              <w:top w:val="single" w:sz="8" w:color="auto"/>
            </w:tcBorders>
          </w:tcPr>
          <w:p>
            <w:pPr>
              <w:jc w:val="right"/>
              <w:ind w:right="1019"/>
              <w:spacing w:after="0"/>
              <w:rPr>
                <w:sz w:val="20"/>
                <w:szCs w:val="20"/>
                <w:color w:val="auto"/>
              </w:rPr>
            </w:pPr>
            <w:r>
              <w:rPr>
                <w:rFonts w:ascii="Arial" w:cs="Arial" w:eastAsia="Arial" w:hAnsi="Arial"/>
                <w:sz w:val="16"/>
                <w:szCs w:val="16"/>
                <w:b w:val="1"/>
                <w:bCs w:val="1"/>
                <w:color w:val="auto"/>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37</w:t>
            </w:r>
          </w:p>
        </w:tc>
        <w:tc>
          <w:tcPr>
            <w:tcW w:w="100" w:type="dxa"/>
            <w:vAlign w:val="bottom"/>
          </w:tcPr>
          <w:p>
            <w:pPr>
              <w:spacing w:after="0"/>
              <w:rPr>
                <w:sz w:val="19"/>
                <w:szCs w:val="19"/>
                <w:color w:val="auto"/>
              </w:rPr>
            </w:pPr>
          </w:p>
        </w:tc>
        <w:tc>
          <w:tcPr>
            <w:tcW w:w="1240" w:type="dxa"/>
            <w:vAlign w:val="bottom"/>
            <w:tcBorders>
              <w:top w:val="single" w:sz="8" w:color="auto"/>
            </w:tcBorders>
          </w:tcPr>
          <w:p>
            <w:pPr>
              <w:jc w:val="right"/>
              <w:ind w:right="1059"/>
              <w:spacing w:after="0"/>
              <w:rPr>
                <w:sz w:val="20"/>
                <w:szCs w:val="20"/>
                <w:color w:val="auto"/>
              </w:rPr>
            </w:pPr>
            <w:r>
              <w:rPr>
                <w:rFonts w:ascii="Arial" w:cs="Arial" w:eastAsia="Arial" w:hAnsi="Arial"/>
                <w:sz w:val="16"/>
                <w:szCs w:val="16"/>
                <w:b w:val="1"/>
                <w:bCs w:val="1"/>
                <w:color w:val="auto"/>
                <w:w w:val="8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(28)</w:t>
            </w:r>
          </w:p>
        </w:tc>
      </w:tr>
      <w:tr>
        <w:trPr>
          <w:trHeight w:val="21"/>
        </w:trPr>
        <w:tc>
          <w:tcPr>
            <w:tcW w:w="76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250"/>
        </w:trPr>
        <w:tc>
          <w:tcPr>
            <w:tcW w:w="76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r>
      <w:tr>
        <w:trPr>
          <w:trHeight w:val="227"/>
        </w:trPr>
        <w:tc>
          <w:tcPr>
            <w:tcW w:w="7680" w:type="dxa"/>
            <w:vAlign w:val="bottom"/>
          </w:tcPr>
          <w:p>
            <w:pPr>
              <w:ind w:left="20"/>
              <w:spacing w:after="0"/>
              <w:rPr>
                <w:sz w:val="20"/>
                <w:szCs w:val="20"/>
                <w:color w:val="auto"/>
              </w:rPr>
            </w:pPr>
            <w:r>
              <w:rPr>
                <w:rFonts w:ascii="Arial" w:cs="Arial" w:eastAsia="Arial" w:hAnsi="Arial"/>
                <w:sz w:val="16"/>
                <w:szCs w:val="16"/>
                <w:color w:val="auto"/>
              </w:rPr>
              <w:t>Attributable to:</w:t>
            </w:r>
          </w:p>
        </w:tc>
        <w:tc>
          <w:tcPr>
            <w:tcW w:w="1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9"/>
        </w:trPr>
        <w:tc>
          <w:tcPr>
            <w:tcW w:w="76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480" w:type="dxa"/>
            <w:vAlign w:val="bottom"/>
          </w:tcPr>
          <w:p>
            <w:pPr>
              <w:spacing w:after="0"/>
              <w:rPr>
                <w:sz w:val="2"/>
                <w:szCs w:val="2"/>
                <w:color w:val="auto"/>
              </w:rPr>
            </w:pPr>
          </w:p>
        </w:tc>
      </w:tr>
      <w:tr>
        <w:trPr>
          <w:trHeight w:val="237"/>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Shareholders of GLOBALFOUNDRIES Inc.</w:t>
            </w: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05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28"/>
        </w:trPr>
        <w:tc>
          <w:tcPr>
            <w:tcW w:w="7680" w:type="dxa"/>
            <w:vAlign w:val="bottom"/>
          </w:tcPr>
          <w:p>
            <w:pPr>
              <w:ind w:left="20"/>
              <w:spacing w:after="0"/>
              <w:rPr>
                <w:sz w:val="20"/>
                <w:szCs w:val="20"/>
                <w:color w:val="auto"/>
              </w:rPr>
            </w:pPr>
            <w:r>
              <w:rPr>
                <w:rFonts w:ascii="Arial" w:cs="Arial" w:eastAsia="Arial" w:hAnsi="Arial"/>
                <w:sz w:val="16"/>
                <w:szCs w:val="16"/>
                <w:color w:val="auto"/>
              </w:rPr>
              <w:t>Non-controlling interests</w:t>
            </w:r>
          </w:p>
        </w:tc>
        <w:tc>
          <w:tcPr>
            <w:tcW w:w="1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9"/>
        </w:trPr>
        <w:tc>
          <w:tcPr>
            <w:tcW w:w="76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7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other comprehensive income (loss)</w:t>
            </w:r>
          </w:p>
        </w:tc>
        <w:tc>
          <w:tcPr>
            <w:tcW w:w="1220" w:type="dxa"/>
            <w:vAlign w:val="bottom"/>
            <w:tcBorders>
              <w:top w:val="single" w:sz="8" w:color="auto"/>
              <w:bottom w:val="single" w:sz="8" w:color="CCEEFF"/>
            </w:tcBorders>
            <w:shd w:val="clear" w:color="auto" w:fill="CCEEFF"/>
          </w:tcPr>
          <w:p>
            <w:pPr>
              <w:jc w:val="right"/>
              <w:ind w:right="1019"/>
              <w:spacing w:after="0"/>
              <w:rPr>
                <w:sz w:val="20"/>
                <w:szCs w:val="20"/>
                <w:color w:val="auto"/>
              </w:rPr>
            </w:pPr>
            <w:r>
              <w:rPr>
                <w:rFonts w:ascii="Arial" w:cs="Arial" w:eastAsia="Arial" w:hAnsi="Arial"/>
                <w:sz w:val="16"/>
                <w:szCs w:val="16"/>
                <w:b w:val="1"/>
                <w:bCs w:val="1"/>
                <w:color w:val="auto"/>
              </w:rPr>
              <w:t>$</w:t>
            </w: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37</w:t>
            </w:r>
          </w:p>
        </w:tc>
        <w:tc>
          <w:tcPr>
            <w:tcW w:w="100" w:type="dxa"/>
            <w:vAlign w:val="bottom"/>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ind w:right="1059"/>
              <w:spacing w:after="0"/>
              <w:rPr>
                <w:sz w:val="20"/>
                <w:szCs w:val="20"/>
                <w:color w:val="auto"/>
              </w:rPr>
            </w:pPr>
            <w:r>
              <w:rPr>
                <w:rFonts w:ascii="Arial" w:cs="Arial" w:eastAsia="Arial" w:hAnsi="Arial"/>
                <w:sz w:val="16"/>
                <w:szCs w:val="16"/>
                <w:b w:val="1"/>
                <w:bCs w:val="1"/>
                <w:color w:val="auto"/>
                <w:w w:val="89"/>
              </w:rPr>
              <w:t>$</w:t>
            </w:r>
          </w:p>
        </w:tc>
        <w:tc>
          <w:tcPr>
            <w:tcW w:w="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w:t>
            </w:r>
          </w:p>
        </w:tc>
      </w:tr>
      <w:tr>
        <w:trPr>
          <w:trHeight w:val="250"/>
        </w:trPr>
        <w:tc>
          <w:tcPr>
            <w:tcW w:w="7680" w:type="dxa"/>
            <w:vAlign w:val="bottom"/>
            <w:tcBorders>
              <w:bottom w:val="single" w:sz="8" w:color="CCEEFF"/>
            </w:tcBorders>
          </w:tcPr>
          <w:p>
            <w:pPr>
              <w:spacing w:after="0"/>
              <w:rPr>
                <w:sz w:val="21"/>
                <w:szCs w:val="21"/>
                <w:color w:val="auto"/>
              </w:rPr>
            </w:pPr>
          </w:p>
        </w:tc>
        <w:tc>
          <w:tcPr>
            <w:tcW w:w="122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Borders>
              <w:top w:val="single" w:sz="8" w:color="auto"/>
              <w:bottom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r>
      <w:tr>
        <w:trPr>
          <w:trHeight w:val="25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comprehensive income</w:t>
            </w: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248</w:t>
            </w:r>
          </w:p>
        </w:tc>
        <w:tc>
          <w:tcPr>
            <w:tcW w:w="100" w:type="dxa"/>
            <w:vAlign w:val="bottom"/>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59"/>
              <w:spacing w:after="0"/>
              <w:rPr>
                <w:sz w:val="20"/>
                <w:szCs w:val="20"/>
                <w:color w:val="auto"/>
              </w:rPr>
            </w:pPr>
            <w:r>
              <w:rPr>
                <w:rFonts w:ascii="Arial" w:cs="Arial" w:eastAsia="Arial" w:hAnsi="Arial"/>
                <w:sz w:val="16"/>
                <w:szCs w:val="16"/>
                <w:b w:val="1"/>
                <w:bCs w:val="1"/>
                <w:color w:val="auto"/>
                <w:w w:val="8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106</w:t>
            </w:r>
          </w:p>
        </w:tc>
      </w:tr>
      <w:tr>
        <w:trPr>
          <w:trHeight w:val="208"/>
        </w:trPr>
        <w:tc>
          <w:tcPr>
            <w:tcW w:w="7680" w:type="dxa"/>
            <w:vAlign w:val="bottom"/>
          </w:tcPr>
          <w:p>
            <w:pPr>
              <w:ind w:left="20"/>
              <w:spacing w:after="0"/>
              <w:rPr>
                <w:sz w:val="20"/>
                <w:szCs w:val="20"/>
                <w:color w:val="auto"/>
              </w:rPr>
            </w:pPr>
            <w:r>
              <w:rPr>
                <w:rFonts w:ascii="Arial" w:cs="Arial" w:eastAsia="Arial" w:hAnsi="Arial"/>
                <w:sz w:val="16"/>
                <w:szCs w:val="16"/>
                <w:color w:val="auto"/>
              </w:rPr>
              <w:t>Attributable to:</w:t>
            </w:r>
          </w:p>
        </w:tc>
        <w:tc>
          <w:tcPr>
            <w:tcW w:w="12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r>
      <w:tr>
        <w:trPr>
          <w:trHeight w:val="29"/>
        </w:trPr>
        <w:tc>
          <w:tcPr>
            <w:tcW w:w="76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480" w:type="dxa"/>
            <w:vAlign w:val="bottom"/>
          </w:tcPr>
          <w:p>
            <w:pPr>
              <w:spacing w:after="0"/>
              <w:rPr>
                <w:sz w:val="2"/>
                <w:szCs w:val="2"/>
                <w:color w:val="auto"/>
              </w:rPr>
            </w:pPr>
          </w:p>
        </w:tc>
      </w:tr>
      <w:tr>
        <w:trPr>
          <w:trHeight w:val="236"/>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Shareholders of GLOBALFOUNDRIES Inc.</w:t>
            </w: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100" w:type="dxa"/>
            <w:vAlign w:val="bottom"/>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05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w:t>
            </w:r>
          </w:p>
        </w:tc>
      </w:tr>
      <w:tr>
        <w:trPr>
          <w:trHeight w:val="228"/>
        </w:trPr>
        <w:tc>
          <w:tcPr>
            <w:tcW w:w="7680" w:type="dxa"/>
            <w:vAlign w:val="bottom"/>
          </w:tcPr>
          <w:p>
            <w:pPr>
              <w:ind w:left="20"/>
              <w:spacing w:after="0"/>
              <w:rPr>
                <w:sz w:val="20"/>
                <w:szCs w:val="20"/>
                <w:color w:val="auto"/>
              </w:rPr>
            </w:pPr>
            <w:r>
              <w:rPr>
                <w:rFonts w:ascii="Arial" w:cs="Arial" w:eastAsia="Arial" w:hAnsi="Arial"/>
                <w:sz w:val="16"/>
                <w:szCs w:val="16"/>
                <w:color w:val="auto"/>
              </w:rPr>
              <w:t>Non-controlling interests</w:t>
            </w:r>
          </w:p>
        </w:tc>
        <w:tc>
          <w:tcPr>
            <w:tcW w:w="1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9"/>
        </w:trPr>
        <w:tc>
          <w:tcPr>
            <w:tcW w:w="76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480" w:type="dxa"/>
            <w:vAlign w:val="bottom"/>
          </w:tcPr>
          <w:p>
            <w:pPr>
              <w:spacing w:after="0"/>
              <w:rPr>
                <w:sz w:val="2"/>
                <w:szCs w:val="2"/>
                <w:color w:val="auto"/>
              </w:rPr>
            </w:pPr>
          </w:p>
        </w:tc>
      </w:tr>
      <w:tr>
        <w:trPr>
          <w:trHeight w:val="230"/>
        </w:trPr>
        <w:tc>
          <w:tcPr>
            <w:tcW w:w="7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comprehensive income</w:t>
            </w:r>
          </w:p>
        </w:tc>
        <w:tc>
          <w:tcPr>
            <w:tcW w:w="1220" w:type="dxa"/>
            <w:vAlign w:val="bottom"/>
            <w:tcBorders>
              <w:top w:val="single" w:sz="8" w:color="auto"/>
              <w:bottom w:val="single" w:sz="8" w:color="CCEEFF"/>
            </w:tcBorders>
            <w:shd w:val="clear" w:color="auto" w:fill="CCEEFF"/>
          </w:tcPr>
          <w:p>
            <w:pPr>
              <w:jc w:val="right"/>
              <w:ind w:right="1019"/>
              <w:spacing w:after="0"/>
              <w:rPr>
                <w:sz w:val="20"/>
                <w:szCs w:val="20"/>
                <w:color w:val="auto"/>
              </w:rPr>
            </w:pPr>
            <w:r>
              <w:rPr>
                <w:rFonts w:ascii="Arial" w:cs="Arial" w:eastAsia="Arial" w:hAnsi="Arial"/>
                <w:sz w:val="16"/>
                <w:szCs w:val="16"/>
                <w:b w:val="1"/>
                <w:bCs w:val="1"/>
                <w:color w:val="auto"/>
              </w:rPr>
              <w:t>$</w:t>
            </w: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248</w:t>
            </w:r>
          </w:p>
        </w:tc>
        <w:tc>
          <w:tcPr>
            <w:tcW w:w="100" w:type="dxa"/>
            <w:vAlign w:val="bottom"/>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jc w:val="right"/>
              <w:ind w:right="1059"/>
              <w:spacing w:after="0"/>
              <w:rPr>
                <w:sz w:val="20"/>
                <w:szCs w:val="20"/>
                <w:color w:val="auto"/>
              </w:rPr>
            </w:pPr>
            <w:r>
              <w:rPr>
                <w:rFonts w:ascii="Arial" w:cs="Arial" w:eastAsia="Arial" w:hAnsi="Arial"/>
                <w:sz w:val="16"/>
                <w:szCs w:val="16"/>
                <w:b w:val="1"/>
                <w:bCs w:val="1"/>
                <w:color w:val="auto"/>
                <w:w w:val="89"/>
              </w:rPr>
              <w:t>$</w:t>
            </w:r>
          </w:p>
        </w:tc>
        <w:tc>
          <w:tcPr>
            <w:tcW w:w="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106</w:t>
            </w:r>
          </w:p>
        </w:tc>
      </w:tr>
      <w:tr>
        <w:trPr>
          <w:trHeight w:val="20"/>
        </w:trPr>
        <w:tc>
          <w:tcPr>
            <w:tcW w:w="76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interim condensed consolidated financial statements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22"/>
          <w:szCs w:val="22"/>
          <w:b w:val="1"/>
          <w:bCs w:val="1"/>
          <w:color w:val="auto"/>
        </w:rPr>
        <w:t>GLOBALFOUNDRIES Inc.</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INTERIM CONDENSED CONSOLIDATED STATEMENTS OF CASH FLOWS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 the Three Months Ended March 31, 2025 and 2024</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180" w:type="dxa"/>
            <w:vAlign w:val="bottom"/>
            <w:gridSpan w:val="4"/>
          </w:tcPr>
          <w:p>
            <w:pPr>
              <w:jc w:val="right"/>
              <w:ind w:right="519"/>
              <w:spacing w:after="0"/>
              <w:rPr>
                <w:sz w:val="20"/>
                <w:szCs w:val="20"/>
                <w:color w:val="auto"/>
              </w:rPr>
            </w:pPr>
            <w:r>
              <w:rPr>
                <w:rFonts w:ascii="Arial" w:cs="Arial" w:eastAsia="Arial" w:hAnsi="Arial"/>
                <w:sz w:val="16"/>
                <w:szCs w:val="16"/>
                <w:b w:val="1"/>
                <w:bCs w:val="1"/>
                <w:color w:val="auto"/>
              </w:rPr>
              <w:t>Three Months Ended March 31</w:t>
            </w:r>
          </w:p>
        </w:tc>
      </w:tr>
      <w:tr>
        <w:trPr>
          <w:trHeight w:val="21"/>
        </w:trPr>
        <w:tc>
          <w:tcPr>
            <w:tcW w:w="7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29"/>
        </w:trPr>
        <w:tc>
          <w:tcPr>
            <w:tcW w:w="7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jc w:val="right"/>
              <w:ind w:right="59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599"/>
              <w:spacing w:after="0"/>
              <w:rPr>
                <w:sz w:val="20"/>
                <w:szCs w:val="20"/>
                <w:color w:val="auto"/>
              </w:rPr>
            </w:pPr>
            <w:r>
              <w:rPr>
                <w:rFonts w:ascii="Arial" w:cs="Arial" w:eastAsia="Arial" w:hAnsi="Arial"/>
                <w:sz w:val="16"/>
                <w:szCs w:val="16"/>
                <w:b w:val="1"/>
                <w:bCs w:val="1"/>
                <w:color w:val="auto"/>
              </w:rPr>
              <w:t>2024</w:t>
            </w:r>
          </w:p>
        </w:tc>
      </w:tr>
      <w:tr>
        <w:trPr>
          <w:trHeight w:val="21"/>
        </w:trPr>
        <w:tc>
          <w:tcPr>
            <w:tcW w:w="76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17"/>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36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r>
      <w:tr>
        <w:trPr>
          <w:trHeight w:val="228"/>
        </w:trPr>
        <w:tc>
          <w:tcPr>
            <w:tcW w:w="76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211</w:t>
            </w:r>
          </w:p>
        </w:tc>
        <w:tc>
          <w:tcPr>
            <w:tcW w:w="50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134</w:t>
            </w:r>
          </w:p>
        </w:tc>
      </w:tr>
      <w:tr>
        <w:trPr>
          <w:trHeight w:val="29"/>
        </w:trPr>
        <w:tc>
          <w:tcPr>
            <w:tcW w:w="7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27"/>
        </w:trPr>
        <w:tc>
          <w:tcPr>
            <w:tcW w:w="768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352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392</w:t>
            </w:r>
          </w:p>
        </w:tc>
      </w:tr>
      <w:tr>
        <w:trPr>
          <w:trHeight w:val="29"/>
        </w:trPr>
        <w:tc>
          <w:tcPr>
            <w:tcW w:w="7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6"/>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Share-based compensation</w:t>
            </w:r>
          </w:p>
        </w:tc>
        <w:tc>
          <w:tcPr>
            <w:tcW w:w="3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r>
      <w:tr>
        <w:trPr>
          <w:trHeight w:val="228"/>
        </w:trPr>
        <w:tc>
          <w:tcPr>
            <w:tcW w:w="7680" w:type="dxa"/>
            <w:vAlign w:val="bottom"/>
          </w:tcPr>
          <w:p>
            <w:pPr>
              <w:ind w:left="20"/>
              <w:spacing w:after="0"/>
              <w:rPr>
                <w:sz w:val="20"/>
                <w:szCs w:val="20"/>
                <w:color w:val="auto"/>
              </w:rPr>
            </w:pPr>
            <w:r>
              <w:rPr>
                <w:rFonts w:ascii="Arial" w:cs="Arial" w:eastAsia="Arial" w:hAnsi="Arial"/>
                <w:sz w:val="16"/>
                <w:szCs w:val="16"/>
                <w:color w:val="auto"/>
              </w:rPr>
              <w:t>Gain on acquisition of joint venture interest</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7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Finance income</w:t>
            </w:r>
          </w:p>
        </w:tc>
        <w:tc>
          <w:tcPr>
            <w:tcW w:w="3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27"/>
        </w:trPr>
        <w:tc>
          <w:tcPr>
            <w:tcW w:w="7680" w:type="dxa"/>
            <w:vAlign w:val="bottom"/>
          </w:tcPr>
          <w:p>
            <w:pPr>
              <w:ind w:left="20"/>
              <w:spacing w:after="0"/>
              <w:rPr>
                <w:sz w:val="20"/>
                <w:szCs w:val="20"/>
                <w:color w:val="auto"/>
              </w:rPr>
            </w:pPr>
            <w:r>
              <w:rPr>
                <w:rFonts w:ascii="Arial" w:cs="Arial" w:eastAsia="Arial" w:hAnsi="Arial"/>
                <w:sz w:val="16"/>
                <w:szCs w:val="16"/>
                <w:color w:val="auto"/>
              </w:rPr>
              <w:t>Finance expense</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9"/>
        </w:trPr>
        <w:tc>
          <w:tcPr>
            <w:tcW w:w="7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6"/>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income taxes, net</w:t>
            </w:r>
          </w:p>
        </w:tc>
        <w:tc>
          <w:tcPr>
            <w:tcW w:w="3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28"/>
        </w:trPr>
        <w:tc>
          <w:tcPr>
            <w:tcW w:w="7680" w:type="dxa"/>
            <w:vAlign w:val="bottom"/>
          </w:tcPr>
          <w:p>
            <w:pPr>
              <w:ind w:left="20"/>
              <w:spacing w:after="0"/>
              <w:rPr>
                <w:sz w:val="20"/>
                <w:szCs w:val="20"/>
                <w:color w:val="auto"/>
              </w:rPr>
            </w:pPr>
            <w:r>
              <w:rPr>
                <w:rFonts w:ascii="Arial" w:cs="Arial" w:eastAsia="Arial" w:hAnsi="Arial"/>
                <w:sz w:val="16"/>
                <w:szCs w:val="16"/>
                <w:color w:val="auto"/>
              </w:rPr>
              <w:t>Gain on disposal of property, plant and equipment</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9"/>
        </w:trPr>
        <w:tc>
          <w:tcPr>
            <w:tcW w:w="7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operating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28"/>
        </w:trPr>
        <w:tc>
          <w:tcPr>
            <w:tcW w:w="7680" w:type="dxa"/>
            <w:vAlign w:val="bottom"/>
          </w:tcPr>
          <w:p>
            <w:pPr>
              <w:ind w:left="20"/>
              <w:spacing w:after="0"/>
              <w:rPr>
                <w:sz w:val="20"/>
                <w:szCs w:val="20"/>
                <w:color w:val="auto"/>
              </w:rPr>
            </w:pPr>
            <w:r>
              <w:rPr>
                <w:rFonts w:ascii="Arial" w:cs="Arial" w:eastAsia="Arial" w:hAnsi="Arial"/>
                <w:sz w:val="16"/>
                <w:szCs w:val="16"/>
                <w:color w:val="auto"/>
              </w:rPr>
              <w:t>Change in assets and liabilities, net of acquisitions:</w:t>
            </w: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9"/>
        </w:trPr>
        <w:tc>
          <w:tcPr>
            <w:tcW w:w="7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Receivables, prepayments and other assets</w:t>
            </w:r>
          </w:p>
        </w:tc>
        <w:tc>
          <w:tcPr>
            <w:tcW w:w="3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w:t>
            </w:r>
          </w:p>
        </w:tc>
      </w:tr>
      <w:tr>
        <w:trPr>
          <w:trHeight w:val="227"/>
        </w:trPr>
        <w:tc>
          <w:tcPr>
            <w:tcW w:w="7680" w:type="dxa"/>
            <w:vAlign w:val="bottom"/>
          </w:tcPr>
          <w:p>
            <w:pPr>
              <w:ind w:left="20"/>
              <w:spacing w:after="0"/>
              <w:rPr>
                <w:sz w:val="20"/>
                <w:szCs w:val="20"/>
                <w:color w:val="auto"/>
              </w:rPr>
            </w:pPr>
            <w:r>
              <w:rPr>
                <w:rFonts w:ascii="Arial" w:cs="Arial" w:eastAsia="Arial" w:hAnsi="Arial"/>
                <w:sz w:val="16"/>
                <w:szCs w:val="16"/>
                <w:color w:val="auto"/>
              </w:rPr>
              <w:t>Inventories</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(180)</w:t>
            </w:r>
          </w:p>
        </w:tc>
      </w:tr>
      <w:tr>
        <w:trPr>
          <w:trHeight w:val="29"/>
        </w:trPr>
        <w:tc>
          <w:tcPr>
            <w:tcW w:w="7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7"/>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Trade and other payables</w:t>
            </w:r>
          </w:p>
        </w:tc>
        <w:tc>
          <w:tcPr>
            <w:tcW w:w="3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r>
      <w:tr>
        <w:trPr>
          <w:trHeight w:val="221"/>
        </w:trPr>
        <w:tc>
          <w:tcPr>
            <w:tcW w:w="76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(97)</w:t>
            </w:r>
          </w:p>
        </w:tc>
      </w:tr>
      <w:tr>
        <w:trPr>
          <w:trHeight w:val="29"/>
        </w:trPr>
        <w:tc>
          <w:tcPr>
            <w:tcW w:w="7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received</w:t>
            </w:r>
          </w:p>
        </w:tc>
        <w:tc>
          <w:tcPr>
            <w:tcW w:w="3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28"/>
        </w:trPr>
        <w:tc>
          <w:tcPr>
            <w:tcW w:w="7680" w:type="dxa"/>
            <w:vAlign w:val="bottom"/>
          </w:tcPr>
          <w:p>
            <w:pPr>
              <w:ind w:left="20"/>
              <w:spacing w:after="0"/>
              <w:rPr>
                <w:sz w:val="20"/>
                <w:szCs w:val="20"/>
                <w:color w:val="auto"/>
              </w:rPr>
            </w:pPr>
            <w:r>
              <w:rPr>
                <w:rFonts w:ascii="Arial" w:cs="Arial" w:eastAsia="Arial" w:hAnsi="Arial"/>
                <w:sz w:val="16"/>
                <w:szCs w:val="16"/>
                <w:color w:val="auto"/>
              </w:rPr>
              <w:t>Interest paid</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9"/>
        </w:trPr>
        <w:tc>
          <w:tcPr>
            <w:tcW w:w="7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7"/>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taxes paid</w:t>
            </w:r>
          </w:p>
        </w:tc>
        <w:tc>
          <w:tcPr>
            <w:tcW w:w="3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29"/>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331</w:t>
            </w:r>
          </w:p>
        </w:tc>
        <w:tc>
          <w:tcPr>
            <w:tcW w:w="100" w:type="dxa"/>
            <w:vAlign w:val="bottom"/>
          </w:tcPr>
          <w:p>
            <w:pPr>
              <w:spacing w:after="0"/>
              <w:rPr>
                <w:sz w:val="19"/>
                <w:szCs w:val="19"/>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488</w:t>
            </w:r>
          </w:p>
        </w:tc>
      </w:tr>
      <w:tr>
        <w:trPr>
          <w:trHeight w:val="21"/>
        </w:trPr>
        <w:tc>
          <w:tcPr>
            <w:tcW w:w="76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50"/>
        </w:trPr>
        <w:tc>
          <w:tcPr>
            <w:tcW w:w="76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35"/>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1"/>
        </w:trPr>
        <w:tc>
          <w:tcPr>
            <w:tcW w:w="7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37"/>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Acquisition of joint venture interest, net of cash acquired</w:t>
            </w:r>
          </w:p>
        </w:tc>
        <w:tc>
          <w:tcPr>
            <w:tcW w:w="3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7680" w:type="dxa"/>
            <w:vAlign w:val="bottom"/>
          </w:tcPr>
          <w:p>
            <w:pPr>
              <w:ind w:left="20"/>
              <w:spacing w:after="0"/>
              <w:rPr>
                <w:sz w:val="20"/>
                <w:szCs w:val="20"/>
                <w:color w:val="auto"/>
              </w:rPr>
            </w:pPr>
            <w:r>
              <w:rPr>
                <w:rFonts w:ascii="Arial" w:cs="Arial" w:eastAsia="Arial" w:hAnsi="Arial"/>
                <w:sz w:val="16"/>
                <w:szCs w:val="16"/>
                <w:color w:val="auto"/>
              </w:rPr>
              <w:t>Purchases of property, plant and equipment and intangible assets</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(227)</w:t>
            </w:r>
          </w:p>
        </w:tc>
      </w:tr>
      <w:tr>
        <w:trPr>
          <w:trHeight w:val="29"/>
        </w:trPr>
        <w:tc>
          <w:tcPr>
            <w:tcW w:w="7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Purchases of marketable securities</w:t>
            </w:r>
          </w:p>
        </w:tc>
        <w:tc>
          <w:tcPr>
            <w:tcW w:w="3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100" w:type="dxa"/>
            <w:vAlign w:val="bottom"/>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(697)</w:t>
            </w:r>
          </w:p>
        </w:tc>
      </w:tr>
      <w:tr>
        <w:trPr>
          <w:trHeight w:val="228"/>
        </w:trPr>
        <w:tc>
          <w:tcPr>
            <w:tcW w:w="7680" w:type="dxa"/>
            <w:vAlign w:val="bottom"/>
          </w:tcPr>
          <w:p>
            <w:pPr>
              <w:ind w:left="20"/>
              <w:spacing w:after="0"/>
              <w:rPr>
                <w:sz w:val="20"/>
                <w:szCs w:val="20"/>
                <w:color w:val="auto"/>
              </w:rPr>
            </w:pPr>
            <w:r>
              <w:rPr>
                <w:rFonts w:ascii="Arial" w:cs="Arial" w:eastAsia="Arial" w:hAnsi="Arial"/>
                <w:sz w:val="16"/>
                <w:szCs w:val="16"/>
                <w:color w:val="auto"/>
              </w:rPr>
              <w:t>Proceeds from sale of marketable securities</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9"/>
        </w:trPr>
        <w:tc>
          <w:tcPr>
            <w:tcW w:w="7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6"/>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Proceeds from maturities of marketable securities</w:t>
            </w:r>
          </w:p>
        </w:tc>
        <w:tc>
          <w:tcPr>
            <w:tcW w:w="3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305</w:t>
            </w:r>
          </w:p>
        </w:tc>
      </w:tr>
      <w:tr>
        <w:trPr>
          <w:trHeight w:val="228"/>
        </w:trPr>
        <w:tc>
          <w:tcPr>
            <w:tcW w:w="7680" w:type="dxa"/>
            <w:vAlign w:val="bottom"/>
          </w:tcPr>
          <w:p>
            <w:pPr>
              <w:ind w:left="20"/>
              <w:spacing w:after="0"/>
              <w:rPr>
                <w:sz w:val="20"/>
                <w:szCs w:val="20"/>
                <w:color w:val="auto"/>
              </w:rPr>
            </w:pPr>
            <w:r>
              <w:rPr>
                <w:rFonts w:ascii="Arial" w:cs="Arial" w:eastAsia="Arial" w:hAnsi="Arial"/>
                <w:sz w:val="16"/>
                <w:szCs w:val="16"/>
                <w:color w:val="auto"/>
              </w:rPr>
              <w:t>Proceeds from the sale of property plant and equipment and other</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9"/>
        </w:trPr>
        <w:tc>
          <w:tcPr>
            <w:tcW w:w="7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360" w:type="dxa"/>
            <w:vAlign w:val="bottom"/>
            <w:tcBorders>
              <w:top w:val="single" w:sz="8" w:color="auto"/>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(211)</w:t>
            </w:r>
          </w:p>
        </w:tc>
        <w:tc>
          <w:tcPr>
            <w:tcW w:w="100" w:type="dxa"/>
            <w:vAlign w:val="bottom"/>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(600)</w:t>
            </w:r>
          </w:p>
        </w:tc>
      </w:tr>
      <w:tr>
        <w:trPr>
          <w:trHeight w:val="250"/>
        </w:trPr>
        <w:tc>
          <w:tcPr>
            <w:tcW w:w="768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r>
      <w:tr>
        <w:trPr>
          <w:trHeight w:val="236"/>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28"/>
        </w:trPr>
        <w:tc>
          <w:tcPr>
            <w:tcW w:w="7680" w:type="dxa"/>
            <w:vAlign w:val="bottom"/>
          </w:tcPr>
          <w:p>
            <w:pPr>
              <w:ind w:left="20"/>
              <w:spacing w:after="0"/>
              <w:rPr>
                <w:sz w:val="20"/>
                <w:szCs w:val="20"/>
                <w:color w:val="auto"/>
              </w:rPr>
            </w:pPr>
            <w:r>
              <w:rPr>
                <w:rFonts w:ascii="Arial" w:cs="Arial" w:eastAsia="Arial" w:hAnsi="Arial"/>
                <w:sz w:val="16"/>
                <w:szCs w:val="16"/>
                <w:color w:val="auto"/>
              </w:rPr>
              <w:t>Repayments of debt and lease obligations</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(733)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9"/>
        </w:trPr>
        <w:tc>
          <w:tcPr>
            <w:tcW w:w="7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6"/>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Proceeds from issuance of equity instruments</w:t>
            </w:r>
          </w:p>
        </w:tc>
        <w:tc>
          <w:tcPr>
            <w:tcW w:w="3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29"/>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Net cash used in financing activities</w:t>
            </w: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(717)</w:t>
            </w:r>
          </w:p>
        </w:tc>
        <w:tc>
          <w:tcPr>
            <w:tcW w:w="100" w:type="dxa"/>
            <w:vAlign w:val="bottom"/>
          </w:tcPr>
          <w:p>
            <w:pPr>
              <w:spacing w:after="0"/>
              <w:rPr>
                <w:sz w:val="19"/>
                <w:szCs w:val="19"/>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(27)</w:t>
            </w:r>
          </w:p>
        </w:tc>
      </w:tr>
      <w:tr>
        <w:trPr>
          <w:trHeight w:val="21"/>
        </w:trPr>
        <w:tc>
          <w:tcPr>
            <w:tcW w:w="7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57"/>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3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29"/>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Net decrease in cash and cash equivalents</w:t>
            </w: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(596)</w:t>
            </w:r>
          </w:p>
        </w:tc>
        <w:tc>
          <w:tcPr>
            <w:tcW w:w="100" w:type="dxa"/>
            <w:vAlign w:val="bottom"/>
          </w:tcPr>
          <w:p>
            <w:pPr>
              <w:spacing w:after="0"/>
              <w:rPr>
                <w:sz w:val="19"/>
                <w:szCs w:val="19"/>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(140)</w:t>
            </w:r>
          </w:p>
        </w:tc>
      </w:tr>
      <w:tr>
        <w:trPr>
          <w:trHeight w:val="21"/>
        </w:trPr>
        <w:tc>
          <w:tcPr>
            <w:tcW w:w="7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56"/>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the beginning of the period</w:t>
            </w:r>
          </w:p>
        </w:tc>
        <w:tc>
          <w:tcPr>
            <w:tcW w:w="3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2,192</w:t>
            </w:r>
          </w:p>
        </w:tc>
        <w:tc>
          <w:tcPr>
            <w:tcW w:w="100" w:type="dxa"/>
            <w:vAlign w:val="bottom"/>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2,387</w:t>
            </w:r>
          </w:p>
        </w:tc>
      </w:tr>
      <w:tr>
        <w:trPr>
          <w:trHeight w:val="250"/>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at the end of the period</w:t>
            </w: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1,596</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2,247</w:t>
            </w:r>
          </w:p>
        </w:tc>
      </w:tr>
      <w:tr>
        <w:trPr>
          <w:trHeight w:val="21"/>
        </w:trPr>
        <w:tc>
          <w:tcPr>
            <w:tcW w:w="7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interim condensed consolidated financial statements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INTERIM CONDENSED CONSOLIDATED STATEMENTS OF CHANGES IN EQUITY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Three Months Ended March 31, 2025 and 2024</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auto"/>
        </w:rPr>
        <w:t>Equity attributable to shareholders of GLOBALFOUNDRIES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1359535</wp:posOffset>
            </wp:positionH>
            <wp:positionV relativeFrom="paragraph">
              <wp:posOffset>36195</wp:posOffset>
            </wp:positionV>
            <wp:extent cx="44831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483100" cy="8255"/>
                    </a:xfrm>
                    <a:prstGeom prst="rect">
                      <a:avLst/>
                    </a:prstGeom>
                    <a:noFill/>
                  </pic:spPr>
                </pic:pic>
              </a:graphicData>
            </a:graphic>
          </wp:anchor>
        </w:drawing>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center"/>
              <w:ind w:right="37"/>
              <w:spacing w:after="0"/>
              <w:rPr>
                <w:sz w:val="20"/>
                <w:szCs w:val="20"/>
                <w:color w:val="auto"/>
              </w:rPr>
            </w:pPr>
            <w:r>
              <w:rPr>
                <w:rFonts w:ascii="Arial" w:cs="Arial" w:eastAsia="Arial" w:hAnsi="Arial"/>
                <w:sz w:val="13"/>
                <w:szCs w:val="13"/>
                <w:b w:val="1"/>
                <w:bCs w:val="1"/>
                <w:color w:val="auto"/>
                <w:w w:val="96"/>
              </w:rPr>
              <w:t>Foreign</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37"/>
              <w:spacing w:after="0"/>
              <w:rPr>
                <w:sz w:val="20"/>
                <w:szCs w:val="20"/>
                <w:color w:val="auto"/>
              </w:rPr>
            </w:pPr>
            <w:r>
              <w:rPr>
                <w:rFonts w:ascii="Arial" w:cs="Arial" w:eastAsia="Arial" w:hAnsi="Arial"/>
                <w:sz w:val="13"/>
                <w:szCs w:val="13"/>
                <w:b w:val="1"/>
                <w:bCs w:val="1"/>
                <w:color w:val="auto"/>
                <w:w w:val="94"/>
              </w:rPr>
              <w:t>Currency</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37"/>
              <w:spacing w:after="0"/>
              <w:rPr>
                <w:sz w:val="20"/>
                <w:szCs w:val="20"/>
                <w:color w:val="auto"/>
              </w:rPr>
            </w:pPr>
            <w:r>
              <w:rPr>
                <w:rFonts w:ascii="Arial" w:cs="Arial" w:eastAsia="Arial" w:hAnsi="Arial"/>
                <w:sz w:val="13"/>
                <w:szCs w:val="13"/>
                <w:b w:val="1"/>
                <w:bCs w:val="1"/>
                <w:color w:val="auto"/>
                <w:w w:val="94"/>
              </w:rPr>
              <w:t>Translation</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40" w:type="dxa"/>
            <w:vAlign w:val="bottom"/>
          </w:tcPr>
          <w:p>
            <w:pPr>
              <w:spacing w:after="0"/>
              <w:rPr>
                <w:sz w:val="12"/>
                <w:szCs w:val="12"/>
                <w:color w:val="auto"/>
              </w:rPr>
            </w:pPr>
          </w:p>
        </w:tc>
        <w:tc>
          <w:tcPr>
            <w:tcW w:w="1720" w:type="dxa"/>
            <w:vAlign w:val="bottom"/>
            <w:gridSpan w:val="3"/>
            <w:vMerge w:val="restart"/>
          </w:tcPr>
          <w:p>
            <w:pPr>
              <w:jc w:val="right"/>
              <w:ind w:right="197"/>
              <w:spacing w:after="0"/>
              <w:rPr>
                <w:sz w:val="20"/>
                <w:szCs w:val="20"/>
                <w:color w:val="auto"/>
              </w:rPr>
            </w:pPr>
            <w:r>
              <w:rPr>
                <w:rFonts w:ascii="Arial" w:cs="Arial" w:eastAsia="Arial" w:hAnsi="Arial"/>
                <w:sz w:val="13"/>
                <w:szCs w:val="13"/>
                <w:b w:val="1"/>
                <w:bCs w:val="1"/>
                <w:color w:val="auto"/>
              </w:rPr>
              <w:t>Ordinary Shares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37"/>
              <w:spacing w:after="0"/>
              <w:rPr>
                <w:sz w:val="20"/>
                <w:szCs w:val="20"/>
                <w:color w:val="auto"/>
              </w:rPr>
            </w:pPr>
            <w:r>
              <w:rPr>
                <w:rFonts w:ascii="Arial" w:cs="Arial" w:eastAsia="Arial" w:hAnsi="Arial"/>
                <w:sz w:val="13"/>
                <w:szCs w:val="13"/>
                <w:b w:val="1"/>
                <w:bCs w:val="1"/>
                <w:color w:val="auto"/>
                <w:w w:val="94"/>
              </w:rPr>
              <w:t>and</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37"/>
              <w:spacing w:after="0"/>
              <w:rPr>
                <w:sz w:val="20"/>
                <w:szCs w:val="20"/>
                <w:color w:val="auto"/>
              </w:rPr>
            </w:pPr>
            <w:r>
              <w:rPr>
                <w:rFonts w:ascii="Arial" w:cs="Arial" w:eastAsia="Arial" w:hAnsi="Arial"/>
                <w:sz w:val="13"/>
                <w:szCs w:val="13"/>
                <w:b w:val="1"/>
                <w:bCs w:val="1"/>
                <w:color w:val="auto"/>
                <w:w w:val="94"/>
              </w:rPr>
              <w:t>Non-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2140" w:type="dxa"/>
            <w:vAlign w:val="bottom"/>
          </w:tcPr>
          <w:p>
            <w:pPr>
              <w:spacing w:after="0"/>
              <w:rPr>
                <w:sz w:val="7"/>
                <w:szCs w:val="7"/>
                <w:color w:val="auto"/>
              </w:rPr>
            </w:pPr>
          </w:p>
        </w:tc>
        <w:tc>
          <w:tcPr>
            <w:tcW w:w="1720" w:type="dxa"/>
            <w:vAlign w:val="bottom"/>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vMerge w:val="restart"/>
          </w:tcPr>
          <w:p>
            <w:pPr>
              <w:jc w:val="right"/>
              <w:ind w:right="97"/>
              <w:spacing w:after="0" w:line="119" w:lineRule="exact"/>
              <w:rPr>
                <w:sz w:val="20"/>
                <w:szCs w:val="20"/>
                <w:color w:val="auto"/>
              </w:rPr>
            </w:pPr>
            <w:r>
              <w:rPr>
                <w:rFonts w:ascii="Arial" w:cs="Arial" w:eastAsia="Arial" w:hAnsi="Arial"/>
                <w:sz w:val="13"/>
                <w:szCs w:val="13"/>
                <w:b w:val="1"/>
                <w:bCs w:val="1"/>
                <w:color w:val="auto"/>
              </w:rPr>
              <w:t>Additional</w:t>
            </w:r>
          </w:p>
        </w:tc>
        <w:tc>
          <w:tcPr>
            <w:tcW w:w="80" w:type="dxa"/>
            <w:vAlign w:val="bottom"/>
          </w:tcPr>
          <w:p>
            <w:pPr>
              <w:spacing w:after="0"/>
              <w:rPr>
                <w:sz w:val="7"/>
                <w:szCs w:val="7"/>
                <w:color w:val="auto"/>
              </w:rPr>
            </w:pPr>
          </w:p>
        </w:tc>
        <w:tc>
          <w:tcPr>
            <w:tcW w:w="960" w:type="dxa"/>
            <w:vAlign w:val="bottom"/>
            <w:gridSpan w:val="2"/>
            <w:vMerge w:val="restart"/>
          </w:tcPr>
          <w:p>
            <w:pPr>
              <w:jc w:val="right"/>
              <w:ind w:right="17"/>
              <w:spacing w:after="0" w:line="119" w:lineRule="exact"/>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restart"/>
          </w:tcPr>
          <w:p>
            <w:pPr>
              <w:jc w:val="right"/>
              <w:ind w:right="137"/>
              <w:spacing w:after="0" w:line="119" w:lineRule="exact"/>
              <w:rPr>
                <w:sz w:val="20"/>
                <w:szCs w:val="20"/>
                <w:color w:val="auto"/>
              </w:rPr>
            </w:pPr>
            <w:r>
              <w:rPr>
                <w:rFonts w:ascii="Arial" w:cs="Arial" w:eastAsia="Arial" w:hAnsi="Arial"/>
                <w:sz w:val="13"/>
                <w:szCs w:val="13"/>
                <w:b w:val="1"/>
                <w:bCs w:val="1"/>
                <w:color w:val="auto"/>
              </w:rPr>
              <w:t>Hedging</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vMerge w:val="restart"/>
          </w:tcPr>
          <w:p>
            <w:pPr>
              <w:jc w:val="center"/>
              <w:ind w:right="37"/>
              <w:spacing w:after="0" w:line="119" w:lineRule="exact"/>
              <w:rPr>
                <w:sz w:val="20"/>
                <w:szCs w:val="20"/>
                <w:color w:val="auto"/>
              </w:rPr>
            </w:pPr>
            <w:r>
              <w:rPr>
                <w:rFonts w:ascii="Arial" w:cs="Arial" w:eastAsia="Arial" w:hAnsi="Arial"/>
                <w:sz w:val="13"/>
                <w:szCs w:val="13"/>
                <w:b w:val="1"/>
                <w:bCs w:val="1"/>
                <w:color w:val="auto"/>
                <w:w w:val="97"/>
              </w:rPr>
              <w:t>Investments</w:t>
            </w: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vMerge w:val="restart"/>
          </w:tcPr>
          <w:p>
            <w:pPr>
              <w:jc w:val="center"/>
              <w:ind w:right="37"/>
              <w:spacing w:after="0" w:line="119" w:lineRule="exact"/>
              <w:rPr>
                <w:sz w:val="20"/>
                <w:szCs w:val="20"/>
                <w:color w:val="auto"/>
              </w:rPr>
            </w:pPr>
            <w:r>
              <w:rPr>
                <w:rFonts w:ascii="Arial" w:cs="Arial" w:eastAsia="Arial" w:hAnsi="Arial"/>
                <w:sz w:val="13"/>
                <w:szCs w:val="13"/>
                <w:b w:val="1"/>
                <w:bCs w:val="1"/>
                <w:color w:val="auto"/>
                <w:w w:val="98"/>
              </w:rPr>
              <w:t>Controlling</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
        </w:trPr>
        <w:tc>
          <w:tcPr>
            <w:tcW w:w="214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140" w:type="dxa"/>
            <w:vAlign w:val="bottom"/>
          </w:tcPr>
          <w:p>
            <w:pPr>
              <w:spacing w:after="0"/>
              <w:rPr>
                <w:sz w:val="16"/>
                <w:szCs w:val="16"/>
                <w:color w:val="auto"/>
              </w:rPr>
            </w:pPr>
          </w:p>
        </w:tc>
        <w:tc>
          <w:tcPr>
            <w:tcW w:w="920" w:type="dxa"/>
            <w:vAlign w:val="bottom"/>
          </w:tcPr>
          <w:p>
            <w:pPr>
              <w:jc w:val="right"/>
              <w:ind w:right="177"/>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ind w:left="20"/>
              <w:spacing w:after="0"/>
              <w:rPr>
                <w:sz w:val="20"/>
                <w:szCs w:val="20"/>
                <w:color w:val="auto"/>
              </w:rPr>
            </w:pPr>
            <w:r>
              <w:rPr>
                <w:rFonts w:ascii="Arial" w:cs="Arial" w:eastAsia="Arial" w:hAnsi="Arial"/>
                <w:sz w:val="13"/>
                <w:szCs w:val="13"/>
                <w:b w:val="1"/>
                <w:bCs w:val="1"/>
                <w:color w:val="auto"/>
                <w:w w:val="99"/>
              </w:rPr>
              <w:t>Paid-In Capital</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ind w:right="217"/>
              <w:spacing w:after="0"/>
              <w:rPr>
                <w:sz w:val="20"/>
                <w:szCs w:val="20"/>
                <w:color w:val="auto"/>
              </w:rPr>
            </w:pPr>
            <w:r>
              <w:rPr>
                <w:rFonts w:ascii="Arial" w:cs="Arial" w:eastAsia="Arial" w:hAnsi="Arial"/>
                <w:sz w:val="13"/>
                <w:szCs w:val="13"/>
                <w:b w:val="1"/>
                <w:bCs w:val="1"/>
                <w:color w:val="auto"/>
              </w:rPr>
              <w:t>Deficit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157"/>
              <w:spacing w:after="0"/>
              <w:rPr>
                <w:sz w:val="20"/>
                <w:szCs w:val="20"/>
                <w:color w:val="auto"/>
              </w:rPr>
            </w:pPr>
            <w:r>
              <w:rPr>
                <w:rFonts w:ascii="Arial" w:cs="Arial" w:eastAsia="Arial" w:hAnsi="Arial"/>
                <w:sz w:val="13"/>
                <w:szCs w:val="13"/>
                <w:b w:val="1"/>
                <w:bCs w:val="1"/>
                <w:color w:val="auto"/>
              </w:rPr>
              <w:t>Reserve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center"/>
              <w:ind w:right="57"/>
              <w:spacing w:after="0"/>
              <w:rPr>
                <w:sz w:val="20"/>
                <w:szCs w:val="20"/>
                <w:color w:val="auto"/>
              </w:rPr>
            </w:pPr>
            <w:r>
              <w:rPr>
                <w:rFonts w:ascii="Arial" w:cs="Arial" w:eastAsia="Arial" w:hAnsi="Arial"/>
                <w:sz w:val="13"/>
                <w:szCs w:val="13"/>
                <w:b w:val="1"/>
                <w:bCs w:val="1"/>
                <w:color w:val="auto"/>
                <w:w w:val="96"/>
              </w:rPr>
              <w:t>Reserves</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57"/>
              <w:spacing w:after="0"/>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center"/>
              <w:ind w:right="37"/>
              <w:spacing w:after="0"/>
              <w:rPr>
                <w:sz w:val="20"/>
                <w:szCs w:val="20"/>
                <w:color w:val="auto"/>
              </w:rPr>
            </w:pPr>
            <w:r>
              <w:rPr>
                <w:rFonts w:ascii="Arial" w:cs="Arial" w:eastAsia="Arial" w:hAnsi="Arial"/>
                <w:sz w:val="13"/>
                <w:szCs w:val="13"/>
                <w:b w:val="1"/>
                <w:bCs w:val="1"/>
                <w:color w:val="auto"/>
                <w:w w:val="95"/>
              </w:rPr>
              <w:t>Interests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b w:val="1"/>
                <w:bCs w:val="1"/>
                <w:color w:val="auto"/>
                <w:w w:val="94"/>
              </w:rPr>
              <w:t>Total Equity</w:t>
            </w:r>
          </w:p>
        </w:tc>
        <w:tc>
          <w:tcPr>
            <w:tcW w:w="0" w:type="dxa"/>
            <w:vAlign w:val="bottom"/>
          </w:tcPr>
          <w:p>
            <w:pPr>
              <w:spacing w:after="0"/>
              <w:rPr>
                <w:sz w:val="1"/>
                <w:szCs w:val="1"/>
                <w:color w:val="auto"/>
              </w:rPr>
            </w:pPr>
          </w:p>
        </w:tc>
      </w:tr>
      <w:tr>
        <w:trPr>
          <w:trHeight w:val="35"/>
        </w:trPr>
        <w:tc>
          <w:tcPr>
            <w:tcW w:w="214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December 31, 2023</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554</w:t>
            </w:r>
          </w:p>
        </w:tc>
        <w:tc>
          <w:tcPr>
            <w:tcW w:w="80" w:type="dxa"/>
            <w:vAlign w:val="bottom"/>
          </w:tcPr>
          <w:p>
            <w:pPr>
              <w:spacing w:after="0"/>
              <w:rPr>
                <w:sz w:val="17"/>
                <w:szCs w:val="17"/>
                <w:color w:val="auto"/>
              </w:rPr>
            </w:pPr>
          </w:p>
        </w:tc>
        <w:tc>
          <w:tcPr>
            <w:tcW w:w="720" w:type="dxa"/>
            <w:vAlign w:val="bottom"/>
            <w:tcBorders>
              <w:bottom w:val="single" w:sz="8" w:color="CCEEFF"/>
            </w:tcBorders>
            <w:shd w:val="clear" w:color="auto" w:fill="CCEEFF"/>
          </w:tcPr>
          <w:p>
            <w:pPr>
              <w:jc w:val="right"/>
              <w:ind w:right="577"/>
              <w:spacing w:after="0"/>
              <w:rPr>
                <w:sz w:val="20"/>
                <w:szCs w:val="20"/>
                <w:color w:val="auto"/>
              </w:rPr>
            </w:pPr>
            <w:r>
              <w:rPr>
                <w:rFonts w:ascii="Arial" w:cs="Arial" w:eastAsia="Arial" w:hAnsi="Arial"/>
                <w:sz w:val="13"/>
                <w:szCs w:val="13"/>
                <w:b w:val="1"/>
                <w:bCs w:val="1"/>
                <w:color w:val="auto"/>
                <w:w w:val="82"/>
              </w:rPr>
              <w:t>$</w:t>
            </w: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w w:val="82"/>
              </w:rPr>
              <w:t>11</w:t>
            </w:r>
          </w:p>
        </w:tc>
        <w:tc>
          <w:tcPr>
            <w:tcW w:w="80" w:type="dxa"/>
            <w:vAlign w:val="bottom"/>
          </w:tcPr>
          <w:p>
            <w:pPr>
              <w:spacing w:after="0"/>
              <w:rPr>
                <w:sz w:val="17"/>
                <w:szCs w:val="17"/>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24,027</w:t>
            </w:r>
          </w:p>
        </w:tc>
        <w:tc>
          <w:tcPr>
            <w:tcW w:w="80" w:type="dxa"/>
            <w:vAlign w:val="bottom"/>
          </w:tcPr>
          <w:p>
            <w:pPr>
              <w:spacing w:after="0"/>
              <w:rPr>
                <w:sz w:val="17"/>
                <w:szCs w:val="17"/>
                <w:color w:val="auto"/>
              </w:rPr>
            </w:pP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w w:val="82"/>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(13,001)</w:t>
            </w:r>
          </w:p>
        </w:tc>
        <w:tc>
          <w:tcPr>
            <w:tcW w:w="80" w:type="dxa"/>
            <w:vAlign w:val="bottom"/>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66</w:t>
            </w:r>
          </w:p>
        </w:tc>
        <w:tc>
          <w:tcPr>
            <w:tcW w:w="100" w:type="dxa"/>
            <w:vAlign w:val="bottom"/>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w:t>
            </w:r>
          </w:p>
        </w:tc>
        <w:tc>
          <w:tcPr>
            <w:tcW w:w="80" w:type="dxa"/>
            <w:vAlign w:val="bottom"/>
          </w:tcPr>
          <w:p>
            <w:pPr>
              <w:spacing w:after="0"/>
              <w:rPr>
                <w:sz w:val="17"/>
                <w:szCs w:val="17"/>
                <w:color w:val="auto"/>
              </w:rPr>
            </w:pPr>
          </w:p>
        </w:tc>
        <w:tc>
          <w:tcPr>
            <w:tcW w:w="2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11,104</w:t>
            </w:r>
          </w:p>
        </w:tc>
        <w:tc>
          <w:tcPr>
            <w:tcW w:w="80" w:type="dxa"/>
            <w:vAlign w:val="bottom"/>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47</w:t>
            </w:r>
          </w:p>
        </w:tc>
        <w:tc>
          <w:tcPr>
            <w:tcW w:w="80" w:type="dxa"/>
            <w:vAlign w:val="bottom"/>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11,151</w:t>
            </w:r>
          </w:p>
        </w:tc>
        <w:tc>
          <w:tcPr>
            <w:tcW w:w="0" w:type="dxa"/>
            <w:vAlign w:val="bottom"/>
          </w:tcPr>
          <w:p>
            <w:pPr>
              <w:spacing w:after="0"/>
              <w:rPr>
                <w:sz w:val="1"/>
                <w:szCs w:val="1"/>
                <w:color w:val="auto"/>
              </w:rPr>
            </w:pPr>
          </w:p>
        </w:tc>
      </w:tr>
      <w:tr>
        <w:trPr>
          <w:trHeight w:val="158"/>
        </w:trPr>
        <w:tc>
          <w:tcPr>
            <w:tcW w:w="2140" w:type="dxa"/>
            <w:vAlign w:val="bottom"/>
          </w:tcPr>
          <w:p>
            <w:pPr>
              <w:ind w:left="20"/>
              <w:spacing w:after="0"/>
              <w:rPr>
                <w:sz w:val="20"/>
                <w:szCs w:val="20"/>
                <w:color w:val="auto"/>
              </w:rPr>
            </w:pPr>
            <w:r>
              <w:rPr>
                <w:rFonts w:ascii="Arial" w:cs="Arial" w:eastAsia="Arial" w:hAnsi="Arial"/>
                <w:sz w:val="13"/>
                <w:szCs w:val="13"/>
                <w:color w:val="auto"/>
              </w:rPr>
              <w:t>Proceeds from issuance of equity</w:t>
            </w: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140" w:type="dxa"/>
            <w:vAlign w:val="bottom"/>
          </w:tcPr>
          <w:p>
            <w:pPr>
              <w:ind w:left="20"/>
              <w:spacing w:after="0"/>
              <w:rPr>
                <w:sz w:val="20"/>
                <w:szCs w:val="20"/>
                <w:color w:val="auto"/>
              </w:rPr>
            </w:pPr>
            <w:r>
              <w:rPr>
                <w:rFonts w:ascii="Arial" w:cs="Arial" w:eastAsia="Arial" w:hAnsi="Arial"/>
                <w:sz w:val="13"/>
                <w:szCs w:val="13"/>
                <w:color w:val="auto"/>
              </w:rPr>
              <w:t>instruments</w:t>
            </w:r>
          </w:p>
        </w:tc>
        <w:tc>
          <w:tcPr>
            <w:tcW w:w="92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jc w:val="right"/>
              <w:ind w:right="17"/>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41"/>
        </w:trPr>
        <w:tc>
          <w:tcPr>
            <w:tcW w:w="2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Exercise of stock options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80" w:type="dxa"/>
            <w:vAlign w:val="bottom"/>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80" w:type="dxa"/>
            <w:vAlign w:val="bottom"/>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75"/>
        </w:trPr>
        <w:tc>
          <w:tcPr>
            <w:tcW w:w="2140" w:type="dxa"/>
            <w:vAlign w:val="bottom"/>
          </w:tcPr>
          <w:p>
            <w:pPr>
              <w:ind w:left="20"/>
              <w:spacing w:after="0"/>
              <w:rPr>
                <w:sz w:val="20"/>
                <w:szCs w:val="20"/>
                <w:color w:val="auto"/>
              </w:rPr>
            </w:pPr>
            <w:r>
              <w:rPr>
                <w:rFonts w:ascii="Arial" w:cs="Arial" w:eastAsia="Arial" w:hAnsi="Arial"/>
                <w:sz w:val="13"/>
                <w:szCs w:val="13"/>
                <w:color w:val="auto"/>
              </w:rPr>
              <w:t>Share-based compensation</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jc w:val="right"/>
              <w:ind w:right="17"/>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41"/>
        </w:trPr>
        <w:tc>
          <w:tcPr>
            <w:tcW w:w="2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133</w:t>
            </w:r>
          </w:p>
        </w:tc>
        <w:tc>
          <w:tcPr>
            <w:tcW w:w="80" w:type="dxa"/>
            <w:vAlign w:val="bottom"/>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133</w:t>
            </w:r>
          </w:p>
        </w:tc>
        <w:tc>
          <w:tcPr>
            <w:tcW w:w="80" w:type="dxa"/>
            <w:vAlign w:val="bottom"/>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134</w:t>
            </w:r>
          </w:p>
        </w:tc>
        <w:tc>
          <w:tcPr>
            <w:tcW w:w="0" w:type="dxa"/>
            <w:vAlign w:val="bottom"/>
          </w:tcPr>
          <w:p>
            <w:pPr>
              <w:spacing w:after="0"/>
              <w:rPr>
                <w:sz w:val="1"/>
                <w:szCs w:val="1"/>
                <w:color w:val="auto"/>
              </w:rPr>
            </w:pPr>
          </w:p>
        </w:tc>
      </w:tr>
      <w:tr>
        <w:trPr>
          <w:trHeight w:val="175"/>
        </w:trPr>
        <w:tc>
          <w:tcPr>
            <w:tcW w:w="2140" w:type="dxa"/>
            <w:vAlign w:val="bottom"/>
          </w:tcPr>
          <w:p>
            <w:pPr>
              <w:ind w:left="20"/>
              <w:spacing w:after="0"/>
              <w:rPr>
                <w:sz w:val="20"/>
                <w:szCs w:val="20"/>
                <w:color w:val="auto"/>
              </w:rPr>
            </w:pPr>
            <w:r>
              <w:rPr>
                <w:rFonts w:ascii="Arial" w:cs="Arial" w:eastAsia="Arial" w:hAnsi="Arial"/>
                <w:sz w:val="13"/>
                <w:szCs w:val="13"/>
                <w:color w:val="auto"/>
              </w:rPr>
              <w:t>Other comprehensive income (loss)</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jc w:val="right"/>
              <w:ind w:right="17"/>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(22)</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(4)</w:t>
            </w:r>
          </w:p>
        </w:tc>
        <w:tc>
          <w:tcPr>
            <w:tcW w:w="30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41"/>
        </w:trPr>
        <w:tc>
          <w:tcPr>
            <w:tcW w:w="2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gridSpan w:val="2"/>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gridSpan w:val="2"/>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gridSpan w:val="2"/>
          </w:tcPr>
          <w:p>
            <w:pPr>
              <w:spacing w:after="0"/>
              <w:rPr>
                <w:sz w:val="3"/>
                <w:szCs w:val="3"/>
                <w:color w:val="auto"/>
              </w:rPr>
            </w:pPr>
          </w:p>
        </w:tc>
        <w:tc>
          <w:tcPr>
            <w:tcW w:w="840" w:type="dxa"/>
            <w:vAlign w:val="bottom"/>
          </w:tcPr>
          <w:p>
            <w:pPr>
              <w:spacing w:after="0"/>
              <w:rPr>
                <w:sz w:val="3"/>
                <w:szCs w:val="3"/>
                <w:color w:val="auto"/>
              </w:rPr>
            </w:pPr>
          </w:p>
        </w:tc>
        <w:tc>
          <w:tcPr>
            <w:tcW w:w="300" w:type="dxa"/>
            <w:vAlign w:val="bottom"/>
            <w:gridSpan w:val="2"/>
          </w:tcPr>
          <w:p>
            <w:pPr>
              <w:spacing w:after="0"/>
              <w:rPr>
                <w:sz w:val="3"/>
                <w:szCs w:val="3"/>
                <w:color w:val="auto"/>
              </w:rPr>
            </w:pPr>
          </w:p>
        </w:tc>
        <w:tc>
          <w:tcPr>
            <w:tcW w:w="720" w:type="dxa"/>
            <w:vAlign w:val="bottom"/>
          </w:tcPr>
          <w:p>
            <w:pPr>
              <w:spacing w:after="0"/>
              <w:rPr>
                <w:sz w:val="3"/>
                <w:szCs w:val="3"/>
                <w:color w:val="auto"/>
              </w:rPr>
            </w:pPr>
          </w:p>
        </w:tc>
        <w:tc>
          <w:tcPr>
            <w:tcW w:w="200" w:type="dxa"/>
            <w:vAlign w:val="bottom"/>
            <w:gridSpan w:val="2"/>
          </w:tcPr>
          <w:p>
            <w:pPr>
              <w:spacing w:after="0"/>
              <w:rPr>
                <w:sz w:val="3"/>
                <w:szCs w:val="3"/>
                <w:color w:val="auto"/>
              </w:rPr>
            </w:pPr>
          </w:p>
        </w:tc>
        <w:tc>
          <w:tcPr>
            <w:tcW w:w="820" w:type="dxa"/>
            <w:vAlign w:val="bottom"/>
          </w:tcPr>
          <w:p>
            <w:pPr>
              <w:spacing w:after="0"/>
              <w:rPr>
                <w:sz w:val="3"/>
                <w:szCs w:val="3"/>
                <w:color w:val="auto"/>
              </w:rPr>
            </w:pPr>
          </w:p>
        </w:tc>
        <w:tc>
          <w:tcPr>
            <w:tcW w:w="180" w:type="dxa"/>
            <w:vAlign w:val="bottom"/>
            <w:gridSpan w:val="2"/>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2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March 31, 2024</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555</w:t>
            </w:r>
          </w:p>
        </w:tc>
        <w:tc>
          <w:tcPr>
            <w:tcW w:w="80" w:type="dxa"/>
            <w:vAlign w:val="bottom"/>
          </w:tcPr>
          <w:p>
            <w:pPr>
              <w:spacing w:after="0"/>
              <w:rPr>
                <w:sz w:val="18"/>
                <w:szCs w:val="18"/>
                <w:color w:val="auto"/>
              </w:rPr>
            </w:pPr>
          </w:p>
        </w:tc>
        <w:tc>
          <w:tcPr>
            <w:tcW w:w="720" w:type="dxa"/>
            <w:vAlign w:val="bottom"/>
            <w:tcBorders>
              <w:top w:val="single" w:sz="8" w:color="auto"/>
              <w:bottom w:val="single" w:sz="8" w:color="CCEEFF"/>
            </w:tcBorders>
            <w:shd w:val="clear" w:color="auto" w:fill="CCEEFF"/>
          </w:tcPr>
          <w:p>
            <w:pPr>
              <w:jc w:val="right"/>
              <w:ind w:right="577"/>
              <w:spacing w:after="0"/>
              <w:rPr>
                <w:sz w:val="20"/>
                <w:szCs w:val="20"/>
                <w:color w:val="auto"/>
              </w:rPr>
            </w:pPr>
            <w:r>
              <w:rPr>
                <w:rFonts w:ascii="Arial" w:cs="Arial" w:eastAsia="Arial" w:hAnsi="Arial"/>
                <w:sz w:val="13"/>
                <w:szCs w:val="13"/>
                <w:b w:val="1"/>
                <w:bCs w:val="1"/>
                <w:color w:val="auto"/>
                <w:w w:val="82"/>
              </w:rPr>
              <w:t>$</w:t>
            </w:r>
          </w:p>
        </w:tc>
        <w:tc>
          <w:tcPr>
            <w:tcW w:w="2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w w:val="82"/>
              </w:rPr>
              <w:t>11</w:t>
            </w:r>
          </w:p>
        </w:tc>
        <w:tc>
          <w:tcPr>
            <w:tcW w:w="80" w:type="dxa"/>
            <w:vAlign w:val="bottom"/>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24,067</w:t>
            </w:r>
          </w:p>
        </w:tc>
        <w:tc>
          <w:tcPr>
            <w:tcW w:w="80" w:type="dxa"/>
            <w:vAlign w:val="bottom"/>
          </w:tcPr>
          <w:p>
            <w:pPr>
              <w:spacing w:after="0"/>
              <w:rPr>
                <w:sz w:val="18"/>
                <w:szCs w:val="18"/>
                <w:color w:val="auto"/>
              </w:rPr>
            </w:pPr>
          </w:p>
        </w:tc>
        <w:tc>
          <w:tcPr>
            <w:tcW w:w="18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w w:val="82"/>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(12,868)</w:t>
            </w:r>
          </w:p>
        </w:tc>
        <w:tc>
          <w:tcPr>
            <w:tcW w:w="80" w:type="dxa"/>
            <w:vAlign w:val="bottom"/>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44</w:t>
            </w:r>
          </w:p>
        </w:tc>
        <w:tc>
          <w:tcPr>
            <w:tcW w:w="100" w:type="dxa"/>
            <w:vAlign w:val="bottom"/>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w:t>
            </w:r>
          </w:p>
        </w:tc>
        <w:tc>
          <w:tcPr>
            <w:tcW w:w="80" w:type="dxa"/>
            <w:vAlign w:val="bottom"/>
          </w:tcPr>
          <w:p>
            <w:pPr>
              <w:spacing w:after="0"/>
              <w:rPr>
                <w:sz w:val="18"/>
                <w:szCs w:val="18"/>
                <w:color w:val="auto"/>
              </w:rPr>
            </w:pPr>
          </w:p>
        </w:tc>
        <w:tc>
          <w:tcPr>
            <w:tcW w:w="220" w:type="dxa"/>
            <w:vAlign w:val="bottom"/>
            <w:tcBorders>
              <w:top w:val="single" w:sz="8" w:color="auto"/>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11,251</w:t>
            </w:r>
          </w:p>
        </w:tc>
        <w:tc>
          <w:tcPr>
            <w:tcW w:w="80" w:type="dxa"/>
            <w:vAlign w:val="bottom"/>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46</w:t>
            </w:r>
          </w:p>
        </w:tc>
        <w:tc>
          <w:tcPr>
            <w:tcW w:w="80" w:type="dxa"/>
            <w:vAlign w:val="bottom"/>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11,297</w:t>
            </w:r>
          </w:p>
        </w:tc>
        <w:tc>
          <w:tcPr>
            <w:tcW w:w="0" w:type="dxa"/>
            <w:vAlign w:val="bottom"/>
          </w:tcPr>
          <w:p>
            <w:pPr>
              <w:spacing w:after="0"/>
              <w:rPr>
                <w:sz w:val="1"/>
                <w:szCs w:val="1"/>
                <w:color w:val="auto"/>
              </w:rPr>
            </w:pPr>
          </w:p>
        </w:tc>
      </w:tr>
      <w:tr>
        <w:trPr>
          <w:trHeight w:val="183"/>
        </w:trPr>
        <w:tc>
          <w:tcPr>
            <w:tcW w:w="214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December 31, 2024</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553</w:t>
            </w:r>
          </w:p>
        </w:tc>
        <w:tc>
          <w:tcPr>
            <w:tcW w:w="80" w:type="dxa"/>
            <w:vAlign w:val="bottom"/>
          </w:tcPr>
          <w:p>
            <w:pPr>
              <w:spacing w:after="0"/>
              <w:rPr>
                <w:sz w:val="17"/>
                <w:szCs w:val="17"/>
                <w:color w:val="auto"/>
              </w:rPr>
            </w:pPr>
          </w:p>
        </w:tc>
        <w:tc>
          <w:tcPr>
            <w:tcW w:w="720" w:type="dxa"/>
            <w:vAlign w:val="bottom"/>
            <w:tcBorders>
              <w:bottom w:val="single" w:sz="8" w:color="CCEEFF"/>
            </w:tcBorders>
            <w:shd w:val="clear" w:color="auto" w:fill="CCEEFF"/>
          </w:tcPr>
          <w:p>
            <w:pPr>
              <w:jc w:val="right"/>
              <w:ind w:right="577"/>
              <w:spacing w:after="0"/>
              <w:rPr>
                <w:sz w:val="20"/>
                <w:szCs w:val="20"/>
                <w:color w:val="auto"/>
              </w:rPr>
            </w:pPr>
            <w:r>
              <w:rPr>
                <w:rFonts w:ascii="Arial" w:cs="Arial" w:eastAsia="Arial" w:hAnsi="Arial"/>
                <w:sz w:val="13"/>
                <w:szCs w:val="13"/>
                <w:b w:val="1"/>
                <w:bCs w:val="1"/>
                <w:color w:val="auto"/>
                <w:w w:val="82"/>
              </w:rPr>
              <w:t>$</w:t>
            </w: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w w:val="82"/>
              </w:rPr>
              <w:t>11</w:t>
            </w:r>
          </w:p>
        </w:tc>
        <w:tc>
          <w:tcPr>
            <w:tcW w:w="80" w:type="dxa"/>
            <w:vAlign w:val="bottom"/>
          </w:tcPr>
          <w:p>
            <w:pPr>
              <w:spacing w:after="0"/>
              <w:rPr>
                <w:sz w:val="17"/>
                <w:szCs w:val="17"/>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24,014</w:t>
            </w:r>
          </w:p>
        </w:tc>
        <w:tc>
          <w:tcPr>
            <w:tcW w:w="80" w:type="dxa"/>
            <w:vAlign w:val="bottom"/>
          </w:tcPr>
          <w:p>
            <w:pPr>
              <w:spacing w:after="0"/>
              <w:rPr>
                <w:sz w:val="17"/>
                <w:szCs w:val="17"/>
                <w:color w:val="auto"/>
              </w:rPr>
            </w:pP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w w:val="82"/>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(13,266)</w:t>
            </w:r>
          </w:p>
        </w:tc>
        <w:tc>
          <w:tcPr>
            <w:tcW w:w="80" w:type="dxa"/>
            <w:vAlign w:val="bottom"/>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19</w:t>
            </w:r>
          </w:p>
        </w:tc>
        <w:tc>
          <w:tcPr>
            <w:tcW w:w="100" w:type="dxa"/>
            <w:vAlign w:val="bottom"/>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w:t>
            </w:r>
          </w:p>
        </w:tc>
        <w:tc>
          <w:tcPr>
            <w:tcW w:w="80" w:type="dxa"/>
            <w:vAlign w:val="bottom"/>
          </w:tcPr>
          <w:p>
            <w:pPr>
              <w:spacing w:after="0"/>
              <w:rPr>
                <w:sz w:val="17"/>
                <w:szCs w:val="17"/>
                <w:color w:val="auto"/>
              </w:rPr>
            </w:pPr>
          </w:p>
        </w:tc>
        <w:tc>
          <w:tcPr>
            <w:tcW w:w="2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10,776</w:t>
            </w:r>
          </w:p>
        </w:tc>
        <w:tc>
          <w:tcPr>
            <w:tcW w:w="80" w:type="dxa"/>
            <w:vAlign w:val="bottom"/>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48</w:t>
            </w:r>
          </w:p>
        </w:tc>
        <w:tc>
          <w:tcPr>
            <w:tcW w:w="80" w:type="dxa"/>
            <w:vAlign w:val="bottom"/>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10,824</w:t>
            </w:r>
          </w:p>
        </w:tc>
        <w:tc>
          <w:tcPr>
            <w:tcW w:w="0" w:type="dxa"/>
            <w:vAlign w:val="bottom"/>
          </w:tcPr>
          <w:p>
            <w:pPr>
              <w:spacing w:after="0"/>
              <w:rPr>
                <w:sz w:val="1"/>
                <w:szCs w:val="1"/>
                <w:color w:val="auto"/>
              </w:rPr>
            </w:pPr>
          </w:p>
        </w:tc>
      </w:tr>
      <w:tr>
        <w:trPr>
          <w:trHeight w:val="158"/>
        </w:trPr>
        <w:tc>
          <w:tcPr>
            <w:tcW w:w="2140" w:type="dxa"/>
            <w:vAlign w:val="bottom"/>
          </w:tcPr>
          <w:p>
            <w:pPr>
              <w:ind w:left="20"/>
              <w:spacing w:after="0"/>
              <w:rPr>
                <w:sz w:val="20"/>
                <w:szCs w:val="20"/>
                <w:color w:val="auto"/>
              </w:rPr>
            </w:pPr>
            <w:r>
              <w:rPr>
                <w:rFonts w:ascii="Arial" w:cs="Arial" w:eastAsia="Arial" w:hAnsi="Arial"/>
                <w:sz w:val="13"/>
                <w:szCs w:val="13"/>
                <w:color w:val="auto"/>
              </w:rPr>
              <w:t>Proceeds from issuance of equity</w:t>
            </w: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140" w:type="dxa"/>
            <w:vAlign w:val="bottom"/>
          </w:tcPr>
          <w:p>
            <w:pPr>
              <w:ind w:left="20"/>
              <w:spacing w:after="0"/>
              <w:rPr>
                <w:sz w:val="20"/>
                <w:szCs w:val="20"/>
                <w:color w:val="auto"/>
              </w:rPr>
            </w:pPr>
            <w:r>
              <w:rPr>
                <w:rFonts w:ascii="Arial" w:cs="Arial" w:eastAsia="Arial" w:hAnsi="Arial"/>
                <w:sz w:val="13"/>
                <w:szCs w:val="13"/>
                <w:color w:val="auto"/>
                <w:w w:val="99"/>
              </w:rPr>
              <w:t>instruments, net of withholding taxes</w:t>
            </w:r>
          </w:p>
        </w:tc>
        <w:tc>
          <w:tcPr>
            <w:tcW w:w="92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jc w:val="right"/>
              <w:ind w:right="17"/>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41"/>
        </w:trPr>
        <w:tc>
          <w:tcPr>
            <w:tcW w:w="2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Share-based compensation</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80" w:type="dxa"/>
            <w:vAlign w:val="bottom"/>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80" w:type="dxa"/>
            <w:vAlign w:val="bottom"/>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75"/>
        </w:trPr>
        <w:tc>
          <w:tcPr>
            <w:tcW w:w="214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jc w:val="right"/>
              <w:ind w:right="17"/>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210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210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211</w:t>
            </w:r>
          </w:p>
        </w:tc>
        <w:tc>
          <w:tcPr>
            <w:tcW w:w="0" w:type="dxa"/>
            <w:vAlign w:val="bottom"/>
          </w:tcPr>
          <w:p>
            <w:pPr>
              <w:spacing w:after="0"/>
              <w:rPr>
                <w:sz w:val="1"/>
                <w:szCs w:val="1"/>
                <w:color w:val="auto"/>
              </w:rPr>
            </w:pPr>
          </w:p>
        </w:tc>
      </w:tr>
      <w:tr>
        <w:trPr>
          <w:trHeight w:val="41"/>
        </w:trPr>
        <w:tc>
          <w:tcPr>
            <w:tcW w:w="2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Other comprehensive income</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80" w:type="dxa"/>
            <w:vAlign w:val="bottom"/>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206"/>
        </w:trPr>
        <w:tc>
          <w:tcPr>
            <w:tcW w:w="2140" w:type="dxa"/>
            <w:vAlign w:val="bottom"/>
          </w:tcPr>
          <w:p>
            <w:pPr>
              <w:ind w:left="20"/>
              <w:spacing w:after="0"/>
              <w:rPr>
                <w:sz w:val="20"/>
                <w:szCs w:val="20"/>
                <w:color w:val="auto"/>
              </w:rPr>
            </w:pPr>
            <w:r>
              <w:rPr>
                <w:rFonts w:ascii="Arial" w:cs="Arial" w:eastAsia="Arial" w:hAnsi="Arial"/>
                <w:sz w:val="13"/>
                <w:szCs w:val="13"/>
                <w:b w:val="1"/>
                <w:bCs w:val="1"/>
                <w:color w:val="auto"/>
              </w:rPr>
              <w:t>March 31, 2025</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555</w:t>
            </w:r>
          </w:p>
        </w:tc>
        <w:tc>
          <w:tcPr>
            <w:tcW w:w="8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ind w:right="577"/>
              <w:spacing w:after="0"/>
              <w:rPr>
                <w:sz w:val="20"/>
                <w:szCs w:val="20"/>
                <w:color w:val="auto"/>
              </w:rPr>
            </w:pPr>
            <w:r>
              <w:rPr>
                <w:rFonts w:ascii="Arial" w:cs="Arial" w:eastAsia="Arial" w:hAnsi="Arial"/>
                <w:sz w:val="13"/>
                <w:szCs w:val="13"/>
                <w:b w:val="1"/>
                <w:bCs w:val="1"/>
                <w:color w:val="auto"/>
                <w:w w:val="82"/>
              </w:rPr>
              <w:t>$</w:t>
            </w:r>
          </w:p>
        </w:tc>
        <w:tc>
          <w:tcPr>
            <w:tcW w:w="2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82"/>
              </w:rPr>
              <w:t>11</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24,046</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82"/>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(13,056)</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50</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3</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11,054</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50</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11,104</w:t>
            </w:r>
          </w:p>
        </w:tc>
        <w:tc>
          <w:tcPr>
            <w:tcW w:w="0" w:type="dxa"/>
            <w:vAlign w:val="bottom"/>
          </w:tcPr>
          <w:p>
            <w:pPr>
              <w:spacing w:after="0"/>
              <w:rPr>
                <w:sz w:val="1"/>
                <w:szCs w:val="1"/>
                <w:color w:val="auto"/>
              </w:rPr>
            </w:pPr>
          </w:p>
        </w:tc>
      </w:tr>
      <w:tr>
        <w:trPr>
          <w:trHeight w:val="25"/>
        </w:trPr>
        <w:tc>
          <w:tcPr>
            <w:tcW w:w="21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interim condensed consolidated financial statements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 except per share amounts or otherwise stated)</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Corporate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Operations</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GLOBALFOUNDRIES Inc. (“GlobalFoundries”) is an exempted company with limited liability incorporated under the laws of the Cayman Islands. The address of GlobalFoundries’ registered office is P.O. Box 309, Ugland House, Grand Cayman, KY1-1104 Cayman Islands.</w:t>
      </w:r>
    </w:p>
    <w:p>
      <w:pPr>
        <w:spacing w:after="0" w:line="6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GlobalFoundries and its subsidiaries (together referred to as the “Company”, “GlobalFoundries”, “GF”, “we”, or “us”) is one of the world’s leading semiconductor foundries and offers a full range of mainstream wafer fabrication services and technologies. The Company manufactures a broad range of semiconductor devices, including microprocessors, mobile application processors, baseband processors, network processors, radio frequency modems, microcontrollers and power management units.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Basis of Presentation, Summary of Material Accounting Policies and Critical Judgements, Estimates and Assumptions</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color w:val="auto"/>
        </w:rPr>
        <w:t xml:space="preserve">Statement of Compliance — </w:t>
      </w:r>
      <w:r>
        <w:rPr>
          <w:rFonts w:ascii="Arial" w:cs="Arial" w:eastAsia="Arial" w:hAnsi="Arial"/>
          <w:sz w:val="16"/>
          <w:szCs w:val="16"/>
          <w:color w:val="auto"/>
        </w:rPr>
        <w:t>The interim condensed consolidated financial statements ("interim financial statements") have been prepared in accordance</w:t>
      </w:r>
      <w:r>
        <w:rPr>
          <w:rFonts w:ascii="Arial" w:cs="Arial" w:eastAsia="Arial" w:hAnsi="Arial"/>
          <w:sz w:val="16"/>
          <w:szCs w:val="16"/>
          <w:b w:val="1"/>
          <w:bCs w:val="1"/>
          <w:color w:val="auto"/>
        </w:rPr>
        <w:t xml:space="preserve"> </w:t>
      </w:r>
      <w:r>
        <w:rPr>
          <w:rFonts w:ascii="Arial" w:cs="Arial" w:eastAsia="Arial" w:hAnsi="Arial"/>
          <w:sz w:val="16"/>
          <w:szCs w:val="16"/>
          <w:color w:val="auto"/>
        </w:rPr>
        <w:t>with International Accounting Standards ("IAS") 34</w:t>
      </w:r>
      <w:r>
        <w:rPr>
          <w:rFonts w:ascii="Arial" w:cs="Arial" w:eastAsia="Arial" w:hAnsi="Arial"/>
          <w:sz w:val="16"/>
          <w:szCs w:val="16"/>
          <w:i w:val="1"/>
          <w:iCs w:val="1"/>
          <w:color w:val="auto"/>
        </w:rPr>
        <w:t>, Interim Financial Reporting</w:t>
      </w:r>
      <w:r>
        <w:rPr>
          <w:rFonts w:ascii="Arial" w:cs="Arial" w:eastAsia="Arial" w:hAnsi="Arial"/>
          <w:sz w:val="16"/>
          <w:szCs w:val="16"/>
          <w:color w:val="auto"/>
        </w:rPr>
        <w:t xml:space="preserve"> ("IAS 34"), as issued by the International Accounting Standards Board ("IASB"). Certain information and footnote disclosures normally included in the annual audited consolidated financial statements prepared in accordance with International Financial Reporting Standards (“IFRS”), as issued by the IASB, have been omitted or condensed. These interim financial statements should be read in conjunction with the consolidated financials statements and notes thereto included in GlobalFoundries' Annual Report on Form 20-F for the year ended December 31, 2024. The interim financial statements have been prepared on a basis consistent with the accounting policies disclosed in the December 31, 2024 audited consolidated financial statements.</w:t>
      </w:r>
    </w:p>
    <w:p>
      <w:pPr>
        <w:spacing w:after="0" w:line="8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interim financial statements are unaudited and reflect adjustments (consisting of normal recurring adjustments) that are, in the opinion of management, necessary to provide a fair statement of results for the interim periods in accordance with IAS 34 as issued by the IASB.</w:t>
      </w:r>
    </w:p>
    <w:p>
      <w:pPr>
        <w:spacing w:after="0" w:line="48"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 interim financial statements were authorized by the Audit, Risk and Compliance Committee of GlobalFoundries’ Board of Directors on May 02, 2025, to be issued and subsequent events have been evaluated for their potential effect on the interim financial statements through May 06, 2025.</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Summary of Material Accounting Policies and Critical Judgments, Estimates and Assumptions — </w:t>
      </w:r>
      <w:r>
        <w:rPr>
          <w:rFonts w:ascii="Arial" w:cs="Arial" w:eastAsia="Arial" w:hAnsi="Arial"/>
          <w:sz w:val="16"/>
          <w:szCs w:val="16"/>
          <w:color w:val="auto"/>
        </w:rPr>
        <w:t>The summary of material accounting policies and</w:t>
      </w:r>
    </w:p>
    <w:p>
      <w:pPr>
        <w:spacing w:after="0" w:line="3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critical judgments, estimates and assumptions adopted in the preparation of the interim financial statements are consistent with those followed in the preparation of the Company's annual audited consolidated financial statements contained in our Annual Report on Form 20-F for the year ended December 31, 2024.</w:t>
      </w:r>
    </w:p>
    <w:p>
      <w:pPr>
        <w:spacing w:after="0" w:line="8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color w:val="auto"/>
        </w:rPr>
        <w:t xml:space="preserve">Change in Presentation — </w:t>
      </w:r>
      <w:r>
        <w:rPr>
          <w:rFonts w:ascii="Arial" w:cs="Arial" w:eastAsia="Arial" w:hAnsi="Arial"/>
          <w:sz w:val="16"/>
          <w:szCs w:val="16"/>
          <w:color w:val="auto"/>
        </w:rPr>
        <w:t>Certain prior period balances in the interim financial statements and accompanying notes have been reclassified to conform to</w:t>
      </w:r>
      <w:r>
        <w:rPr>
          <w:rFonts w:ascii="Arial" w:cs="Arial" w:eastAsia="Arial" w:hAnsi="Arial"/>
          <w:sz w:val="16"/>
          <w:szCs w:val="16"/>
          <w:b w:val="1"/>
          <w:bCs w:val="1"/>
          <w:color w:val="auto"/>
        </w:rPr>
        <w:t xml:space="preserve"> </w:t>
      </w:r>
      <w:r>
        <w:rPr>
          <w:rFonts w:ascii="Arial" w:cs="Arial" w:eastAsia="Arial" w:hAnsi="Arial"/>
          <w:sz w:val="16"/>
          <w:szCs w:val="16"/>
          <w:color w:val="auto"/>
        </w:rPr>
        <w:t>current period presentation. This change is not a change in accounting policy. Such reclassifications had no impact on net income, cash flows or shareholders' equity previously reported.</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 Not Adopted: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not adopted the following new, revised or amended IFRS standards that have been issued by the IASB that are not yet effective:</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auto"/>
        </w:rPr>
        <w:t xml:space="preserve">Classification and Measurement of Financial Instruments (Amendments to IFRS 9, </w:t>
      </w:r>
      <w:r>
        <w:rPr>
          <w:rFonts w:ascii="Arial" w:cs="Arial" w:eastAsia="Arial" w:hAnsi="Arial"/>
          <w:sz w:val="16"/>
          <w:szCs w:val="16"/>
          <w:b w:val="1"/>
          <w:bCs w:val="1"/>
          <w:i w:val="1"/>
          <w:iCs w:val="1"/>
          <w:color w:val="auto"/>
        </w:rPr>
        <w:t>Financial Instruments</w:t>
      </w:r>
      <w:r>
        <w:rPr>
          <w:rFonts w:ascii="Arial" w:cs="Arial" w:eastAsia="Arial" w:hAnsi="Arial"/>
          <w:sz w:val="16"/>
          <w:szCs w:val="16"/>
          <w:b w:val="1"/>
          <w:bCs w:val="1"/>
          <w:color w:val="auto"/>
        </w:rPr>
        <w:t xml:space="preserve"> and IFRS 7, </w:t>
      </w:r>
      <w:r>
        <w:rPr>
          <w:rFonts w:ascii="Arial" w:cs="Arial" w:eastAsia="Arial" w:hAnsi="Arial"/>
          <w:sz w:val="16"/>
          <w:szCs w:val="16"/>
          <w:b w:val="1"/>
          <w:bCs w:val="1"/>
          <w:i w:val="1"/>
          <w:iCs w:val="1"/>
          <w:color w:val="auto"/>
        </w:rPr>
        <w:t>Financial Instruments:</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Disclosures</w:t>
      </w:r>
      <w:r>
        <w:rPr>
          <w:rFonts w:ascii="Arial" w:cs="Arial" w:eastAsia="Arial" w:hAnsi="Arial"/>
          <w:sz w:val="16"/>
          <w:szCs w:val="16"/>
          <w:b w:val="1"/>
          <w:bCs w:val="1"/>
          <w:color w:val="auto"/>
        </w:rPr>
        <w:t>) —</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amendments clarify the requirements for the timing of recognition and derecognition of certain financial assets and liabilities, add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further guidance for assessing whether a financial asset meets the solely payments of principal and interest criterion and add new disclosures for certain instruments with contractual terms that can change cash flows. The effective date for adoption of these amendments is annual periods beginning on or after January 1, 2026.</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IFRS 18, </w:t>
      </w:r>
      <w:r>
        <w:rPr>
          <w:rFonts w:ascii="Arial" w:cs="Arial" w:eastAsia="Arial" w:hAnsi="Arial"/>
          <w:sz w:val="16"/>
          <w:szCs w:val="16"/>
          <w:b w:val="1"/>
          <w:bCs w:val="1"/>
          <w:i w:val="1"/>
          <w:iCs w:val="1"/>
          <w:color w:val="auto"/>
        </w:rPr>
        <w:t>Presentation and Disclosure in Financial Statements</w:t>
      </w:r>
      <w:r>
        <w:rPr>
          <w:rFonts w:ascii="Arial" w:cs="Arial" w:eastAsia="Arial" w:hAnsi="Arial"/>
          <w:sz w:val="16"/>
          <w:szCs w:val="16"/>
          <w:b w:val="1"/>
          <w:bCs w:val="1"/>
          <w:color w:val="auto"/>
        </w:rPr>
        <w:t xml:space="preserve"> ("IFRS 18") — </w:t>
      </w:r>
      <w:r>
        <w:rPr>
          <w:rFonts w:ascii="Arial" w:cs="Arial" w:eastAsia="Arial" w:hAnsi="Arial"/>
          <w:sz w:val="16"/>
          <w:szCs w:val="16"/>
          <w:color w:val="auto"/>
        </w:rPr>
        <w:t>This new standard will replace IAS 1,</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Presentation of Financial</w:t>
      </w:r>
    </w:p>
    <w:p>
      <w:pPr>
        <w:spacing w:after="0" w:line="3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i w:val="1"/>
          <w:iCs w:val="1"/>
          <w:color w:val="auto"/>
        </w:rPr>
        <w:t xml:space="preserve">Statements. </w:t>
      </w:r>
      <w:r>
        <w:rPr>
          <w:rFonts w:ascii="Arial" w:cs="Arial" w:eastAsia="Arial" w:hAnsi="Arial"/>
          <w:sz w:val="16"/>
          <w:szCs w:val="16"/>
          <w:color w:val="auto"/>
        </w:rPr>
        <w:t>The key concepts in IFRS 18 relate to the structure of the statement of profit or loss, required disclosures in the financial statements for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management-defined performance measures and enhanced principles on aggregation and disaggregation which apply to the primary financial statements and notes in general.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 except per share amounts or otherwise stated)</w:t>
      </w:r>
    </w:p>
    <w:p>
      <w:pPr>
        <w:spacing w:after="0" w:line="200" w:lineRule="exact"/>
        <w:rPr>
          <w:sz w:val="20"/>
          <w:szCs w:val="20"/>
          <w:color w:val="auto"/>
        </w:rPr>
      </w:pPr>
    </w:p>
    <w:p>
      <w:pPr>
        <w:spacing w:after="0" w:line="370" w:lineRule="exact"/>
        <w:rPr>
          <w:sz w:val="20"/>
          <w:szCs w:val="20"/>
          <w:color w:val="auto"/>
        </w:rPr>
      </w:pPr>
    </w:p>
    <w:p>
      <w:pPr>
        <w:jc w:val="both"/>
        <w:ind w:left="660" w:hanging="328"/>
        <w:spacing w:after="0" w:line="275"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IFRS 18 introduces new requirements for presentation within the statement of profit or loss, including specified totals and subtotals. Entities are required to classify all income and expenses within the statement of profit or loss into one of five categories: operating, investing, financing, income taxes and discontinued operations, whereof the first three are new.</w:t>
      </w:r>
    </w:p>
    <w:p>
      <w:pPr>
        <w:spacing w:after="0" w:line="56" w:lineRule="exact"/>
        <w:rPr>
          <w:rFonts w:ascii="Arial" w:cs="Arial" w:eastAsia="Arial" w:hAnsi="Arial"/>
          <w:sz w:val="16"/>
          <w:szCs w:val="16"/>
          <w:color w:val="auto"/>
        </w:rPr>
      </w:pPr>
    </w:p>
    <w:p>
      <w:pPr>
        <w:jc w:val="both"/>
        <w:ind w:left="660" w:hanging="328"/>
        <w:spacing w:after="0" w:line="275"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IFRS 18 also requires disclosure of newly defined management-defined performance measures, subtotals of income and expenses, and includes new requirements for aggregation and disaggregation of financial information based on the identified ‘roles’ of the primary financial statements and the notes to the financial statements.</w:t>
      </w:r>
    </w:p>
    <w:p>
      <w:pPr>
        <w:spacing w:after="0" w:line="56" w:lineRule="exact"/>
        <w:rPr>
          <w:rFonts w:ascii="Arial" w:cs="Arial" w:eastAsia="Arial" w:hAnsi="Arial"/>
          <w:sz w:val="16"/>
          <w:szCs w:val="16"/>
          <w:color w:val="auto"/>
        </w:rPr>
      </w:pPr>
    </w:p>
    <w:p>
      <w:pPr>
        <w:jc w:val="both"/>
        <w:ind w:left="660" w:hanging="328"/>
        <w:spacing w:after="0" w:line="275"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In addition, narrow-scope amendments have been made to IAS 7, </w:t>
      </w:r>
      <w:r>
        <w:rPr>
          <w:rFonts w:ascii="Arial" w:cs="Arial" w:eastAsia="Arial" w:hAnsi="Arial"/>
          <w:sz w:val="16"/>
          <w:szCs w:val="16"/>
          <w:i w:val="1"/>
          <w:iCs w:val="1"/>
          <w:color w:val="auto"/>
        </w:rPr>
        <w:t>Statement of Cash Flows,</w:t>
      </w:r>
      <w:r>
        <w:rPr>
          <w:rFonts w:ascii="Arial" w:cs="Arial" w:eastAsia="Arial" w:hAnsi="Arial"/>
          <w:sz w:val="16"/>
          <w:szCs w:val="16"/>
          <w:color w:val="auto"/>
        </w:rPr>
        <w:t xml:space="preserve"> which include changing the starting point for determining cash flows from operations under the indirect method, from ‘profit or loss’ to ‘operating profit or loss’ and removing the optionality around classification of cash flows from dividends and interest. In addition, there are consequential amendments to several other standards.</w:t>
      </w:r>
    </w:p>
    <w:p>
      <w:pPr>
        <w:spacing w:after="0" w:line="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effective date for adoption of this standard is annual periods beginning on or after January 1, 2027, and earlier adoption is permitted. Retrospective application is required.</w:t>
      </w:r>
    </w:p>
    <w:p>
      <w:pPr>
        <w:spacing w:after="0" w:line="4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auto"/>
        </w:rPr>
        <w:t xml:space="preserve">Annual Improvements to IFRS Accounting Standards — Volume 11 — </w:t>
      </w:r>
      <w:r>
        <w:rPr>
          <w:rFonts w:ascii="Arial" w:cs="Arial" w:eastAsia="Arial" w:hAnsi="Arial"/>
          <w:sz w:val="16"/>
          <w:szCs w:val="16"/>
          <w:color w:val="auto"/>
        </w:rPr>
        <w:t>These narrow-scope amendments relate to clarifications, simplifications,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corrections or changes to improve consistency in the following IFRS statements: IFRS 7, </w:t>
      </w:r>
      <w:r>
        <w:rPr>
          <w:rFonts w:ascii="Arial" w:cs="Arial" w:eastAsia="Arial" w:hAnsi="Arial"/>
          <w:sz w:val="16"/>
          <w:szCs w:val="16"/>
          <w:i w:val="1"/>
          <w:iCs w:val="1"/>
          <w:color w:val="auto"/>
        </w:rPr>
        <w:t>Financial Instruments: Disclosures</w:t>
      </w:r>
      <w:r>
        <w:rPr>
          <w:rFonts w:ascii="Arial" w:cs="Arial" w:eastAsia="Arial" w:hAnsi="Arial"/>
          <w:sz w:val="16"/>
          <w:szCs w:val="16"/>
          <w:color w:val="auto"/>
        </w:rPr>
        <w:t xml:space="preserve">, IFRS 9, </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IFRS 10, </w:t>
      </w:r>
      <w:r>
        <w:rPr>
          <w:rFonts w:ascii="Arial" w:cs="Arial" w:eastAsia="Arial" w:hAnsi="Arial"/>
          <w:sz w:val="16"/>
          <w:szCs w:val="16"/>
          <w:i w:val="1"/>
          <w:iCs w:val="1"/>
          <w:color w:val="auto"/>
        </w:rPr>
        <w:t>Consolidated Financial Instruments</w:t>
      </w:r>
      <w:r>
        <w:rPr>
          <w:rFonts w:ascii="Arial" w:cs="Arial" w:eastAsia="Arial" w:hAnsi="Arial"/>
          <w:sz w:val="16"/>
          <w:szCs w:val="16"/>
          <w:color w:val="auto"/>
        </w:rPr>
        <w:t xml:space="preserve"> and IAS 7, </w:t>
      </w:r>
      <w:r>
        <w:rPr>
          <w:rFonts w:ascii="Arial" w:cs="Arial" w:eastAsia="Arial" w:hAnsi="Arial"/>
          <w:sz w:val="16"/>
          <w:szCs w:val="16"/>
          <w:i w:val="1"/>
          <w:iCs w:val="1"/>
          <w:color w:val="auto"/>
        </w:rPr>
        <w:t>Statement of Cash Flows</w:t>
      </w:r>
      <w:r>
        <w:rPr>
          <w:rFonts w:ascii="Arial" w:cs="Arial" w:eastAsia="Arial" w:hAnsi="Arial"/>
          <w:sz w:val="16"/>
          <w:szCs w:val="16"/>
          <w:color w:val="auto"/>
        </w:rPr>
        <w:t>. The effective date for adoption of these amendments is annual periods beginning on or after January 1, 2026.</w:t>
      </w:r>
    </w:p>
    <w:p>
      <w:pPr>
        <w:spacing w:after="0" w:line="7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color w:val="auto"/>
        </w:rPr>
        <w:t xml:space="preserve">Contracts Referencing Nature-dependent Electricity — Amendments to IFRS 9 and IFRS 7 — </w:t>
      </w:r>
      <w:r>
        <w:rPr>
          <w:rFonts w:ascii="Arial" w:cs="Arial" w:eastAsia="Arial" w:hAnsi="Arial"/>
          <w:sz w:val="16"/>
          <w:szCs w:val="16"/>
          <w:color w:val="auto"/>
        </w:rPr>
        <w:t>These amendments help entities better report the</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effects of nature-dependent electricity contracts, which are often structured as power purchase agreements. The amendments include clarifying the application of the own-use requirements, permitted hedge accounting if these contracts are used as hedging instruments and adding new disclosure requirements to enable investors to understand the effect of these contracts on an entity’s financial performance and cash flows. The amendments are effective for annual periods beginning on or after January 1, 2026.</w:t>
      </w:r>
    </w:p>
    <w:p>
      <w:pPr>
        <w:spacing w:after="0" w:line="8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As of the date the accompanying financial statements were authorized for issue, the Company continues to evaluate the impact of the aforementioned standards on its financial position and performance and related applicable periods.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Net Revenue</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following table presents the Company’s revenue disaggregated based on revenue source, timing of revenue recognition and end markets that we serve, for the three month periods ended March 31, 2025 and 2024. The Company believes these categories best depict the nature and timing of revenue: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00" w:type="dxa"/>
            <w:vAlign w:val="bottom"/>
          </w:tcPr>
          <w:p>
            <w:pPr>
              <w:spacing w:after="0"/>
              <w:rPr>
                <w:sz w:val="19"/>
                <w:szCs w:val="19"/>
                <w:color w:val="auto"/>
              </w:rPr>
            </w:pPr>
          </w:p>
        </w:tc>
        <w:tc>
          <w:tcPr>
            <w:tcW w:w="300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540" w:type="dxa"/>
            <w:vAlign w:val="bottom"/>
          </w:tcPr>
          <w:p>
            <w:pPr>
              <w:spacing w:after="0"/>
              <w:rPr>
                <w:sz w:val="19"/>
                <w:szCs w:val="19"/>
                <w:color w:val="auto"/>
              </w:rPr>
            </w:pPr>
          </w:p>
        </w:tc>
      </w:tr>
      <w:tr>
        <w:trPr>
          <w:trHeight w:val="21"/>
        </w:trPr>
        <w:tc>
          <w:tcPr>
            <w:tcW w:w="77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229"/>
        </w:trPr>
        <w:tc>
          <w:tcPr>
            <w:tcW w:w="770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b w:val="1"/>
                <w:bCs w:val="1"/>
                <w:color w:val="auto"/>
              </w:rPr>
              <w:t>2025</w:t>
            </w:r>
          </w:p>
        </w:tc>
        <w:tc>
          <w:tcPr>
            <w:tcW w:w="580" w:type="dxa"/>
            <w:vAlign w:val="bottom"/>
          </w:tcPr>
          <w:p>
            <w:pPr>
              <w:spacing w:after="0"/>
              <w:rPr>
                <w:sz w:val="19"/>
                <w:szCs w:val="19"/>
                <w:color w:val="auto"/>
              </w:rPr>
            </w:pPr>
          </w:p>
        </w:tc>
        <w:tc>
          <w:tcPr>
            <w:tcW w:w="126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2024</w:t>
            </w:r>
          </w:p>
        </w:tc>
        <w:tc>
          <w:tcPr>
            <w:tcW w:w="540" w:type="dxa"/>
            <w:vAlign w:val="bottom"/>
          </w:tcPr>
          <w:p>
            <w:pPr>
              <w:spacing w:after="0"/>
              <w:rPr>
                <w:sz w:val="19"/>
                <w:szCs w:val="19"/>
                <w:color w:val="auto"/>
              </w:rPr>
            </w:pPr>
          </w:p>
        </w:tc>
      </w:tr>
      <w:tr>
        <w:trPr>
          <w:trHeight w:val="21"/>
        </w:trPr>
        <w:tc>
          <w:tcPr>
            <w:tcW w:w="77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216"/>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Type of goods and services:</w:t>
            </w:r>
          </w:p>
        </w:tc>
        <w:tc>
          <w:tcPr>
            <w:tcW w:w="11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r>
      <w:tr>
        <w:trPr>
          <w:trHeight w:val="228"/>
        </w:trPr>
        <w:tc>
          <w:tcPr>
            <w:tcW w:w="7700" w:type="dxa"/>
            <w:vAlign w:val="bottom"/>
          </w:tcPr>
          <w:p>
            <w:pPr>
              <w:ind w:left="20"/>
              <w:spacing w:after="0"/>
              <w:rPr>
                <w:sz w:val="20"/>
                <w:szCs w:val="20"/>
                <w:color w:val="auto"/>
              </w:rPr>
            </w:pPr>
            <w:r>
              <w:rPr>
                <w:rFonts w:ascii="Arial" w:cs="Arial" w:eastAsia="Arial" w:hAnsi="Arial"/>
                <w:sz w:val="16"/>
                <w:szCs w:val="16"/>
                <w:color w:val="auto"/>
              </w:rPr>
              <w:t>Wafer revenue</w:t>
            </w:r>
          </w:p>
        </w:tc>
        <w:tc>
          <w:tcPr>
            <w:tcW w:w="1160" w:type="dxa"/>
            <w:vAlign w:val="bottom"/>
          </w:tcPr>
          <w:p>
            <w:pPr>
              <w:jc w:val="right"/>
              <w:ind w:right="95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1,397</w:t>
            </w:r>
          </w:p>
        </w:tc>
        <w:tc>
          <w:tcPr>
            <w:tcW w:w="1260" w:type="dxa"/>
            <w:vAlign w:val="bottom"/>
            <w:gridSpan w:val="2"/>
          </w:tcPr>
          <w:p>
            <w:pPr>
              <w:jc w:val="right"/>
              <w:ind w:right="97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1,375</w:t>
            </w:r>
          </w:p>
        </w:tc>
      </w:tr>
      <w:tr>
        <w:trPr>
          <w:trHeight w:val="29"/>
        </w:trPr>
        <w:tc>
          <w:tcPr>
            <w:tcW w:w="7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6"/>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 wafer revenue</w:t>
            </w:r>
          </w:p>
        </w:tc>
        <w:tc>
          <w:tcPr>
            <w:tcW w:w="11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80" w:type="dxa"/>
            <w:vAlign w:val="bottom"/>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w:t>
            </w:r>
          </w:p>
        </w:tc>
      </w:tr>
      <w:tr>
        <w:trPr>
          <w:trHeight w:val="229"/>
        </w:trPr>
        <w:tc>
          <w:tcPr>
            <w:tcW w:w="770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1160" w:type="dxa"/>
            <w:vAlign w:val="bottom"/>
            <w:tcBorders>
              <w:top w:val="single" w:sz="8" w:color="auto"/>
            </w:tcBorders>
          </w:tcPr>
          <w:p>
            <w:pPr>
              <w:jc w:val="right"/>
              <w:ind w:right="959"/>
              <w:spacing w:after="0"/>
              <w:rPr>
                <w:sz w:val="20"/>
                <w:szCs w:val="20"/>
                <w:color w:val="auto"/>
              </w:rPr>
            </w:pPr>
            <w:r>
              <w:rPr>
                <w:rFonts w:ascii="Arial" w:cs="Arial" w:eastAsia="Arial" w:hAnsi="Arial"/>
                <w:sz w:val="16"/>
                <w:szCs w:val="16"/>
                <w:b w:val="1"/>
                <w:bCs w:val="1"/>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1,585</w:t>
            </w:r>
          </w:p>
        </w:tc>
        <w:tc>
          <w:tcPr>
            <w:tcW w:w="80" w:type="dxa"/>
            <w:vAlign w:val="bottom"/>
          </w:tcPr>
          <w:p>
            <w:pPr>
              <w:spacing w:after="0"/>
              <w:rPr>
                <w:sz w:val="19"/>
                <w:szCs w:val="19"/>
                <w:color w:val="auto"/>
              </w:rPr>
            </w:pPr>
          </w:p>
        </w:tc>
        <w:tc>
          <w:tcPr>
            <w:tcW w:w="1180" w:type="dxa"/>
            <w:vAlign w:val="bottom"/>
            <w:tcBorders>
              <w:top w:val="single" w:sz="8" w:color="auto"/>
            </w:tcBorders>
          </w:tcPr>
          <w:p>
            <w:pPr>
              <w:jc w:val="right"/>
              <w:ind w:right="979"/>
              <w:spacing w:after="0"/>
              <w:rPr>
                <w:sz w:val="20"/>
                <w:szCs w:val="20"/>
                <w:color w:val="auto"/>
              </w:rPr>
            </w:pPr>
            <w:r>
              <w:rPr>
                <w:rFonts w:ascii="Arial" w:cs="Arial" w:eastAsia="Arial" w:hAnsi="Arial"/>
                <w:sz w:val="16"/>
                <w:szCs w:val="16"/>
                <w:b w:val="1"/>
                <w:bCs w:val="1"/>
                <w:color w:val="auto"/>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1,549</w:t>
            </w:r>
          </w:p>
        </w:tc>
      </w:tr>
      <w:tr>
        <w:trPr>
          <w:trHeight w:val="21"/>
        </w:trPr>
        <w:tc>
          <w:tcPr>
            <w:tcW w:w="77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196"/>
        </w:trPr>
        <w:tc>
          <w:tcPr>
            <w:tcW w:w="77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228"/>
        </w:trPr>
        <w:tc>
          <w:tcPr>
            <w:tcW w:w="7700" w:type="dxa"/>
            <w:vAlign w:val="bottom"/>
          </w:tcPr>
          <w:p>
            <w:pPr>
              <w:ind w:left="20"/>
              <w:spacing w:after="0"/>
              <w:rPr>
                <w:sz w:val="20"/>
                <w:szCs w:val="20"/>
                <w:color w:val="auto"/>
              </w:rPr>
            </w:pPr>
            <w:r>
              <w:rPr>
                <w:rFonts w:ascii="Arial" w:cs="Arial" w:eastAsia="Arial" w:hAnsi="Arial"/>
                <w:sz w:val="16"/>
                <w:szCs w:val="16"/>
                <w:color w:val="auto"/>
              </w:rPr>
              <w:t>Timing of revenue recognition:</w:t>
            </w:r>
          </w:p>
        </w:tc>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9"/>
        </w:trPr>
        <w:tc>
          <w:tcPr>
            <w:tcW w:w="7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540" w:type="dxa"/>
            <w:vAlign w:val="bottom"/>
          </w:tcPr>
          <w:p>
            <w:pPr>
              <w:spacing w:after="0"/>
              <w:rPr>
                <w:sz w:val="2"/>
                <w:szCs w:val="2"/>
                <w:color w:val="auto"/>
              </w:rPr>
            </w:pPr>
          </w:p>
        </w:tc>
      </w:tr>
      <w:tr>
        <w:trPr>
          <w:trHeight w:val="237"/>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 recognized over time</w:t>
            </w:r>
          </w:p>
        </w:tc>
        <w:tc>
          <w:tcPr>
            <w:tcW w:w="116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80" w:type="dxa"/>
            <w:vAlign w:val="bottom"/>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w:t>
            </w:r>
          </w:p>
        </w:tc>
      </w:tr>
      <w:tr>
        <w:trPr>
          <w:trHeight w:val="228"/>
        </w:trPr>
        <w:tc>
          <w:tcPr>
            <w:tcW w:w="7700" w:type="dxa"/>
            <w:vAlign w:val="bottom"/>
          </w:tcPr>
          <w:p>
            <w:pPr>
              <w:ind w:left="20"/>
              <w:spacing w:after="0"/>
              <w:rPr>
                <w:sz w:val="20"/>
                <w:szCs w:val="20"/>
                <w:color w:val="auto"/>
              </w:rPr>
            </w:pPr>
            <w:r>
              <w:rPr>
                <w:rFonts w:ascii="Arial" w:cs="Arial" w:eastAsia="Arial" w:hAnsi="Arial"/>
                <w:sz w:val="16"/>
                <w:szCs w:val="16"/>
                <w:color w:val="auto"/>
              </w:rPr>
              <w:t>Revenue recognized at a point in time</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1,447</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1,418</w:t>
            </w:r>
          </w:p>
        </w:tc>
      </w:tr>
      <w:tr>
        <w:trPr>
          <w:trHeight w:val="29"/>
        </w:trPr>
        <w:tc>
          <w:tcPr>
            <w:tcW w:w="7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7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1160" w:type="dxa"/>
            <w:vAlign w:val="bottom"/>
            <w:tcBorders>
              <w:top w:val="single" w:sz="8" w:color="auto"/>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b w:val="1"/>
                <w:bCs w:val="1"/>
                <w:color w:val="auto"/>
              </w:rPr>
              <w:t>$</w:t>
            </w: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1,585</w:t>
            </w:r>
          </w:p>
        </w:tc>
        <w:tc>
          <w:tcPr>
            <w:tcW w:w="80" w:type="dxa"/>
            <w:vAlign w:val="bottom"/>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jc w:val="right"/>
              <w:ind w:right="979"/>
              <w:spacing w:after="0"/>
              <w:rPr>
                <w:sz w:val="20"/>
                <w:szCs w:val="20"/>
                <w:color w:val="auto"/>
              </w:rPr>
            </w:pPr>
            <w:r>
              <w:rPr>
                <w:rFonts w:ascii="Arial" w:cs="Arial" w:eastAsia="Arial" w:hAnsi="Arial"/>
                <w:sz w:val="16"/>
                <w:szCs w:val="16"/>
                <w:b w:val="1"/>
                <w:bCs w:val="1"/>
                <w:color w:val="auto"/>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1,549</w:t>
            </w:r>
          </w:p>
        </w:tc>
      </w:tr>
      <w:tr>
        <w:trPr>
          <w:trHeight w:val="196"/>
        </w:trPr>
        <w:tc>
          <w:tcPr>
            <w:tcW w:w="770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r>
      <w:tr>
        <w:trPr>
          <w:trHeight w:val="237"/>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 Markets:</w:t>
            </w:r>
          </w:p>
        </w:tc>
        <w:tc>
          <w:tcPr>
            <w:tcW w:w="11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r>
      <w:tr>
        <w:trPr>
          <w:trHeight w:val="228"/>
        </w:trPr>
        <w:tc>
          <w:tcPr>
            <w:tcW w:w="7700" w:type="dxa"/>
            <w:vAlign w:val="bottom"/>
          </w:tcPr>
          <w:p>
            <w:pPr>
              <w:ind w:left="20"/>
              <w:spacing w:after="0"/>
              <w:rPr>
                <w:sz w:val="20"/>
                <w:szCs w:val="20"/>
                <w:color w:val="auto"/>
              </w:rPr>
            </w:pPr>
            <w:r>
              <w:rPr>
                <w:rFonts w:ascii="Arial" w:cs="Arial" w:eastAsia="Arial" w:hAnsi="Arial"/>
                <w:sz w:val="16"/>
                <w:szCs w:val="16"/>
                <w:color w:val="auto"/>
              </w:rPr>
              <w:t>Smart Mobile Devices</w:t>
            </w:r>
          </w:p>
        </w:tc>
        <w:tc>
          <w:tcPr>
            <w:tcW w:w="1160" w:type="dxa"/>
            <w:vAlign w:val="bottom"/>
          </w:tcPr>
          <w:p>
            <w:pPr>
              <w:jc w:val="right"/>
              <w:ind w:right="95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586</w:t>
            </w:r>
          </w:p>
        </w:tc>
        <w:tc>
          <w:tcPr>
            <w:tcW w:w="1260" w:type="dxa"/>
            <w:vAlign w:val="bottom"/>
            <w:gridSpan w:val="2"/>
          </w:tcPr>
          <w:p>
            <w:pPr>
              <w:jc w:val="right"/>
              <w:ind w:right="97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680</w:t>
            </w:r>
          </w:p>
        </w:tc>
      </w:tr>
      <w:tr>
        <w:trPr>
          <w:trHeight w:val="29"/>
        </w:trPr>
        <w:tc>
          <w:tcPr>
            <w:tcW w:w="7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6"/>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Communications Infrastructure &amp; Datacenter</w:t>
            </w:r>
          </w:p>
        </w:tc>
        <w:tc>
          <w:tcPr>
            <w:tcW w:w="11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80" w:type="dxa"/>
            <w:vAlign w:val="bottom"/>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w:t>
            </w:r>
          </w:p>
        </w:tc>
      </w:tr>
      <w:tr>
        <w:trPr>
          <w:trHeight w:val="228"/>
        </w:trPr>
        <w:tc>
          <w:tcPr>
            <w:tcW w:w="7700" w:type="dxa"/>
            <w:vAlign w:val="bottom"/>
          </w:tcPr>
          <w:p>
            <w:pPr>
              <w:ind w:left="20"/>
              <w:spacing w:after="0"/>
              <w:rPr>
                <w:sz w:val="20"/>
                <w:szCs w:val="20"/>
                <w:color w:val="auto"/>
              </w:rPr>
            </w:pPr>
            <w:r>
              <w:rPr>
                <w:rFonts w:ascii="Arial" w:cs="Arial" w:eastAsia="Arial" w:hAnsi="Arial"/>
                <w:sz w:val="16"/>
                <w:szCs w:val="16"/>
                <w:color w:val="auto"/>
              </w:rPr>
              <w:t>Home and Industrial IoT</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328</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309</w:t>
            </w:r>
          </w:p>
        </w:tc>
      </w:tr>
      <w:tr>
        <w:trPr>
          <w:trHeight w:val="29"/>
        </w:trPr>
        <w:tc>
          <w:tcPr>
            <w:tcW w:w="7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6"/>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Automotive</w:t>
            </w:r>
          </w:p>
        </w:tc>
        <w:tc>
          <w:tcPr>
            <w:tcW w:w="11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80" w:type="dxa"/>
            <w:vAlign w:val="bottom"/>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266</w:t>
            </w:r>
          </w:p>
        </w:tc>
      </w:tr>
      <w:tr>
        <w:trPr>
          <w:trHeight w:val="228"/>
        </w:trPr>
        <w:tc>
          <w:tcPr>
            <w:tcW w:w="7700" w:type="dxa"/>
            <w:vAlign w:val="bottom"/>
          </w:tcPr>
          <w:p>
            <w:pPr>
              <w:ind w:left="20"/>
              <w:spacing w:after="0"/>
              <w:rPr>
                <w:sz w:val="20"/>
                <w:szCs w:val="20"/>
                <w:color w:val="auto"/>
              </w:rPr>
            </w:pPr>
            <w:r>
              <w:rPr>
                <w:rFonts w:ascii="Arial" w:cs="Arial" w:eastAsia="Arial" w:hAnsi="Arial"/>
                <w:sz w:val="16"/>
                <w:szCs w:val="16"/>
                <w:color w:val="auto"/>
              </w:rPr>
              <w:t>Non wafer revenue and other</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188</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174</w:t>
            </w:r>
          </w:p>
        </w:tc>
      </w:tr>
      <w:tr>
        <w:trPr>
          <w:trHeight w:val="29"/>
        </w:trPr>
        <w:tc>
          <w:tcPr>
            <w:tcW w:w="7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540" w:type="dxa"/>
            <w:vAlign w:val="bottom"/>
          </w:tcPr>
          <w:p>
            <w:pPr>
              <w:spacing w:after="0"/>
              <w:rPr>
                <w:sz w:val="2"/>
                <w:szCs w:val="2"/>
                <w:color w:val="auto"/>
              </w:rPr>
            </w:pPr>
          </w:p>
        </w:tc>
      </w:tr>
      <w:tr>
        <w:trPr>
          <w:trHeight w:val="230"/>
        </w:trPr>
        <w:tc>
          <w:tcPr>
            <w:tcW w:w="7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1160" w:type="dxa"/>
            <w:vAlign w:val="bottom"/>
            <w:tcBorders>
              <w:top w:val="single" w:sz="8" w:color="auto"/>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b w:val="1"/>
                <w:bCs w:val="1"/>
                <w:color w:val="auto"/>
              </w:rPr>
              <w:t>$</w:t>
            </w: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1,585</w:t>
            </w:r>
          </w:p>
        </w:tc>
        <w:tc>
          <w:tcPr>
            <w:tcW w:w="80" w:type="dxa"/>
            <w:vAlign w:val="bottom"/>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jc w:val="right"/>
              <w:ind w:right="979"/>
              <w:spacing w:after="0"/>
              <w:rPr>
                <w:sz w:val="20"/>
                <w:szCs w:val="20"/>
                <w:color w:val="auto"/>
              </w:rPr>
            </w:pPr>
            <w:r>
              <w:rPr>
                <w:rFonts w:ascii="Arial" w:cs="Arial" w:eastAsia="Arial" w:hAnsi="Arial"/>
                <w:sz w:val="16"/>
                <w:szCs w:val="16"/>
                <w:b w:val="1"/>
                <w:bCs w:val="1"/>
                <w:color w:val="auto"/>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1,549</w:t>
            </w:r>
          </w:p>
        </w:tc>
      </w:tr>
      <w:tr>
        <w:trPr>
          <w:trHeight w:val="20"/>
        </w:trPr>
        <w:tc>
          <w:tcPr>
            <w:tcW w:w="77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 except per share amounts or otherwise stated)</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Income taxes</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For tax reporting purposes, the Company consolidates its entities under GLOBALFOUNDRIES Inc., a Cayman Islands entity. As a Cayman Islands entity, the Company’s domestic statutory income tax rate is 0.0%. The difference between the Company’s domestic statutory income tax rate and its effective income tax rate reflected in income tax benefit or income tax expense is primarily due to the effect of tax rates and permanent differences in other jurisdictions in which the Company operates. Applicable to tax years beginning in 2025, the Company's effective tax rate is impacted by Pillar Two minimum top-up taxes, primarily related to Singapore.</w:t>
      </w:r>
    </w:p>
    <w:p>
      <w:pPr>
        <w:spacing w:after="0" w:line="10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effective tax rate for the three months ended March 31, 2025 and 2024 was (8.2)% and 13.5%, respectively. The decrease was primarily the result of tax benefit related to exchange rate changes on the base of certain non-monetary assets in Germany and tax benefit from recognition of German deferred tax assets net of contingencies, offset by tax expense related primarily to an anticipated qualified domestic top-up tax liability in Singapore.</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Earnings Per Share</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Basic earnings per share ("EPS") is based upon the weighted average number of common shares outstanding during the period. Diluted earnings per share is based upon the weighted average number of common shares outstanding during the period assuming the issuance of common shares for all potentially dilutive common shares outstanding.</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80" w:type="dxa"/>
            <w:vAlign w:val="bottom"/>
          </w:tcPr>
          <w:p>
            <w:pPr>
              <w:spacing w:after="0"/>
              <w:rPr>
                <w:sz w:val="20"/>
                <w:szCs w:val="20"/>
                <w:color w:val="auto"/>
              </w:rPr>
            </w:pPr>
            <w:r>
              <w:rPr>
                <w:rFonts w:ascii="Arial" w:cs="Arial" w:eastAsia="Arial" w:hAnsi="Arial"/>
                <w:sz w:val="16"/>
                <w:szCs w:val="16"/>
                <w:color w:val="auto"/>
              </w:rPr>
              <w:t>The following table sets forth the computation of basic and diluted earnings per share:</w:t>
            </w:r>
          </w:p>
        </w:tc>
        <w:tc>
          <w:tcPr>
            <w:tcW w:w="1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00"/>
        </w:trPr>
        <w:tc>
          <w:tcPr>
            <w:tcW w:w="7680" w:type="dxa"/>
            <w:vAlign w:val="bottom"/>
          </w:tcPr>
          <w:p>
            <w:pPr>
              <w:spacing w:after="0"/>
              <w:rPr>
                <w:sz w:val="24"/>
                <w:szCs w:val="24"/>
                <w:color w:val="auto"/>
              </w:rPr>
            </w:pPr>
          </w:p>
        </w:tc>
        <w:tc>
          <w:tcPr>
            <w:tcW w:w="306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rPr>
              <w:t>Three Months Ended March 31</w:t>
            </w:r>
          </w:p>
        </w:tc>
        <w:tc>
          <w:tcPr>
            <w:tcW w:w="500" w:type="dxa"/>
            <w:vAlign w:val="bottom"/>
          </w:tcPr>
          <w:p>
            <w:pPr>
              <w:spacing w:after="0"/>
              <w:rPr>
                <w:sz w:val="24"/>
                <w:szCs w:val="24"/>
                <w:color w:val="auto"/>
              </w:rPr>
            </w:pPr>
          </w:p>
        </w:tc>
      </w:tr>
      <w:tr>
        <w:trPr>
          <w:trHeight w:val="21"/>
        </w:trPr>
        <w:tc>
          <w:tcPr>
            <w:tcW w:w="76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229"/>
        </w:trPr>
        <w:tc>
          <w:tcPr>
            <w:tcW w:w="768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b w:val="1"/>
                <w:bCs w:val="1"/>
                <w:color w:val="auto"/>
              </w:rPr>
              <w:t>2025</w:t>
            </w:r>
          </w:p>
        </w:tc>
        <w:tc>
          <w:tcPr>
            <w:tcW w:w="540" w:type="dxa"/>
            <w:vAlign w:val="bottom"/>
          </w:tcPr>
          <w:p>
            <w:pPr>
              <w:spacing w:after="0"/>
              <w:rPr>
                <w:sz w:val="19"/>
                <w:szCs w:val="19"/>
                <w:color w:val="auto"/>
              </w:rPr>
            </w:pPr>
          </w:p>
        </w:tc>
        <w:tc>
          <w:tcPr>
            <w:tcW w:w="132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2024</w:t>
            </w:r>
          </w:p>
        </w:tc>
        <w:tc>
          <w:tcPr>
            <w:tcW w:w="500" w:type="dxa"/>
            <w:vAlign w:val="bottom"/>
          </w:tcPr>
          <w:p>
            <w:pPr>
              <w:spacing w:after="0"/>
              <w:rPr>
                <w:sz w:val="19"/>
                <w:szCs w:val="19"/>
                <w:color w:val="auto"/>
              </w:rPr>
            </w:pPr>
          </w:p>
        </w:tc>
      </w:tr>
      <w:tr>
        <w:trPr>
          <w:trHeight w:val="21"/>
        </w:trPr>
        <w:tc>
          <w:tcPr>
            <w:tcW w:w="76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217"/>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Numerator</w:t>
            </w:r>
          </w:p>
        </w:tc>
        <w:tc>
          <w:tcPr>
            <w:tcW w:w="12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r>
      <w:tr>
        <w:trPr>
          <w:trHeight w:val="235"/>
        </w:trPr>
        <w:tc>
          <w:tcPr>
            <w:tcW w:w="7680" w:type="dxa"/>
            <w:vAlign w:val="bottom"/>
          </w:tcPr>
          <w:p>
            <w:pPr>
              <w:ind w:left="140"/>
              <w:spacing w:after="0"/>
              <w:rPr>
                <w:sz w:val="20"/>
                <w:szCs w:val="20"/>
                <w:color w:val="auto"/>
              </w:rPr>
            </w:pPr>
            <w:r>
              <w:rPr>
                <w:rFonts w:ascii="Arial" w:cs="Arial" w:eastAsia="Arial" w:hAnsi="Arial"/>
                <w:sz w:val="16"/>
                <w:szCs w:val="16"/>
                <w:b w:val="1"/>
                <w:bCs w:val="1"/>
                <w:color w:val="auto"/>
              </w:rPr>
              <w:t>Net income attributable to equity shareholders of the Company</w:t>
            </w:r>
          </w:p>
        </w:tc>
        <w:tc>
          <w:tcPr>
            <w:tcW w:w="1200" w:type="dxa"/>
            <w:vAlign w:val="bottom"/>
          </w:tcPr>
          <w:p>
            <w:pPr>
              <w:jc w:val="right"/>
              <w:ind w:right="99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210</w:t>
            </w:r>
          </w:p>
        </w:tc>
        <w:tc>
          <w:tcPr>
            <w:tcW w:w="1320" w:type="dxa"/>
            <w:vAlign w:val="bottom"/>
            <w:gridSpan w:val="2"/>
          </w:tcPr>
          <w:p>
            <w:pPr>
              <w:jc w:val="right"/>
              <w:ind w:right="1039"/>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133</w:t>
            </w:r>
          </w:p>
        </w:tc>
      </w:tr>
      <w:tr>
        <w:trPr>
          <w:trHeight w:val="21"/>
        </w:trPr>
        <w:tc>
          <w:tcPr>
            <w:tcW w:w="76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196"/>
        </w:trPr>
        <w:tc>
          <w:tcPr>
            <w:tcW w:w="76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227"/>
        </w:trPr>
        <w:tc>
          <w:tcPr>
            <w:tcW w:w="7680" w:type="dxa"/>
            <w:vAlign w:val="bottom"/>
          </w:tcPr>
          <w:p>
            <w:pPr>
              <w:ind w:left="20"/>
              <w:spacing w:after="0"/>
              <w:rPr>
                <w:sz w:val="20"/>
                <w:szCs w:val="20"/>
                <w:color w:val="auto"/>
              </w:rPr>
            </w:pPr>
            <w:r>
              <w:rPr>
                <w:rFonts w:ascii="Arial" w:cs="Arial" w:eastAsia="Arial" w:hAnsi="Arial"/>
                <w:sz w:val="16"/>
                <w:szCs w:val="16"/>
                <w:color w:val="auto"/>
              </w:rPr>
              <w:t>Denominator</w:t>
            </w:r>
          </w:p>
        </w:tc>
        <w:tc>
          <w:tcPr>
            <w:tcW w:w="1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9"/>
        </w:trPr>
        <w:tc>
          <w:tcPr>
            <w:tcW w:w="76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37"/>
        </w:trPr>
        <w:tc>
          <w:tcPr>
            <w:tcW w:w="7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Basic weighted average ordinary shares outstanding</w:t>
            </w:r>
          </w:p>
        </w:tc>
        <w:tc>
          <w:tcPr>
            <w:tcW w:w="12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100" w:type="dxa"/>
            <w:vAlign w:val="bottom"/>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555</w:t>
            </w:r>
          </w:p>
        </w:tc>
      </w:tr>
      <w:tr>
        <w:trPr>
          <w:trHeight w:val="228"/>
        </w:trPr>
        <w:tc>
          <w:tcPr>
            <w:tcW w:w="7680" w:type="dxa"/>
            <w:vAlign w:val="bottom"/>
          </w:tcPr>
          <w:p>
            <w:pPr>
              <w:ind w:left="140"/>
              <w:spacing w:after="0"/>
              <w:rPr>
                <w:sz w:val="20"/>
                <w:szCs w:val="20"/>
                <w:color w:val="auto"/>
              </w:rPr>
            </w:pPr>
            <w:r>
              <w:rPr>
                <w:rFonts w:ascii="Arial" w:cs="Arial" w:eastAsia="Arial" w:hAnsi="Arial"/>
                <w:sz w:val="16"/>
                <w:szCs w:val="16"/>
                <w:color w:val="auto"/>
              </w:rPr>
              <w:t>Effect of potentially dilutive shares from employee equity plans</w:t>
            </w:r>
          </w:p>
        </w:tc>
        <w:tc>
          <w:tcPr>
            <w:tcW w:w="1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9"/>
        </w:trPr>
        <w:tc>
          <w:tcPr>
            <w:tcW w:w="76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30"/>
        </w:trPr>
        <w:tc>
          <w:tcPr>
            <w:tcW w:w="7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Diluted weighted average ordinary shares outstanding</w:t>
            </w:r>
          </w:p>
        </w:tc>
        <w:tc>
          <w:tcPr>
            <w:tcW w:w="12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557</w:t>
            </w:r>
          </w:p>
        </w:tc>
        <w:tc>
          <w:tcPr>
            <w:tcW w:w="100" w:type="dxa"/>
            <w:vAlign w:val="bottom"/>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558</w:t>
            </w:r>
          </w:p>
        </w:tc>
      </w:tr>
      <w:tr>
        <w:trPr>
          <w:trHeight w:val="216"/>
        </w:trPr>
        <w:tc>
          <w:tcPr>
            <w:tcW w:w="7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57"/>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basic and diluted EPS attributable to equity shareholders:</w:t>
            </w:r>
          </w:p>
        </w:tc>
        <w:tc>
          <w:tcPr>
            <w:tcW w:w="12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r>
      <w:tr>
        <w:trPr>
          <w:trHeight w:val="221"/>
        </w:trPr>
        <w:tc>
          <w:tcPr>
            <w:tcW w:w="7680" w:type="dxa"/>
            <w:vAlign w:val="bottom"/>
          </w:tcPr>
          <w:p>
            <w:pPr>
              <w:ind w:left="140"/>
              <w:spacing w:after="0"/>
              <w:rPr>
                <w:sz w:val="20"/>
                <w:szCs w:val="20"/>
                <w:color w:val="auto"/>
              </w:rPr>
            </w:pPr>
            <w:r>
              <w:rPr>
                <w:rFonts w:ascii="Arial" w:cs="Arial" w:eastAsia="Arial" w:hAnsi="Arial"/>
                <w:sz w:val="16"/>
                <w:szCs w:val="16"/>
                <w:color w:val="auto"/>
              </w:rPr>
              <w:t>Basic</w:t>
            </w:r>
          </w:p>
        </w:tc>
        <w:tc>
          <w:tcPr>
            <w:tcW w:w="1200" w:type="dxa"/>
            <w:vAlign w:val="bottom"/>
            <w:tcBorders>
              <w:top w:val="single" w:sz="8" w:color="auto"/>
            </w:tcBorders>
          </w:tcPr>
          <w:p>
            <w:pPr>
              <w:jc w:val="right"/>
              <w:ind w:right="999"/>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0.38</w:t>
            </w:r>
          </w:p>
        </w:tc>
        <w:tc>
          <w:tcPr>
            <w:tcW w:w="100" w:type="dxa"/>
            <w:vAlign w:val="bottom"/>
          </w:tcPr>
          <w:p>
            <w:pPr>
              <w:spacing w:after="0"/>
              <w:rPr>
                <w:sz w:val="19"/>
                <w:szCs w:val="19"/>
                <w:color w:val="auto"/>
              </w:rPr>
            </w:pPr>
          </w:p>
        </w:tc>
        <w:tc>
          <w:tcPr>
            <w:tcW w:w="1220" w:type="dxa"/>
            <w:vAlign w:val="bottom"/>
            <w:tcBorders>
              <w:top w:val="single" w:sz="8" w:color="auto"/>
            </w:tcBorders>
          </w:tcPr>
          <w:p>
            <w:pPr>
              <w:jc w:val="right"/>
              <w:ind w:right="1039"/>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0.24</w:t>
            </w:r>
          </w:p>
        </w:tc>
      </w:tr>
      <w:tr>
        <w:trPr>
          <w:trHeight w:val="29"/>
        </w:trPr>
        <w:tc>
          <w:tcPr>
            <w:tcW w:w="76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500" w:type="dxa"/>
            <w:vAlign w:val="bottom"/>
          </w:tcPr>
          <w:p>
            <w:pPr>
              <w:spacing w:after="0"/>
              <w:rPr>
                <w:sz w:val="2"/>
                <w:szCs w:val="2"/>
                <w:color w:val="auto"/>
              </w:rPr>
            </w:pPr>
          </w:p>
        </w:tc>
      </w:tr>
      <w:tr>
        <w:trPr>
          <w:trHeight w:val="230"/>
        </w:trPr>
        <w:tc>
          <w:tcPr>
            <w:tcW w:w="76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1200" w:type="dxa"/>
            <w:vAlign w:val="bottom"/>
            <w:tcBorders>
              <w:top w:val="single" w:sz="8" w:color="auto"/>
              <w:bottom w:val="single" w:sz="8" w:color="CCEEFF"/>
            </w:tcBorders>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0.38</w:t>
            </w:r>
          </w:p>
        </w:tc>
        <w:tc>
          <w:tcPr>
            <w:tcW w:w="100" w:type="dxa"/>
            <w:vAlign w:val="bottom"/>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jc w:val="right"/>
              <w:ind w:right="1039"/>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0.24</w:t>
            </w:r>
          </w:p>
        </w:tc>
      </w:tr>
      <w:tr>
        <w:trPr>
          <w:trHeight w:val="20"/>
        </w:trPr>
        <w:tc>
          <w:tcPr>
            <w:tcW w:w="76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 except per share amounts or otherwise stated)</w:t>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140" w:type="dxa"/>
            <w:vAlign w:val="bottom"/>
            <w:gridSpan w:val="3"/>
          </w:tcPr>
          <w:p>
            <w:pPr>
              <w:spacing w:after="0"/>
              <w:rPr>
                <w:sz w:val="20"/>
                <w:szCs w:val="20"/>
                <w:color w:val="auto"/>
              </w:rPr>
            </w:pPr>
            <w:r>
              <w:rPr>
                <w:rFonts w:ascii="Arial" w:cs="Arial" w:eastAsia="Arial" w:hAnsi="Arial"/>
                <w:sz w:val="16"/>
                <w:szCs w:val="16"/>
                <w:b w:val="1"/>
                <w:bCs w:val="1"/>
                <w:color w:val="auto"/>
              </w:rPr>
              <w:t>Note 6. Property, Plant and Equipment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331"/>
        </w:trPr>
        <w:tc>
          <w:tcPr>
            <w:tcW w:w="2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center"/>
              <w:ind w:right="99"/>
              <w:spacing w:after="0"/>
              <w:rPr>
                <w:sz w:val="20"/>
                <w:szCs w:val="20"/>
                <w:color w:val="auto"/>
              </w:rPr>
            </w:pPr>
            <w:r>
              <w:rPr>
                <w:rFonts w:ascii="Arial" w:cs="Arial" w:eastAsia="Arial" w:hAnsi="Arial"/>
                <w:sz w:val="16"/>
                <w:szCs w:val="16"/>
                <w:b w:val="1"/>
                <w:bCs w:val="1"/>
                <w:color w:val="auto"/>
              </w:rPr>
              <w:t>Land and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center"/>
              <w:ind w:right="119"/>
              <w:spacing w:after="0"/>
              <w:rPr>
                <w:sz w:val="20"/>
                <w:szCs w:val="20"/>
                <w:color w:val="auto"/>
              </w:rPr>
            </w:pPr>
            <w:r>
              <w:rPr>
                <w:rFonts w:ascii="Arial" w:cs="Arial" w:eastAsia="Arial" w:hAnsi="Arial"/>
                <w:sz w:val="16"/>
                <w:szCs w:val="16"/>
                <w:b w:val="1"/>
                <w:bCs w:val="1"/>
                <w:color w:val="auto"/>
              </w:rPr>
              <w:t>Building and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03"/>
        </w:trPr>
        <w:tc>
          <w:tcPr>
            <w:tcW w:w="2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center"/>
              <w:ind w:right="99"/>
              <w:spacing w:after="0"/>
              <w:rPr>
                <w:sz w:val="20"/>
                <w:szCs w:val="20"/>
                <w:color w:val="auto"/>
              </w:rPr>
            </w:pPr>
            <w:r>
              <w:rPr>
                <w:rFonts w:ascii="Arial" w:cs="Arial" w:eastAsia="Arial" w:hAnsi="Arial"/>
                <w:sz w:val="16"/>
                <w:szCs w:val="16"/>
                <w:b w:val="1"/>
                <w:bCs w:val="1"/>
                <w:color w:val="auto"/>
              </w:rPr>
              <w:t>Land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center"/>
              <w:ind w:right="99"/>
              <w:spacing w:after="0"/>
              <w:rPr>
                <w:sz w:val="20"/>
                <w:szCs w:val="20"/>
                <w:color w:val="auto"/>
              </w:rPr>
            </w:pPr>
            <w:r>
              <w:rPr>
                <w:rFonts w:ascii="Arial" w:cs="Arial" w:eastAsia="Arial" w:hAnsi="Arial"/>
                <w:sz w:val="16"/>
                <w:szCs w:val="16"/>
                <w:b w:val="1"/>
                <w:bCs w:val="1"/>
                <w:color w:val="auto"/>
              </w:rPr>
              <w:t>Leasehold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ind w:right="159"/>
              <w:spacing w:after="0"/>
              <w:rPr>
                <w:sz w:val="20"/>
                <w:szCs w:val="20"/>
                <w:color w:val="auto"/>
              </w:rPr>
            </w:pPr>
            <w:r>
              <w:rPr>
                <w:rFonts w:ascii="Arial" w:cs="Arial" w:eastAsia="Arial" w:hAnsi="Arial"/>
                <w:sz w:val="16"/>
                <w:szCs w:val="16"/>
                <w:b w:val="1"/>
                <w:bCs w:val="1"/>
                <w:color w:val="auto"/>
              </w:rPr>
              <w:t>Construction</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40"/>
        </w:trPr>
        <w:tc>
          <w:tcPr>
            <w:tcW w:w="25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Improvements</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Improvements</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Equipment</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Computer</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in Progress</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Total</w:t>
            </w:r>
          </w:p>
        </w:tc>
      </w:tr>
      <w:tr>
        <w:trPr>
          <w:trHeight w:val="220"/>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Cost</w:t>
            </w:r>
          </w:p>
        </w:tc>
        <w:tc>
          <w:tcPr>
            <w:tcW w:w="1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r>
      <w:tr>
        <w:trPr>
          <w:trHeight w:val="236"/>
        </w:trPr>
        <w:tc>
          <w:tcPr>
            <w:tcW w:w="2540" w:type="dxa"/>
            <w:vAlign w:val="bottom"/>
          </w:tcPr>
          <w:p>
            <w:pPr>
              <w:ind w:left="20"/>
              <w:spacing w:after="0"/>
              <w:rPr>
                <w:sz w:val="20"/>
                <w:szCs w:val="20"/>
                <w:color w:val="auto"/>
              </w:rPr>
            </w:pPr>
            <w:r>
              <w:rPr>
                <w:rFonts w:ascii="Arial" w:cs="Arial" w:eastAsia="Arial" w:hAnsi="Arial"/>
                <w:sz w:val="16"/>
                <w:szCs w:val="16"/>
                <w:b w:val="1"/>
                <w:bCs w:val="1"/>
                <w:color w:val="auto"/>
              </w:rPr>
              <w:t>As of December 31, 2024</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91</w:t>
            </w:r>
          </w:p>
        </w:tc>
        <w:tc>
          <w:tcPr>
            <w:tcW w:w="2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7,769</w:t>
            </w:r>
          </w:p>
        </w:tc>
        <w:tc>
          <w:tcPr>
            <w:tcW w:w="2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25,248</w:t>
            </w:r>
          </w:p>
        </w:tc>
        <w:tc>
          <w:tcPr>
            <w:tcW w:w="2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458</w:t>
            </w:r>
          </w:p>
        </w:tc>
        <w:tc>
          <w:tcPr>
            <w:tcW w:w="2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214</w:t>
            </w:r>
          </w:p>
        </w:tc>
        <w:tc>
          <w:tcPr>
            <w:tcW w:w="30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33,780</w:t>
            </w:r>
          </w:p>
        </w:tc>
      </w:tr>
      <w:tr>
        <w:trPr>
          <w:trHeight w:val="21"/>
        </w:trPr>
        <w:tc>
          <w:tcPr>
            <w:tcW w:w="2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37"/>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Additions</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w:t>
            </w:r>
          </w:p>
        </w:tc>
      </w:tr>
      <w:tr>
        <w:trPr>
          <w:trHeight w:val="227"/>
        </w:trPr>
        <w:tc>
          <w:tcPr>
            <w:tcW w:w="2540" w:type="dxa"/>
            <w:vAlign w:val="bottom"/>
          </w:tcPr>
          <w:p>
            <w:pPr>
              <w:ind w:left="20"/>
              <w:spacing w:after="0"/>
              <w:rPr>
                <w:sz w:val="20"/>
                <w:szCs w:val="20"/>
                <w:color w:val="auto"/>
              </w:rPr>
            </w:pPr>
            <w:r>
              <w:rPr>
                <w:rFonts w:ascii="Arial" w:cs="Arial" w:eastAsia="Arial" w:hAnsi="Arial"/>
                <w:sz w:val="16"/>
                <w:szCs w:val="16"/>
                <w:color w:val="auto"/>
              </w:rPr>
              <w:t>Acquisition of joint venture interest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9"/>
        </w:trPr>
        <w:tc>
          <w:tcPr>
            <w:tcW w:w="2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15"/>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Transfers from construction in</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24"/>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progress</w:t>
            </w:r>
          </w:p>
        </w:tc>
        <w:tc>
          <w:tcPr>
            <w:tcW w:w="1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2540" w:type="dxa"/>
            <w:vAlign w:val="bottom"/>
          </w:tcPr>
          <w:p>
            <w:pPr>
              <w:ind w:left="20"/>
              <w:spacing w:after="0"/>
              <w:rPr>
                <w:sz w:val="20"/>
                <w:szCs w:val="20"/>
                <w:color w:val="auto"/>
              </w:rPr>
            </w:pPr>
            <w:r>
              <w:rPr>
                <w:rFonts w:ascii="Arial" w:cs="Arial" w:eastAsia="Arial" w:hAnsi="Arial"/>
                <w:sz w:val="16"/>
                <w:szCs w:val="16"/>
                <w:color w:val="auto"/>
              </w:rPr>
              <w:t>Disposals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(200)</w:t>
            </w:r>
          </w:p>
        </w:tc>
      </w:tr>
      <w:tr>
        <w:trPr>
          <w:trHeight w:val="29"/>
        </w:trPr>
        <w:tc>
          <w:tcPr>
            <w:tcW w:w="2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7"/>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w:t>
            </w: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50"/>
        </w:trPr>
        <w:tc>
          <w:tcPr>
            <w:tcW w:w="2540" w:type="dxa"/>
            <w:vAlign w:val="bottom"/>
          </w:tcPr>
          <w:p>
            <w:pPr>
              <w:ind w:left="20"/>
              <w:spacing w:after="0"/>
              <w:rPr>
                <w:sz w:val="20"/>
                <w:szCs w:val="20"/>
                <w:color w:val="auto"/>
              </w:rPr>
            </w:pPr>
            <w:r>
              <w:rPr>
                <w:rFonts w:ascii="Arial" w:cs="Arial" w:eastAsia="Arial" w:hAnsi="Arial"/>
                <w:sz w:val="16"/>
                <w:szCs w:val="16"/>
                <w:b w:val="1"/>
                <w:bCs w:val="1"/>
                <w:color w:val="auto"/>
              </w:rPr>
              <w:t>As of March 31, 2025</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92</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7,783</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25,141</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460</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291</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33,767</w:t>
            </w:r>
          </w:p>
        </w:tc>
      </w:tr>
      <w:tr>
        <w:trPr>
          <w:trHeight w:val="20"/>
        </w:trPr>
        <w:tc>
          <w:tcPr>
            <w:tcW w:w="25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82"/>
        </w:trPr>
        <w:tc>
          <w:tcPr>
            <w:tcW w:w="254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b w:val="1"/>
                <w:bCs w:val="1"/>
                <w:color w:val="auto"/>
              </w:rPr>
              <w:t>Net book value as of March 31,</w:t>
            </w:r>
          </w:p>
        </w:tc>
        <w:tc>
          <w:tcPr>
            <w:tcW w:w="1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242"/>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2025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60</w:t>
            </w:r>
          </w:p>
        </w:tc>
        <w:tc>
          <w:tcPr>
            <w:tcW w:w="100" w:type="dxa"/>
            <w:vAlign w:val="bottom"/>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2,686</w:t>
            </w:r>
          </w:p>
        </w:tc>
        <w:tc>
          <w:tcPr>
            <w:tcW w:w="100" w:type="dxa"/>
            <w:vAlign w:val="bottom"/>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4,574</w:t>
            </w:r>
          </w:p>
        </w:tc>
        <w:tc>
          <w:tcPr>
            <w:tcW w:w="100" w:type="dxa"/>
            <w:vAlign w:val="bottom"/>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w:t>
            </w:r>
          </w:p>
        </w:tc>
        <w:tc>
          <w:tcPr>
            <w:tcW w:w="100" w:type="dxa"/>
            <w:vAlign w:val="bottom"/>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277</w:t>
            </w:r>
          </w:p>
        </w:tc>
        <w:tc>
          <w:tcPr>
            <w:tcW w:w="100" w:type="dxa"/>
            <w:vAlign w:val="bottom"/>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7,626</w:t>
            </w: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2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r>
      <w:tr>
        <w:trPr>
          <w:trHeight w:val="215"/>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Accumulated Depreciation and</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24"/>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Impairment</w:t>
            </w:r>
          </w:p>
        </w:tc>
        <w:tc>
          <w:tcPr>
            <w:tcW w:w="1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r>
      <w:tr>
        <w:trPr>
          <w:trHeight w:val="236"/>
        </w:trPr>
        <w:tc>
          <w:tcPr>
            <w:tcW w:w="2540" w:type="dxa"/>
            <w:vAlign w:val="bottom"/>
          </w:tcPr>
          <w:p>
            <w:pPr>
              <w:ind w:left="20"/>
              <w:spacing w:after="0"/>
              <w:rPr>
                <w:sz w:val="20"/>
                <w:szCs w:val="20"/>
                <w:color w:val="auto"/>
              </w:rPr>
            </w:pPr>
            <w:r>
              <w:rPr>
                <w:rFonts w:ascii="Arial" w:cs="Arial" w:eastAsia="Arial" w:hAnsi="Arial"/>
                <w:sz w:val="16"/>
                <w:szCs w:val="16"/>
                <w:b w:val="1"/>
                <w:bCs w:val="1"/>
                <w:color w:val="auto"/>
              </w:rPr>
              <w:t>As of December 31, 2024</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31</w:t>
            </w:r>
          </w:p>
        </w:tc>
        <w:tc>
          <w:tcPr>
            <w:tcW w:w="2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5,038</w:t>
            </w:r>
          </w:p>
        </w:tc>
        <w:tc>
          <w:tcPr>
            <w:tcW w:w="2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20,510</w:t>
            </w:r>
          </w:p>
        </w:tc>
        <w:tc>
          <w:tcPr>
            <w:tcW w:w="2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427</w:t>
            </w:r>
          </w:p>
        </w:tc>
        <w:tc>
          <w:tcPr>
            <w:tcW w:w="2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12</w:t>
            </w:r>
          </w:p>
        </w:tc>
        <w:tc>
          <w:tcPr>
            <w:tcW w:w="30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26,018</w:t>
            </w:r>
          </w:p>
        </w:tc>
      </w:tr>
      <w:tr>
        <w:trPr>
          <w:trHeight w:val="21"/>
        </w:trPr>
        <w:tc>
          <w:tcPr>
            <w:tcW w:w="2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37"/>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Additions</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310</w:t>
            </w:r>
          </w:p>
        </w:tc>
      </w:tr>
      <w:tr>
        <w:trPr>
          <w:trHeight w:val="215"/>
        </w:trPr>
        <w:tc>
          <w:tcPr>
            <w:tcW w:w="2540" w:type="dxa"/>
            <w:vAlign w:val="bottom"/>
          </w:tcPr>
          <w:p>
            <w:pPr>
              <w:ind w:left="20"/>
              <w:spacing w:after="0"/>
              <w:rPr>
                <w:sz w:val="20"/>
                <w:szCs w:val="20"/>
                <w:color w:val="auto"/>
              </w:rPr>
            </w:pPr>
            <w:r>
              <w:rPr>
                <w:rFonts w:ascii="Arial" w:cs="Arial" w:eastAsia="Arial" w:hAnsi="Arial"/>
                <w:sz w:val="16"/>
                <w:szCs w:val="16"/>
                <w:color w:val="auto"/>
              </w:rPr>
              <w:t>Transfers from construction in</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5"/>
        </w:trPr>
        <w:tc>
          <w:tcPr>
            <w:tcW w:w="2540" w:type="dxa"/>
            <w:vAlign w:val="bottom"/>
          </w:tcPr>
          <w:p>
            <w:pPr>
              <w:ind w:left="20"/>
              <w:spacing w:after="0"/>
              <w:rPr>
                <w:sz w:val="20"/>
                <w:szCs w:val="20"/>
                <w:color w:val="auto"/>
              </w:rPr>
            </w:pPr>
            <w:r>
              <w:rPr>
                <w:rFonts w:ascii="Arial" w:cs="Arial" w:eastAsia="Arial" w:hAnsi="Arial"/>
                <w:sz w:val="16"/>
                <w:szCs w:val="16"/>
                <w:color w:val="auto"/>
              </w:rPr>
              <w:t>progress</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2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Disposals</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w:t>
            </w:r>
          </w:p>
        </w:tc>
      </w:tr>
      <w:tr>
        <w:trPr>
          <w:trHeight w:val="228"/>
        </w:trPr>
        <w:tc>
          <w:tcPr>
            <w:tcW w:w="2540" w:type="dxa"/>
            <w:vAlign w:val="bottom"/>
          </w:tcPr>
          <w:p>
            <w:pPr>
              <w:ind w:left="20"/>
              <w:spacing w:after="0"/>
              <w:rPr>
                <w:sz w:val="20"/>
                <w:szCs w:val="20"/>
                <w:color w:val="auto"/>
              </w:rPr>
            </w:pPr>
            <w:r>
              <w:rPr>
                <w:rFonts w:ascii="Arial" w:cs="Arial" w:eastAsia="Arial" w:hAnsi="Arial"/>
                <w:sz w:val="16"/>
                <w:szCs w:val="16"/>
                <w:color w:val="auto"/>
              </w:rPr>
              <w:t>Effect of exchange rate changes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9"/>
        </w:trPr>
        <w:tc>
          <w:tcPr>
            <w:tcW w:w="2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760" w:type="dxa"/>
            <w:vAlign w:val="bottom"/>
          </w:tcPr>
          <w:p>
            <w:pPr>
              <w:spacing w:after="0"/>
              <w:rPr>
                <w:sz w:val="2"/>
                <w:szCs w:val="2"/>
                <w:color w:val="auto"/>
              </w:rPr>
            </w:pPr>
          </w:p>
        </w:tc>
      </w:tr>
      <w:tr>
        <w:trPr>
          <w:trHeight w:val="275"/>
        </w:trPr>
        <w:tc>
          <w:tcPr>
            <w:tcW w:w="2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 of March 31, 2025</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w:t>
            </w:r>
          </w:p>
        </w:tc>
        <w:tc>
          <w:tcPr>
            <w:tcW w:w="100" w:type="dxa"/>
            <w:vAlign w:val="bottom"/>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5,097</w:t>
            </w:r>
          </w:p>
        </w:tc>
        <w:tc>
          <w:tcPr>
            <w:tcW w:w="100" w:type="dxa"/>
            <w:vAlign w:val="bottom"/>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20,567</w:t>
            </w:r>
          </w:p>
        </w:tc>
        <w:tc>
          <w:tcPr>
            <w:tcW w:w="100" w:type="dxa"/>
            <w:vAlign w:val="bottom"/>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431</w:t>
            </w:r>
          </w:p>
        </w:tc>
        <w:tc>
          <w:tcPr>
            <w:tcW w:w="100" w:type="dxa"/>
            <w:vAlign w:val="bottom"/>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w:t>
            </w:r>
          </w:p>
        </w:tc>
        <w:tc>
          <w:tcPr>
            <w:tcW w:w="100" w:type="dxa"/>
            <w:vAlign w:val="bottom"/>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26,141</w:t>
            </w: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For the three months ended March 31, 2025 and 2024, depreciation expense of property, plant and equipment was $310 million and $346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 except per share amounts or otherwise stated)</w:t>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980" w:type="dxa"/>
            <w:vAlign w:val="bottom"/>
          </w:tcPr>
          <w:p>
            <w:pPr>
              <w:spacing w:after="0"/>
              <w:rPr>
                <w:sz w:val="20"/>
                <w:szCs w:val="20"/>
                <w:color w:val="auto"/>
              </w:rPr>
            </w:pPr>
            <w:r>
              <w:rPr>
                <w:rFonts w:ascii="Arial" w:cs="Arial" w:eastAsia="Arial" w:hAnsi="Arial"/>
                <w:sz w:val="16"/>
                <w:szCs w:val="16"/>
                <w:b w:val="1"/>
                <w:bCs w:val="1"/>
                <w:color w:val="auto"/>
              </w:rPr>
              <w:t>Note 7. Receivables, Prepayments and Other Assets</w:t>
            </w:r>
          </w:p>
        </w:tc>
        <w:tc>
          <w:tcPr>
            <w:tcW w:w="1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51"/>
        </w:trPr>
        <w:tc>
          <w:tcPr>
            <w:tcW w:w="698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6"/>
                <w:szCs w:val="16"/>
                <w:b w:val="1"/>
                <w:bCs w:val="1"/>
                <w:color w:val="auto"/>
              </w:rPr>
              <w:t>March 31, 2025</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jc w:val="right"/>
              <w:ind w:right="239"/>
              <w:spacing w:after="0"/>
              <w:rPr>
                <w:sz w:val="20"/>
                <w:szCs w:val="20"/>
                <w:color w:val="auto"/>
              </w:rPr>
            </w:pPr>
            <w:r>
              <w:rPr>
                <w:rFonts w:ascii="Arial" w:cs="Arial" w:eastAsia="Arial" w:hAnsi="Arial"/>
                <w:sz w:val="16"/>
                <w:szCs w:val="16"/>
                <w:b w:val="1"/>
                <w:bCs w:val="1"/>
                <w:color w:val="auto"/>
              </w:rPr>
              <w:t>December 31, 2024</w:t>
            </w:r>
          </w:p>
        </w:tc>
      </w:tr>
      <w:tr>
        <w:trPr>
          <w:trHeight w:val="21"/>
        </w:trPr>
        <w:tc>
          <w:tcPr>
            <w:tcW w:w="698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16"/>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Current:</w:t>
            </w:r>
          </w:p>
        </w:tc>
        <w:tc>
          <w:tcPr>
            <w:tcW w:w="16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CCEEFF"/>
            </w:tcBorders>
            <w:shd w:val="clear" w:color="auto" w:fill="CCEEFF"/>
          </w:tcPr>
          <w:p>
            <w:pPr>
              <w:spacing w:after="0"/>
              <w:rPr>
                <w:sz w:val="18"/>
                <w:szCs w:val="18"/>
                <w:color w:val="auto"/>
              </w:rPr>
            </w:pPr>
          </w:p>
        </w:tc>
      </w:tr>
      <w:tr>
        <w:trPr>
          <w:trHeight w:val="289"/>
        </w:trPr>
        <w:tc>
          <w:tcPr>
            <w:tcW w:w="6980" w:type="dxa"/>
            <w:vAlign w:val="bottom"/>
          </w:tcPr>
          <w:p>
            <w:pPr>
              <w:ind w:left="100"/>
              <w:spacing w:after="0"/>
              <w:rPr>
                <w:sz w:val="20"/>
                <w:szCs w:val="20"/>
                <w:color w:val="auto"/>
              </w:rPr>
            </w:pPr>
            <w:r>
              <w:rPr>
                <w:rFonts w:ascii="Arial" w:cs="Arial" w:eastAsia="Arial" w:hAnsi="Arial"/>
                <w:sz w:val="20"/>
                <w:szCs w:val="20"/>
                <w:color w:val="auto"/>
              </w:rPr>
              <w:t>Trade receivables, other than related parties</w:t>
            </w:r>
          </w:p>
        </w:tc>
        <w:tc>
          <w:tcPr>
            <w:tcW w:w="1680" w:type="dxa"/>
            <w:vAlign w:val="bottom"/>
          </w:tcPr>
          <w:p>
            <w:pPr>
              <w:jc w:val="right"/>
              <w:ind w:right="1499"/>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814</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906</w:t>
            </w:r>
          </w:p>
        </w:tc>
      </w:tr>
      <w:tr>
        <w:trPr>
          <w:trHeight w:val="245"/>
        </w:trPr>
        <w:tc>
          <w:tcPr>
            <w:tcW w:w="6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Other receivables</w:t>
            </w:r>
          </w:p>
        </w:tc>
        <w:tc>
          <w:tcPr>
            <w:tcW w:w="16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369</w:t>
            </w:r>
          </w:p>
        </w:tc>
        <w:tc>
          <w:tcPr>
            <w:tcW w:w="80" w:type="dxa"/>
            <w:vAlign w:val="bottom"/>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307</w:t>
            </w:r>
          </w:p>
        </w:tc>
      </w:tr>
      <w:tr>
        <w:trPr>
          <w:trHeight w:val="256"/>
        </w:trPr>
        <w:tc>
          <w:tcPr>
            <w:tcW w:w="6980" w:type="dxa"/>
            <w:vAlign w:val="bottom"/>
          </w:tcPr>
          <w:p>
            <w:pPr>
              <w:ind w:left="100"/>
              <w:spacing w:after="0"/>
              <w:rPr>
                <w:sz w:val="20"/>
                <w:szCs w:val="20"/>
                <w:color w:val="auto"/>
              </w:rPr>
            </w:pPr>
            <w:r>
              <w:rPr>
                <w:rFonts w:ascii="Arial" w:cs="Arial" w:eastAsia="Arial" w:hAnsi="Arial"/>
                <w:sz w:val="16"/>
                <w:szCs w:val="16"/>
                <w:color w:val="auto"/>
              </w:rPr>
              <w:t>Unbilled accounts receivable</w:t>
            </w:r>
            <w:r>
              <w:rPr>
                <w:rFonts w:ascii="Arial" w:cs="Arial" w:eastAsia="Arial" w:hAnsi="Arial"/>
                <w:sz w:val="21"/>
                <w:szCs w:val="21"/>
                <w:color w:val="auto"/>
                <w:vertAlign w:val="superscript"/>
              </w:rPr>
              <w:t>(1)</w:t>
            </w:r>
          </w:p>
        </w:tc>
        <w:tc>
          <w:tcPr>
            <w:tcW w:w="16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54</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37"/>
        </w:trPr>
        <w:tc>
          <w:tcPr>
            <w:tcW w:w="6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Receivables from government grants</w:t>
            </w:r>
          </w:p>
        </w:tc>
        <w:tc>
          <w:tcPr>
            <w:tcW w:w="16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80" w:type="dxa"/>
            <w:vAlign w:val="bottom"/>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w:t>
            </w:r>
          </w:p>
        </w:tc>
      </w:tr>
      <w:tr>
        <w:trPr>
          <w:trHeight w:val="228"/>
        </w:trPr>
        <w:tc>
          <w:tcPr>
            <w:tcW w:w="6980" w:type="dxa"/>
            <w:vAlign w:val="bottom"/>
          </w:tcPr>
          <w:p>
            <w:pPr>
              <w:ind w:left="100"/>
              <w:spacing w:after="0"/>
              <w:rPr>
                <w:sz w:val="20"/>
                <w:szCs w:val="20"/>
                <w:color w:val="auto"/>
              </w:rPr>
            </w:pPr>
            <w:r>
              <w:rPr>
                <w:rFonts w:ascii="Arial" w:cs="Arial" w:eastAsia="Arial" w:hAnsi="Arial"/>
                <w:sz w:val="16"/>
                <w:szCs w:val="16"/>
                <w:color w:val="auto"/>
              </w:rPr>
              <w:t>Other current financial assets and other</w:t>
            </w:r>
          </w:p>
        </w:tc>
        <w:tc>
          <w:tcPr>
            <w:tcW w:w="16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22</w:t>
            </w: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840" w:type="dxa"/>
            <w:vAlign w:val="bottom"/>
            <w:tcBorders>
              <w:top w:val="single" w:sz="8" w:color="auto"/>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1,415</w:t>
            </w:r>
          </w:p>
        </w:tc>
        <w:tc>
          <w:tcPr>
            <w:tcW w:w="80" w:type="dxa"/>
            <w:vAlign w:val="bottom"/>
          </w:tcPr>
          <w:p>
            <w:pPr>
              <w:spacing w:after="0"/>
              <w:rPr>
                <w:sz w:val="23"/>
                <w:szCs w:val="23"/>
                <w:color w:val="auto"/>
              </w:rPr>
            </w:pPr>
          </w:p>
        </w:tc>
        <w:tc>
          <w:tcPr>
            <w:tcW w:w="860" w:type="dxa"/>
            <w:vAlign w:val="bottom"/>
            <w:tcBorders>
              <w:top w:val="single" w:sz="8" w:color="auto"/>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1,406</w:t>
            </w:r>
          </w:p>
        </w:tc>
      </w:tr>
      <w:tr>
        <w:trPr>
          <w:trHeight w:val="215"/>
        </w:trPr>
        <w:tc>
          <w:tcPr>
            <w:tcW w:w="6980" w:type="dxa"/>
            <w:vAlign w:val="bottom"/>
          </w:tcPr>
          <w:p>
            <w:pPr>
              <w:ind w:left="20"/>
              <w:spacing w:after="0"/>
              <w:rPr>
                <w:sz w:val="20"/>
                <w:szCs w:val="20"/>
                <w:color w:val="auto"/>
              </w:rPr>
            </w:pPr>
            <w:r>
              <w:rPr>
                <w:rFonts w:ascii="Arial" w:cs="Arial" w:eastAsia="Arial" w:hAnsi="Arial"/>
                <w:sz w:val="16"/>
                <w:szCs w:val="16"/>
                <w:b w:val="1"/>
                <w:bCs w:val="1"/>
                <w:color w:val="auto"/>
              </w:rPr>
              <w:t>Non-current:</w:t>
            </w:r>
          </w:p>
        </w:tc>
        <w:tc>
          <w:tcPr>
            <w:tcW w:w="8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r>
      <w:tr>
        <w:trPr>
          <w:trHeight w:val="21"/>
        </w:trPr>
        <w:tc>
          <w:tcPr>
            <w:tcW w:w="6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36"/>
        </w:trPr>
        <w:tc>
          <w:tcPr>
            <w:tcW w:w="6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Advances to suppliers</w:t>
            </w:r>
          </w:p>
        </w:tc>
        <w:tc>
          <w:tcPr>
            <w:tcW w:w="84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80" w:type="dxa"/>
            <w:vAlign w:val="bottom"/>
          </w:tcPr>
          <w:p>
            <w:pPr>
              <w:spacing w:after="0"/>
              <w:rPr>
                <w:sz w:val="20"/>
                <w:szCs w:val="20"/>
                <w:color w:val="auto"/>
              </w:rPr>
            </w:pPr>
          </w:p>
        </w:tc>
        <w:tc>
          <w:tcPr>
            <w:tcW w:w="86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w:t>
            </w:r>
          </w:p>
        </w:tc>
      </w:tr>
      <w:tr>
        <w:trPr>
          <w:trHeight w:val="228"/>
        </w:trPr>
        <w:tc>
          <w:tcPr>
            <w:tcW w:w="6980" w:type="dxa"/>
            <w:vAlign w:val="bottom"/>
          </w:tcPr>
          <w:p>
            <w:pPr>
              <w:ind w:left="100"/>
              <w:spacing w:after="0"/>
              <w:rPr>
                <w:sz w:val="20"/>
                <w:szCs w:val="20"/>
                <w:color w:val="auto"/>
              </w:rPr>
            </w:pPr>
            <w:r>
              <w:rPr>
                <w:rFonts w:ascii="Arial" w:cs="Arial" w:eastAsia="Arial" w:hAnsi="Arial"/>
                <w:sz w:val="16"/>
                <w:szCs w:val="16"/>
                <w:color w:val="auto"/>
              </w:rPr>
              <w:t>Receivables from government grants</w:t>
            </w:r>
          </w:p>
        </w:tc>
        <w:tc>
          <w:tcPr>
            <w:tcW w:w="8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148</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124</w:t>
            </w:r>
          </w:p>
        </w:tc>
      </w:tr>
      <w:tr>
        <w:trPr>
          <w:trHeight w:val="29"/>
        </w:trPr>
        <w:tc>
          <w:tcPr>
            <w:tcW w:w="6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7"/>
        </w:trPr>
        <w:tc>
          <w:tcPr>
            <w:tcW w:w="6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Other</w:t>
            </w:r>
          </w:p>
        </w:tc>
        <w:tc>
          <w:tcPr>
            <w:tcW w:w="8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80" w:type="dxa"/>
            <w:vAlign w:val="bottom"/>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29"/>
        </w:trPr>
        <w:tc>
          <w:tcPr>
            <w:tcW w:w="698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840" w:type="dxa"/>
            <w:vAlign w:val="bottom"/>
            <w:tcBorders>
              <w:top w:val="single" w:sz="8" w:color="auto"/>
            </w:tcBorders>
          </w:tcPr>
          <w:p>
            <w:pPr>
              <w:jc w:val="right"/>
              <w:ind w:right="65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372</w:t>
            </w:r>
          </w:p>
        </w:tc>
        <w:tc>
          <w:tcPr>
            <w:tcW w:w="80" w:type="dxa"/>
            <w:vAlign w:val="bottom"/>
          </w:tcPr>
          <w:p>
            <w:pPr>
              <w:spacing w:after="0"/>
              <w:rPr>
                <w:sz w:val="19"/>
                <w:szCs w:val="19"/>
                <w:color w:val="auto"/>
              </w:rPr>
            </w:pPr>
          </w:p>
        </w:tc>
        <w:tc>
          <w:tcPr>
            <w:tcW w:w="860" w:type="dxa"/>
            <w:vAlign w:val="bottom"/>
            <w:tcBorders>
              <w:top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351</w:t>
            </w:r>
          </w:p>
        </w:tc>
      </w:tr>
      <w:tr>
        <w:trPr>
          <w:trHeight w:val="21"/>
        </w:trPr>
        <w:tc>
          <w:tcPr>
            <w:tcW w:w="6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180" w:hanging="172"/>
        <w:spacing w:after="0" w:line="231" w:lineRule="auto"/>
        <w:tabs>
          <w:tab w:leader="none" w:pos="185"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Unbilled accounts receivable represents amounts recognized on revenue contracts less associated advances and progress billings. These amounts will be billed in accordance with the agreed-upon contractual terms or rendering services.</w:t>
      </w:r>
    </w:p>
    <w:p>
      <w:pPr>
        <w:spacing w:after="0" w:line="75"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 following table summarizes the activity in the Company’s unbilled accounts receivable for the three months ended March 31, 2025 and for the twelve months ended December 31, 2024, respectively:</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20" w:type="dxa"/>
            <w:vAlign w:val="bottom"/>
          </w:tcPr>
          <w:p>
            <w:pPr>
              <w:jc w:val="right"/>
              <w:ind w:right="399"/>
              <w:spacing w:after="0"/>
              <w:rPr>
                <w:sz w:val="20"/>
                <w:szCs w:val="20"/>
                <w:color w:val="auto"/>
              </w:rPr>
            </w:pPr>
            <w:r>
              <w:rPr>
                <w:rFonts w:ascii="Arial" w:cs="Arial" w:eastAsia="Arial" w:hAnsi="Arial"/>
                <w:sz w:val="16"/>
                <w:szCs w:val="16"/>
                <w:b w:val="1"/>
                <w:bCs w:val="1"/>
                <w:color w:val="auto"/>
              </w:rPr>
              <w:t>March 31, 2025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ind w:right="239"/>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21"/>
        </w:trPr>
        <w:tc>
          <w:tcPr>
            <w:tcW w:w="69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69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Balance, beginning of period</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80" w:type="dxa"/>
            <w:vAlign w:val="bottom"/>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28"/>
        </w:trPr>
        <w:tc>
          <w:tcPr>
            <w:tcW w:w="6960" w:type="dxa"/>
            <w:vAlign w:val="bottom"/>
          </w:tcPr>
          <w:p>
            <w:pPr>
              <w:ind w:left="80"/>
              <w:spacing w:after="0"/>
              <w:rPr>
                <w:sz w:val="20"/>
                <w:szCs w:val="20"/>
                <w:color w:val="auto"/>
              </w:rPr>
            </w:pPr>
            <w:r>
              <w:rPr>
                <w:rFonts w:ascii="Arial" w:cs="Arial" w:eastAsia="Arial" w:hAnsi="Arial"/>
                <w:sz w:val="16"/>
                <w:szCs w:val="16"/>
                <w:color w:val="auto"/>
              </w:rPr>
              <w:t>Revenue recognized during the period</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49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9"/>
        </w:trPr>
        <w:tc>
          <w:tcPr>
            <w:tcW w:w="6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9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Amounts invoiced</w:t>
            </w:r>
          </w:p>
        </w:tc>
        <w:tc>
          <w:tcPr>
            <w:tcW w:w="28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50"/>
        </w:trPr>
        <w:tc>
          <w:tcPr>
            <w:tcW w:w="6960" w:type="dxa"/>
            <w:vAlign w:val="bottom"/>
          </w:tcPr>
          <w:p>
            <w:pPr>
              <w:ind w:left="80"/>
              <w:spacing w:after="0"/>
              <w:rPr>
                <w:sz w:val="20"/>
                <w:szCs w:val="20"/>
                <w:color w:val="auto"/>
              </w:rPr>
            </w:pPr>
            <w:r>
              <w:rPr>
                <w:rFonts w:ascii="Arial" w:cs="Arial" w:eastAsia="Arial" w:hAnsi="Arial"/>
                <w:sz w:val="16"/>
                <w:szCs w:val="16"/>
                <w:b w:val="1"/>
                <w:bCs w:val="1"/>
                <w:color w:val="auto"/>
              </w:rPr>
              <w:t>Balance, end of period</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w:t>
            </w: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w:t>
            </w: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Arial" w:cs="Arial" w:eastAsia="Arial" w:hAnsi="Arial"/>
                <w:sz w:val="16"/>
                <w:szCs w:val="16"/>
                <w:b w:val="1"/>
                <w:bCs w:val="1"/>
                <w:color w:val="auto"/>
              </w:rPr>
              <w:t>Note 8. Inventories</w:t>
            </w:r>
          </w:p>
        </w:tc>
        <w:tc>
          <w:tcPr>
            <w:tcW w:w="2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5"/>
        </w:trPr>
        <w:tc>
          <w:tcPr>
            <w:tcW w:w="69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6960" w:type="dxa"/>
            <w:vAlign w:val="bottom"/>
          </w:tcPr>
          <w:p>
            <w:pPr>
              <w:spacing w:after="0"/>
              <w:rPr>
                <w:sz w:val="20"/>
                <w:szCs w:val="20"/>
                <w:color w:val="auto"/>
              </w:rPr>
            </w:pPr>
            <w:r>
              <w:rPr>
                <w:rFonts w:ascii="Arial" w:cs="Arial" w:eastAsia="Arial" w:hAnsi="Arial"/>
                <w:sz w:val="16"/>
                <w:szCs w:val="16"/>
                <w:color w:val="auto"/>
              </w:rPr>
              <w:t>Inventories consist of the following:</w:t>
            </w: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6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jc w:val="right"/>
              <w:ind w:right="399"/>
              <w:spacing w:after="0"/>
              <w:rPr>
                <w:sz w:val="20"/>
                <w:szCs w:val="20"/>
                <w:color w:val="auto"/>
              </w:rPr>
            </w:pPr>
            <w:r>
              <w:rPr>
                <w:rFonts w:ascii="Arial" w:cs="Arial" w:eastAsia="Arial" w:hAnsi="Arial"/>
                <w:sz w:val="16"/>
                <w:szCs w:val="16"/>
                <w:b w:val="1"/>
                <w:bCs w:val="1"/>
                <w:color w:val="auto"/>
              </w:rPr>
              <w:t>March 31, 2025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jc w:val="right"/>
              <w:ind w:right="239"/>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21"/>
        </w:trPr>
        <w:tc>
          <w:tcPr>
            <w:tcW w:w="6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696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Work in progress</w:t>
            </w:r>
          </w:p>
        </w:tc>
        <w:tc>
          <w:tcPr>
            <w:tcW w:w="28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1,101</w:t>
            </w:r>
          </w:p>
        </w:tc>
        <w:tc>
          <w:tcPr>
            <w:tcW w:w="80" w:type="dxa"/>
            <w:vAlign w:val="bottom"/>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1,088</w:t>
            </w:r>
          </w:p>
        </w:tc>
        <w:tc>
          <w:tcPr>
            <w:tcW w:w="0" w:type="dxa"/>
            <w:vAlign w:val="bottom"/>
          </w:tcPr>
          <w:p>
            <w:pPr>
              <w:spacing w:after="0"/>
              <w:rPr>
                <w:sz w:val="1"/>
                <w:szCs w:val="1"/>
                <w:color w:val="auto"/>
              </w:rPr>
            </w:pPr>
          </w:p>
        </w:tc>
      </w:tr>
      <w:tr>
        <w:trPr>
          <w:trHeight w:val="228"/>
        </w:trPr>
        <w:tc>
          <w:tcPr>
            <w:tcW w:w="6960" w:type="dxa"/>
            <w:vAlign w:val="bottom"/>
          </w:tcPr>
          <w:p>
            <w:pPr>
              <w:ind w:left="80"/>
              <w:spacing w:after="0"/>
              <w:rPr>
                <w:sz w:val="20"/>
                <w:szCs w:val="20"/>
                <w:color w:val="auto"/>
              </w:rPr>
            </w:pPr>
            <w:r>
              <w:rPr>
                <w:rFonts w:ascii="Arial" w:cs="Arial" w:eastAsia="Arial" w:hAnsi="Arial"/>
                <w:sz w:val="16"/>
                <w:szCs w:val="16"/>
                <w:color w:val="auto"/>
              </w:rPr>
              <w:t>Raw materials and supplies</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789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665</w:t>
            </w:r>
          </w:p>
        </w:tc>
        <w:tc>
          <w:tcPr>
            <w:tcW w:w="0" w:type="dxa"/>
            <w:vAlign w:val="bottom"/>
          </w:tcPr>
          <w:p>
            <w:pPr>
              <w:spacing w:after="0"/>
              <w:rPr>
                <w:sz w:val="1"/>
                <w:szCs w:val="1"/>
                <w:color w:val="auto"/>
              </w:rPr>
            </w:pPr>
          </w:p>
        </w:tc>
      </w:tr>
      <w:tr>
        <w:trPr>
          <w:trHeight w:val="29"/>
        </w:trPr>
        <w:tc>
          <w:tcPr>
            <w:tcW w:w="6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69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Inventory reserves</w:t>
            </w:r>
          </w:p>
        </w:tc>
        <w:tc>
          <w:tcPr>
            <w:tcW w:w="28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80" w:type="dxa"/>
            <w:vAlign w:val="bottom"/>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50"/>
        </w:trPr>
        <w:tc>
          <w:tcPr>
            <w:tcW w:w="6960" w:type="dxa"/>
            <w:vAlign w:val="bottom"/>
          </w:tcPr>
          <w:p>
            <w:pPr>
              <w:ind w:left="80"/>
              <w:spacing w:after="0"/>
              <w:rPr>
                <w:sz w:val="20"/>
                <w:szCs w:val="20"/>
                <w:color w:val="auto"/>
              </w:rPr>
            </w:pPr>
            <w:r>
              <w:rPr>
                <w:rFonts w:ascii="Arial" w:cs="Arial" w:eastAsia="Arial" w:hAnsi="Arial"/>
                <w:sz w:val="16"/>
                <w:szCs w:val="16"/>
                <w:b w:val="1"/>
                <w:bCs w:val="1"/>
                <w:color w:val="auto"/>
              </w:rPr>
              <w:t>Total</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1,813</w:t>
            </w: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1,624</w:t>
            </w:r>
          </w:p>
        </w:tc>
        <w:tc>
          <w:tcPr>
            <w:tcW w:w="0" w:type="dxa"/>
            <w:vAlign w:val="bottom"/>
          </w:tcPr>
          <w:p>
            <w:pPr>
              <w:spacing w:after="0"/>
              <w:rPr>
                <w:sz w:val="1"/>
                <w:szCs w:val="1"/>
                <w:color w:val="auto"/>
              </w:rPr>
            </w:pPr>
          </w:p>
        </w:tc>
      </w:tr>
      <w:tr>
        <w:trPr>
          <w:trHeight w:val="21"/>
        </w:trPr>
        <w:tc>
          <w:tcPr>
            <w:tcW w:w="6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During the three months ended March 31, 2025 and 2024, the Company recognized $16 million and $31 million within cost of revenue to write down certain inventories to their estimated net realizable value. There were no significant reversals of any write-down of inventories.</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Leases</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has various lease agreements for certain of its offices, facilities and equipment, with a weighted average remaining lease term of 12.9 years and weighted average discount rate of 4.4% as of March 31, 2025. Leases may include one or more options to renew. Renewal terms are not included in the determination of the lease term unless the renewals are deemed to be reasonably certain at the time of lease commencement. The Company’s lease agreements do not contain any material residual value guarantees or material restrictive covenants. All leases were measured under a single criterion with the exception of those with terms not exceeding 12 months and low-value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INTERIM CONDENSED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 except per share amounts or otherwise stated)</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outlines the carrying amounts of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600075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007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80"/>
        <w:spacing w:after="0"/>
        <w:rPr>
          <w:sz w:val="20"/>
          <w:szCs w:val="20"/>
          <w:color w:val="auto"/>
        </w:rPr>
      </w:pPr>
      <w:r>
        <w:rPr>
          <w:rFonts w:ascii="Arial" w:cs="Arial" w:eastAsia="Arial" w:hAnsi="Arial"/>
          <w:sz w:val="16"/>
          <w:szCs w:val="16"/>
          <w:color w:val="auto"/>
        </w:rPr>
        <w:t>Land and improvements</w:t>
      </w:r>
    </w:p>
    <w:p>
      <w:pPr>
        <w:spacing w:after="0" w:line="73" w:lineRule="exact"/>
        <w:rPr>
          <w:sz w:val="20"/>
          <w:szCs w:val="20"/>
          <w:color w:val="auto"/>
        </w:rPr>
      </w:pPr>
    </w:p>
    <w:p>
      <w:pPr>
        <w:ind w:left="80"/>
        <w:spacing w:after="0"/>
        <w:rPr>
          <w:sz w:val="20"/>
          <w:szCs w:val="20"/>
          <w:color w:val="auto"/>
        </w:rPr>
      </w:pPr>
      <w:r>
        <w:rPr>
          <w:rFonts w:ascii="Arial" w:cs="Arial" w:eastAsia="Arial" w:hAnsi="Arial"/>
          <w:sz w:val="16"/>
          <w:szCs w:val="16"/>
          <w:color w:val="auto"/>
        </w:rPr>
        <w:t>Building and leasehold improvements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6000750" cy="1885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00750" cy="188595"/>
                    </a:xfrm>
                    <a:prstGeom prst="rect">
                      <a:avLst/>
                    </a:prstGeom>
                    <a:noFill/>
                  </pic:spPr>
                </pic:pic>
              </a:graphicData>
            </a:graphic>
          </wp:anchor>
        </w:drawing>
      </w:r>
    </w:p>
    <w:p>
      <w:pPr>
        <w:spacing w:after="0" w:line="93"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Total</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depreciation of right-of-use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300" w:type="dxa"/>
            <w:vAlign w:val="bottom"/>
          </w:tcPr>
          <w:p>
            <w:pPr>
              <w:spacing w:after="0"/>
              <w:rPr>
                <w:sz w:val="17"/>
                <w:szCs w:val="17"/>
                <w:color w:val="auto"/>
              </w:rPr>
            </w:pPr>
          </w:p>
        </w:tc>
        <w:tc>
          <w:tcPr>
            <w:tcW w:w="148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31</w:t>
            </w:r>
          </w:p>
        </w:tc>
        <w:tc>
          <w:tcPr>
            <w:tcW w:w="220" w:type="dxa"/>
            <w:vAlign w:val="bottom"/>
          </w:tcPr>
          <w:p>
            <w:pPr>
              <w:spacing w:after="0"/>
              <w:rPr>
                <w:sz w:val="17"/>
                <w:szCs w:val="17"/>
                <w:color w:val="auto"/>
              </w:rPr>
            </w:pPr>
          </w:p>
        </w:tc>
        <w:tc>
          <w:tcPr>
            <w:tcW w:w="1460" w:type="dxa"/>
            <w:vAlign w:val="bottom"/>
          </w:tcPr>
          <w:p>
            <w:pPr>
              <w:jc w:val="right"/>
              <w:ind w:right="259"/>
              <w:spacing w:after="0"/>
              <w:rPr>
                <w:sz w:val="20"/>
                <w:szCs w:val="20"/>
                <w:color w:val="auto"/>
              </w:rPr>
            </w:pPr>
            <w:r>
              <w:rPr>
                <w:rFonts w:ascii="Arial" w:cs="Arial" w:eastAsia="Arial" w:hAnsi="Arial"/>
                <w:sz w:val="16"/>
                <w:szCs w:val="16"/>
                <w:b w:val="1"/>
                <w:bCs w:val="1"/>
                <w:color w:val="auto"/>
              </w:rPr>
              <w:t>December 31</w:t>
            </w:r>
          </w:p>
        </w:tc>
      </w:tr>
      <w:tr>
        <w:trPr>
          <w:trHeight w:val="223"/>
        </w:trPr>
        <w:tc>
          <w:tcPr>
            <w:tcW w:w="300" w:type="dxa"/>
            <w:vAlign w:val="bottom"/>
          </w:tcPr>
          <w:p>
            <w:pPr>
              <w:spacing w:after="0"/>
              <w:rPr>
                <w:sz w:val="19"/>
                <w:szCs w:val="19"/>
                <w:color w:val="auto"/>
              </w:rPr>
            </w:pPr>
          </w:p>
        </w:tc>
        <w:tc>
          <w:tcPr>
            <w:tcW w:w="1380" w:type="dxa"/>
            <w:vAlign w:val="bottom"/>
          </w:tcPr>
          <w:p>
            <w:pPr>
              <w:jc w:val="right"/>
              <w:ind w:right="57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79"/>
              <w:spacing w:after="0"/>
              <w:rPr>
                <w:sz w:val="20"/>
                <w:szCs w:val="20"/>
                <w:color w:val="auto"/>
              </w:rPr>
            </w:pPr>
            <w:r>
              <w:rPr>
                <w:rFonts w:ascii="Arial" w:cs="Arial" w:eastAsia="Arial" w:hAnsi="Arial"/>
                <w:sz w:val="16"/>
                <w:szCs w:val="16"/>
                <w:b w:val="1"/>
                <w:bCs w:val="1"/>
                <w:color w:val="auto"/>
              </w:rPr>
              <w:t>2024</w:t>
            </w: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30"/>
        </w:trPr>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r>
      <w:tr>
        <w:trPr>
          <w:trHeight w:val="227"/>
        </w:trPr>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435</w:t>
            </w:r>
          </w:p>
        </w:tc>
      </w:tr>
      <w:tr>
        <w:trPr>
          <w:trHeight w:val="29"/>
        </w:trPr>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70"/>
        </w:trPr>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499</w:t>
            </w:r>
          </w:p>
        </w:tc>
        <w:tc>
          <w:tcPr>
            <w:tcW w:w="100" w:type="dxa"/>
            <w:vAlign w:val="bottom"/>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498</w:t>
            </w:r>
          </w:p>
        </w:tc>
      </w:tr>
      <w:tr>
        <w:trPr>
          <w:trHeight w:val="20"/>
        </w:trPr>
        <w:tc>
          <w:tcPr>
            <w:tcW w:w="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38100</wp:posOffset>
            </wp:positionV>
            <wp:extent cx="22028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127" w:lineRule="exact"/>
        <w:rPr>
          <w:sz w:val="20"/>
          <w:szCs w:val="20"/>
          <w:color w:val="auto"/>
        </w:rPr>
      </w:pPr>
    </w:p>
    <w:p>
      <w:pPr>
        <w:sectPr>
          <w:pgSz w:w="11900" w:h="16838" w:orient="portrait"/>
          <w:cols w:equalWidth="0" w:num="2">
            <w:col w:w="7060" w:space="720"/>
            <w:col w:w="3460"/>
          </w:cols>
          <w:pgMar w:left="320" w:top="98"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7780" w:type="dxa"/>
            <w:vAlign w:val="bottom"/>
          </w:tcPr>
          <w:p>
            <w:pPr>
              <w:spacing w:after="0"/>
              <w:rPr>
                <w:sz w:val="19"/>
                <w:szCs w:val="19"/>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b w:val="1"/>
                <w:bCs w:val="1"/>
                <w:color w:val="auto"/>
              </w:rPr>
              <w:t>2025</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579"/>
              <w:spacing w:after="0"/>
              <w:rPr>
                <w:sz w:val="20"/>
                <w:szCs w:val="20"/>
                <w:color w:val="auto"/>
              </w:rPr>
            </w:pPr>
            <w:r>
              <w:rPr>
                <w:rFonts w:ascii="Arial" w:cs="Arial" w:eastAsia="Arial" w:hAnsi="Arial"/>
                <w:sz w:val="16"/>
                <w:szCs w:val="16"/>
                <w:b w:val="1"/>
                <w:bCs w:val="1"/>
                <w:color w:val="auto"/>
              </w:rPr>
              <w:t>2024</w:t>
            </w:r>
          </w:p>
        </w:tc>
      </w:tr>
      <w:tr>
        <w:trPr>
          <w:trHeight w:val="21"/>
        </w:trPr>
        <w:tc>
          <w:tcPr>
            <w:tcW w:w="77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0"/>
        </w:trPr>
        <w:tc>
          <w:tcPr>
            <w:tcW w:w="77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Land and improvements</w:t>
            </w:r>
          </w:p>
        </w:tc>
        <w:tc>
          <w:tcPr>
            <w:tcW w:w="1220" w:type="dxa"/>
            <w:vAlign w:val="bottom"/>
            <w:tcBorders>
              <w:bottom w:val="single" w:sz="8" w:color="CCEEFF"/>
            </w:tcBorders>
            <w:shd w:val="clear" w:color="auto" w:fill="CCEEFF"/>
          </w:tcPr>
          <w:p>
            <w:pPr>
              <w:jc w:val="right"/>
              <w:ind w:right="103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27"/>
        </w:trPr>
        <w:tc>
          <w:tcPr>
            <w:tcW w:w="7780" w:type="dxa"/>
            <w:vAlign w:val="bottom"/>
          </w:tcPr>
          <w:p>
            <w:pPr>
              <w:ind w:left="80"/>
              <w:spacing w:after="0"/>
              <w:rPr>
                <w:sz w:val="20"/>
                <w:szCs w:val="20"/>
                <w:color w:val="auto"/>
              </w:rPr>
            </w:pPr>
            <w:r>
              <w:rPr>
                <w:rFonts w:ascii="Arial" w:cs="Arial" w:eastAsia="Arial" w:hAnsi="Arial"/>
                <w:sz w:val="16"/>
                <w:szCs w:val="16"/>
                <w:color w:val="auto"/>
              </w:rPr>
              <w:t>Building and leasehold improvements and other</w:t>
            </w:r>
          </w:p>
        </w:tc>
        <w:tc>
          <w:tcPr>
            <w:tcW w:w="12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9"/>
        </w:trPr>
        <w:tc>
          <w:tcPr>
            <w:tcW w:w="7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778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Arial" w:cs="Arial" w:eastAsia="Arial" w:hAnsi="Arial"/>
                <w:sz w:val="16"/>
                <w:szCs w:val="16"/>
                <w:b w:val="1"/>
                <w:bCs w:val="1"/>
                <w:color w:val="auto"/>
              </w:rPr>
              <w:t>Total</w:t>
            </w:r>
          </w:p>
        </w:tc>
        <w:tc>
          <w:tcPr>
            <w:tcW w:w="1220" w:type="dxa"/>
            <w:vAlign w:val="bottom"/>
            <w:tcBorders>
              <w:top w:val="single" w:sz="8" w:color="auto"/>
              <w:bottom w:val="single" w:sz="8" w:color="auto"/>
            </w:tcBorders>
            <w:shd w:val="clear" w:color="auto" w:fill="CCEEFF"/>
          </w:tcPr>
          <w:p>
            <w:pPr>
              <w:jc w:val="right"/>
              <w:ind w:right="1039"/>
              <w:spacing w:after="0"/>
              <w:rPr>
                <w:sz w:val="20"/>
                <w:szCs w:val="20"/>
                <w:color w:val="auto"/>
              </w:rPr>
            </w:pPr>
            <w:r>
              <w:rPr>
                <w:rFonts w:ascii="Arial" w:cs="Arial" w:eastAsia="Arial" w:hAnsi="Arial"/>
                <w:sz w:val="16"/>
                <w:szCs w:val="16"/>
                <w:b w:val="1"/>
                <w:bCs w:val="1"/>
                <w:color w:val="auto"/>
                <w:w w:val="8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w:t>
            </w:r>
          </w:p>
        </w:tc>
        <w:tc>
          <w:tcPr>
            <w:tcW w:w="100" w:type="dxa"/>
            <w:vAlign w:val="bottom"/>
          </w:tcPr>
          <w:p>
            <w:pPr>
              <w:spacing w:after="0"/>
              <w:rPr>
                <w:sz w:val="23"/>
                <w:szCs w:val="23"/>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For the three months ended March 31, 2025 and 2024, the additions to right-of-use assets were $13 million and $15 million, respectively, interest expense was $6 million and $8 million, respectively, and cash outflow for leases was $33 million and $13 million, respectively.</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00" w:type="dxa"/>
            <w:vAlign w:val="bottom"/>
          </w:tcPr>
          <w:p>
            <w:pPr>
              <w:spacing w:after="0"/>
              <w:rPr>
                <w:sz w:val="20"/>
                <w:szCs w:val="20"/>
                <w:color w:val="auto"/>
              </w:rPr>
            </w:pPr>
            <w:r>
              <w:rPr>
                <w:rFonts w:ascii="Arial" w:cs="Arial" w:eastAsia="Arial" w:hAnsi="Arial"/>
                <w:sz w:val="16"/>
                <w:szCs w:val="16"/>
                <w:b w:val="1"/>
                <w:bCs w:val="1"/>
                <w:color w:val="auto"/>
              </w:rPr>
              <w:t>Note 10. Trade Payables and Other Liabilities</w:t>
            </w:r>
          </w:p>
        </w:tc>
        <w:tc>
          <w:tcPr>
            <w:tcW w:w="1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331"/>
        </w:trPr>
        <w:tc>
          <w:tcPr>
            <w:tcW w:w="7700" w:type="dxa"/>
            <w:vAlign w:val="bottom"/>
          </w:tcPr>
          <w:p>
            <w:pPr>
              <w:spacing w:after="0"/>
              <w:rPr>
                <w:sz w:val="24"/>
                <w:szCs w:val="24"/>
                <w:color w:val="auto"/>
              </w:rPr>
            </w:pPr>
          </w:p>
        </w:tc>
        <w:tc>
          <w:tcPr>
            <w:tcW w:w="1300" w:type="dxa"/>
            <w:vAlign w:val="bottom"/>
          </w:tcPr>
          <w:p>
            <w:pPr>
              <w:jc w:val="center"/>
              <w:ind w:left="339"/>
              <w:spacing w:after="0"/>
              <w:rPr>
                <w:sz w:val="20"/>
                <w:szCs w:val="20"/>
                <w:color w:val="auto"/>
              </w:rPr>
            </w:pPr>
            <w:r>
              <w:rPr>
                <w:rFonts w:ascii="Arial" w:cs="Arial" w:eastAsia="Arial" w:hAnsi="Arial"/>
                <w:sz w:val="16"/>
                <w:szCs w:val="16"/>
                <w:b w:val="1"/>
                <w:bCs w:val="1"/>
                <w:color w:val="auto"/>
              </w:rPr>
              <w:t>March 31</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jc w:val="right"/>
              <w:ind w:right="279"/>
              <w:spacing w:after="0"/>
              <w:rPr>
                <w:sz w:val="20"/>
                <w:szCs w:val="20"/>
                <w:color w:val="auto"/>
              </w:rPr>
            </w:pPr>
            <w:r>
              <w:rPr>
                <w:rFonts w:ascii="Arial" w:cs="Arial" w:eastAsia="Arial" w:hAnsi="Arial"/>
                <w:sz w:val="16"/>
                <w:szCs w:val="16"/>
                <w:b w:val="1"/>
                <w:bCs w:val="1"/>
                <w:color w:val="auto"/>
              </w:rPr>
              <w:t>December 31</w:t>
            </w:r>
          </w:p>
        </w:tc>
      </w:tr>
      <w:tr>
        <w:trPr>
          <w:trHeight w:val="223"/>
        </w:trPr>
        <w:tc>
          <w:tcPr>
            <w:tcW w:w="7700" w:type="dxa"/>
            <w:vAlign w:val="bottom"/>
          </w:tcPr>
          <w:p>
            <w:pPr>
              <w:spacing w:after="0"/>
              <w:rPr>
                <w:sz w:val="19"/>
                <w:szCs w:val="19"/>
                <w:color w:val="auto"/>
              </w:rPr>
            </w:pPr>
          </w:p>
        </w:tc>
        <w:tc>
          <w:tcPr>
            <w:tcW w:w="1300" w:type="dxa"/>
            <w:vAlign w:val="bottom"/>
          </w:tcPr>
          <w:p>
            <w:pPr>
              <w:jc w:val="right"/>
              <w:ind w:right="179"/>
              <w:spacing w:after="0"/>
              <w:rPr>
                <w:sz w:val="20"/>
                <w:szCs w:val="20"/>
                <w:color w:val="auto"/>
              </w:rPr>
            </w:pPr>
            <w:r>
              <w:rPr>
                <w:rFonts w:ascii="Arial" w:cs="Arial" w:eastAsia="Arial" w:hAnsi="Arial"/>
                <w:sz w:val="16"/>
                <w:szCs w:val="16"/>
                <w:b w:val="1"/>
                <w:bCs w:val="1"/>
                <w:color w:val="auto"/>
              </w:rPr>
              <w:t>2025</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ind w:right="599"/>
              <w:spacing w:after="0"/>
              <w:rPr>
                <w:sz w:val="20"/>
                <w:szCs w:val="20"/>
                <w:color w:val="auto"/>
              </w:rPr>
            </w:pPr>
            <w:r>
              <w:rPr>
                <w:rFonts w:ascii="Arial" w:cs="Arial" w:eastAsia="Arial" w:hAnsi="Arial"/>
                <w:sz w:val="16"/>
                <w:szCs w:val="16"/>
                <w:b w:val="1"/>
                <w:bCs w:val="1"/>
                <w:color w:val="auto"/>
              </w:rPr>
              <w:t>2024</w:t>
            </w:r>
          </w:p>
        </w:tc>
      </w:tr>
      <w:tr>
        <w:trPr>
          <w:trHeight w:val="21"/>
        </w:trPr>
        <w:tc>
          <w:tcPr>
            <w:tcW w:w="77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16"/>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w:t>
            </w:r>
          </w:p>
        </w:tc>
        <w:tc>
          <w:tcPr>
            <w:tcW w:w="13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r>
      <w:tr>
        <w:trPr>
          <w:trHeight w:val="228"/>
        </w:trPr>
        <w:tc>
          <w:tcPr>
            <w:tcW w:w="7700" w:type="dxa"/>
            <w:vAlign w:val="bottom"/>
          </w:tcPr>
          <w:p>
            <w:pPr>
              <w:ind w:left="140"/>
              <w:spacing w:after="0"/>
              <w:rPr>
                <w:sz w:val="20"/>
                <w:szCs w:val="20"/>
                <w:color w:val="auto"/>
              </w:rPr>
            </w:pPr>
            <w:r>
              <w:rPr>
                <w:rFonts w:ascii="Arial" w:cs="Arial" w:eastAsia="Arial" w:hAnsi="Arial"/>
                <w:sz w:val="16"/>
                <w:szCs w:val="16"/>
                <w:color w:val="auto"/>
              </w:rPr>
              <w:t>Trade payables</w:t>
            </w:r>
          </w:p>
        </w:tc>
        <w:tc>
          <w:tcPr>
            <w:tcW w:w="1300" w:type="dxa"/>
            <w:vAlign w:val="bottom"/>
          </w:tcPr>
          <w:p>
            <w:pPr>
              <w:jc w:val="right"/>
              <w:ind w:right="1099"/>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430</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406</w:t>
            </w:r>
          </w:p>
        </w:tc>
      </w:tr>
      <w:tr>
        <w:trPr>
          <w:trHeight w:val="29"/>
        </w:trPr>
        <w:tc>
          <w:tcPr>
            <w:tcW w:w="77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7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Accrued expenses</w:t>
            </w:r>
          </w:p>
        </w:tc>
        <w:tc>
          <w:tcPr>
            <w:tcW w:w="13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100" w:type="dxa"/>
            <w:vAlign w:val="bottom"/>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522</w:t>
            </w:r>
          </w:p>
        </w:tc>
      </w:tr>
      <w:tr>
        <w:trPr>
          <w:trHeight w:val="257"/>
        </w:trPr>
        <w:tc>
          <w:tcPr>
            <w:tcW w:w="7700" w:type="dxa"/>
            <w:vAlign w:val="bottom"/>
          </w:tcPr>
          <w:p>
            <w:pPr>
              <w:ind w:left="140"/>
              <w:spacing w:after="0"/>
              <w:rPr>
                <w:sz w:val="20"/>
                <w:szCs w:val="20"/>
                <w:color w:val="auto"/>
              </w:rPr>
            </w:pPr>
            <w:r>
              <w:rPr>
                <w:rFonts w:ascii="Arial" w:cs="Arial" w:eastAsia="Arial" w:hAnsi="Arial"/>
                <w:sz w:val="16"/>
                <w:szCs w:val="16"/>
                <w:color w:val="auto"/>
              </w:rPr>
              <w:t>Contract liabilities</w:t>
            </w:r>
            <w:r>
              <w:rPr>
                <w:rFonts w:ascii="Arial" w:cs="Arial" w:eastAsia="Arial" w:hAnsi="Arial"/>
                <w:sz w:val="21"/>
                <w:szCs w:val="21"/>
                <w:color w:val="auto"/>
                <w:vertAlign w:val="superscript"/>
              </w:rPr>
              <w:t>(1)</w:t>
            </w:r>
          </w:p>
        </w:tc>
        <w:tc>
          <w:tcPr>
            <w:tcW w:w="130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776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840</w:t>
            </w:r>
          </w:p>
        </w:tc>
      </w:tr>
      <w:tr>
        <w:trPr>
          <w:trHeight w:val="256"/>
        </w:trPr>
        <w:tc>
          <w:tcPr>
            <w:tcW w:w="7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Advances and deposits</w:t>
            </w:r>
            <w:r>
              <w:rPr>
                <w:rFonts w:ascii="Arial" w:cs="Arial" w:eastAsia="Arial" w:hAnsi="Arial"/>
                <w:sz w:val="21"/>
                <w:szCs w:val="21"/>
                <w:color w:val="auto"/>
                <w:vertAlign w:val="superscript"/>
              </w:rPr>
              <w:t>(2)</w:t>
            </w:r>
          </w:p>
        </w:tc>
        <w:tc>
          <w:tcPr>
            <w:tcW w:w="130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28"/>
        </w:trPr>
        <w:tc>
          <w:tcPr>
            <w:tcW w:w="7700" w:type="dxa"/>
            <w:vAlign w:val="bottom"/>
          </w:tcPr>
          <w:p>
            <w:pPr>
              <w:ind w:left="140"/>
              <w:spacing w:after="0"/>
              <w:rPr>
                <w:sz w:val="20"/>
                <w:szCs w:val="20"/>
                <w:color w:val="auto"/>
              </w:rPr>
            </w:pPr>
            <w:r>
              <w:rPr>
                <w:rFonts w:ascii="Arial" w:cs="Arial" w:eastAsia="Arial" w:hAnsi="Arial"/>
                <w:sz w:val="16"/>
                <w:szCs w:val="16"/>
                <w:color w:val="auto"/>
              </w:rPr>
              <w:t>Payables for property, plant and equipment and intangible assets</w:t>
            </w:r>
          </w:p>
        </w:tc>
        <w:tc>
          <w:tcPr>
            <w:tcW w:w="13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161</w:t>
            </w:r>
          </w:p>
        </w:tc>
      </w:tr>
      <w:tr>
        <w:trPr>
          <w:trHeight w:val="29"/>
        </w:trPr>
        <w:tc>
          <w:tcPr>
            <w:tcW w:w="77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6"/>
        </w:trPr>
        <w:tc>
          <w:tcPr>
            <w:tcW w:w="7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(3)</w:t>
            </w:r>
          </w:p>
        </w:tc>
        <w:tc>
          <w:tcPr>
            <w:tcW w:w="130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w:t>
            </w: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0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680" w:type="dxa"/>
            <w:vAlign w:val="bottom"/>
          </w:tcPr>
          <w:p>
            <w:pPr>
              <w:jc w:val="right"/>
              <w:ind w:right="47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2,195</w:t>
            </w:r>
          </w:p>
        </w:tc>
        <w:tc>
          <w:tcPr>
            <w:tcW w:w="780" w:type="dxa"/>
            <w:vAlign w:val="bottom"/>
            <w:gridSpan w:val="2"/>
          </w:tcPr>
          <w:p>
            <w:pPr>
              <w:jc w:val="right"/>
              <w:ind w:right="49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2,092</w:t>
            </w:r>
          </w:p>
        </w:tc>
      </w:tr>
      <w:tr>
        <w:trPr>
          <w:trHeight w:val="21"/>
        </w:trPr>
        <w:tc>
          <w:tcPr>
            <w:tcW w:w="77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7"/>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Non-current:</w:t>
            </w:r>
          </w:p>
        </w:tc>
        <w:tc>
          <w:tcPr>
            <w:tcW w:w="6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228"/>
        </w:trPr>
        <w:tc>
          <w:tcPr>
            <w:tcW w:w="7700" w:type="dxa"/>
            <w:vAlign w:val="bottom"/>
          </w:tcPr>
          <w:p>
            <w:pPr>
              <w:ind w:left="140"/>
              <w:spacing w:after="0"/>
              <w:rPr>
                <w:sz w:val="20"/>
                <w:szCs w:val="20"/>
                <w:color w:val="auto"/>
              </w:rPr>
            </w:pPr>
            <w:r>
              <w:rPr>
                <w:rFonts w:ascii="Arial" w:cs="Arial" w:eastAsia="Arial" w:hAnsi="Arial"/>
                <w:sz w:val="16"/>
                <w:szCs w:val="16"/>
                <w:color w:val="auto"/>
              </w:rPr>
              <w:t>Payables for intangible assets</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201</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193</w:t>
            </w:r>
          </w:p>
        </w:tc>
      </w:tr>
      <w:tr>
        <w:trPr>
          <w:trHeight w:val="29"/>
        </w:trPr>
        <w:tc>
          <w:tcPr>
            <w:tcW w:w="7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7"/>
        </w:trPr>
        <w:tc>
          <w:tcPr>
            <w:tcW w:w="7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Contract liabilities</w:t>
            </w:r>
            <w:r>
              <w:rPr>
                <w:rFonts w:ascii="Arial" w:cs="Arial" w:eastAsia="Arial" w:hAnsi="Arial"/>
                <w:sz w:val="21"/>
                <w:szCs w:val="21"/>
                <w:color w:val="auto"/>
                <w:vertAlign w:val="superscript"/>
              </w:rPr>
              <w:t>(1)</w:t>
            </w:r>
          </w:p>
        </w:tc>
        <w:tc>
          <w:tcPr>
            <w:tcW w:w="6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w:t>
            </w:r>
          </w:p>
        </w:tc>
        <w:tc>
          <w:tcPr>
            <w:tcW w:w="100" w:type="dxa"/>
            <w:vAlign w:val="bottom"/>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w:t>
            </w:r>
          </w:p>
        </w:tc>
      </w:tr>
      <w:tr>
        <w:trPr>
          <w:trHeight w:val="256"/>
        </w:trPr>
        <w:tc>
          <w:tcPr>
            <w:tcW w:w="77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(3)</w:t>
            </w:r>
          </w:p>
        </w:tc>
        <w:tc>
          <w:tcPr>
            <w:tcW w:w="6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r>
      <w:tr>
        <w:trPr>
          <w:trHeight w:val="230"/>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68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1,060</w:t>
            </w:r>
          </w:p>
        </w:tc>
        <w:tc>
          <w:tcPr>
            <w:tcW w:w="100" w:type="dxa"/>
            <w:vAlign w:val="bottom"/>
          </w:tcPr>
          <w:p>
            <w:pPr>
              <w:spacing w:after="0"/>
              <w:rPr>
                <w:sz w:val="20"/>
                <w:szCs w:val="20"/>
                <w:color w:val="auto"/>
              </w:rPr>
            </w:pPr>
          </w:p>
        </w:tc>
        <w:tc>
          <w:tcPr>
            <w:tcW w:w="68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1,022</w:t>
            </w:r>
          </w:p>
        </w:tc>
      </w:tr>
      <w:tr>
        <w:trPr>
          <w:trHeight w:val="20"/>
        </w:trPr>
        <w:tc>
          <w:tcPr>
            <w:tcW w:w="77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bl>
    <w:p>
      <w:pPr>
        <w:spacing w:after="0" w:line="188" w:lineRule="exact"/>
        <w:rPr>
          <w:sz w:val="20"/>
          <w:szCs w:val="20"/>
          <w:color w:val="auto"/>
        </w:rPr>
      </w:pPr>
    </w:p>
    <w:p>
      <w:pPr>
        <w:ind w:left="160" w:hanging="152"/>
        <w:spacing w:after="0"/>
        <w:tabs>
          <w:tab w:leader="none" w:pos="16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 xml:space="preserve">Contract liabilities comprise contractual obligations for payments received in advance of the satisfaction of performance obligations for wafers, as well as </w:t>
      </w:r>
      <w:r>
        <w:rPr>
          <w:rFonts w:ascii="Arial" w:cs="Arial" w:eastAsia="Arial" w:hAnsi="Arial"/>
          <w:sz w:val="15"/>
          <w:szCs w:val="15"/>
          <w:color w:val="auto"/>
        </w:rPr>
        <w:t>NRE</w:t>
      </w:r>
      <w:r>
        <w:rPr>
          <w:rFonts w:ascii="Arial" w:cs="Arial" w:eastAsia="Arial" w:hAnsi="Arial"/>
          <w:sz w:val="14"/>
          <w:szCs w:val="14"/>
          <w:color w:val="auto"/>
        </w:rPr>
        <w:t xml:space="preserve"> services.</w:t>
      </w:r>
    </w:p>
    <w:p>
      <w:pPr>
        <w:spacing w:after="0" w:line="90"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 xml:space="preserve">Advances and deposits include advances from customers of </w:t>
      </w:r>
      <w:r>
        <w:rPr>
          <w:rFonts w:ascii="Arial" w:cs="Arial" w:eastAsia="Arial" w:hAnsi="Arial"/>
          <w:sz w:val="15"/>
          <w:szCs w:val="15"/>
          <w:color w:val="auto"/>
        </w:rPr>
        <w:t>$62 million</w:t>
      </w:r>
      <w:r>
        <w:rPr>
          <w:rFonts w:ascii="Arial" w:cs="Arial" w:eastAsia="Arial" w:hAnsi="Arial"/>
          <w:sz w:val="14"/>
          <w:szCs w:val="14"/>
          <w:color w:val="auto"/>
        </w:rPr>
        <w:t xml:space="preserve"> (</w:t>
      </w:r>
      <w:r>
        <w:rPr>
          <w:rFonts w:ascii="Arial" w:cs="Arial" w:eastAsia="Arial" w:hAnsi="Arial"/>
          <w:sz w:val="15"/>
          <w:szCs w:val="15"/>
          <w:color w:val="auto"/>
        </w:rPr>
        <w:t>2024</w:t>
      </w:r>
      <w:r>
        <w:rPr>
          <w:rFonts w:ascii="Arial" w:cs="Arial" w:eastAsia="Arial" w:hAnsi="Arial"/>
          <w:sz w:val="14"/>
          <w:szCs w:val="14"/>
          <w:color w:val="auto"/>
        </w:rPr>
        <w:t xml:space="preserve">: </w:t>
      </w:r>
      <w:r>
        <w:rPr>
          <w:rFonts w:ascii="Arial" w:cs="Arial" w:eastAsia="Arial" w:hAnsi="Arial"/>
          <w:sz w:val="15"/>
          <w:szCs w:val="15"/>
          <w:color w:val="auto"/>
        </w:rPr>
        <w:t>$36 million</w:t>
      </w:r>
      <w:r>
        <w:rPr>
          <w:rFonts w:ascii="Arial" w:cs="Arial" w:eastAsia="Arial" w:hAnsi="Arial"/>
          <w:sz w:val="14"/>
          <w:szCs w:val="14"/>
          <w:color w:val="auto"/>
        </w:rPr>
        <w:t>) collected for purchase orders.</w:t>
      </w:r>
    </w:p>
    <w:p>
      <w:pPr>
        <w:spacing w:after="0" w:line="90"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8"/>
        </w:numPr>
        <w:rPr>
          <w:rFonts w:ascii="Arial" w:cs="Arial" w:eastAsia="Arial" w:hAnsi="Arial"/>
          <w:sz w:val="9"/>
          <w:szCs w:val="9"/>
          <w:color w:val="auto"/>
        </w:rPr>
      </w:pPr>
      <w:r>
        <w:rPr>
          <w:rFonts w:ascii="Arial" w:cs="Arial" w:eastAsia="Arial" w:hAnsi="Arial"/>
          <w:sz w:val="14"/>
          <w:szCs w:val="14"/>
          <w:color w:val="auto"/>
        </w:rPr>
        <w:t>Other includes other financial liabilities</w:t>
      </w:r>
      <w:r>
        <w:rPr>
          <w:rFonts w:ascii="Arial" w:cs="Arial" w:eastAsia="Arial" w:hAnsi="Arial"/>
          <w:sz w:val="16"/>
          <w:szCs w:val="16"/>
          <w:color w:val="auto"/>
        </w:rPr>
        <w:t>, due from related parties, deferred tax liabilities</w:t>
      </w:r>
      <w:r>
        <w:rPr>
          <w:rFonts w:ascii="Arial" w:cs="Arial" w:eastAsia="Arial" w:hAnsi="Arial"/>
          <w:sz w:val="14"/>
          <w:szCs w:val="14"/>
          <w:color w:val="auto"/>
        </w:rPr>
        <w:t xml:space="preserve"> and non-current advances and deposits.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 except per share amounts or otherwise stated)</w:t>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20" w:type="dxa"/>
            <w:vAlign w:val="bottom"/>
            <w:gridSpan w:val="2"/>
          </w:tcPr>
          <w:p>
            <w:pPr>
              <w:spacing w:after="0"/>
              <w:rPr>
                <w:sz w:val="20"/>
                <w:szCs w:val="20"/>
                <w:color w:val="auto"/>
              </w:rPr>
            </w:pPr>
            <w:r>
              <w:rPr>
                <w:rFonts w:ascii="Arial" w:cs="Arial" w:eastAsia="Arial" w:hAnsi="Arial"/>
                <w:sz w:val="16"/>
                <w:szCs w:val="16"/>
                <w:color w:val="auto"/>
              </w:rPr>
              <w:t>The following table presents the activities in contract liabilities as of March 31, 2025 and December 31, 2024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7"/>
        </w:trPr>
        <w:tc>
          <w:tcPr>
            <w:tcW w:w="688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rPr>
              <w:t>March 31, 2025</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tcPr>
          <w:p>
            <w:pPr>
              <w:jc w:val="right"/>
              <w:ind w:right="259"/>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21"/>
        </w:trPr>
        <w:tc>
          <w:tcPr>
            <w:tcW w:w="688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Beginning contract liabilities balance</w:t>
            </w:r>
          </w:p>
        </w:tc>
        <w:tc>
          <w:tcPr>
            <w:tcW w:w="1640" w:type="dxa"/>
            <w:vAlign w:val="bottom"/>
            <w:tcBorders>
              <w:bottom w:val="single" w:sz="8" w:color="CCEEFF"/>
            </w:tcBorders>
            <w:shd w:val="clear" w:color="auto" w:fill="CCEEFF"/>
          </w:tcPr>
          <w:p>
            <w:pPr>
              <w:jc w:val="right"/>
              <w:ind w:right="145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1,584</w:t>
            </w:r>
          </w:p>
        </w:tc>
        <w:tc>
          <w:tcPr>
            <w:tcW w:w="100" w:type="dxa"/>
            <w:vAlign w:val="bottom"/>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1,983</w:t>
            </w:r>
          </w:p>
        </w:tc>
        <w:tc>
          <w:tcPr>
            <w:tcW w:w="0" w:type="dxa"/>
            <w:vAlign w:val="bottom"/>
          </w:tcPr>
          <w:p>
            <w:pPr>
              <w:spacing w:after="0"/>
              <w:rPr>
                <w:sz w:val="1"/>
                <w:szCs w:val="1"/>
                <w:color w:val="auto"/>
              </w:rPr>
            </w:pPr>
          </w:p>
        </w:tc>
      </w:tr>
      <w:tr>
        <w:trPr>
          <w:trHeight w:val="228"/>
        </w:trPr>
        <w:tc>
          <w:tcPr>
            <w:tcW w:w="6880" w:type="dxa"/>
            <w:vAlign w:val="bottom"/>
          </w:tcPr>
          <w:p>
            <w:pPr>
              <w:ind w:left="20"/>
              <w:spacing w:after="0"/>
              <w:rPr>
                <w:sz w:val="20"/>
                <w:szCs w:val="20"/>
                <w:color w:val="auto"/>
              </w:rPr>
            </w:pPr>
            <w:r>
              <w:rPr>
                <w:rFonts w:ascii="Arial" w:cs="Arial" w:eastAsia="Arial" w:hAnsi="Arial"/>
                <w:sz w:val="16"/>
                <w:szCs w:val="16"/>
                <w:color w:val="auto"/>
              </w:rPr>
              <w:t>Cash receipts in advance of satisfaction of performance obligations</w:t>
            </w:r>
          </w:p>
        </w:tc>
        <w:tc>
          <w:tcPr>
            <w:tcW w:w="16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r>
        <w:trPr>
          <w:trHeight w:val="29"/>
        </w:trPr>
        <w:tc>
          <w:tcPr>
            <w:tcW w:w="68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5"/>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Released to the consolidated statements of operations</w:t>
            </w:r>
          </w:p>
        </w:tc>
        <w:tc>
          <w:tcPr>
            <w:tcW w:w="1640" w:type="dxa"/>
            <w:vAlign w:val="bottom"/>
            <w:shd w:val="clear" w:color="auto" w:fill="CCEEFF"/>
          </w:tcPr>
          <w:p>
            <w:pPr>
              <w:spacing w:after="0"/>
              <w:rPr>
                <w:sz w:val="24"/>
                <w:szCs w:val="24"/>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(749)</w:t>
            </w:r>
          </w:p>
        </w:tc>
        <w:tc>
          <w:tcPr>
            <w:tcW w:w="0" w:type="dxa"/>
            <w:vAlign w:val="bottom"/>
          </w:tcPr>
          <w:p>
            <w:pPr>
              <w:spacing w:after="0"/>
              <w:rPr>
                <w:sz w:val="1"/>
                <w:szCs w:val="1"/>
                <w:color w:val="auto"/>
              </w:rPr>
            </w:pPr>
          </w:p>
        </w:tc>
      </w:tr>
      <w:tr>
        <w:trPr>
          <w:trHeight w:val="104"/>
        </w:trPr>
        <w:tc>
          <w:tcPr>
            <w:tcW w:w="6880" w:type="dxa"/>
            <w:vAlign w:val="bottom"/>
            <w:tcBorders>
              <w:bottom w:val="single" w:sz="8" w:color="CCEEFF"/>
            </w:tcBorders>
            <w:shd w:val="clear" w:color="auto" w:fill="CCEEFF"/>
          </w:tcPr>
          <w:p>
            <w:pPr>
              <w:spacing w:after="0"/>
              <w:rPr>
                <w:sz w:val="9"/>
                <w:szCs w:val="9"/>
                <w:color w:val="auto"/>
              </w:rPr>
            </w:pPr>
          </w:p>
        </w:tc>
        <w:tc>
          <w:tcPr>
            <w:tcW w:w="1640" w:type="dxa"/>
            <w:vAlign w:val="bottom"/>
            <w:tcBorders>
              <w:bottom w:val="single" w:sz="8" w:color="CCEEFF"/>
            </w:tcBorders>
            <w:shd w:val="clear" w:color="auto" w:fill="CCEEFF"/>
          </w:tcPr>
          <w:p>
            <w:pPr>
              <w:spacing w:after="0"/>
              <w:rPr>
                <w:sz w:val="9"/>
                <w:szCs w:val="9"/>
                <w:color w:val="auto"/>
              </w:rPr>
            </w:pPr>
          </w:p>
        </w:tc>
        <w:tc>
          <w:tcPr>
            <w:tcW w:w="480" w:type="dxa"/>
            <w:vAlign w:val="bottom"/>
            <w:tcBorders>
              <w:bottom w:val="single" w:sz="8" w:color="CCEEFF"/>
            </w:tcBorders>
            <w:vMerge w:val="continue"/>
            <w:shd w:val="clear" w:color="auto" w:fill="CCEEFF"/>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9"/>
                <w:szCs w:val="9"/>
                <w:color w:val="auto"/>
              </w:rPr>
            </w:pPr>
          </w:p>
        </w:tc>
        <w:tc>
          <w:tcPr>
            <w:tcW w:w="1900" w:type="dxa"/>
            <w:vAlign w:val="bottom"/>
            <w:tcBorders>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6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16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50"/>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contract liabilities balance</w:t>
            </w:r>
          </w:p>
        </w:tc>
        <w:tc>
          <w:tcPr>
            <w:tcW w:w="1640" w:type="dxa"/>
            <w:vAlign w:val="bottom"/>
            <w:tcBorders>
              <w:bottom w:val="single" w:sz="8" w:color="CCEEFF"/>
            </w:tcBorders>
            <w:shd w:val="clear" w:color="auto" w:fill="CCEEFF"/>
          </w:tcPr>
          <w:p>
            <w:pPr>
              <w:jc w:val="right"/>
              <w:ind w:right="145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1,531</w:t>
            </w:r>
          </w:p>
        </w:tc>
        <w:tc>
          <w:tcPr>
            <w:tcW w:w="100" w:type="dxa"/>
            <w:vAlign w:val="bottom"/>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1,584</w:t>
            </w:r>
          </w:p>
        </w:tc>
        <w:tc>
          <w:tcPr>
            <w:tcW w:w="0" w:type="dxa"/>
            <w:vAlign w:val="bottom"/>
          </w:tcPr>
          <w:p>
            <w:pPr>
              <w:spacing w:after="0"/>
              <w:rPr>
                <w:sz w:val="1"/>
                <w:szCs w:val="1"/>
                <w:color w:val="auto"/>
              </w:rPr>
            </w:pPr>
          </w:p>
        </w:tc>
      </w:tr>
      <w:tr>
        <w:trPr>
          <w:trHeight w:val="250"/>
        </w:trPr>
        <w:tc>
          <w:tcPr>
            <w:tcW w:w="6880" w:type="dxa"/>
            <w:vAlign w:val="bottom"/>
          </w:tcPr>
          <w:p>
            <w:pPr>
              <w:spacing w:after="0"/>
              <w:rPr>
                <w:sz w:val="21"/>
                <w:szCs w:val="21"/>
                <w:color w:val="auto"/>
              </w:rPr>
            </w:pPr>
          </w:p>
        </w:tc>
        <w:tc>
          <w:tcPr>
            <w:tcW w:w="164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9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w:t>
            </w:r>
          </w:p>
        </w:tc>
        <w:tc>
          <w:tcPr>
            <w:tcW w:w="1640" w:type="dxa"/>
            <w:vAlign w:val="bottom"/>
            <w:tcBorders>
              <w:bottom w:val="single" w:sz="8" w:color="CCEEFF"/>
            </w:tcBorders>
            <w:shd w:val="clear" w:color="auto" w:fill="CCEEFF"/>
          </w:tcPr>
          <w:p>
            <w:pPr>
              <w:jc w:val="right"/>
              <w:ind w:right="145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776</w:t>
            </w:r>
          </w:p>
        </w:tc>
        <w:tc>
          <w:tcPr>
            <w:tcW w:w="100" w:type="dxa"/>
            <w:vAlign w:val="bottom"/>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840</w:t>
            </w:r>
          </w:p>
        </w:tc>
        <w:tc>
          <w:tcPr>
            <w:tcW w:w="0" w:type="dxa"/>
            <w:vAlign w:val="bottom"/>
          </w:tcPr>
          <w:p>
            <w:pPr>
              <w:spacing w:after="0"/>
              <w:rPr>
                <w:sz w:val="1"/>
                <w:szCs w:val="1"/>
                <w:color w:val="auto"/>
              </w:rPr>
            </w:pPr>
          </w:p>
        </w:tc>
      </w:tr>
      <w:tr>
        <w:trPr>
          <w:trHeight w:val="228"/>
        </w:trPr>
        <w:tc>
          <w:tcPr>
            <w:tcW w:w="6880" w:type="dxa"/>
            <w:vAlign w:val="bottom"/>
          </w:tcPr>
          <w:p>
            <w:pPr>
              <w:ind w:left="20"/>
              <w:spacing w:after="0"/>
              <w:rPr>
                <w:sz w:val="20"/>
                <w:szCs w:val="20"/>
                <w:color w:val="auto"/>
              </w:rPr>
            </w:pPr>
            <w:r>
              <w:rPr>
                <w:rFonts w:ascii="Arial" w:cs="Arial" w:eastAsia="Arial" w:hAnsi="Arial"/>
                <w:sz w:val="16"/>
                <w:szCs w:val="16"/>
                <w:color w:val="auto"/>
              </w:rPr>
              <w:t>Non-current</w:t>
            </w:r>
          </w:p>
        </w:tc>
        <w:tc>
          <w:tcPr>
            <w:tcW w:w="16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744</w:t>
            </w:r>
          </w:p>
        </w:tc>
        <w:tc>
          <w:tcPr>
            <w:tcW w:w="0" w:type="dxa"/>
            <w:vAlign w:val="bottom"/>
          </w:tcPr>
          <w:p>
            <w:pPr>
              <w:spacing w:after="0"/>
              <w:rPr>
                <w:sz w:val="1"/>
                <w:szCs w:val="1"/>
                <w:color w:val="auto"/>
              </w:rPr>
            </w:pPr>
          </w:p>
        </w:tc>
      </w:tr>
      <w:tr>
        <w:trPr>
          <w:trHeight w:val="29"/>
        </w:trPr>
        <w:tc>
          <w:tcPr>
            <w:tcW w:w="68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1640" w:type="dxa"/>
            <w:vAlign w:val="bottom"/>
            <w:tcBorders>
              <w:top w:val="single" w:sz="8" w:color="auto"/>
              <w:bottom w:val="single" w:sz="8" w:color="CCEEFF"/>
            </w:tcBorders>
            <w:shd w:val="clear" w:color="auto" w:fill="CCEEFF"/>
          </w:tcPr>
          <w:p>
            <w:pPr>
              <w:jc w:val="right"/>
              <w:ind w:right="1459"/>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1,531</w:t>
            </w:r>
          </w:p>
        </w:tc>
        <w:tc>
          <w:tcPr>
            <w:tcW w:w="100" w:type="dxa"/>
            <w:vAlign w:val="bottom"/>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1,584</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180" w:hanging="172"/>
        <w:spacing w:after="0" w:line="241" w:lineRule="auto"/>
        <w:tabs>
          <w:tab w:leader="none" w:pos="173" w:val="left"/>
        </w:tabs>
        <w:numPr>
          <w:ilvl w:val="0"/>
          <w:numId w:val="9"/>
        </w:numPr>
        <w:rPr>
          <w:rFonts w:ascii="Arial" w:cs="Arial" w:eastAsia="Arial" w:hAnsi="Arial"/>
          <w:sz w:val="20"/>
          <w:szCs w:val="20"/>
          <w:color w:val="auto"/>
          <w:vertAlign w:val="superscript"/>
        </w:rPr>
      </w:pPr>
      <w:r>
        <w:rPr>
          <w:rFonts w:ascii="Arial" w:cs="Arial" w:eastAsia="Arial" w:hAnsi="Arial"/>
          <w:sz w:val="15"/>
          <w:szCs w:val="15"/>
          <w:color w:val="auto"/>
        </w:rPr>
        <w:t>Includes $14 million and $18 million primarily due to the unbilled accounts receivable balance applied against the related contract liabilities for a certain customer's non-recurring engineering arrangement as of March 31, 2025 and December 31, 2024, respectively.</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Long Term Debt</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outlines the terms and carrying amounts of the Company’s debt: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Description</w:t>
            </w: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Currency</w:t>
            </w:r>
          </w:p>
        </w:tc>
        <w:tc>
          <w:tcPr>
            <w:tcW w:w="15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Nominal Interest Rate</w:t>
            </w: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5"/>
              </w:rPr>
              <w:t>Interest Payment</w:t>
            </w:r>
          </w:p>
        </w:tc>
        <w:tc>
          <w:tcPr>
            <w:tcW w:w="1460" w:type="dxa"/>
            <w:vAlign w:val="bottom"/>
          </w:tcPr>
          <w:p>
            <w:pPr>
              <w:jc w:val="center"/>
              <w:spacing w:after="0"/>
              <w:rPr>
                <w:sz w:val="20"/>
                <w:szCs w:val="20"/>
                <w:color w:val="auto"/>
              </w:rPr>
            </w:pPr>
            <w:r>
              <w:rPr>
                <w:rFonts w:ascii="Arial" w:cs="Arial" w:eastAsia="Arial" w:hAnsi="Arial"/>
                <w:sz w:val="13"/>
                <w:szCs w:val="13"/>
                <w:b w:val="1"/>
                <w:bCs w:val="1"/>
                <w:color w:val="auto"/>
                <w:w w:val="95"/>
              </w:rPr>
              <w:t>Principal Payment</w:t>
            </w: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2"/>
              </w:rPr>
              <w:t>Year</w:t>
            </w:r>
          </w:p>
        </w:tc>
        <w:tc>
          <w:tcPr>
            <w:tcW w:w="200" w:type="dxa"/>
            <w:vAlign w:val="bottom"/>
          </w:tcPr>
          <w:p>
            <w:pPr>
              <w:spacing w:after="0"/>
              <w:rPr>
                <w:sz w:val="14"/>
                <w:szCs w:val="14"/>
                <w:color w:val="auto"/>
              </w:rPr>
            </w:pPr>
          </w:p>
        </w:tc>
        <w:tc>
          <w:tcPr>
            <w:tcW w:w="1000" w:type="dxa"/>
            <w:vAlign w:val="bottom"/>
          </w:tcPr>
          <w:p>
            <w:pPr>
              <w:jc w:val="right"/>
              <w:ind w:right="277"/>
              <w:spacing w:after="0"/>
              <w:rPr>
                <w:sz w:val="20"/>
                <w:szCs w:val="20"/>
                <w:color w:val="auto"/>
              </w:rPr>
            </w:pPr>
            <w:r>
              <w:rPr>
                <w:rFonts w:ascii="Arial" w:cs="Arial" w:eastAsia="Arial" w:hAnsi="Arial"/>
                <w:sz w:val="13"/>
                <w:szCs w:val="13"/>
                <w:b w:val="1"/>
                <w:bCs w:val="1"/>
                <w:color w:val="auto"/>
              </w:rPr>
              <w:t>March 31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157"/>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72"/>
        </w:trPr>
        <w:tc>
          <w:tcPr>
            <w:tcW w:w="252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2"/>
              </w:rPr>
              <w:t>Terms</w:t>
            </w:r>
          </w:p>
        </w:tc>
        <w:tc>
          <w:tcPr>
            <w:tcW w:w="1460" w:type="dxa"/>
            <w:vAlign w:val="bottom"/>
          </w:tcPr>
          <w:p>
            <w:pPr>
              <w:jc w:val="center"/>
              <w:spacing w:after="0"/>
              <w:rPr>
                <w:sz w:val="20"/>
                <w:szCs w:val="20"/>
                <w:color w:val="auto"/>
              </w:rPr>
            </w:pPr>
            <w:r>
              <w:rPr>
                <w:rFonts w:ascii="Arial" w:cs="Arial" w:eastAsia="Arial" w:hAnsi="Arial"/>
                <w:sz w:val="13"/>
                <w:szCs w:val="13"/>
                <w:b w:val="1"/>
                <w:bCs w:val="1"/>
                <w:color w:val="auto"/>
                <w:w w:val="92"/>
              </w:rPr>
              <w:t>Terms</w:t>
            </w: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6"/>
              </w:rPr>
              <w:t>of Maturity</w:t>
            </w:r>
          </w:p>
        </w:tc>
        <w:tc>
          <w:tcPr>
            <w:tcW w:w="200" w:type="dxa"/>
            <w:vAlign w:val="bottom"/>
          </w:tcPr>
          <w:p>
            <w:pPr>
              <w:spacing w:after="0"/>
              <w:rPr>
                <w:sz w:val="14"/>
                <w:szCs w:val="14"/>
                <w:color w:val="auto"/>
              </w:rPr>
            </w:pPr>
          </w:p>
        </w:tc>
        <w:tc>
          <w:tcPr>
            <w:tcW w:w="1000" w:type="dxa"/>
            <w:vAlign w:val="bottom"/>
          </w:tcPr>
          <w:p>
            <w:pPr>
              <w:jc w:val="right"/>
              <w:ind w:right="397"/>
              <w:spacing w:after="0"/>
              <w:rPr>
                <w:sz w:val="20"/>
                <w:szCs w:val="20"/>
                <w:color w:val="auto"/>
              </w:rPr>
            </w:pPr>
            <w:r>
              <w:rPr>
                <w:rFonts w:ascii="Arial" w:cs="Arial" w:eastAsia="Arial" w:hAnsi="Arial"/>
                <w:sz w:val="13"/>
                <w:szCs w:val="13"/>
                <w:b w:val="1"/>
                <w:bCs w:val="1"/>
                <w:color w:val="auto"/>
              </w:rPr>
              <w:t>2025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397"/>
              <w:spacing w:after="0"/>
              <w:rPr>
                <w:sz w:val="20"/>
                <w:szCs w:val="20"/>
                <w:color w:val="auto"/>
              </w:rPr>
            </w:pPr>
            <w:r>
              <w:rPr>
                <w:rFonts w:ascii="Arial" w:cs="Arial" w:eastAsia="Arial" w:hAnsi="Arial"/>
                <w:sz w:val="13"/>
                <w:szCs w:val="13"/>
                <w:b w:val="1"/>
                <w:bCs w:val="1"/>
                <w:color w:val="auto"/>
              </w:rPr>
              <w:t>2024</w:t>
            </w:r>
          </w:p>
        </w:tc>
        <w:tc>
          <w:tcPr>
            <w:tcW w:w="0" w:type="dxa"/>
            <w:vAlign w:val="bottom"/>
          </w:tcPr>
          <w:p>
            <w:pPr>
              <w:spacing w:after="0"/>
              <w:rPr>
                <w:sz w:val="1"/>
                <w:szCs w:val="1"/>
                <w:color w:val="auto"/>
              </w:rPr>
            </w:pPr>
          </w:p>
        </w:tc>
      </w:tr>
      <w:tr>
        <w:trPr>
          <w:trHeight w:val="22"/>
        </w:trPr>
        <w:tc>
          <w:tcPr>
            <w:tcW w:w="2520" w:type="dxa"/>
            <w:vAlign w:val="bottom"/>
            <w:tcBorders>
              <w:bottom w:val="single" w:sz="8" w:color="auto"/>
            </w:tcBorders>
            <w:gridSpan w:val="2"/>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USD Term Loan A</w:t>
            </w:r>
          </w:p>
        </w:tc>
        <w:tc>
          <w:tcPr>
            <w:tcW w:w="900" w:type="dxa"/>
            <w:vAlign w:val="bottom"/>
            <w:tcBorders>
              <w:bottom w:val="single" w:sz="8" w:color="CCEEFF"/>
            </w:tcBorders>
            <w:shd w:val="clear" w:color="auto" w:fill="CCEEFF"/>
          </w:tcPr>
          <w:p>
            <w:pPr>
              <w:jc w:val="center"/>
              <w:ind w:left="17"/>
              <w:spacing w:after="0"/>
              <w:rPr>
                <w:sz w:val="20"/>
                <w:szCs w:val="20"/>
                <w:color w:val="auto"/>
              </w:rPr>
            </w:pPr>
            <w:r>
              <w:rPr>
                <w:rFonts w:ascii="Arial" w:cs="Arial" w:eastAsia="Arial" w:hAnsi="Arial"/>
                <w:sz w:val="13"/>
                <w:szCs w:val="13"/>
                <w:color w:val="auto"/>
                <w:w w:val="94"/>
              </w:rPr>
              <w:t>USD</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5"/>
              </w:rPr>
              <w:t>SOFR + 2.90%</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7"/>
              </w:rPr>
              <w:t>Quarterly</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6"/>
              </w:rPr>
              <w:t>Semi-Annual</w:t>
            </w: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6"/>
              </w:rPr>
              <w:t>2025</w:t>
            </w: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586</w:t>
            </w:r>
          </w:p>
        </w:tc>
        <w:tc>
          <w:tcPr>
            <w:tcW w:w="0" w:type="dxa"/>
            <w:vAlign w:val="bottom"/>
          </w:tcPr>
          <w:p>
            <w:pPr>
              <w:spacing w:after="0"/>
              <w:rPr>
                <w:sz w:val="1"/>
                <w:szCs w:val="1"/>
                <w:color w:val="auto"/>
              </w:rPr>
            </w:pPr>
          </w:p>
        </w:tc>
      </w:tr>
      <w:tr>
        <w:trPr>
          <w:trHeight w:val="175"/>
        </w:trPr>
        <w:tc>
          <w:tcPr>
            <w:tcW w:w="2520" w:type="dxa"/>
            <w:vAlign w:val="bottom"/>
            <w:gridSpan w:val="2"/>
          </w:tcPr>
          <w:p>
            <w:pPr>
              <w:ind w:left="20"/>
              <w:spacing w:after="0"/>
              <w:rPr>
                <w:sz w:val="20"/>
                <w:szCs w:val="20"/>
                <w:color w:val="auto"/>
              </w:rPr>
            </w:pPr>
            <w:r>
              <w:rPr>
                <w:rFonts w:ascii="Arial" w:cs="Arial" w:eastAsia="Arial" w:hAnsi="Arial"/>
                <w:sz w:val="13"/>
                <w:szCs w:val="13"/>
                <w:color w:val="auto"/>
              </w:rPr>
              <w:t>EUR Term Loan A</w:t>
            </w:r>
          </w:p>
        </w:tc>
        <w:tc>
          <w:tcPr>
            <w:tcW w:w="900" w:type="dxa"/>
            <w:vAlign w:val="bottom"/>
          </w:tcPr>
          <w:p>
            <w:pPr>
              <w:jc w:val="center"/>
              <w:ind w:left="17"/>
              <w:spacing w:after="0"/>
              <w:rPr>
                <w:sz w:val="20"/>
                <w:szCs w:val="20"/>
                <w:color w:val="auto"/>
              </w:rPr>
            </w:pPr>
            <w:r>
              <w:rPr>
                <w:rFonts w:ascii="Arial" w:cs="Arial" w:eastAsia="Arial" w:hAnsi="Arial"/>
                <w:sz w:val="13"/>
                <w:szCs w:val="13"/>
                <w:color w:val="auto"/>
                <w:w w:val="94"/>
              </w:rPr>
              <w:t>EUR</w:t>
            </w:r>
          </w:p>
        </w:tc>
        <w:tc>
          <w:tcPr>
            <w:tcW w:w="1540" w:type="dxa"/>
            <w:vAlign w:val="bottom"/>
          </w:tcPr>
          <w:p>
            <w:pPr>
              <w:jc w:val="center"/>
              <w:spacing w:after="0"/>
              <w:rPr>
                <w:sz w:val="20"/>
                <w:szCs w:val="20"/>
                <w:color w:val="auto"/>
              </w:rPr>
            </w:pPr>
            <w:r>
              <w:rPr>
                <w:rFonts w:ascii="Arial" w:cs="Arial" w:eastAsia="Arial" w:hAnsi="Arial"/>
                <w:sz w:val="13"/>
                <w:szCs w:val="13"/>
                <w:color w:val="auto"/>
                <w:w w:val="97"/>
              </w:rPr>
              <w:t>EURIBOR + 2.60%</w:t>
            </w:r>
          </w:p>
        </w:tc>
        <w:tc>
          <w:tcPr>
            <w:tcW w:w="1360" w:type="dxa"/>
            <w:vAlign w:val="bottom"/>
          </w:tcPr>
          <w:p>
            <w:pPr>
              <w:jc w:val="center"/>
              <w:spacing w:after="0"/>
              <w:rPr>
                <w:sz w:val="20"/>
                <w:szCs w:val="20"/>
                <w:color w:val="auto"/>
              </w:rPr>
            </w:pPr>
            <w:r>
              <w:rPr>
                <w:rFonts w:ascii="Arial" w:cs="Arial" w:eastAsia="Arial" w:hAnsi="Arial"/>
                <w:sz w:val="13"/>
                <w:szCs w:val="13"/>
                <w:color w:val="auto"/>
                <w:w w:val="97"/>
              </w:rPr>
              <w:t>Quarterly</w:t>
            </w:r>
          </w:p>
        </w:tc>
        <w:tc>
          <w:tcPr>
            <w:tcW w:w="1460" w:type="dxa"/>
            <w:vAlign w:val="bottom"/>
          </w:tcPr>
          <w:p>
            <w:pPr>
              <w:jc w:val="center"/>
              <w:spacing w:after="0"/>
              <w:rPr>
                <w:sz w:val="20"/>
                <w:szCs w:val="20"/>
                <w:color w:val="auto"/>
              </w:rPr>
            </w:pPr>
            <w:r>
              <w:rPr>
                <w:rFonts w:ascii="Arial" w:cs="Arial" w:eastAsia="Arial" w:hAnsi="Arial"/>
                <w:sz w:val="13"/>
                <w:szCs w:val="13"/>
                <w:color w:val="auto"/>
                <w:w w:val="96"/>
              </w:rPr>
              <w:t>Semi-Annual</w:t>
            </w:r>
          </w:p>
        </w:tc>
        <w:tc>
          <w:tcPr>
            <w:tcW w:w="960" w:type="dxa"/>
            <w:vAlign w:val="bottom"/>
          </w:tcPr>
          <w:p>
            <w:pPr>
              <w:jc w:val="center"/>
              <w:spacing w:after="0"/>
              <w:rPr>
                <w:sz w:val="20"/>
                <w:szCs w:val="20"/>
                <w:color w:val="auto"/>
              </w:rPr>
            </w:pPr>
            <w:r>
              <w:rPr>
                <w:rFonts w:ascii="Arial" w:cs="Arial" w:eastAsia="Arial" w:hAnsi="Arial"/>
                <w:sz w:val="13"/>
                <w:szCs w:val="13"/>
                <w:color w:val="auto"/>
                <w:w w:val="96"/>
              </w:rPr>
              <w:t>2025</w:t>
            </w:r>
          </w:p>
        </w:tc>
        <w:tc>
          <w:tcPr>
            <w:tcW w:w="200" w:type="dxa"/>
            <w:vAlign w:val="bottom"/>
          </w:tcPr>
          <w:p>
            <w:pPr>
              <w:spacing w:after="0"/>
              <w:rPr>
                <w:sz w:val="15"/>
                <w:szCs w:val="15"/>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41"/>
        </w:trPr>
        <w:tc>
          <w:tcPr>
            <w:tcW w:w="3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w w:val="96"/>
              </w:rPr>
              <w:t>2019</w:t>
            </w:r>
          </w:p>
        </w:tc>
        <w:tc>
          <w:tcPr>
            <w:tcW w:w="2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USD Dresden Equipment Financing</w:t>
            </w:r>
          </w:p>
        </w:tc>
        <w:tc>
          <w:tcPr>
            <w:tcW w:w="900" w:type="dxa"/>
            <w:vAlign w:val="bottom"/>
            <w:tcBorders>
              <w:bottom w:val="single" w:sz="8" w:color="CCEEFF"/>
            </w:tcBorders>
            <w:shd w:val="clear" w:color="auto" w:fill="CCEEFF"/>
          </w:tcPr>
          <w:p>
            <w:pPr>
              <w:jc w:val="center"/>
              <w:ind w:left="17"/>
              <w:spacing w:after="0"/>
              <w:rPr>
                <w:sz w:val="20"/>
                <w:szCs w:val="20"/>
                <w:color w:val="auto"/>
              </w:rPr>
            </w:pPr>
            <w:r>
              <w:rPr>
                <w:rFonts w:ascii="Arial" w:cs="Arial" w:eastAsia="Arial" w:hAnsi="Arial"/>
                <w:sz w:val="13"/>
                <w:szCs w:val="13"/>
                <w:color w:val="auto"/>
                <w:w w:val="94"/>
              </w:rPr>
              <w:t>USD</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5"/>
              </w:rPr>
              <w:t>SOFR + 2.25%</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6"/>
              </w:rPr>
              <w:t>Semi-Annual</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6"/>
              </w:rPr>
              <w:t>Semi-Annual</w:t>
            </w: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6"/>
              </w:rPr>
              <w:t>2026</w:t>
            </w: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36</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75"/>
        </w:trPr>
        <w:tc>
          <w:tcPr>
            <w:tcW w:w="320" w:type="dxa"/>
            <w:vAlign w:val="bottom"/>
          </w:tcPr>
          <w:p>
            <w:pPr>
              <w:ind w:left="20"/>
              <w:spacing w:after="0"/>
              <w:rPr>
                <w:sz w:val="20"/>
                <w:szCs w:val="20"/>
                <w:color w:val="auto"/>
              </w:rPr>
            </w:pPr>
            <w:r>
              <w:rPr>
                <w:rFonts w:ascii="Arial" w:cs="Arial" w:eastAsia="Arial" w:hAnsi="Arial"/>
                <w:sz w:val="13"/>
                <w:szCs w:val="13"/>
                <w:color w:val="auto"/>
                <w:w w:val="96"/>
              </w:rPr>
              <w:t>2020</w:t>
            </w:r>
          </w:p>
        </w:tc>
        <w:tc>
          <w:tcPr>
            <w:tcW w:w="2200" w:type="dxa"/>
            <w:vAlign w:val="bottom"/>
          </w:tcPr>
          <w:p>
            <w:pPr>
              <w:ind w:left="20"/>
              <w:spacing w:after="0"/>
              <w:rPr>
                <w:sz w:val="20"/>
                <w:szCs w:val="20"/>
                <w:color w:val="auto"/>
              </w:rPr>
            </w:pPr>
            <w:r>
              <w:rPr>
                <w:rFonts w:ascii="Arial" w:cs="Arial" w:eastAsia="Arial" w:hAnsi="Arial"/>
                <w:sz w:val="13"/>
                <w:szCs w:val="13"/>
                <w:color w:val="auto"/>
              </w:rPr>
              <w:t>USD Equipment Financing</w:t>
            </w:r>
          </w:p>
        </w:tc>
        <w:tc>
          <w:tcPr>
            <w:tcW w:w="900" w:type="dxa"/>
            <w:vAlign w:val="bottom"/>
          </w:tcPr>
          <w:p>
            <w:pPr>
              <w:jc w:val="center"/>
              <w:ind w:left="17"/>
              <w:spacing w:after="0"/>
              <w:rPr>
                <w:sz w:val="20"/>
                <w:szCs w:val="20"/>
                <w:color w:val="auto"/>
              </w:rPr>
            </w:pPr>
            <w:r>
              <w:rPr>
                <w:rFonts w:ascii="Arial" w:cs="Arial" w:eastAsia="Arial" w:hAnsi="Arial"/>
                <w:sz w:val="13"/>
                <w:szCs w:val="13"/>
                <w:color w:val="auto"/>
                <w:w w:val="94"/>
              </w:rPr>
              <w:t>USD</w:t>
            </w:r>
          </w:p>
        </w:tc>
        <w:tc>
          <w:tcPr>
            <w:tcW w:w="1540" w:type="dxa"/>
            <w:vAlign w:val="bottom"/>
          </w:tcPr>
          <w:p>
            <w:pPr>
              <w:jc w:val="center"/>
              <w:spacing w:after="0"/>
              <w:rPr>
                <w:sz w:val="20"/>
                <w:szCs w:val="20"/>
                <w:color w:val="auto"/>
              </w:rPr>
            </w:pPr>
            <w:r>
              <w:rPr>
                <w:rFonts w:ascii="Arial" w:cs="Arial" w:eastAsia="Arial" w:hAnsi="Arial"/>
                <w:sz w:val="13"/>
                <w:szCs w:val="13"/>
                <w:color w:val="auto"/>
                <w:w w:val="95"/>
              </w:rPr>
              <w:t>SOFR + 1.90%</w:t>
            </w:r>
          </w:p>
        </w:tc>
        <w:tc>
          <w:tcPr>
            <w:tcW w:w="1360" w:type="dxa"/>
            <w:vAlign w:val="bottom"/>
          </w:tcPr>
          <w:p>
            <w:pPr>
              <w:jc w:val="center"/>
              <w:spacing w:after="0"/>
              <w:rPr>
                <w:sz w:val="20"/>
                <w:szCs w:val="20"/>
                <w:color w:val="auto"/>
              </w:rPr>
            </w:pPr>
            <w:r>
              <w:rPr>
                <w:rFonts w:ascii="Arial" w:cs="Arial" w:eastAsia="Arial" w:hAnsi="Arial"/>
                <w:sz w:val="13"/>
                <w:szCs w:val="13"/>
                <w:color w:val="auto"/>
                <w:w w:val="97"/>
              </w:rPr>
              <w:t>Quarterly</w:t>
            </w:r>
          </w:p>
        </w:tc>
        <w:tc>
          <w:tcPr>
            <w:tcW w:w="1460" w:type="dxa"/>
            <w:vAlign w:val="bottom"/>
          </w:tcPr>
          <w:p>
            <w:pPr>
              <w:jc w:val="center"/>
              <w:spacing w:after="0"/>
              <w:rPr>
                <w:sz w:val="20"/>
                <w:szCs w:val="20"/>
                <w:color w:val="auto"/>
              </w:rPr>
            </w:pPr>
            <w:r>
              <w:rPr>
                <w:rFonts w:ascii="Arial" w:cs="Arial" w:eastAsia="Arial" w:hAnsi="Arial"/>
                <w:sz w:val="13"/>
                <w:szCs w:val="13"/>
                <w:color w:val="auto"/>
                <w:w w:val="97"/>
              </w:rPr>
              <w:t>Quarterly</w:t>
            </w:r>
          </w:p>
        </w:tc>
        <w:tc>
          <w:tcPr>
            <w:tcW w:w="960" w:type="dxa"/>
            <w:vAlign w:val="bottom"/>
          </w:tcPr>
          <w:p>
            <w:pPr>
              <w:jc w:val="center"/>
              <w:spacing w:after="0"/>
              <w:rPr>
                <w:sz w:val="20"/>
                <w:szCs w:val="20"/>
                <w:color w:val="auto"/>
              </w:rPr>
            </w:pPr>
            <w:r>
              <w:rPr>
                <w:rFonts w:ascii="Arial" w:cs="Arial" w:eastAsia="Arial" w:hAnsi="Arial"/>
                <w:sz w:val="13"/>
                <w:szCs w:val="13"/>
                <w:color w:val="auto"/>
                <w:w w:val="96"/>
              </w:rPr>
              <w:t>2025</w:t>
            </w:r>
          </w:p>
        </w:tc>
        <w:tc>
          <w:tcPr>
            <w:tcW w:w="200" w:type="dxa"/>
            <w:vAlign w:val="bottom"/>
          </w:tcPr>
          <w:p>
            <w:pPr>
              <w:spacing w:after="0"/>
              <w:rPr>
                <w:sz w:val="15"/>
                <w:szCs w:val="15"/>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41"/>
        </w:trPr>
        <w:tc>
          <w:tcPr>
            <w:tcW w:w="3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w w:val="96"/>
              </w:rPr>
              <w:t>2019</w:t>
            </w:r>
          </w:p>
        </w:tc>
        <w:tc>
          <w:tcPr>
            <w:tcW w:w="2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EUR Dresden Equipment Financing</w:t>
            </w:r>
          </w:p>
        </w:tc>
        <w:tc>
          <w:tcPr>
            <w:tcW w:w="900" w:type="dxa"/>
            <w:vAlign w:val="bottom"/>
            <w:tcBorders>
              <w:bottom w:val="single" w:sz="8" w:color="CCEEFF"/>
            </w:tcBorders>
            <w:shd w:val="clear" w:color="auto" w:fill="CCEEFF"/>
          </w:tcPr>
          <w:p>
            <w:pPr>
              <w:jc w:val="center"/>
              <w:ind w:left="17"/>
              <w:spacing w:after="0"/>
              <w:rPr>
                <w:sz w:val="20"/>
                <w:szCs w:val="20"/>
                <w:color w:val="auto"/>
              </w:rPr>
            </w:pPr>
            <w:r>
              <w:rPr>
                <w:rFonts w:ascii="Arial" w:cs="Arial" w:eastAsia="Arial" w:hAnsi="Arial"/>
                <w:sz w:val="13"/>
                <w:szCs w:val="13"/>
                <w:color w:val="auto"/>
                <w:w w:val="94"/>
              </w:rPr>
              <w:t>EUR</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7"/>
              </w:rPr>
              <w:t>EURIBOR + 2.25%</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6"/>
              </w:rPr>
              <w:t>Semi-Annual</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6"/>
              </w:rPr>
              <w:t>Semi-Annual</w:t>
            </w: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6"/>
              </w:rPr>
              <w:t>2026</w:t>
            </w: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15</w:t>
            </w:r>
          </w:p>
        </w:tc>
        <w:tc>
          <w:tcPr>
            <w:tcW w:w="8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75"/>
        </w:trPr>
        <w:tc>
          <w:tcPr>
            <w:tcW w:w="2520" w:type="dxa"/>
            <w:vAlign w:val="bottom"/>
            <w:gridSpan w:val="2"/>
          </w:tcPr>
          <w:p>
            <w:pPr>
              <w:ind w:left="20"/>
              <w:spacing w:after="0"/>
              <w:rPr>
                <w:sz w:val="20"/>
                <w:szCs w:val="20"/>
                <w:color w:val="auto"/>
              </w:rPr>
            </w:pPr>
            <w:r>
              <w:rPr>
                <w:rFonts w:ascii="Arial" w:cs="Arial" w:eastAsia="Arial" w:hAnsi="Arial"/>
                <w:sz w:val="13"/>
                <w:szCs w:val="13"/>
                <w:color w:val="auto"/>
              </w:rPr>
              <w:t>Various</w:t>
            </w:r>
          </w:p>
        </w:tc>
        <w:tc>
          <w:tcPr>
            <w:tcW w:w="900" w:type="dxa"/>
            <w:vAlign w:val="bottom"/>
          </w:tcPr>
          <w:p>
            <w:pPr>
              <w:jc w:val="center"/>
              <w:spacing w:after="0"/>
              <w:rPr>
                <w:sz w:val="20"/>
                <w:szCs w:val="20"/>
                <w:color w:val="auto"/>
              </w:rPr>
            </w:pPr>
            <w:r>
              <w:rPr>
                <w:rFonts w:ascii="Arial" w:cs="Arial" w:eastAsia="Arial" w:hAnsi="Arial"/>
                <w:sz w:val="13"/>
                <w:szCs w:val="13"/>
                <w:color w:val="auto"/>
                <w:w w:val="96"/>
              </w:rPr>
              <w:t>EUR, USD</w:t>
            </w:r>
          </w:p>
        </w:tc>
        <w:tc>
          <w:tcPr>
            <w:tcW w:w="1540" w:type="dxa"/>
            <w:vAlign w:val="bottom"/>
          </w:tcPr>
          <w:p>
            <w:pPr>
              <w:jc w:val="center"/>
              <w:spacing w:after="0"/>
              <w:rPr>
                <w:sz w:val="20"/>
                <w:szCs w:val="20"/>
                <w:color w:val="auto"/>
              </w:rPr>
            </w:pPr>
            <w:r>
              <w:rPr>
                <w:rFonts w:ascii="Arial" w:cs="Arial" w:eastAsia="Arial" w:hAnsi="Arial"/>
                <w:sz w:val="13"/>
                <w:szCs w:val="13"/>
                <w:color w:val="auto"/>
                <w:w w:val="90"/>
              </w:rPr>
              <w:t>Various</w:t>
            </w:r>
          </w:p>
        </w:tc>
        <w:tc>
          <w:tcPr>
            <w:tcW w:w="13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auto"/>
                <w:w w:val="96"/>
              </w:rPr>
              <w:t>2025-2031</w:t>
            </w:r>
          </w:p>
        </w:tc>
        <w:tc>
          <w:tcPr>
            <w:tcW w:w="200" w:type="dxa"/>
            <w:vAlign w:val="bottom"/>
          </w:tcPr>
          <w:p>
            <w:pPr>
              <w:spacing w:after="0"/>
              <w:rPr>
                <w:sz w:val="15"/>
                <w:szCs w:val="15"/>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41"/>
        </w:trPr>
        <w:tc>
          <w:tcPr>
            <w:tcW w:w="2520" w:type="dxa"/>
            <w:vAlign w:val="bottom"/>
            <w:gridSpan w:val="2"/>
          </w:tcPr>
          <w:p>
            <w:pPr>
              <w:spacing w:after="0"/>
              <w:rPr>
                <w:sz w:val="3"/>
                <w:szCs w:val="3"/>
                <w:color w:val="auto"/>
              </w:rPr>
            </w:pPr>
          </w:p>
        </w:tc>
        <w:tc>
          <w:tcPr>
            <w:tcW w:w="9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40" w:type="dxa"/>
            <w:vAlign w:val="bottom"/>
            <w:gridSpan w:val="2"/>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5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Current total</w:t>
            </w: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154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CCEEFF"/>
              <w:bottom w:val="single" w:sz="8" w:color="CCEEFF"/>
            </w:tcBorders>
            <w:shd w:val="clear" w:color="auto" w:fill="CCEEFF"/>
          </w:tcPr>
          <w:p>
            <w:pPr>
              <w:spacing w:after="0"/>
              <w:rPr>
                <w:sz w:val="18"/>
                <w:szCs w:val="18"/>
                <w:color w:val="auto"/>
              </w:rPr>
            </w:pPr>
          </w:p>
        </w:tc>
        <w:tc>
          <w:tcPr>
            <w:tcW w:w="146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w:t>
            </w:r>
          </w:p>
        </w:tc>
        <w:tc>
          <w:tcPr>
            <w:tcW w:w="10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57</w:t>
            </w:r>
          </w:p>
        </w:tc>
        <w:tc>
          <w:tcPr>
            <w:tcW w:w="80" w:type="dxa"/>
            <w:vAlign w:val="bottom"/>
          </w:tcPr>
          <w:p>
            <w:pPr>
              <w:spacing w:after="0"/>
              <w:rPr>
                <w:sz w:val="18"/>
                <w:szCs w:val="18"/>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753</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w w:val="96"/>
              </w:rPr>
              <w:t>2019</w:t>
            </w:r>
          </w:p>
        </w:tc>
        <w:tc>
          <w:tcPr>
            <w:tcW w:w="2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USD Dresden Equipment Financing</w:t>
            </w:r>
          </w:p>
        </w:tc>
        <w:tc>
          <w:tcPr>
            <w:tcW w:w="900" w:type="dxa"/>
            <w:vAlign w:val="bottom"/>
            <w:tcBorders>
              <w:bottom w:val="single" w:sz="8" w:color="CCEEFF"/>
            </w:tcBorders>
            <w:shd w:val="clear" w:color="auto" w:fill="CCEEFF"/>
          </w:tcPr>
          <w:p>
            <w:pPr>
              <w:jc w:val="center"/>
              <w:ind w:left="17"/>
              <w:spacing w:after="0"/>
              <w:rPr>
                <w:sz w:val="20"/>
                <w:szCs w:val="20"/>
                <w:color w:val="auto"/>
              </w:rPr>
            </w:pPr>
            <w:r>
              <w:rPr>
                <w:rFonts w:ascii="Arial" w:cs="Arial" w:eastAsia="Arial" w:hAnsi="Arial"/>
                <w:sz w:val="13"/>
                <w:szCs w:val="13"/>
                <w:color w:val="auto"/>
                <w:w w:val="94"/>
              </w:rPr>
              <w:t>USD</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5"/>
              </w:rPr>
              <w:t>SOFR + 2.25%</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6"/>
              </w:rPr>
              <w:t>Semi-Annual</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6"/>
              </w:rPr>
              <w:t>Semi-Annual</w:t>
            </w: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6"/>
              </w:rPr>
              <w:t>2026</w:t>
            </w: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36</w:t>
            </w:r>
          </w:p>
        </w:tc>
        <w:tc>
          <w:tcPr>
            <w:tcW w:w="8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75"/>
        </w:trPr>
        <w:tc>
          <w:tcPr>
            <w:tcW w:w="320" w:type="dxa"/>
            <w:vAlign w:val="bottom"/>
          </w:tcPr>
          <w:p>
            <w:pPr>
              <w:ind w:left="20"/>
              <w:spacing w:after="0"/>
              <w:rPr>
                <w:sz w:val="20"/>
                <w:szCs w:val="20"/>
                <w:color w:val="auto"/>
              </w:rPr>
            </w:pPr>
            <w:r>
              <w:rPr>
                <w:rFonts w:ascii="Arial" w:cs="Arial" w:eastAsia="Arial" w:hAnsi="Arial"/>
                <w:sz w:val="13"/>
                <w:szCs w:val="13"/>
                <w:color w:val="auto"/>
                <w:w w:val="96"/>
              </w:rPr>
              <w:t>2019</w:t>
            </w:r>
          </w:p>
        </w:tc>
        <w:tc>
          <w:tcPr>
            <w:tcW w:w="2200" w:type="dxa"/>
            <w:vAlign w:val="bottom"/>
          </w:tcPr>
          <w:p>
            <w:pPr>
              <w:ind w:left="20"/>
              <w:spacing w:after="0"/>
              <w:rPr>
                <w:sz w:val="20"/>
                <w:szCs w:val="20"/>
                <w:color w:val="auto"/>
              </w:rPr>
            </w:pPr>
            <w:r>
              <w:rPr>
                <w:rFonts w:ascii="Arial" w:cs="Arial" w:eastAsia="Arial" w:hAnsi="Arial"/>
                <w:sz w:val="13"/>
                <w:szCs w:val="13"/>
                <w:color w:val="auto"/>
              </w:rPr>
              <w:t>EUR Dresden Equipment Financing</w:t>
            </w:r>
          </w:p>
        </w:tc>
        <w:tc>
          <w:tcPr>
            <w:tcW w:w="900" w:type="dxa"/>
            <w:vAlign w:val="bottom"/>
          </w:tcPr>
          <w:p>
            <w:pPr>
              <w:jc w:val="center"/>
              <w:ind w:left="17"/>
              <w:spacing w:after="0"/>
              <w:rPr>
                <w:sz w:val="20"/>
                <w:szCs w:val="20"/>
                <w:color w:val="auto"/>
              </w:rPr>
            </w:pPr>
            <w:r>
              <w:rPr>
                <w:rFonts w:ascii="Arial" w:cs="Arial" w:eastAsia="Arial" w:hAnsi="Arial"/>
                <w:sz w:val="13"/>
                <w:szCs w:val="13"/>
                <w:color w:val="auto"/>
                <w:w w:val="94"/>
              </w:rPr>
              <w:t>EUR</w:t>
            </w:r>
          </w:p>
        </w:tc>
        <w:tc>
          <w:tcPr>
            <w:tcW w:w="1540" w:type="dxa"/>
            <w:vAlign w:val="bottom"/>
          </w:tcPr>
          <w:p>
            <w:pPr>
              <w:jc w:val="center"/>
              <w:spacing w:after="0"/>
              <w:rPr>
                <w:sz w:val="20"/>
                <w:szCs w:val="20"/>
                <w:color w:val="auto"/>
              </w:rPr>
            </w:pPr>
            <w:r>
              <w:rPr>
                <w:rFonts w:ascii="Arial" w:cs="Arial" w:eastAsia="Arial" w:hAnsi="Arial"/>
                <w:sz w:val="13"/>
                <w:szCs w:val="13"/>
                <w:color w:val="auto"/>
                <w:w w:val="97"/>
              </w:rPr>
              <w:t>EURIBOR + 2.25%</w:t>
            </w:r>
          </w:p>
        </w:tc>
        <w:tc>
          <w:tcPr>
            <w:tcW w:w="1360" w:type="dxa"/>
            <w:vAlign w:val="bottom"/>
          </w:tcPr>
          <w:p>
            <w:pPr>
              <w:jc w:val="center"/>
              <w:spacing w:after="0"/>
              <w:rPr>
                <w:sz w:val="20"/>
                <w:szCs w:val="20"/>
                <w:color w:val="auto"/>
              </w:rPr>
            </w:pPr>
            <w:r>
              <w:rPr>
                <w:rFonts w:ascii="Arial" w:cs="Arial" w:eastAsia="Arial" w:hAnsi="Arial"/>
                <w:sz w:val="13"/>
                <w:szCs w:val="13"/>
                <w:color w:val="auto"/>
                <w:w w:val="96"/>
              </w:rPr>
              <w:t>Semi-Annual</w:t>
            </w:r>
          </w:p>
        </w:tc>
        <w:tc>
          <w:tcPr>
            <w:tcW w:w="1460" w:type="dxa"/>
            <w:vAlign w:val="bottom"/>
          </w:tcPr>
          <w:p>
            <w:pPr>
              <w:jc w:val="center"/>
              <w:spacing w:after="0"/>
              <w:rPr>
                <w:sz w:val="20"/>
                <w:szCs w:val="20"/>
                <w:color w:val="auto"/>
              </w:rPr>
            </w:pPr>
            <w:r>
              <w:rPr>
                <w:rFonts w:ascii="Arial" w:cs="Arial" w:eastAsia="Arial" w:hAnsi="Arial"/>
                <w:sz w:val="13"/>
                <w:szCs w:val="13"/>
                <w:color w:val="auto"/>
                <w:w w:val="96"/>
              </w:rPr>
              <w:t>Semi-Annual</w:t>
            </w:r>
          </w:p>
        </w:tc>
        <w:tc>
          <w:tcPr>
            <w:tcW w:w="960" w:type="dxa"/>
            <w:vAlign w:val="bottom"/>
          </w:tcPr>
          <w:p>
            <w:pPr>
              <w:jc w:val="center"/>
              <w:spacing w:after="0"/>
              <w:rPr>
                <w:sz w:val="20"/>
                <w:szCs w:val="20"/>
                <w:color w:val="auto"/>
              </w:rPr>
            </w:pPr>
            <w:r>
              <w:rPr>
                <w:rFonts w:ascii="Arial" w:cs="Arial" w:eastAsia="Arial" w:hAnsi="Arial"/>
                <w:sz w:val="13"/>
                <w:szCs w:val="13"/>
                <w:color w:val="auto"/>
                <w:w w:val="96"/>
              </w:rPr>
              <w:t>2026</w:t>
            </w:r>
          </w:p>
        </w:tc>
        <w:tc>
          <w:tcPr>
            <w:tcW w:w="200" w:type="dxa"/>
            <w:vAlign w:val="bottom"/>
          </w:tcPr>
          <w:p>
            <w:pPr>
              <w:spacing w:after="0"/>
              <w:rPr>
                <w:sz w:val="15"/>
                <w:szCs w:val="15"/>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15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41"/>
        </w:trPr>
        <w:tc>
          <w:tcPr>
            <w:tcW w:w="2520" w:type="dxa"/>
            <w:vAlign w:val="bottom"/>
            <w:gridSpan w:val="2"/>
          </w:tcPr>
          <w:p>
            <w:pPr>
              <w:spacing w:after="0"/>
              <w:rPr>
                <w:sz w:val="3"/>
                <w:szCs w:val="3"/>
                <w:color w:val="auto"/>
              </w:rPr>
            </w:pPr>
          </w:p>
        </w:tc>
        <w:tc>
          <w:tcPr>
            <w:tcW w:w="9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2021 SGD EDB Loan</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9"/>
              </w:rPr>
              <w:t>SGD</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7"/>
              </w:rPr>
              <w:t>1.40%</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6"/>
              </w:rPr>
              <w:t>Semi-Annual</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6"/>
              </w:rPr>
              <w:t>Semi-Annual</w:t>
            </w: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6"/>
              </w:rPr>
              <w:t>2041</w:t>
            </w: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991</w:t>
            </w:r>
          </w:p>
        </w:tc>
        <w:tc>
          <w:tcPr>
            <w:tcW w:w="8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974</w:t>
            </w:r>
          </w:p>
        </w:tc>
        <w:tc>
          <w:tcPr>
            <w:tcW w:w="0" w:type="dxa"/>
            <w:vAlign w:val="bottom"/>
          </w:tcPr>
          <w:p>
            <w:pPr>
              <w:spacing w:after="0"/>
              <w:rPr>
                <w:sz w:val="1"/>
                <w:szCs w:val="1"/>
                <w:color w:val="auto"/>
              </w:rPr>
            </w:pPr>
          </w:p>
        </w:tc>
      </w:tr>
      <w:tr>
        <w:trPr>
          <w:trHeight w:val="175"/>
        </w:trPr>
        <w:tc>
          <w:tcPr>
            <w:tcW w:w="2520" w:type="dxa"/>
            <w:vAlign w:val="bottom"/>
            <w:gridSpan w:val="2"/>
          </w:tcPr>
          <w:p>
            <w:pPr>
              <w:ind w:left="20"/>
              <w:spacing w:after="0"/>
              <w:rPr>
                <w:sz w:val="20"/>
                <w:szCs w:val="20"/>
                <w:color w:val="auto"/>
              </w:rPr>
            </w:pPr>
            <w:r>
              <w:rPr>
                <w:rFonts w:ascii="Arial" w:cs="Arial" w:eastAsia="Arial" w:hAnsi="Arial"/>
                <w:sz w:val="13"/>
                <w:szCs w:val="13"/>
                <w:color w:val="auto"/>
              </w:rPr>
              <w:t>Various</w:t>
            </w:r>
          </w:p>
        </w:tc>
        <w:tc>
          <w:tcPr>
            <w:tcW w:w="900" w:type="dxa"/>
            <w:vAlign w:val="bottom"/>
          </w:tcPr>
          <w:p>
            <w:pPr>
              <w:jc w:val="center"/>
              <w:spacing w:after="0"/>
              <w:rPr>
                <w:sz w:val="20"/>
                <w:szCs w:val="20"/>
                <w:color w:val="auto"/>
              </w:rPr>
            </w:pPr>
            <w:r>
              <w:rPr>
                <w:rFonts w:ascii="Arial" w:cs="Arial" w:eastAsia="Arial" w:hAnsi="Arial"/>
                <w:sz w:val="13"/>
                <w:szCs w:val="13"/>
                <w:color w:val="auto"/>
                <w:w w:val="96"/>
              </w:rPr>
              <w:t>EUR, USD</w:t>
            </w:r>
          </w:p>
        </w:tc>
        <w:tc>
          <w:tcPr>
            <w:tcW w:w="1540" w:type="dxa"/>
            <w:vAlign w:val="bottom"/>
          </w:tcPr>
          <w:p>
            <w:pPr>
              <w:jc w:val="center"/>
              <w:spacing w:after="0"/>
              <w:rPr>
                <w:sz w:val="20"/>
                <w:szCs w:val="20"/>
                <w:color w:val="auto"/>
              </w:rPr>
            </w:pPr>
            <w:r>
              <w:rPr>
                <w:rFonts w:ascii="Arial" w:cs="Arial" w:eastAsia="Arial" w:hAnsi="Arial"/>
                <w:sz w:val="13"/>
                <w:szCs w:val="13"/>
                <w:color w:val="auto"/>
                <w:w w:val="90"/>
              </w:rPr>
              <w:t>Various</w:t>
            </w:r>
          </w:p>
        </w:tc>
        <w:tc>
          <w:tcPr>
            <w:tcW w:w="13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auto"/>
                <w:w w:val="96"/>
              </w:rPr>
              <w:t>2025-2031</w:t>
            </w:r>
          </w:p>
        </w:tc>
        <w:tc>
          <w:tcPr>
            <w:tcW w:w="200" w:type="dxa"/>
            <w:vAlign w:val="bottom"/>
          </w:tcPr>
          <w:p>
            <w:pPr>
              <w:spacing w:after="0"/>
              <w:rPr>
                <w:sz w:val="15"/>
                <w:szCs w:val="15"/>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29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41"/>
        </w:trPr>
        <w:tc>
          <w:tcPr>
            <w:tcW w:w="2520" w:type="dxa"/>
            <w:vAlign w:val="bottom"/>
            <w:gridSpan w:val="2"/>
          </w:tcPr>
          <w:p>
            <w:pPr>
              <w:spacing w:after="0"/>
              <w:rPr>
                <w:sz w:val="3"/>
                <w:szCs w:val="3"/>
                <w:color w:val="auto"/>
              </w:rPr>
            </w:pPr>
          </w:p>
        </w:tc>
        <w:tc>
          <w:tcPr>
            <w:tcW w:w="9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40" w:type="dxa"/>
            <w:vAlign w:val="bottom"/>
            <w:gridSpan w:val="2"/>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25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Non-current total</w:t>
            </w: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154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CCEEFF"/>
              <w:bottom w:val="single" w:sz="8" w:color="CCEEFF"/>
            </w:tcBorders>
            <w:shd w:val="clear" w:color="auto" w:fill="CCEEFF"/>
          </w:tcPr>
          <w:p>
            <w:pPr>
              <w:spacing w:after="0"/>
              <w:rPr>
                <w:sz w:val="18"/>
                <w:szCs w:val="18"/>
                <w:color w:val="auto"/>
              </w:rPr>
            </w:pPr>
          </w:p>
        </w:tc>
        <w:tc>
          <w:tcPr>
            <w:tcW w:w="146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w:t>
            </w:r>
          </w:p>
        </w:tc>
        <w:tc>
          <w:tcPr>
            <w:tcW w:w="10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1,071</w:t>
            </w:r>
          </w:p>
        </w:tc>
        <w:tc>
          <w:tcPr>
            <w:tcW w:w="80" w:type="dxa"/>
            <w:vAlign w:val="bottom"/>
          </w:tcPr>
          <w:p>
            <w:pPr>
              <w:spacing w:after="0"/>
              <w:rPr>
                <w:sz w:val="18"/>
                <w:szCs w:val="18"/>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1,053</w:t>
            </w:r>
          </w:p>
        </w:tc>
        <w:tc>
          <w:tcPr>
            <w:tcW w:w="0" w:type="dxa"/>
            <w:vAlign w:val="bottom"/>
          </w:tcPr>
          <w:p>
            <w:pPr>
              <w:spacing w:after="0"/>
              <w:rPr>
                <w:sz w:val="1"/>
                <w:szCs w:val="1"/>
                <w:color w:val="auto"/>
              </w:rPr>
            </w:pPr>
          </w:p>
        </w:tc>
      </w:tr>
      <w:tr>
        <w:trPr>
          <w:trHeight w:val="206"/>
        </w:trPr>
        <w:tc>
          <w:tcPr>
            <w:tcW w:w="320" w:type="dxa"/>
            <w:vAlign w:val="bottom"/>
          </w:tcPr>
          <w:p>
            <w:pPr>
              <w:ind w:left="20"/>
              <w:spacing w:after="0"/>
              <w:rPr>
                <w:sz w:val="20"/>
                <w:szCs w:val="20"/>
                <w:color w:val="auto"/>
              </w:rPr>
            </w:pPr>
            <w:r>
              <w:rPr>
                <w:rFonts w:ascii="Arial" w:cs="Arial" w:eastAsia="Arial" w:hAnsi="Arial"/>
                <w:sz w:val="13"/>
                <w:szCs w:val="13"/>
                <w:b w:val="1"/>
                <w:bCs w:val="1"/>
                <w:color w:val="auto"/>
                <w:w w:val="89"/>
              </w:rPr>
              <w:t>Total</w:t>
            </w:r>
          </w:p>
        </w:tc>
        <w:tc>
          <w:tcPr>
            <w:tcW w:w="2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w:t>
            </w:r>
          </w:p>
        </w:tc>
        <w:tc>
          <w:tcPr>
            <w:tcW w:w="10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1,128</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1,806</w:t>
            </w:r>
          </w:p>
        </w:tc>
        <w:tc>
          <w:tcPr>
            <w:tcW w:w="0" w:type="dxa"/>
            <w:vAlign w:val="bottom"/>
          </w:tcPr>
          <w:p>
            <w:pPr>
              <w:spacing w:after="0"/>
              <w:rPr>
                <w:sz w:val="1"/>
                <w:szCs w:val="1"/>
                <w:color w:val="auto"/>
              </w:rPr>
            </w:pPr>
          </w:p>
        </w:tc>
      </w:tr>
      <w:tr>
        <w:trPr>
          <w:trHeight w:val="24"/>
        </w:trPr>
        <w:tc>
          <w:tcPr>
            <w:tcW w:w="3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January 2, 2025, the Company prepaid all of its outstanding loans under the Term Loan A. The total amount of the prepayment was $664 million, comprising all outstanding loans and interest accrued through the date of prepayment. Upon the prepayment, assets pledged as common security under certain of the Company’s senior facilities and the revolving credit facility were irrevocably and unconditionally released in accordance with the terms. The revolving credit facility continues to be available to the Company on an unsecured basis following the release of the common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 except for per share amount and otherwise stated)</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unutilized credit facilities available to the Company to maintain liquidity to fund operations: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rPr>
              <w:t>March 31, 2025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ind w:right="239"/>
              <w:spacing w:after="0"/>
              <w:rPr>
                <w:sz w:val="20"/>
                <w:szCs w:val="20"/>
                <w:color w:val="auto"/>
              </w:rPr>
            </w:pPr>
            <w:r>
              <w:rPr>
                <w:rFonts w:ascii="Arial" w:cs="Arial" w:eastAsia="Arial" w:hAnsi="Arial"/>
                <w:sz w:val="16"/>
                <w:szCs w:val="16"/>
                <w:b w:val="1"/>
                <w:bCs w:val="1"/>
                <w:color w:val="auto"/>
              </w:rPr>
              <w:t>December 31, 2024</w:t>
            </w:r>
          </w:p>
        </w:tc>
      </w:tr>
      <w:tr>
        <w:trPr>
          <w:trHeight w:val="21"/>
        </w:trPr>
        <w:tc>
          <w:tcPr>
            <w:tcW w:w="6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196"/>
        </w:trPr>
        <w:tc>
          <w:tcPr>
            <w:tcW w:w="6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37"/>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Revolving Credit Facility</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1,011</w:t>
            </w:r>
          </w:p>
        </w:tc>
        <w:tc>
          <w:tcPr>
            <w:tcW w:w="80" w:type="dxa"/>
            <w:vAlign w:val="bottom"/>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1,012</w:t>
            </w:r>
          </w:p>
        </w:tc>
      </w:tr>
      <w:tr>
        <w:trPr>
          <w:trHeight w:val="227"/>
        </w:trPr>
        <w:tc>
          <w:tcPr>
            <w:tcW w:w="6980" w:type="dxa"/>
            <w:vAlign w:val="bottom"/>
          </w:tcPr>
          <w:p>
            <w:pPr>
              <w:ind w:left="20"/>
              <w:spacing w:after="0"/>
              <w:rPr>
                <w:sz w:val="20"/>
                <w:szCs w:val="20"/>
                <w:color w:val="auto"/>
              </w:rPr>
            </w:pPr>
            <w:r>
              <w:rPr>
                <w:rFonts w:ascii="Arial" w:cs="Arial" w:eastAsia="Arial" w:hAnsi="Arial"/>
                <w:sz w:val="16"/>
                <w:szCs w:val="16"/>
                <w:color w:val="auto"/>
              </w:rPr>
              <w:t>Uncommitted Credit Facilities</w:t>
            </w:r>
          </w:p>
        </w:tc>
        <w:tc>
          <w:tcPr>
            <w:tcW w:w="2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103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102</w:t>
            </w:r>
          </w:p>
        </w:tc>
      </w:tr>
      <w:tr>
        <w:trPr>
          <w:trHeight w:val="29"/>
        </w:trPr>
        <w:tc>
          <w:tcPr>
            <w:tcW w:w="6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880" w:type="dxa"/>
            <w:vAlign w:val="bottom"/>
          </w:tcPr>
          <w:p>
            <w:pPr>
              <w:spacing w:after="0"/>
              <w:rPr>
                <w:sz w:val="2"/>
                <w:szCs w:val="2"/>
                <w:color w:val="auto"/>
              </w:rPr>
            </w:pPr>
          </w:p>
        </w:tc>
      </w:tr>
      <w:tr>
        <w:trPr>
          <w:trHeight w:val="275"/>
        </w:trPr>
        <w:tc>
          <w:tcPr>
            <w:tcW w:w="6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1,114</w:t>
            </w:r>
          </w:p>
        </w:tc>
        <w:tc>
          <w:tcPr>
            <w:tcW w:w="80" w:type="dxa"/>
            <w:vAlign w:val="bottom"/>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1,114</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Related Party Disclosures</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total amounts of $0 and $9 million due from related parties as of March 31, 2025 and December 31, 2024, respectively, have been included in receivables, prepayments and other assets. The $4 million and $20 million due to related parties as of March 31, 2025 and December 31, 2024, respectively, have been included in trade and other payables.</w:t>
      </w:r>
    </w:p>
    <w:p>
      <w:pPr>
        <w:spacing w:after="0" w:line="7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Related party balances disclosed in the interim financial statements relate to MDC General Services Holding Company LLC, Mamoura Holdings (US) LLC, and Silicon Manufacturing Partners Pte Ltd. ("SMP"). As of December 31, 2024, we held a 49% interest in SMP, a joint venture with Avago Technologies International Sales Pte. Limited ("Avago Singapore"), and managed all aspects of its manufacturing operations. During the three months ended March 31, 2025, we acquired the remaining 51% of the shares in the share capital of SMP from Avago Singapore, thereby making SMP a wholly-owned subsidiary of GlobalFoundries.</w:t>
      </w:r>
    </w:p>
    <w:p>
      <w:pPr>
        <w:spacing w:after="0" w:line="8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For the three months ended March 31, 2025 and 2024, related party transactions of $0 and $15 million, respectively, were included in the interim condensed consolidated statements of operations.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Commitments and Contingencies</w:t>
      </w:r>
    </w:p>
    <w:p>
      <w:pPr>
        <w:spacing w:after="0" w:line="12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auto"/>
        </w:rPr>
        <w:t xml:space="preserve">Commitments </w:t>
      </w:r>
      <w:r>
        <w:rPr>
          <w:rFonts w:ascii="Arial" w:cs="Arial" w:eastAsia="Arial" w:hAnsi="Arial"/>
          <w:sz w:val="16"/>
          <w:szCs w:val="16"/>
          <w:color w:val="auto"/>
        </w:rPr>
        <w:t>– The Company enters into several purchase agreements and supplementary agreements with its third-party manufacturers and suppliers for</w:t>
      </w:r>
      <w:r>
        <w:rPr>
          <w:rFonts w:ascii="Arial" w:cs="Arial" w:eastAsia="Arial" w:hAnsi="Arial"/>
          <w:sz w:val="16"/>
          <w:szCs w:val="16"/>
          <w:b w:val="1"/>
          <w:bCs w:val="1"/>
          <w:color w:val="auto"/>
        </w:rPr>
        <w:t xml:space="preserve"> </w:t>
      </w:r>
      <w:r>
        <w:rPr>
          <w:rFonts w:ascii="Arial" w:cs="Arial" w:eastAsia="Arial" w:hAnsi="Arial"/>
          <w:sz w:val="16"/>
          <w:szCs w:val="16"/>
          <w:color w:val="auto"/>
        </w:rPr>
        <w:t>future deliveries of equipment and components. In addition, the Company enters into intellectual property and licensing agreements with third parties. The total future payments under these agreements amounted to $554 million and $635 million, as of March 31, 2025 and December 31, 2024, respectively. Purchase commitments of $365 million are due within the next 12 months.</w:t>
      </w:r>
    </w:p>
    <w:p>
      <w:pPr>
        <w:spacing w:after="0" w:line="6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Additionally, the Company obtained letters of credit to primarily guarantee payments for utility suppliers and foreign statutory payroll related charges. The Company has obtained letters of credit of $30 million as of March 31, 2025 and December 31, 2024, and has drawn down bank guarantees of $100 million and $99 million as of March 31, 2025 and December 31, 2024, respectively.</w:t>
      </w:r>
    </w:p>
    <w:p>
      <w:pPr>
        <w:spacing w:after="0" w:line="9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color w:val="auto"/>
        </w:rPr>
        <w:t xml:space="preserve">Contingencies </w:t>
      </w:r>
      <w:r>
        <w:rPr>
          <w:rFonts w:ascii="Arial" w:cs="Arial" w:eastAsia="Arial" w:hAnsi="Arial"/>
          <w:sz w:val="16"/>
          <w:szCs w:val="16"/>
          <w:color w:val="auto"/>
        </w:rPr>
        <w:t>– From time to time, the Company is a party to claims that arise in the normal course of business. These claims include allegations of</w:t>
      </w:r>
      <w:r>
        <w:rPr>
          <w:rFonts w:ascii="Arial" w:cs="Arial" w:eastAsia="Arial" w:hAnsi="Arial"/>
          <w:sz w:val="16"/>
          <w:szCs w:val="16"/>
          <w:b w:val="1"/>
          <w:bCs w:val="1"/>
          <w:color w:val="auto"/>
        </w:rPr>
        <w:t xml:space="preserve"> </w:t>
      </w:r>
      <w:r>
        <w:rPr>
          <w:rFonts w:ascii="Arial" w:cs="Arial" w:eastAsia="Arial" w:hAnsi="Arial"/>
          <w:sz w:val="16"/>
          <w:szCs w:val="16"/>
          <w:color w:val="auto"/>
        </w:rPr>
        <w:t>infringement of intellectual property rights of others as well as other claims of liability. In addition, the Company, on a case by case basis, includes intellectual property indemnification provisions in the terms of sale and technology licenses with third parties. The Company is also subject to various taxes in the different jurisdictions in which it operates. These include property, goods and services, and other non-income taxes. The Company accrues costs associated with these matters when they become probable and reasonably estimable. The Company does not believe it is probable that losses associated with these matters beyond those already recognized will be incurred in amounts that would be material to the interim financial statements.</w:t>
      </w:r>
    </w:p>
    <w:p>
      <w:pPr>
        <w:spacing w:after="0" w:line="10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has determined that due to the complexity of calculation of the Advanced Manufacturing Investment Tax Credit ("AMITC") under the Internal Revenue Code Section 48D, and uncertainties regarding compliance with program conditions, it is probable that a portion of AMITC computed and claimed in the United States may be repayable. Management recorded its best estimate of the amount of the AMITC that may be repayable totaling $33 million as of March 31, 2025. The amount of the reserve may change depending on future assessments by tax authorities.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Fair Value Measurements</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fair value of a financial instrument is the amount that would be received to sell an asset or paid to transfer a liability in an orderly transaction between market participants at the measurement date. The Company uses the following hierarchy for determining and disclosing the fair value of financial instruments by valuation technique:</w:t>
      </w:r>
    </w:p>
    <w:p>
      <w:pPr>
        <w:spacing w:after="0" w:line="97" w:lineRule="exact"/>
        <w:rPr>
          <w:sz w:val="20"/>
          <w:szCs w:val="20"/>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Level 1: Observable inputs such as quoted prices in active markets for identical assets or liabilities.</w:t>
      </w:r>
    </w:p>
    <w:p>
      <w:pPr>
        <w:spacing w:after="0" w:line="21" w:lineRule="exact"/>
        <w:rPr>
          <w:rFonts w:ascii="Arial" w:cs="Arial" w:eastAsia="Arial" w:hAnsi="Arial"/>
          <w:sz w:val="16"/>
          <w:szCs w:val="16"/>
          <w:color w:val="auto"/>
        </w:rPr>
      </w:pPr>
    </w:p>
    <w:p>
      <w:pPr>
        <w:ind w:left="660" w:right="20" w:hanging="328"/>
        <w:spacing w:after="0" w:line="283" w:lineRule="auto"/>
        <w:tabs>
          <w:tab w:leader="none" w:pos="649" w:val="left"/>
        </w:tabs>
        <w:numPr>
          <w:ilvl w:val="0"/>
          <w:numId w:val="10"/>
        </w:numPr>
        <w:rPr>
          <w:rFonts w:ascii="Arial" w:cs="Arial" w:eastAsia="Arial" w:hAnsi="Arial"/>
          <w:sz w:val="16"/>
          <w:szCs w:val="16"/>
          <w:color w:val="auto"/>
        </w:rPr>
      </w:pPr>
      <w:r>
        <w:rPr>
          <w:rFonts w:ascii="Arial" w:cs="Arial" w:eastAsia="Arial" w:hAnsi="Arial"/>
          <w:sz w:val="16"/>
          <w:szCs w:val="16"/>
          <w:color w:val="auto"/>
        </w:rPr>
        <w:t>Level 2: Inputs other than quoted prices in active markets in Level 1, such as quoted prices for similar assets or liabilities in active markets, quoted prices for similar assets or liabilities that are not active, or other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 except for per share amount and otherwise stated)</w:t>
      </w:r>
    </w:p>
    <w:p>
      <w:pPr>
        <w:spacing w:after="0" w:line="200" w:lineRule="exact"/>
        <w:rPr>
          <w:sz w:val="20"/>
          <w:szCs w:val="20"/>
          <w:color w:val="auto"/>
        </w:rPr>
      </w:pPr>
    </w:p>
    <w:p>
      <w:pPr>
        <w:spacing w:after="0" w:line="2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that are observable or can be corroborated by observable market data for substantially the full term of the asset or liability.</w:t>
      </w:r>
    </w:p>
    <w:p>
      <w:pPr>
        <w:spacing w:after="0" w:line="21" w:lineRule="exact"/>
        <w:rPr>
          <w:sz w:val="20"/>
          <w:szCs w:val="20"/>
          <w:color w:val="auto"/>
        </w:rPr>
      </w:pPr>
    </w:p>
    <w:p>
      <w:pPr>
        <w:ind w:left="660" w:hanging="328"/>
        <w:spacing w:after="0" w:line="283"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color w:val="auto"/>
        </w:rPr>
        <w:t>Level 3: Unobservable inputs for which little or no market data exists, therefore requiring management judgment to develop the Company’s own models with estimates and assumptions.</w:t>
      </w:r>
    </w:p>
    <w:p>
      <w:pPr>
        <w:spacing w:after="0" w:line="9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 xml:space="preserve">Cash Equivalents </w:t>
      </w:r>
      <w:r>
        <w:rPr>
          <w:rFonts w:ascii="Arial" w:cs="Arial" w:eastAsia="Arial" w:hAnsi="Arial"/>
          <w:sz w:val="16"/>
          <w:szCs w:val="16"/>
          <w:color w:val="auto"/>
        </w:rPr>
        <w:t>– Cash equivalents include investments in government obligation-based money market funds, other money market instruments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interest-bearing deposits with initial or remaining terms of three months or less. The fair value of cash equivalents approximates its carrying value due to the short-term nature of these instruments.</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 xml:space="preserve">Marketable Securities </w:t>
      </w:r>
      <w:r>
        <w:rPr>
          <w:rFonts w:ascii="Arial" w:cs="Arial" w:eastAsia="Arial" w:hAnsi="Arial"/>
          <w:sz w:val="16"/>
          <w:szCs w:val="16"/>
          <w:color w:val="auto"/>
        </w:rPr>
        <w:t>– Marketable securities utilizing Level 1 and Level 2 inputs include U.S. Treasury Securities, U.S. Government Sponsored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Enterprises, floating rate securities, money market mutual funds, corporate debt instruments and other Notes, bonds or debt securities issued by non-U.S. sovereign or multilateral entities, as these securities all have quoted prices in active markets.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Company’s assets and liabilities measured at fair value on a recurring basis: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jc w:val="center"/>
              <w:ind w:right="59"/>
              <w:spacing w:after="0"/>
              <w:rPr>
                <w:sz w:val="20"/>
                <w:szCs w:val="20"/>
                <w:color w:val="auto"/>
              </w:rPr>
            </w:pPr>
            <w:r>
              <w:rPr>
                <w:rFonts w:ascii="Arial" w:cs="Arial" w:eastAsia="Arial" w:hAnsi="Arial"/>
                <w:sz w:val="16"/>
                <w:szCs w:val="16"/>
                <w:b w:val="1"/>
                <w:bCs w:val="1"/>
                <w:color w:val="auto"/>
              </w:rPr>
              <w:t>Quoted Prices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jc w:val="center"/>
              <w:ind w:right="59"/>
              <w:spacing w:after="0"/>
              <w:rPr>
                <w:sz w:val="20"/>
                <w:szCs w:val="20"/>
                <w:color w:val="auto"/>
              </w:rPr>
            </w:pPr>
            <w:r>
              <w:rPr>
                <w:rFonts w:ascii="Arial" w:cs="Arial" w:eastAsia="Arial" w:hAnsi="Arial"/>
                <w:sz w:val="16"/>
                <w:szCs w:val="16"/>
                <w:b w:val="1"/>
                <w:bCs w:val="1"/>
                <w:color w:val="auto"/>
              </w:rPr>
              <w:t>Identical Assets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center"/>
              <w:ind w:right="99"/>
              <w:spacing w:after="0"/>
              <w:rPr>
                <w:sz w:val="20"/>
                <w:szCs w:val="20"/>
                <w:color w:val="auto"/>
              </w:rPr>
            </w:pPr>
            <w:r>
              <w:rPr>
                <w:rFonts w:ascii="Arial" w:cs="Arial" w:eastAsia="Arial" w:hAnsi="Arial"/>
                <w:sz w:val="16"/>
                <w:szCs w:val="16"/>
                <w:b w:val="1"/>
                <w:bCs w:val="1"/>
                <w:color w:val="auto"/>
              </w:rPr>
              <w:t>Significant Other</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jc w:val="center"/>
              <w:ind w:right="219"/>
              <w:spacing w:after="0"/>
              <w:rPr>
                <w:sz w:val="20"/>
                <w:szCs w:val="20"/>
                <w:color w:val="auto"/>
              </w:rPr>
            </w:pPr>
            <w:r>
              <w:rPr>
                <w:rFonts w:ascii="Arial" w:cs="Arial" w:eastAsia="Arial" w:hAnsi="Arial"/>
                <w:sz w:val="16"/>
                <w:szCs w:val="16"/>
                <w:b w:val="1"/>
                <w:bCs w:val="1"/>
                <w:color w:val="auto"/>
              </w:rPr>
              <w:t>Significant</w:t>
            </w:r>
          </w:p>
        </w:tc>
      </w:tr>
      <w:tr>
        <w:trPr>
          <w:trHeight w:val="223"/>
        </w:trPr>
        <w:tc>
          <w:tcPr>
            <w:tcW w:w="4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center"/>
              <w:ind w:right="59"/>
              <w:spacing w:after="0"/>
              <w:rPr>
                <w:sz w:val="20"/>
                <w:szCs w:val="20"/>
                <w:color w:val="auto"/>
              </w:rPr>
            </w:pPr>
            <w:r>
              <w:rPr>
                <w:rFonts w:ascii="Arial" w:cs="Arial" w:eastAsia="Arial" w:hAnsi="Arial"/>
                <w:sz w:val="16"/>
                <w:szCs w:val="16"/>
                <w:b w:val="1"/>
                <w:bCs w:val="1"/>
                <w:color w:val="auto"/>
              </w:rPr>
              <w:t>Liabilities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Inputs</w:t>
            </w:r>
          </w:p>
        </w:tc>
        <w:tc>
          <w:tcPr>
            <w:tcW w:w="80" w:type="dxa"/>
            <w:vAlign w:val="bottom"/>
          </w:tcPr>
          <w:p>
            <w:pPr>
              <w:spacing w:after="0"/>
              <w:rPr>
                <w:sz w:val="19"/>
                <w:szCs w:val="19"/>
                <w:color w:val="auto"/>
              </w:rPr>
            </w:pPr>
          </w:p>
        </w:tc>
        <w:tc>
          <w:tcPr>
            <w:tcW w:w="1760" w:type="dxa"/>
            <w:vAlign w:val="bottom"/>
            <w:gridSpan w:val="2"/>
          </w:tcPr>
          <w:p>
            <w:pPr>
              <w:jc w:val="center"/>
              <w:spacing w:after="0"/>
              <w:rPr>
                <w:sz w:val="20"/>
                <w:szCs w:val="20"/>
                <w:color w:val="auto"/>
              </w:rPr>
            </w:pPr>
            <w:r>
              <w:rPr>
                <w:rFonts w:ascii="Arial" w:cs="Arial" w:eastAsia="Arial" w:hAnsi="Arial"/>
                <w:sz w:val="16"/>
                <w:szCs w:val="16"/>
                <w:b w:val="1"/>
                <w:bCs w:val="1"/>
                <w:color w:val="auto"/>
              </w:rPr>
              <w:t>Unobservable Inputs</w:t>
            </w:r>
          </w:p>
        </w:tc>
      </w:tr>
      <w:tr>
        <w:trPr>
          <w:trHeight w:val="257"/>
        </w:trPr>
        <w:tc>
          <w:tcPr>
            <w:tcW w:w="40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ind w:right="599"/>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tcPr>
          <w:p>
            <w:pPr>
              <w:jc w:val="center"/>
              <w:ind w:right="59"/>
              <w:spacing w:after="0"/>
              <w:rPr>
                <w:sz w:val="20"/>
                <w:szCs w:val="20"/>
                <w:color w:val="auto"/>
              </w:rPr>
            </w:pPr>
            <w:r>
              <w:rPr>
                <w:rFonts w:ascii="Arial" w:cs="Arial" w:eastAsia="Arial" w:hAnsi="Arial"/>
                <w:sz w:val="16"/>
                <w:szCs w:val="16"/>
                <w:b w:val="1"/>
                <w:bCs w:val="1"/>
                <w:color w:val="auto"/>
              </w:rPr>
              <w:t>(Level 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jc w:val="center"/>
              <w:ind w:right="99"/>
              <w:spacing w:after="0"/>
              <w:rPr>
                <w:sz w:val="20"/>
                <w:szCs w:val="20"/>
                <w:color w:val="auto"/>
              </w:rPr>
            </w:pPr>
            <w:r>
              <w:rPr>
                <w:rFonts w:ascii="Arial" w:cs="Arial" w:eastAsia="Arial" w:hAnsi="Arial"/>
                <w:sz w:val="16"/>
                <w:szCs w:val="16"/>
                <w:b w:val="1"/>
                <w:bCs w:val="1"/>
                <w:color w:val="auto"/>
              </w:rPr>
              <w:t>(Level 2)</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60" w:type="dxa"/>
            <w:vAlign w:val="bottom"/>
          </w:tcPr>
          <w:p>
            <w:pPr>
              <w:jc w:val="center"/>
              <w:ind w:right="199"/>
              <w:spacing w:after="0"/>
              <w:rPr>
                <w:sz w:val="20"/>
                <w:szCs w:val="20"/>
                <w:color w:val="auto"/>
              </w:rPr>
            </w:pPr>
            <w:r>
              <w:rPr>
                <w:rFonts w:ascii="Arial" w:cs="Arial" w:eastAsia="Arial" w:hAnsi="Arial"/>
                <w:sz w:val="16"/>
                <w:szCs w:val="16"/>
                <w:b w:val="1"/>
                <w:bCs w:val="1"/>
                <w:color w:val="auto"/>
              </w:rPr>
              <w:t>(Level 3)</w:t>
            </w:r>
          </w:p>
        </w:tc>
      </w:tr>
      <w:tr>
        <w:trPr>
          <w:trHeight w:val="21"/>
        </w:trPr>
        <w:tc>
          <w:tcPr>
            <w:tcW w:w="40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17"/>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2024</w:t>
            </w:r>
          </w:p>
        </w:tc>
        <w:tc>
          <w:tcPr>
            <w:tcW w:w="4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r>
      <w:tr>
        <w:trPr>
          <w:trHeight w:val="235"/>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1"/>
        </w:trPr>
        <w:tc>
          <w:tcPr>
            <w:tcW w:w="4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57"/>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equivalents</w:t>
            </w:r>
            <w:r>
              <w:rPr>
                <w:rFonts w:ascii="Arial" w:cs="Arial" w:eastAsia="Arial" w:hAnsi="Arial"/>
                <w:sz w:val="21"/>
                <w:szCs w:val="21"/>
                <w:color w:val="auto"/>
                <w:vertAlign w:val="superscript"/>
              </w:rPr>
              <w:t>(1)</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1,174</w:t>
            </w:r>
          </w:p>
        </w:tc>
        <w:tc>
          <w:tcPr>
            <w:tcW w:w="100" w:type="dxa"/>
            <w:vAlign w:val="bottom"/>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1,174</w:t>
            </w:r>
          </w:p>
        </w:tc>
        <w:tc>
          <w:tcPr>
            <w:tcW w:w="100" w:type="dxa"/>
            <w:vAlign w:val="bottom"/>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4040" w:type="dxa"/>
            <w:vAlign w:val="bottom"/>
          </w:tcPr>
          <w:p>
            <w:pPr>
              <w:ind w:left="20"/>
              <w:spacing w:after="0"/>
              <w:rPr>
                <w:sz w:val="20"/>
                <w:szCs w:val="20"/>
                <w:color w:val="auto"/>
              </w:rPr>
            </w:pPr>
            <w:r>
              <w:rPr>
                <w:rFonts w:ascii="Arial" w:cs="Arial" w:eastAsia="Arial" w:hAnsi="Arial"/>
                <w:sz w:val="16"/>
                <w:szCs w:val="16"/>
                <w:color w:val="auto"/>
              </w:rPr>
              <w:t>Investments in equity instruments</w:t>
            </w:r>
            <w:r>
              <w:rPr>
                <w:rFonts w:ascii="Arial" w:cs="Arial" w:eastAsia="Arial" w:hAnsi="Arial"/>
                <w:sz w:val="21"/>
                <w:szCs w:val="21"/>
                <w:color w:val="auto"/>
                <w:vertAlign w:val="superscript"/>
              </w:rPr>
              <w:t>(2)</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25</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57"/>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Derivatives</w:t>
            </w:r>
            <w:r>
              <w:rPr>
                <w:rFonts w:ascii="Arial" w:cs="Arial" w:eastAsia="Arial" w:hAnsi="Arial"/>
                <w:sz w:val="21"/>
                <w:szCs w:val="21"/>
                <w:color w:val="auto"/>
                <w:vertAlign w:val="superscript"/>
              </w:rPr>
              <w:t>(3)</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80" w:type="dxa"/>
            <w:vAlign w:val="bottom"/>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56"/>
        </w:trPr>
        <w:tc>
          <w:tcPr>
            <w:tcW w:w="4040" w:type="dxa"/>
            <w:vAlign w:val="bottom"/>
          </w:tcPr>
          <w:p>
            <w:pPr>
              <w:ind w:left="20"/>
              <w:spacing w:after="0"/>
              <w:rPr>
                <w:sz w:val="20"/>
                <w:szCs w:val="20"/>
                <w:color w:val="auto"/>
              </w:rPr>
            </w:pPr>
            <w:r>
              <w:rPr>
                <w:rFonts w:ascii="Arial" w:cs="Arial" w:eastAsia="Arial" w:hAnsi="Arial"/>
                <w:sz w:val="16"/>
                <w:szCs w:val="16"/>
                <w:color w:val="auto"/>
              </w:rPr>
              <w:t>Investments in marketable securities</w:t>
            </w:r>
            <w:r>
              <w:rPr>
                <w:rFonts w:ascii="Arial" w:cs="Arial" w:eastAsia="Arial" w:hAnsi="Arial"/>
                <w:sz w:val="21"/>
                <w:szCs w:val="21"/>
                <w:color w:val="auto"/>
                <w:vertAlign w:val="superscript"/>
              </w:rPr>
              <w:t>(4)</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2,033</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537</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1,496</w:t>
            </w:r>
          </w:p>
        </w:tc>
        <w:tc>
          <w:tcPr>
            <w:tcW w:w="38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40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35"/>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1"/>
        </w:trPr>
        <w:tc>
          <w:tcPr>
            <w:tcW w:w="4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5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Derivatives</w:t>
            </w:r>
            <w:r>
              <w:rPr>
                <w:rFonts w:ascii="Arial" w:cs="Arial" w:eastAsia="Arial" w:hAnsi="Arial"/>
                <w:sz w:val="21"/>
                <w:szCs w:val="21"/>
                <w:color w:val="auto"/>
                <w:vertAlign w:val="superscript"/>
              </w:rPr>
              <w:t>(3)</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80" w:type="dxa"/>
            <w:vAlign w:val="bottom"/>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40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37"/>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March 31, 2025</w:t>
            </w:r>
          </w:p>
        </w:tc>
        <w:tc>
          <w:tcPr>
            <w:tcW w:w="4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35"/>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1"/>
        </w:trPr>
        <w:tc>
          <w:tcPr>
            <w:tcW w:w="4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57"/>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equivalents</w:t>
            </w:r>
            <w:r>
              <w:rPr>
                <w:rFonts w:ascii="Arial" w:cs="Arial" w:eastAsia="Arial" w:hAnsi="Arial"/>
                <w:sz w:val="21"/>
                <w:szCs w:val="21"/>
                <w:color w:val="auto"/>
                <w:vertAlign w:val="superscript"/>
              </w:rPr>
              <w:t>(1)</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1,181</w:t>
            </w:r>
          </w:p>
        </w:tc>
        <w:tc>
          <w:tcPr>
            <w:tcW w:w="100" w:type="dxa"/>
            <w:vAlign w:val="bottom"/>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1,181</w:t>
            </w:r>
          </w:p>
        </w:tc>
        <w:tc>
          <w:tcPr>
            <w:tcW w:w="100" w:type="dxa"/>
            <w:vAlign w:val="bottom"/>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56"/>
        </w:trPr>
        <w:tc>
          <w:tcPr>
            <w:tcW w:w="4040" w:type="dxa"/>
            <w:vAlign w:val="bottom"/>
          </w:tcPr>
          <w:p>
            <w:pPr>
              <w:ind w:left="20"/>
              <w:spacing w:after="0"/>
              <w:rPr>
                <w:sz w:val="20"/>
                <w:szCs w:val="20"/>
                <w:color w:val="auto"/>
              </w:rPr>
            </w:pPr>
            <w:r>
              <w:rPr>
                <w:rFonts w:ascii="Arial" w:cs="Arial" w:eastAsia="Arial" w:hAnsi="Arial"/>
                <w:sz w:val="16"/>
                <w:szCs w:val="16"/>
                <w:color w:val="auto"/>
              </w:rPr>
              <w:t>Investments in equity instruments</w:t>
            </w:r>
            <w:r>
              <w:rPr>
                <w:rFonts w:ascii="Arial" w:cs="Arial" w:eastAsia="Arial" w:hAnsi="Arial"/>
                <w:sz w:val="21"/>
                <w:szCs w:val="21"/>
                <w:color w:val="auto"/>
                <w:vertAlign w:val="superscript"/>
              </w:rPr>
              <w:t>(2)</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33</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57"/>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Derivatives</w:t>
            </w:r>
            <w:r>
              <w:rPr>
                <w:rFonts w:ascii="Arial" w:cs="Arial" w:eastAsia="Arial" w:hAnsi="Arial"/>
                <w:sz w:val="21"/>
                <w:szCs w:val="21"/>
                <w:color w:val="auto"/>
                <w:vertAlign w:val="superscript"/>
              </w:rPr>
              <w:t>(3)</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80" w:type="dxa"/>
            <w:vAlign w:val="bottom"/>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56"/>
        </w:trPr>
        <w:tc>
          <w:tcPr>
            <w:tcW w:w="4040" w:type="dxa"/>
            <w:vAlign w:val="bottom"/>
          </w:tcPr>
          <w:p>
            <w:pPr>
              <w:ind w:left="20"/>
              <w:spacing w:after="0"/>
              <w:rPr>
                <w:sz w:val="20"/>
                <w:szCs w:val="20"/>
                <w:color w:val="auto"/>
              </w:rPr>
            </w:pPr>
            <w:r>
              <w:rPr>
                <w:rFonts w:ascii="Arial" w:cs="Arial" w:eastAsia="Arial" w:hAnsi="Arial"/>
                <w:sz w:val="16"/>
                <w:szCs w:val="16"/>
                <w:color w:val="auto"/>
              </w:rPr>
              <w:t>Investments in marketable securities</w:t>
            </w:r>
            <w:r>
              <w:rPr>
                <w:rFonts w:ascii="Arial" w:cs="Arial" w:eastAsia="Arial" w:hAnsi="Arial"/>
                <w:sz w:val="21"/>
                <w:szCs w:val="21"/>
                <w:color w:val="auto"/>
                <w:vertAlign w:val="superscript"/>
              </w:rPr>
              <w:t>(4)</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2,101</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534</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1,567</w:t>
            </w:r>
          </w:p>
        </w:tc>
        <w:tc>
          <w:tcPr>
            <w:tcW w:w="38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40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36"/>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1"/>
        </w:trPr>
        <w:tc>
          <w:tcPr>
            <w:tcW w:w="4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57"/>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Derivatives</w:t>
            </w:r>
            <w:r>
              <w:rPr>
                <w:rFonts w:ascii="Arial" w:cs="Arial" w:eastAsia="Arial" w:hAnsi="Arial"/>
                <w:sz w:val="21"/>
                <w:szCs w:val="21"/>
                <w:color w:val="auto"/>
                <w:vertAlign w:val="superscript"/>
              </w:rPr>
              <w:t>(3)</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72" w:lineRule="exact"/>
        <w:rPr>
          <w:sz w:val="20"/>
          <w:szCs w:val="20"/>
          <w:color w:val="auto"/>
        </w:rPr>
      </w:pPr>
    </w:p>
    <w:p>
      <w:pPr>
        <w:ind w:left="220" w:hanging="212"/>
        <w:spacing w:after="0"/>
        <w:tabs>
          <w:tab w:leader="none" w:pos="220" w:val="left"/>
        </w:tabs>
        <w:numPr>
          <w:ilvl w:val="0"/>
          <w:numId w:val="12"/>
        </w:numPr>
        <w:rPr>
          <w:rFonts w:ascii="Arial" w:cs="Arial" w:eastAsia="Arial" w:hAnsi="Arial"/>
          <w:sz w:val="9"/>
          <w:szCs w:val="9"/>
          <w:color w:val="auto"/>
        </w:rPr>
      </w:pPr>
      <w:r>
        <w:rPr>
          <w:rFonts w:ascii="Arial" w:cs="Arial" w:eastAsia="Arial" w:hAnsi="Arial"/>
          <w:sz w:val="14"/>
          <w:szCs w:val="14"/>
          <w:color w:val="auto"/>
        </w:rPr>
        <w:t>Included in cash and cash equivalents on the Company’s interim condensed consolidated statements of financial position.</w:t>
      </w:r>
    </w:p>
    <w:p>
      <w:pPr>
        <w:spacing w:after="0" w:line="134" w:lineRule="exact"/>
        <w:rPr>
          <w:rFonts w:ascii="Arial" w:cs="Arial" w:eastAsia="Arial" w:hAnsi="Arial"/>
          <w:sz w:val="9"/>
          <w:szCs w:val="9"/>
          <w:color w:val="auto"/>
        </w:rPr>
      </w:pPr>
    </w:p>
    <w:p>
      <w:pPr>
        <w:ind w:left="220" w:hanging="212"/>
        <w:spacing w:after="0"/>
        <w:tabs>
          <w:tab w:leader="none" w:pos="220"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Included in current and non-current receivables, prepayments and other assets on the Company’s interim condensed consolidated statements of financial position.</w:t>
      </w:r>
    </w:p>
    <w:p>
      <w:pPr>
        <w:spacing w:after="0" w:line="93" w:lineRule="exact"/>
        <w:rPr>
          <w:rFonts w:ascii="Arial" w:cs="Arial" w:eastAsia="Arial" w:hAnsi="Arial"/>
          <w:sz w:val="19"/>
          <w:szCs w:val="19"/>
          <w:color w:val="auto"/>
          <w:vertAlign w:val="superscript"/>
        </w:rPr>
      </w:pPr>
    </w:p>
    <w:p>
      <w:pPr>
        <w:ind w:left="180" w:hanging="172"/>
        <w:spacing w:after="0" w:line="222" w:lineRule="auto"/>
        <w:tabs>
          <w:tab w:leader="none" w:pos="249"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Consists of foreign currency forward contracts, interest rate swaps, cross currency swaps and commodity swaps. Included in other current and non-current financial assets and other current and non-current liabilities on the Company’s interim condensed consolidated statements of financial position.</w:t>
      </w:r>
    </w:p>
    <w:p>
      <w:pPr>
        <w:spacing w:after="0" w:line="94" w:lineRule="exact"/>
        <w:rPr>
          <w:rFonts w:ascii="Arial" w:cs="Arial" w:eastAsia="Arial" w:hAnsi="Arial"/>
          <w:sz w:val="19"/>
          <w:szCs w:val="19"/>
          <w:color w:val="auto"/>
          <w:vertAlign w:val="superscript"/>
        </w:rPr>
      </w:pPr>
    </w:p>
    <w:p>
      <w:pPr>
        <w:ind w:left="180" w:hanging="172"/>
        <w:spacing w:after="0" w:line="305" w:lineRule="auto"/>
        <w:tabs>
          <w:tab w:leader="none" w:pos="263" w:val="left"/>
        </w:tabs>
        <w:numPr>
          <w:ilvl w:val="0"/>
          <w:numId w:val="12"/>
        </w:numPr>
        <w:rPr>
          <w:rFonts w:ascii="Arial" w:cs="Arial" w:eastAsia="Arial" w:hAnsi="Arial"/>
          <w:sz w:val="9"/>
          <w:szCs w:val="9"/>
          <w:color w:val="auto"/>
        </w:rPr>
      </w:pPr>
      <w:r>
        <w:rPr>
          <w:rFonts w:ascii="Arial" w:cs="Arial" w:eastAsia="Arial" w:hAnsi="Arial"/>
          <w:sz w:val="14"/>
          <w:szCs w:val="14"/>
          <w:color w:val="auto"/>
        </w:rPr>
        <w:t>Consists of investments in marketable debt securities such as government, agency, and corporate bonds. Included in current and non-current marketable securities on the Company's interim condensed consolidated statements of financial position.</w:t>
      </w:r>
    </w:p>
    <w:p>
      <w:pPr>
        <w:spacing w:after="0" w:line="4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During the three months ended March 31, 2025, there were no transfers between Level 1, Level 2 or Level 3 fair value measurements. During the three months ended March 31, 2024, marketable securities with carrying amounts of $646 million, were transferred from Level 1 to Level 2. These transfers occurred as the Company reassessed the market activity of these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 except for per share amount and otherwise stated)</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Measured and Recorded at Fair Value on a Non-Recurring Basis</w:t>
      </w:r>
    </w:p>
    <w:p>
      <w:pPr>
        <w:spacing w:after="0" w:line="11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Certain assets such as equity method investments, intangible assets and property, plant and equipment, and other non-financial assets, are recorded at fair value only if an impairment or observable price adjustment is recognized in the current period.</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Instruments Not Recorded at Fair Value on a Recurring Basis</w:t>
      </w:r>
    </w:p>
    <w:p>
      <w:pPr>
        <w:spacing w:after="0" w:line="11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Financial instruments not recorded at fair value on a recurring basis include non-marketable equity securities measured at cost, and grants receivable, loans receivable, lease obligations and the current and non-current portions of the Company’s long-term debt which are measured at amortized cost.</w:t>
      </w:r>
    </w:p>
    <w:p>
      <w:pPr>
        <w:spacing w:after="0" w:line="7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following shows the carrying amounts and fair values of the Company’s financial liabilities at amortized cost ("FLAC") not recorded at fair value on a recurring basis. It does not include fair value information for financial assets and financial liabilities not measured at fair value if the carrying amount is a reasonable approximation of fair value.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80" w:type="dxa"/>
            <w:vAlign w:val="bottom"/>
          </w:tcPr>
          <w:p>
            <w:pPr>
              <w:spacing w:after="0"/>
              <w:rPr>
                <w:sz w:val="19"/>
                <w:szCs w:val="19"/>
                <w:color w:val="auto"/>
              </w:rPr>
            </w:pPr>
          </w:p>
        </w:tc>
        <w:tc>
          <w:tcPr>
            <w:tcW w:w="2220" w:type="dxa"/>
            <w:vAlign w:val="bottom"/>
            <w:gridSpan w:val="3"/>
          </w:tcPr>
          <w:p>
            <w:pPr>
              <w:ind w:left="1060"/>
              <w:spacing w:after="0"/>
              <w:rPr>
                <w:sz w:val="20"/>
                <w:szCs w:val="20"/>
                <w:color w:val="auto"/>
              </w:rPr>
            </w:pPr>
            <w:r>
              <w:rPr>
                <w:rFonts w:ascii="Arial" w:cs="Arial" w:eastAsia="Arial" w:hAnsi="Arial"/>
                <w:sz w:val="16"/>
                <w:szCs w:val="16"/>
                <w:b w:val="1"/>
                <w:bCs w:val="1"/>
                <w:color w:val="auto"/>
              </w:rPr>
              <w:t>March 31, 2025</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80" w:type="dxa"/>
            <w:vAlign w:val="bottom"/>
            <w:gridSpan w:val="3"/>
          </w:tcPr>
          <w:p>
            <w:pPr>
              <w:jc w:val="right"/>
              <w:ind w:right="839"/>
              <w:spacing w:after="0"/>
              <w:rPr>
                <w:sz w:val="20"/>
                <w:szCs w:val="20"/>
                <w:color w:val="auto"/>
              </w:rPr>
            </w:pPr>
            <w:r>
              <w:rPr>
                <w:rFonts w:ascii="Arial" w:cs="Arial" w:eastAsia="Arial" w:hAnsi="Arial"/>
                <w:sz w:val="16"/>
                <w:szCs w:val="16"/>
                <w:b w:val="1"/>
                <w:bCs w:val="1"/>
                <w:color w:val="auto"/>
              </w:rPr>
              <w:t>December 31, 2024</w:t>
            </w:r>
          </w:p>
        </w:tc>
      </w:tr>
      <w:tr>
        <w:trPr>
          <w:trHeight w:val="21"/>
        </w:trPr>
        <w:tc>
          <w:tcPr>
            <w:tcW w:w="458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55"/>
        </w:trPr>
        <w:tc>
          <w:tcPr>
            <w:tcW w:w="45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b w:val="1"/>
                <w:bCs w:val="1"/>
                <w:color w:val="auto"/>
              </w:rPr>
              <w:t>Financial Liabilities</w:t>
            </w:r>
          </w:p>
        </w:tc>
        <w:tc>
          <w:tcPr>
            <w:tcW w:w="18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Carrying Amount</w:t>
            </w:r>
          </w:p>
        </w:tc>
        <w:tc>
          <w:tcPr>
            <w:tcW w:w="80" w:type="dxa"/>
            <w:vAlign w:val="bottom"/>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99"/>
              </w:rPr>
              <w:t>Fair Value</w:t>
            </w:r>
          </w:p>
        </w:tc>
        <w:tc>
          <w:tcPr>
            <w:tcW w:w="100" w:type="dxa"/>
            <w:vAlign w:val="bottom"/>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Carrying Amount</w:t>
            </w:r>
          </w:p>
        </w:tc>
        <w:tc>
          <w:tcPr>
            <w:tcW w:w="100" w:type="dxa"/>
            <w:vAlign w:val="bottom"/>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Fair Value</w:t>
            </w:r>
          </w:p>
        </w:tc>
      </w:tr>
      <w:tr>
        <w:trPr>
          <w:trHeight w:val="221"/>
        </w:trPr>
        <w:tc>
          <w:tcPr>
            <w:tcW w:w="458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Other long-term debt</w:t>
            </w: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1,128</w:t>
            </w: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1,071</w:t>
            </w:r>
          </w:p>
        </w:tc>
        <w:tc>
          <w:tcPr>
            <w:tcW w:w="100" w:type="dxa"/>
            <w:vAlign w:val="bottom"/>
          </w:tcPr>
          <w:p>
            <w:pPr>
              <w:spacing w:after="0"/>
              <w:rPr>
                <w:sz w:val="19"/>
                <w:szCs w:val="19"/>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1,806</w:t>
            </w:r>
          </w:p>
        </w:tc>
        <w:tc>
          <w:tcPr>
            <w:tcW w:w="100" w:type="dxa"/>
            <w:vAlign w:val="bottom"/>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1,736</w:t>
            </w:r>
          </w:p>
        </w:tc>
      </w:tr>
    </w:tbl>
    <w:p>
      <w:pPr>
        <w:spacing w:after="0" w:line="21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Estimated fair values of long-term debt are based on quoted prices for similar liabilities for which significant inputs are observable and represent a Level 2 valuation. The fair values are estimated based on the type of loan and maturity. The Company estimates the fair value using market interest rates for debts with similar maturities.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15. Share-Based Compensation</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measure and recognize compensation expense related to share-based transactions, including employee, consultant, and non-employee director share option awards, in our consolidated financial statements based on fair value. The fair value of each award is estimated on the date of grant using the Black-Scholes option pricing model for options, and the Monte Carlo simulation model for the performance share units and a share price at the grant date for the restricted share units. The Black-Scholes model and Monte Carlo model both require management to make certain assumptions of future expectations based on historical and current data. The assumptions include the expected term of the awards, expected volatility, dividend yield and risk-free interest rate. The expected term represents the amount of time that awards granted are expected to be outstanding, based on forecasted exercise behavior. The option pricing model requires the input of highly subjective assumptions, including the estimated fair value of the Company’s stock, expected term of the awards, expected volatility of the price of the Company’s shares, risk free interest rate and the expected dividend yield of ordinary shares. The assumptions used to determine the fair value of the option awards represent management’s best estimates. These estimates involve inherent uncertainties and the application of management’s judgment. The Company estimates the expected forfeiture for options utilizing historical data, and only recognizes expense when a defined liquidity event (change in control or IPO) is deemed probable on the number of awards that are expected to vest. After applying a forfeiture estimate during each reporting period for when they are probable of vesting, the Company recognizes expense on a graded attribution basis for each tranche of the award over the period from the grant date to the later of the one-year anniversary of estimated time following a liquidity event or the legal vesting dates.</w:t>
      </w:r>
    </w:p>
    <w:p>
      <w:pPr>
        <w:spacing w:after="0" w:line="7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offers an Employee Stock Purchase Plan which provides eligible employees with an opportunity to purchase our ordinary shares through payroll deductions of up to 10% of their eligible compensation. A participant may purchase a maximum of 2,500 ordinary shares during the purchase period. Amounts deducted and accumulated by the participant are used to purchase ordinary shares at the end of each six-month period, with the Company matching 20% of each employee's contributions on an after-tax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900"/>
        <w:spacing w:after="0" w:line="396" w:lineRule="auto"/>
        <w:rPr>
          <w:sz w:val="20"/>
          <w:szCs w:val="20"/>
          <w:color w:val="auto"/>
        </w:rPr>
      </w:pPr>
      <w:r>
        <w:rPr>
          <w:rFonts w:ascii="Arial" w:cs="Arial" w:eastAsia="Arial" w:hAnsi="Arial"/>
          <w:sz w:val="16"/>
          <w:szCs w:val="16"/>
          <w:b w:val="1"/>
          <w:bCs w:val="1"/>
          <w:color w:val="auto"/>
        </w:rPr>
        <w:t xml:space="preserve">MANAGEMENT’S DISCUSSION AND ANALYSIS OF FINANCIAL CONDITION AND RESULTS OF OPERATIONS </w:t>
      </w:r>
      <w:r>
        <w:rPr>
          <w:rFonts w:ascii="Arial" w:cs="Arial" w:eastAsia="Arial" w:hAnsi="Arial"/>
          <w:sz w:val="16"/>
          <w:szCs w:val="16"/>
          <w:b w:val="1"/>
          <w:bCs w:val="1"/>
          <w:u w:val="single" w:color="auto"/>
          <w:color w:val="auto"/>
        </w:rPr>
        <w:t>Forward-looking Statements</w:t>
      </w:r>
    </w:p>
    <w:p>
      <w:pPr>
        <w:jc w:val="both"/>
        <w:spacing w:after="0" w:line="254" w:lineRule="auto"/>
        <w:rPr>
          <w:sz w:val="20"/>
          <w:szCs w:val="20"/>
          <w:color w:val="auto"/>
        </w:rPr>
      </w:pPr>
      <w:r>
        <w:rPr>
          <w:rFonts w:ascii="Arial" w:cs="Arial" w:eastAsia="Arial" w:hAnsi="Arial"/>
          <w:sz w:val="16"/>
          <w:szCs w:val="16"/>
          <w:color w:val="auto"/>
        </w:rPr>
        <w:t>This document includes “forward-looking statements” that reflect our current expectations and views of future events. These forward-looking statements are made under the "safe harbor" provisions of the U.S. Private Securities Litigation Reform Act of 1995 and include but are not limited to, statements regarding our financial outlook, future guidance, product development, business strategy and plans, and market trends, opportunities and positioning. These statements are based on current expectations, assumptions, estimates, forecasts, projections and limited information available at the time they are made. Words such as “expect,” “anticipate,” “should,” “believe,” “hope,” “target,” “project,” “goals,” “estimate,” “potential,” “predict,” “may,” “will,” “might,” “could,” “intend,” “shall,” "outlook," "on track" and variations of these terms or the negative of these terms and similar expressions are intended to identify these forward-looking statements, although not all forward-looking statements contain these identifying words. Forward-looking statements are subject to a broad variety of risks and uncertainties, both known and unknown. Any inaccuracy in our assumptions and estimates could affect the realization of the expectations or forecasts in these forward-looking statements. For example, our business could be impacted by geopolitical conditions such as the ongoing political and trade tensions with China and the continuation of conflicts in Ukraine and Israel; political developments following the change in the U.S. administration; the imposition of trade controls, tariffs and counter-tariffs between the United States and its trade partners; the market for our products may develop or recover more slowly than expected or than it has in the past; we may fail to achieve the full benefits of our restructuring plan; our operating results may fluctuate more than expected; there may be significant fluctuations in our results of operations and cash flows related to our revenue recognition or otherwise; a network or data security incident that allows unauthorized access to our network or data or our customers’ data could result in a system disruption, loss of data or damage our reputation; we could experience interruptions or performance problems associated with our technology, including a service outage; global economic conditions could deteriorate, including due to rising inflation and any potential recession; the expected benefits of our announced partnerships may fail to materialize; and our expected results and planned expansions and operations may not proceed as planned if funding we expect to receive (including the planned awards under the U.S. CHIPS and Science Act and New York State Green CHIPS) is delayed or withheld for any reason. It is not possible for us to predict all risks, nor can we assess the impact of all factors on our business or the extent to which any factor, or combination of factors, may cause actual results or outcomes to differ materially from those contained in any forward-looking statements we may make. Moreover, we operate in a competitive and rapidly changing market, and new risks may emerge from time to time. You should not rely upon forward-looking statements as predictions of future events. These statements are based on our historical performance and on our current plans, estimates and projections in light of information currently available to us, and therefore you should not place undue reliance on them.</w:t>
      </w:r>
    </w:p>
    <w:p>
      <w:pPr>
        <w:spacing w:after="0" w:line="9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Although we believe that the expectations reflected in our statements are reasonable, we cannot guarantee that the future results, levels of activity, performance or events and circumstances described in the forward-looking statements will be achieved or occur. Moreover, neither we, nor any other person, assumes responsibility for the accuracy and completeness of these statements. Recipients are cautioned not to place undue reliance on these forward-looking statements, which speak only as of the date such statements are made and should not be construed as statements of fact. Except to the extent required by federal securities laws, we undertake no obligation to update any information or any forward-looking statements as a result of new information, subsequent events or any other circumstances after the date hereof, or to reflect the occurrence of unanticipated events. For a discussion of potential risks and uncertainties, please refer to the risk factors and cautionary statements in our 2024 Annual Report on Form 20-F, current reports on Form 6-K and other reports filed with the Securities and Exchange Commission (SEC). Copies of our SEC filings are available on our Investor Relations website, investors.gf.com, or from the SEC website, www.sec.gov.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6"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AND FINANCIAL REVIEWS AND PROSPECTS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Overview</w:t>
      </w:r>
    </w:p>
    <w:p>
      <w:pPr>
        <w:spacing w:after="0" w:line="15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GLOBALFOUNDRIES Inc. (“we,” “GF,” or the “Company”) is one of the world’s leading semiconductor foundries. We manufacture complex, essential integrated circuits (“ICs”) that are used in billions of electronic devices across various industries. Our specialized foundry manufacturing processes, extensive library of qualified circuit-building block designs (known as IP titles or IP blocks), and advanced transistor and device technology allow us to serve a wide range of customers, including the global leaders in IC design. We focus on providing optimized solutions for critical applications that drive key secular growth end markets, ensuring function, performance, and power requirements are met. As the only scaled pure-play foundry (defined as a company specializing in producing ICs for other companies with annual foundry revenue exceeding $3 billion) with a global footprint that is not based in China or Taiwan, we offer our customers the advantage of mitigating geopolitical risk and ensuring greater supply chain certainty and security Since our founding in 2009, we have invested in over $23 billion to create a global manufacturing footprint with state-of-the-art facilities across three continents. Our differentiated foundry solutions redefine the industry by offering essential chip solutions that empower our customers to develop innovative products for a wide range of applications in diverse markets and bring their products to market quickly and cost effectively.</w:t>
      </w:r>
    </w:p>
    <w:p>
      <w:pPr>
        <w:spacing w:after="0" w:line="115"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We focus on essential devices that include digital, analog, mixed-signal, radio frequency (“RF”), ultra-low power and embedded memory solutions that connect, secure and process data, and efficiently power the digital world around us. To meet the needs of our customers, we devote our research and development ("R&amp;D") efforts to a diversified range of differentiated technology platforms in these key categories: Complementary Metal-Oxide Semiconductor (“CMOS”) for both Feature-Rich and Ultra-Low Power, RF, Power and Silicon Photonics (“SiPh”). Specifically within these categories, our key technology platforms include RF SOI, FDX</w:t>
      </w:r>
      <w:r>
        <w:rPr>
          <w:rFonts w:ascii="Arial" w:cs="Arial" w:eastAsia="Arial" w:hAnsi="Arial"/>
          <w:sz w:val="21"/>
          <w:szCs w:val="21"/>
          <w:color w:val="auto"/>
          <w:vertAlign w:val="superscript"/>
        </w:rPr>
        <w:t>TM</w:t>
      </w:r>
      <w:r>
        <w:rPr>
          <w:rFonts w:ascii="Arial" w:cs="Arial" w:eastAsia="Arial" w:hAnsi="Arial"/>
          <w:sz w:val="16"/>
          <w:szCs w:val="16"/>
          <w:color w:val="auto"/>
        </w:rPr>
        <w:t>, Fin Field-Effect Transistor (“FinFET”), Bipolar-CMOS-DMOS (“BCD”), BCDLite, Silicon Germanium (“SiGe”) and Gallium Nitride (“GaN”) products.</w:t>
      </w:r>
    </w:p>
    <w:p>
      <w:pPr>
        <w:spacing w:after="0" w:line="7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principal source of our revenue is wafer fabrication and sales of finished semiconductor wafers, which accounted for approximately 88% of our net revenue for the three months ended March 31, 2025. The rest of our net revenue was mainly derived from photomask manufacturing, sourcing services and pre-fab manufacturing services.</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business has experienced an industry-wide cyclical downturn that led to weaker demand across several of the end markets within which we operate. Exacerbated by geopolitical conflicts and inflation, this prolonged semiconductor downturn impacted our revenue as customers adjusted their inventory levels to match softer end demand.</w:t>
      </w:r>
    </w:p>
    <w:p>
      <w:pPr>
        <w:spacing w:after="0" w:line="5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 recent quarters, we saw indications of the bottoming of the cycle, including improving customer inventory levels and recovering consumer demand. This was evidenced by year-over-year revenue growth in three out of four of our key end markets in the first quarter of 2025. However, the recent increased macroeconomic and policy uncertainty driven by recent tariff announcements have broadened the range of revenue outcomes across the semiconductor industry in the second half of 2025 and beyond. We expect that the catalyst for reducing inventory levels and improving demand will be driven by the stabilization of key macroeconomic indicators, such as inflation, interest rates and GDP growth, and within the industry specifically, the AI-driven acceleration of device refresh cycles. We continue to closely monitor and mitigate the impacts from the ongoing trade tensions and potential related effects on inflation and demand.</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Components of Results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Revenue</w:t>
      </w:r>
    </w:p>
    <w:p>
      <w:pPr>
        <w:spacing w:after="0" w:line="1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generate the majority of our revenue from volume production and sales of finished semiconductor wafers, which are priced on a per-wafer basis for the applicable design. We also generate revenue from rendering of non-recurring engineering (“NRE”) services, mask production and pre-fabrication services such as bump, test and packaging.</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Revenue</w:t>
      </w:r>
    </w:p>
    <w:p>
      <w:pPr>
        <w:spacing w:after="0" w:line="15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Cost of revenue consists primarily of material expenses, depreciation and amortization, employee-related expenses, restructuring expenses, facility costs and costs of fixed assets, including maintenance and spare parts. Material expenses primarily include the costs of raw wafers, test wafers, photomasks, resists, process gases, process chemicals, other operating supplies and external service costs for wafer manufacturing. Costs related to NRE services are also included within the cost of revenue. As it pertains to inflation and inflationary headwinds we are facing within our business, we have experienced an increase in costs for materials and energy, and we expect these increases to continue to have an adverse impact on our financial results of operations while these economic conditions persist.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6"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Depreciation and amortization charges primarily include the depreciation of clean room production equipment. Commencement of depreciation related to construction in progress and property, plant and equipment involves determining when the assets are available for their intended use. Employee-related expenses primarily include employee wages and salaries, social security contributions and benefit costs for operators, maintenance technicians, process engineers, supply chain, IT production, yield improvement and health and safety roles. Facility costs primarily consist of the costs of electricity, water and other utilities and services.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15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Our operating expenses consist of research and development ("R&amp;D"), selling, general and administrative expenses (“SG&amp;A”), and restructuring charges. Personnel costs are the most significant component of our operating expenses, and consist of salaries, benefits, bonuses, share-based compensation and commissions.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Research and Development</w:t>
      </w:r>
    </w:p>
    <w:p>
      <w:pPr>
        <w:spacing w:after="0" w:line="16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Our R&amp;D efforts are focused on developing highly differentiated process technologies and solutions. Our R&amp;D expenses include personnel costs, material costs, software license and intellectual property expenses, facility costs, supplies, professional and consulting fees, and depreciation on equipment used in R&amp;D activities. Our development roadmap includes new platform investments, platform features and extensions, and investments in emerging technology capabilities and solutions. We expense R&amp;D costs as incurred. We believe that continued investment in our technology portfolio is important for our future growth and acquisition of new customers. We expect our R&amp;D as a percentage of revenue to be relatively stable over time as expenses grow in line with increased revenue.</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Selling, General and Administrative</w:t>
      </w:r>
    </w:p>
    <w:p>
      <w:pPr>
        <w:spacing w:after="0" w:line="1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SG&amp;A expenses consist primarily of personnel-related costs, including sales commissions to independent sales representatives and professional fees, including costs of accounting, audit, legal, regulatory and tax compliance. Additionally, costs related to advertising, trade shows, corporate marketing, certain contract cancellation fees, gains and losses on tool sales, withholding taxes and allocated overhead costs are also included in SG&amp;A expenses. We expect our SG&amp;A as a percentage of revenue to be relatively stable over time as expenses grow in line with increased revenue.</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Restructuring Charges</w:t>
      </w:r>
    </w:p>
    <w:p>
      <w:pPr>
        <w:spacing w:after="0" w:line="1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Restructuring charges primarily relate to reductions in our global workforce, leased workspace and consultants we engage for strategic support of the restructuring.</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Operating Charges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Finance Income (Expense), net</w:t>
      </w:r>
    </w:p>
    <w:p>
      <w:pPr>
        <w:spacing w:after="0" w:line="1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Finance income (expense), net consists of interest earned on our cash and cash equivalents and marketable securities, net of any interest expense on borrowings, amortization of debt issuance costs under our term loans, revolving credit facility, finance leases and other credit facilities we maintain with various financial institutions.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Income (Expense), net</w:t>
      </w:r>
    </w:p>
    <w:p>
      <w:pPr>
        <w:spacing w:after="0" w:line="152"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Other income (expense), net consists of our share of profit of our joint venture, one-time gains and losses and other miscellaneous income and expense items unrelated to our core operations. Included are gains and losses relating to hedging activities.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 Expense</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Income tax expense consists primarily of income taxes in jurisdictions in which we conduct business, which mainly include Germany, Singapore and the U.S.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federal and state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6"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80" w:type="dxa"/>
            <w:vAlign w:val="bottom"/>
            <w:gridSpan w:val="2"/>
          </w:tcPr>
          <w:p>
            <w:pPr>
              <w:spacing w:after="0"/>
              <w:rPr>
                <w:sz w:val="20"/>
                <w:szCs w:val="20"/>
                <w:color w:val="auto"/>
              </w:rPr>
            </w:pPr>
            <w:r>
              <w:rPr>
                <w:rFonts w:ascii="Arial" w:cs="Arial" w:eastAsia="Arial" w:hAnsi="Arial"/>
                <w:sz w:val="16"/>
                <w:szCs w:val="16"/>
                <w:b w:val="1"/>
                <w:bCs w:val="1"/>
                <w:color w:val="auto"/>
              </w:rPr>
              <w:t>A. Results of Operations</w:t>
            </w:r>
          </w:p>
        </w:tc>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51"/>
        </w:trPr>
        <w:tc>
          <w:tcPr>
            <w:tcW w:w="7680" w:type="dxa"/>
            <w:vAlign w:val="bottom"/>
            <w:gridSpan w:val="2"/>
          </w:tcPr>
          <w:p>
            <w:pPr>
              <w:spacing w:after="0"/>
              <w:rPr>
                <w:sz w:val="20"/>
                <w:szCs w:val="20"/>
                <w:color w:val="auto"/>
              </w:rPr>
            </w:pPr>
            <w:r>
              <w:rPr>
                <w:rFonts w:ascii="Arial" w:cs="Arial" w:eastAsia="Arial" w:hAnsi="Arial"/>
                <w:sz w:val="16"/>
                <w:szCs w:val="16"/>
                <w:b w:val="1"/>
                <w:bCs w:val="1"/>
                <w:color w:val="auto"/>
              </w:rPr>
              <w:t>Comparison of Three months ended March 31, 2025 and 2024, (in millions).</w:t>
            </w:r>
          </w:p>
        </w:tc>
        <w:tc>
          <w:tcPr>
            <w:tcW w:w="1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0"/>
        </w:trPr>
        <w:tc>
          <w:tcPr>
            <w:tcW w:w="576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69"/>
        </w:trPr>
        <w:tc>
          <w:tcPr>
            <w:tcW w:w="7680" w:type="dxa"/>
            <w:vAlign w:val="bottom"/>
            <w:gridSpan w:val="2"/>
          </w:tcPr>
          <w:p>
            <w:pPr>
              <w:spacing w:after="0"/>
              <w:rPr>
                <w:sz w:val="20"/>
                <w:szCs w:val="20"/>
                <w:color w:val="auto"/>
              </w:rPr>
            </w:pPr>
            <w:r>
              <w:rPr>
                <w:rFonts w:ascii="Arial" w:cs="Arial" w:eastAsia="Arial" w:hAnsi="Arial"/>
                <w:sz w:val="16"/>
                <w:szCs w:val="16"/>
                <w:color w:val="auto"/>
              </w:rPr>
              <w:t>The following table sets forth our consolidated statements of operations data for the periods indicated:</w:t>
            </w: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59"/>
        </w:trPr>
        <w:tc>
          <w:tcPr>
            <w:tcW w:w="57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02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540" w:type="dxa"/>
            <w:vAlign w:val="bottom"/>
          </w:tcPr>
          <w:p>
            <w:pPr>
              <w:spacing w:after="0"/>
              <w:rPr>
                <w:sz w:val="24"/>
                <w:szCs w:val="24"/>
                <w:color w:val="auto"/>
              </w:rPr>
            </w:pPr>
          </w:p>
        </w:tc>
      </w:tr>
      <w:tr>
        <w:trPr>
          <w:trHeight w:val="21"/>
        </w:trPr>
        <w:tc>
          <w:tcPr>
            <w:tcW w:w="57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229"/>
        </w:trPr>
        <w:tc>
          <w:tcPr>
            <w:tcW w:w="57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b w:val="1"/>
                <w:bCs w:val="1"/>
                <w:color w:val="auto"/>
              </w:rPr>
              <w:t>2025</w:t>
            </w:r>
          </w:p>
        </w:tc>
        <w:tc>
          <w:tcPr>
            <w:tcW w:w="580" w:type="dxa"/>
            <w:vAlign w:val="bottom"/>
          </w:tcPr>
          <w:p>
            <w:pPr>
              <w:spacing w:after="0"/>
              <w:rPr>
                <w:sz w:val="19"/>
                <w:szCs w:val="19"/>
                <w:color w:val="auto"/>
              </w:rPr>
            </w:pPr>
          </w:p>
        </w:tc>
        <w:tc>
          <w:tcPr>
            <w:tcW w:w="128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2024</w:t>
            </w:r>
          </w:p>
        </w:tc>
        <w:tc>
          <w:tcPr>
            <w:tcW w:w="540" w:type="dxa"/>
            <w:vAlign w:val="bottom"/>
          </w:tcPr>
          <w:p>
            <w:pPr>
              <w:spacing w:after="0"/>
              <w:rPr>
                <w:sz w:val="19"/>
                <w:szCs w:val="19"/>
                <w:color w:val="auto"/>
              </w:rPr>
            </w:pPr>
          </w:p>
        </w:tc>
      </w:tr>
      <w:tr>
        <w:trPr>
          <w:trHeight w:val="21"/>
        </w:trPr>
        <w:tc>
          <w:tcPr>
            <w:tcW w:w="7680" w:type="dxa"/>
            <w:vAlign w:val="bottom"/>
            <w:tcBorders>
              <w:bottom w:val="single" w:sz="8" w:color="CCEEFF"/>
            </w:tcBorders>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230"/>
        </w:trPr>
        <w:tc>
          <w:tcPr>
            <w:tcW w:w="7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116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1,585</w:t>
            </w:r>
          </w:p>
        </w:tc>
        <w:tc>
          <w:tcPr>
            <w:tcW w:w="100" w:type="dxa"/>
            <w:vAlign w:val="bottom"/>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99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1,549</w:t>
            </w:r>
          </w:p>
        </w:tc>
      </w:tr>
      <w:tr>
        <w:trPr>
          <w:trHeight w:val="228"/>
        </w:trPr>
        <w:tc>
          <w:tcPr>
            <w:tcW w:w="7680" w:type="dxa"/>
            <w:vAlign w:val="bottom"/>
            <w:gridSpan w:val="2"/>
          </w:tcPr>
          <w:p>
            <w:pPr>
              <w:ind w:left="20"/>
              <w:spacing w:after="0"/>
              <w:rPr>
                <w:sz w:val="20"/>
                <w:szCs w:val="20"/>
                <w:color w:val="auto"/>
              </w:rPr>
            </w:pPr>
            <w:r>
              <w:rPr>
                <w:rFonts w:ascii="Arial" w:cs="Arial" w:eastAsia="Arial" w:hAnsi="Arial"/>
                <w:sz w:val="16"/>
                <w:szCs w:val="16"/>
                <w:color w:val="auto"/>
              </w:rPr>
              <w:t>Cost of revenue</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1,230</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1,156</w:t>
            </w:r>
          </w:p>
        </w:tc>
      </w:tr>
      <w:tr>
        <w:trPr>
          <w:trHeight w:val="29"/>
        </w:trPr>
        <w:tc>
          <w:tcPr>
            <w:tcW w:w="7680" w:type="dxa"/>
            <w:vAlign w:val="bottom"/>
            <w:tcBorders>
              <w:bottom w:val="single" w:sz="8" w:color="CCEEFF"/>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50"/>
        </w:trPr>
        <w:tc>
          <w:tcPr>
            <w:tcW w:w="7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Gross profit</w:t>
            </w:r>
          </w:p>
        </w:tc>
        <w:tc>
          <w:tcPr>
            <w:tcW w:w="1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355</w:t>
            </w:r>
          </w:p>
        </w:tc>
        <w:tc>
          <w:tcPr>
            <w:tcW w:w="100" w:type="dxa"/>
            <w:vAlign w:val="bottom"/>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393</w:t>
            </w:r>
          </w:p>
        </w:tc>
      </w:tr>
      <w:tr>
        <w:trPr>
          <w:trHeight w:val="221"/>
        </w:trPr>
        <w:tc>
          <w:tcPr>
            <w:tcW w:w="7680" w:type="dxa"/>
            <w:vAlign w:val="bottom"/>
            <w:gridSpan w:val="2"/>
          </w:tcPr>
          <w:p>
            <w:pPr>
              <w:ind w:left="20"/>
              <w:spacing w:after="0"/>
              <w:rPr>
                <w:sz w:val="20"/>
                <w:szCs w:val="20"/>
                <w:color w:val="auto"/>
              </w:rPr>
            </w:pPr>
            <w:r>
              <w:rPr>
                <w:rFonts w:ascii="Arial" w:cs="Arial" w:eastAsia="Arial" w:hAnsi="Arial"/>
                <w:sz w:val="16"/>
                <w:szCs w:val="16"/>
                <w:color w:val="auto"/>
              </w:rPr>
              <w:t>Research and development expenses</w:t>
            </w:r>
          </w:p>
        </w:tc>
        <w:tc>
          <w:tcPr>
            <w:tcW w:w="1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124</w:t>
            </w:r>
          </w:p>
        </w:tc>
      </w:tr>
      <w:tr>
        <w:trPr>
          <w:trHeight w:val="29"/>
        </w:trPr>
        <w:tc>
          <w:tcPr>
            <w:tcW w:w="768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7"/>
        </w:trPr>
        <w:tc>
          <w:tcPr>
            <w:tcW w:w="7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1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w:t>
            </w:r>
          </w:p>
        </w:tc>
      </w:tr>
      <w:tr>
        <w:trPr>
          <w:trHeight w:val="229"/>
        </w:trPr>
        <w:tc>
          <w:tcPr>
            <w:tcW w:w="7680" w:type="dxa"/>
            <w:vAlign w:val="bottom"/>
            <w:gridSpan w:val="2"/>
          </w:tcPr>
          <w:p>
            <w:pPr>
              <w:ind w:left="20"/>
              <w:spacing w:after="0"/>
              <w:rPr>
                <w:sz w:val="20"/>
                <w:szCs w:val="20"/>
                <w:color w:val="auto"/>
              </w:rPr>
            </w:pPr>
            <w:r>
              <w:rPr>
                <w:rFonts w:ascii="Arial" w:cs="Arial" w:eastAsia="Arial" w:hAnsi="Arial"/>
                <w:sz w:val="16"/>
                <w:szCs w:val="16"/>
                <w:b w:val="1"/>
                <w:bCs w:val="1"/>
                <w:color w:val="auto"/>
              </w:rPr>
              <w:t>Operating expenses</w:t>
            </w:r>
          </w:p>
        </w:tc>
        <w:tc>
          <w:tcPr>
            <w:tcW w:w="1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204</w:t>
            </w:r>
          </w:p>
        </w:tc>
        <w:tc>
          <w:tcPr>
            <w:tcW w:w="10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246</w:t>
            </w:r>
          </w:p>
        </w:tc>
      </w:tr>
      <w:tr>
        <w:trPr>
          <w:trHeight w:val="21"/>
        </w:trPr>
        <w:tc>
          <w:tcPr>
            <w:tcW w:w="7680" w:type="dxa"/>
            <w:vAlign w:val="bottom"/>
            <w:tcBorders>
              <w:bottom w:val="single" w:sz="8" w:color="CCEEFF"/>
            </w:tcBorders>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230"/>
        </w:trPr>
        <w:tc>
          <w:tcPr>
            <w:tcW w:w="7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Income from operations</w:t>
            </w:r>
          </w:p>
        </w:tc>
        <w:tc>
          <w:tcPr>
            <w:tcW w:w="11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151</w:t>
            </w:r>
          </w:p>
        </w:tc>
        <w:tc>
          <w:tcPr>
            <w:tcW w:w="100" w:type="dxa"/>
            <w:vAlign w:val="bottom"/>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147</w:t>
            </w:r>
          </w:p>
        </w:tc>
      </w:tr>
      <w:tr>
        <w:trPr>
          <w:trHeight w:val="228"/>
        </w:trPr>
        <w:tc>
          <w:tcPr>
            <w:tcW w:w="7680" w:type="dxa"/>
            <w:vAlign w:val="bottom"/>
            <w:gridSpan w:val="2"/>
          </w:tcPr>
          <w:p>
            <w:pPr>
              <w:ind w:left="20"/>
              <w:spacing w:after="0"/>
              <w:rPr>
                <w:sz w:val="20"/>
                <w:szCs w:val="20"/>
                <w:color w:val="auto"/>
              </w:rPr>
            </w:pPr>
            <w:r>
              <w:rPr>
                <w:rFonts w:ascii="Arial" w:cs="Arial" w:eastAsia="Arial" w:hAnsi="Arial"/>
                <w:sz w:val="16"/>
                <w:szCs w:val="16"/>
                <w:color w:val="auto"/>
              </w:rPr>
              <w:t>Finance income (expense), net</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9"/>
        </w:trPr>
        <w:tc>
          <w:tcPr>
            <w:tcW w:w="768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7"/>
        </w:trPr>
        <w:tc>
          <w:tcPr>
            <w:tcW w:w="7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11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29"/>
        </w:trPr>
        <w:tc>
          <w:tcPr>
            <w:tcW w:w="7680" w:type="dxa"/>
            <w:vAlign w:val="bottom"/>
            <w:gridSpan w:val="2"/>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1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195</w:t>
            </w:r>
          </w:p>
        </w:tc>
        <w:tc>
          <w:tcPr>
            <w:tcW w:w="10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155</w:t>
            </w:r>
          </w:p>
        </w:tc>
      </w:tr>
      <w:tr>
        <w:trPr>
          <w:trHeight w:val="21"/>
        </w:trPr>
        <w:tc>
          <w:tcPr>
            <w:tcW w:w="76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7"/>
        </w:trPr>
        <w:tc>
          <w:tcPr>
            <w:tcW w:w="7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Income tax (expense) benefit</w:t>
            </w:r>
          </w:p>
        </w:tc>
        <w:tc>
          <w:tcPr>
            <w:tcW w:w="11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29"/>
        </w:trPr>
        <w:tc>
          <w:tcPr>
            <w:tcW w:w="7680" w:type="dxa"/>
            <w:vAlign w:val="bottom"/>
            <w:gridSpan w:val="2"/>
          </w:tcPr>
          <w:p>
            <w:pPr>
              <w:ind w:left="20"/>
              <w:spacing w:after="0"/>
              <w:rPr>
                <w:sz w:val="20"/>
                <w:szCs w:val="20"/>
                <w:color w:val="auto"/>
              </w:rPr>
            </w:pPr>
            <w:r>
              <w:rPr>
                <w:rFonts w:ascii="Arial" w:cs="Arial" w:eastAsia="Arial" w:hAnsi="Arial"/>
                <w:sz w:val="16"/>
                <w:szCs w:val="16"/>
                <w:b w:val="1"/>
                <w:bCs w:val="1"/>
                <w:color w:val="auto"/>
              </w:rPr>
              <w:t>Net income</w:t>
            </w:r>
          </w:p>
        </w:tc>
        <w:tc>
          <w:tcPr>
            <w:tcW w:w="1160" w:type="dxa"/>
            <w:vAlign w:val="bottom"/>
            <w:tcBorders>
              <w:top w:val="single" w:sz="8" w:color="auto"/>
            </w:tcBorders>
          </w:tcPr>
          <w:p>
            <w:pPr>
              <w:jc w:val="right"/>
              <w:ind w:right="959"/>
              <w:spacing w:after="0"/>
              <w:rPr>
                <w:sz w:val="20"/>
                <w:szCs w:val="20"/>
                <w:color w:val="auto"/>
              </w:rPr>
            </w:pPr>
            <w:r>
              <w:rPr>
                <w:rFonts w:ascii="Arial" w:cs="Arial" w:eastAsia="Arial" w:hAnsi="Arial"/>
                <w:sz w:val="16"/>
                <w:szCs w:val="16"/>
                <w:b w:val="1"/>
                <w:bCs w:val="1"/>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211</w:t>
            </w:r>
          </w:p>
        </w:tc>
        <w:tc>
          <w:tcPr>
            <w:tcW w:w="100" w:type="dxa"/>
            <w:vAlign w:val="bottom"/>
          </w:tcPr>
          <w:p>
            <w:pPr>
              <w:spacing w:after="0"/>
              <w:rPr>
                <w:sz w:val="19"/>
                <w:szCs w:val="19"/>
                <w:color w:val="auto"/>
              </w:rPr>
            </w:pPr>
          </w:p>
        </w:tc>
        <w:tc>
          <w:tcPr>
            <w:tcW w:w="1180" w:type="dxa"/>
            <w:vAlign w:val="bottom"/>
            <w:tcBorders>
              <w:top w:val="single" w:sz="8" w:color="auto"/>
            </w:tcBorders>
          </w:tcPr>
          <w:p>
            <w:pPr>
              <w:jc w:val="right"/>
              <w:ind w:right="999"/>
              <w:spacing w:after="0"/>
              <w:rPr>
                <w:sz w:val="20"/>
                <w:szCs w:val="20"/>
                <w:color w:val="auto"/>
              </w:rPr>
            </w:pPr>
            <w:r>
              <w:rPr>
                <w:rFonts w:ascii="Arial" w:cs="Arial" w:eastAsia="Arial" w:hAnsi="Arial"/>
                <w:sz w:val="16"/>
                <w:szCs w:val="16"/>
                <w:b w:val="1"/>
                <w:bCs w:val="1"/>
                <w:color w:val="auto"/>
                <w:w w:val="8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134</w:t>
            </w:r>
          </w:p>
        </w:tc>
      </w:tr>
      <w:tr>
        <w:trPr>
          <w:trHeight w:val="21"/>
        </w:trPr>
        <w:tc>
          <w:tcPr>
            <w:tcW w:w="57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420" w:type="dxa"/>
            <w:vAlign w:val="bottom"/>
          </w:tcPr>
          <w:p>
            <w:pPr>
              <w:spacing w:after="0"/>
              <w:rPr>
                <w:sz w:val="20"/>
                <w:szCs w:val="20"/>
                <w:color w:val="auto"/>
              </w:rPr>
            </w:pPr>
            <w:r>
              <w:rPr>
                <w:rFonts w:ascii="Arial" w:cs="Arial" w:eastAsia="Arial" w:hAnsi="Arial"/>
                <w:sz w:val="16"/>
                <w:szCs w:val="16"/>
                <w:b w:val="1"/>
                <w:bCs w:val="1"/>
                <w:i w:val="1"/>
                <w:iCs w:val="1"/>
                <w:color w:val="auto"/>
              </w:rPr>
              <w:t>Net Revenue</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351"/>
        </w:trPr>
        <w:tc>
          <w:tcPr>
            <w:tcW w:w="6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80" w:type="dxa"/>
            <w:vAlign w:val="bottom"/>
            <w:gridSpan w:val="7"/>
          </w:tcPr>
          <w:p>
            <w:pPr>
              <w:ind w:left="20"/>
              <w:spacing w:after="0"/>
              <w:rPr>
                <w:sz w:val="20"/>
                <w:szCs w:val="20"/>
                <w:color w:val="auto"/>
              </w:rPr>
            </w:pPr>
            <w:r>
              <w:rPr>
                <w:rFonts w:ascii="Arial" w:cs="Arial" w:eastAsia="Arial" w:hAnsi="Arial"/>
                <w:sz w:val="16"/>
                <w:szCs w:val="16"/>
                <w:b w:val="1"/>
                <w:bCs w:val="1"/>
                <w:color w:val="auto"/>
              </w:rPr>
              <w:t>Three Months Ended March 31</w:t>
            </w:r>
          </w:p>
        </w:tc>
        <w:tc>
          <w:tcPr>
            <w:tcW w:w="1080" w:type="dxa"/>
            <w:vAlign w:val="bottom"/>
          </w:tcPr>
          <w:p>
            <w:pPr>
              <w:spacing w:after="0"/>
              <w:rPr>
                <w:sz w:val="24"/>
                <w:szCs w:val="24"/>
                <w:color w:val="auto"/>
              </w:rPr>
            </w:pPr>
          </w:p>
        </w:tc>
      </w:tr>
      <w:tr>
        <w:trPr>
          <w:trHeight w:val="21"/>
        </w:trPr>
        <w:tc>
          <w:tcPr>
            <w:tcW w:w="6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3"/>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0"/>
        </w:trPr>
        <w:tc>
          <w:tcPr>
            <w:tcW w:w="6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279"/>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2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3"/>
          </w:tcPr>
          <w:p>
            <w:pPr>
              <w:ind w:left="60"/>
              <w:spacing w:after="0"/>
              <w:rPr>
                <w:sz w:val="20"/>
                <w:szCs w:val="20"/>
                <w:color w:val="auto"/>
              </w:rPr>
            </w:pPr>
            <w:r>
              <w:rPr>
                <w:rFonts w:ascii="Arial" w:cs="Arial" w:eastAsia="Arial" w:hAnsi="Arial"/>
                <w:sz w:val="16"/>
                <w:szCs w:val="16"/>
                <w:b w:val="1"/>
                <w:bCs w:val="1"/>
                <w:color w:val="auto"/>
              </w:rPr>
              <w:t>Change</w:t>
            </w:r>
          </w:p>
        </w:tc>
        <w:tc>
          <w:tcPr>
            <w:tcW w:w="108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37"/>
        </w:trPr>
        <w:tc>
          <w:tcPr>
            <w:tcW w:w="6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080" w:type="dxa"/>
            <w:vAlign w:val="bottom"/>
            <w:tcBorders>
              <w:top w:val="single" w:sz="8" w:color="auto"/>
            </w:tcBorders>
          </w:tcPr>
          <w:p>
            <w:pPr>
              <w:spacing w:after="0"/>
              <w:rPr>
                <w:sz w:val="3"/>
                <w:szCs w:val="3"/>
                <w:color w:val="auto"/>
              </w:rPr>
            </w:pPr>
          </w:p>
        </w:tc>
      </w:tr>
      <w:tr>
        <w:trPr>
          <w:trHeight w:val="228"/>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100" w:type="dxa"/>
            <w:vAlign w:val="bottom"/>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1,585</w:t>
            </w:r>
          </w:p>
        </w:tc>
        <w:tc>
          <w:tcPr>
            <w:tcW w:w="80" w:type="dxa"/>
            <w:vAlign w:val="bottom"/>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1,549</w:t>
            </w:r>
          </w:p>
        </w:tc>
        <w:tc>
          <w:tcPr>
            <w:tcW w:w="100" w:type="dxa"/>
            <w:vAlign w:val="bottom"/>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2.3 %</w:t>
            </w:r>
          </w:p>
        </w:tc>
      </w:tr>
      <w:tr>
        <w:trPr>
          <w:trHeight w:val="29"/>
        </w:trPr>
        <w:tc>
          <w:tcPr>
            <w:tcW w:w="642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Net revenue increased by $36 million, or 2.3%, for the three months ended March 31, 2025 compared to the three months ended March 31, 2024. The increase from the prior period was primarily driven by wafer shipment volume totaling 543 thousand (300mm equivalent), a 17% increase from prior period. This was offset by lower year-over-year underutilization payments, which we recognize in wafer revenue, as well as a change in the mix of product shipped and a modest decline in average selling prices per wafer.</w:t>
      </w:r>
    </w:p>
    <w:p>
      <w:pPr>
        <w:spacing w:after="0" w:line="9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For the three months ended March 31, 2025, we experienced growth in three of our four end markets compared to the three months ended March 31, 2024. Communications, Infrastructure &amp; Datacenter increased 45% year-over-year driven by strong demand in optical networking and datacenter solutions. The Automotive end market increased 16% year over year, driven by continued content and share gains. Home and Industrial IoT grew 6% year over year, driven by initial signes of stabilization in smart home and industrial markets. Offsetting this growth, Smart Mobile Device declined 14% year over year, primarily due to the cessation of customer underutilization payments. Additionally, non-wafer revenue increased 8%, primarily driven by higher license revenue.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420" w:type="dxa"/>
            <w:vAlign w:val="bottom"/>
          </w:tcPr>
          <w:p>
            <w:pPr>
              <w:ind w:left="20"/>
              <w:spacing w:after="0"/>
              <w:rPr>
                <w:sz w:val="20"/>
                <w:szCs w:val="20"/>
                <w:color w:val="auto"/>
              </w:rPr>
            </w:pPr>
            <w:r>
              <w:rPr>
                <w:rFonts w:ascii="Arial" w:cs="Arial" w:eastAsia="Arial" w:hAnsi="Arial"/>
                <w:sz w:val="16"/>
                <w:szCs w:val="16"/>
                <w:b w:val="1"/>
                <w:bCs w:val="1"/>
                <w:color w:val="auto"/>
              </w:rPr>
              <w:t>End Markets: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80" w:type="dxa"/>
            <w:vAlign w:val="bottom"/>
            <w:gridSpan w:val="7"/>
          </w:tcPr>
          <w:p>
            <w:pPr>
              <w:ind w:left="20"/>
              <w:spacing w:after="0"/>
              <w:rPr>
                <w:sz w:val="20"/>
                <w:szCs w:val="20"/>
                <w:color w:val="auto"/>
              </w:rPr>
            </w:pPr>
            <w:r>
              <w:rPr>
                <w:rFonts w:ascii="Arial" w:cs="Arial" w:eastAsia="Arial" w:hAnsi="Arial"/>
                <w:sz w:val="16"/>
                <w:szCs w:val="16"/>
                <w:b w:val="1"/>
                <w:bCs w:val="1"/>
                <w:color w:val="auto"/>
              </w:rPr>
              <w:t>Three Months Ended March 31</w:t>
            </w:r>
          </w:p>
        </w:tc>
        <w:tc>
          <w:tcPr>
            <w:tcW w:w="1080" w:type="dxa"/>
            <w:vAlign w:val="bottom"/>
          </w:tcPr>
          <w:p>
            <w:pPr>
              <w:spacing w:after="0"/>
              <w:rPr>
                <w:sz w:val="19"/>
                <w:szCs w:val="19"/>
                <w:color w:val="auto"/>
              </w:rPr>
            </w:pPr>
          </w:p>
        </w:tc>
      </w:tr>
      <w:tr>
        <w:trPr>
          <w:trHeight w:val="21"/>
        </w:trPr>
        <w:tc>
          <w:tcPr>
            <w:tcW w:w="6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3"/>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0"/>
        </w:trPr>
        <w:tc>
          <w:tcPr>
            <w:tcW w:w="6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279"/>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2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3"/>
          </w:tcPr>
          <w:p>
            <w:pPr>
              <w:ind w:left="60"/>
              <w:spacing w:after="0"/>
              <w:rPr>
                <w:sz w:val="20"/>
                <w:szCs w:val="20"/>
                <w:color w:val="auto"/>
              </w:rPr>
            </w:pPr>
            <w:r>
              <w:rPr>
                <w:rFonts w:ascii="Arial" w:cs="Arial" w:eastAsia="Arial" w:hAnsi="Arial"/>
                <w:sz w:val="16"/>
                <w:szCs w:val="16"/>
                <w:b w:val="1"/>
                <w:bCs w:val="1"/>
                <w:color w:val="auto"/>
              </w:rPr>
              <w:t>Change</w:t>
            </w:r>
          </w:p>
        </w:tc>
        <w:tc>
          <w:tcPr>
            <w:tcW w:w="108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37"/>
        </w:trPr>
        <w:tc>
          <w:tcPr>
            <w:tcW w:w="6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080" w:type="dxa"/>
            <w:vAlign w:val="bottom"/>
            <w:tcBorders>
              <w:top w:val="single" w:sz="8" w:color="auto"/>
            </w:tcBorders>
          </w:tcPr>
          <w:p>
            <w:pPr>
              <w:spacing w:after="0"/>
              <w:rPr>
                <w:sz w:val="3"/>
                <w:szCs w:val="3"/>
                <w:color w:val="auto"/>
              </w:rPr>
            </w:pPr>
          </w:p>
        </w:tc>
      </w:tr>
      <w:tr>
        <w:trPr>
          <w:trHeight w:val="257"/>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Smart Mobile Devices</w:t>
            </w:r>
          </w:p>
        </w:tc>
        <w:tc>
          <w:tcPr>
            <w:tcW w:w="100" w:type="dxa"/>
            <w:vAlign w:val="bottom"/>
          </w:tcPr>
          <w:p>
            <w:pPr>
              <w:spacing w:after="0"/>
              <w:rPr>
                <w:sz w:val="22"/>
                <w:szCs w:val="22"/>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w:t>
            </w:r>
          </w:p>
        </w:tc>
        <w:tc>
          <w:tcPr>
            <w:tcW w:w="80" w:type="dxa"/>
            <w:vAlign w:val="bottom"/>
          </w:tcPr>
          <w:p>
            <w:pPr>
              <w:spacing w:after="0"/>
              <w:rPr>
                <w:sz w:val="22"/>
                <w:szCs w:val="22"/>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w:t>
            </w:r>
          </w:p>
        </w:tc>
        <w:tc>
          <w:tcPr>
            <w:tcW w:w="100" w:type="dxa"/>
            <w:vAlign w:val="bottom"/>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center"/>
              <w:ind w:left="479"/>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r>
      <w:tr>
        <w:trPr>
          <w:trHeight w:val="249"/>
        </w:trPr>
        <w:tc>
          <w:tcPr>
            <w:tcW w:w="6420" w:type="dxa"/>
            <w:vAlign w:val="bottom"/>
          </w:tcPr>
          <w:p>
            <w:pPr>
              <w:ind w:left="20"/>
              <w:spacing w:after="0"/>
              <w:rPr>
                <w:sz w:val="20"/>
                <w:szCs w:val="20"/>
                <w:color w:val="auto"/>
              </w:rPr>
            </w:pPr>
            <w:r>
              <w:rPr>
                <w:rFonts w:ascii="Arial" w:cs="Arial" w:eastAsia="Arial" w:hAnsi="Arial"/>
                <w:sz w:val="16"/>
                <w:szCs w:val="16"/>
                <w:color w:val="auto"/>
              </w:rPr>
              <w:t>Communications Infrastructure &amp; Datacenter</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center"/>
              <w:ind w:left="519"/>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45.0 %</w:t>
            </w:r>
          </w:p>
        </w:tc>
      </w:tr>
      <w:tr>
        <w:trPr>
          <w:trHeight w:val="264"/>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Home and Industrial IoT</w:t>
            </w:r>
          </w:p>
        </w:tc>
        <w:tc>
          <w:tcPr>
            <w:tcW w:w="100" w:type="dxa"/>
            <w:vAlign w:val="bottom"/>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80" w:type="dxa"/>
            <w:vAlign w:val="bottom"/>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100" w:type="dxa"/>
            <w:vAlign w:val="bottom"/>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jc w:val="center"/>
              <w:ind w:left="51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6.1 %</w:t>
            </w:r>
          </w:p>
        </w:tc>
      </w:tr>
      <w:tr>
        <w:trPr>
          <w:trHeight w:val="249"/>
        </w:trPr>
        <w:tc>
          <w:tcPr>
            <w:tcW w:w="6420" w:type="dxa"/>
            <w:vAlign w:val="bottom"/>
          </w:tcPr>
          <w:p>
            <w:pPr>
              <w:ind w:left="20"/>
              <w:spacing w:after="0"/>
              <w:rPr>
                <w:sz w:val="20"/>
                <w:szCs w:val="20"/>
                <w:color w:val="auto"/>
              </w:rPr>
            </w:pPr>
            <w:r>
              <w:rPr>
                <w:rFonts w:ascii="Arial" w:cs="Arial" w:eastAsia="Arial" w:hAnsi="Arial"/>
                <w:sz w:val="16"/>
                <w:szCs w:val="16"/>
                <w:color w:val="auto"/>
              </w:rPr>
              <w:t>Automotive</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center"/>
              <w:ind w:left="519"/>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16.2 %</w:t>
            </w:r>
          </w:p>
        </w:tc>
      </w:tr>
      <w:tr>
        <w:trPr>
          <w:trHeight w:val="264"/>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 wafer revenue and other</w:t>
            </w:r>
          </w:p>
        </w:tc>
        <w:tc>
          <w:tcPr>
            <w:tcW w:w="100" w:type="dxa"/>
            <w:vAlign w:val="bottom"/>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80" w:type="dxa"/>
            <w:vAlign w:val="bottom"/>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center"/>
              <w:ind w:left="51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8.0 %</w:t>
            </w:r>
          </w:p>
        </w:tc>
      </w:tr>
      <w:tr>
        <w:trPr>
          <w:trHeight w:val="229"/>
        </w:trPr>
        <w:tc>
          <w:tcPr>
            <w:tcW w:w="642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32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1,585</w:t>
            </w:r>
          </w:p>
        </w:tc>
        <w:tc>
          <w:tcPr>
            <w:tcW w:w="320" w:type="dxa"/>
            <w:vAlign w:val="bottom"/>
            <w:gridSpan w:val="2"/>
          </w:tcPr>
          <w:p>
            <w:pPr>
              <w:ind w:left="100"/>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1,549</w:t>
            </w:r>
          </w:p>
        </w:tc>
        <w:tc>
          <w:tcPr>
            <w:tcW w:w="2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center"/>
              <w:ind w:left="519"/>
              <w:spacing w:after="0"/>
              <w:rPr>
                <w:sz w:val="20"/>
                <w:szCs w:val="20"/>
                <w:color w:val="auto"/>
              </w:rPr>
            </w:pPr>
            <w:r>
              <w:rPr>
                <w:rFonts w:ascii="Arial" w:cs="Arial" w:eastAsia="Arial" w:hAnsi="Arial"/>
                <w:sz w:val="16"/>
                <w:szCs w:val="16"/>
                <w:b w:val="1"/>
                <w:bCs w:val="1"/>
                <w:color w:val="auto"/>
              </w:rPr>
              <w:t>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2.3 %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6"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200" w:type="dxa"/>
            <w:vAlign w:val="bottom"/>
          </w:tcPr>
          <w:p>
            <w:pPr>
              <w:spacing w:after="0"/>
              <w:rPr>
                <w:sz w:val="20"/>
                <w:szCs w:val="20"/>
                <w:color w:val="auto"/>
              </w:rPr>
            </w:pPr>
            <w:r>
              <w:rPr>
                <w:rFonts w:ascii="Arial" w:cs="Arial" w:eastAsia="Arial" w:hAnsi="Arial"/>
                <w:sz w:val="16"/>
                <w:szCs w:val="16"/>
                <w:b w:val="1"/>
                <w:bCs w:val="1"/>
                <w:i w:val="1"/>
                <w:iCs w:val="1"/>
                <w:color w:val="auto"/>
              </w:rPr>
              <w:t>Cost of Revenue</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43"/>
        </w:trPr>
        <w:tc>
          <w:tcPr>
            <w:tcW w:w="6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60" w:type="dxa"/>
            <w:vAlign w:val="bottom"/>
            <w:gridSpan w:val="5"/>
          </w:tcPr>
          <w:p>
            <w:pPr>
              <w:spacing w:after="0"/>
              <w:rPr>
                <w:sz w:val="20"/>
                <w:szCs w:val="20"/>
                <w:color w:val="auto"/>
              </w:rPr>
            </w:pPr>
            <w:r>
              <w:rPr>
                <w:rFonts w:ascii="Arial" w:cs="Arial" w:eastAsia="Arial" w:hAnsi="Arial"/>
                <w:sz w:val="16"/>
                <w:szCs w:val="16"/>
                <w:b w:val="1"/>
                <w:bCs w:val="1"/>
                <w:color w:val="auto"/>
              </w:rPr>
              <w:t>Three Months Ended March 31</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1"/>
        </w:trPr>
        <w:tc>
          <w:tcPr>
            <w:tcW w:w="6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0"/>
        </w:trPr>
        <w:tc>
          <w:tcPr>
            <w:tcW w:w="6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9"/>
                <w:szCs w:val="19"/>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37"/>
        </w:trPr>
        <w:tc>
          <w:tcPr>
            <w:tcW w:w="6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37"/>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80" w:type="dxa"/>
            <w:vAlign w:val="bottom"/>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1,230</w:t>
            </w:r>
          </w:p>
        </w:tc>
        <w:tc>
          <w:tcPr>
            <w:tcW w:w="100" w:type="dxa"/>
            <w:vAlign w:val="bottom"/>
          </w:tcPr>
          <w:p>
            <w:pPr>
              <w:spacing w:after="0"/>
              <w:rPr>
                <w:sz w:val="20"/>
                <w:szCs w:val="20"/>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1,156</w:t>
            </w:r>
          </w:p>
        </w:tc>
        <w:tc>
          <w:tcPr>
            <w:tcW w:w="100" w:type="dxa"/>
            <w:vAlign w:val="bottom"/>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6.4 %</w:t>
            </w:r>
          </w:p>
        </w:tc>
      </w:tr>
      <w:tr>
        <w:trPr>
          <w:trHeight w:val="214"/>
        </w:trPr>
        <w:tc>
          <w:tcPr>
            <w:tcW w:w="6200" w:type="dxa"/>
            <w:vAlign w:val="bottom"/>
          </w:tcPr>
          <w:p>
            <w:pPr>
              <w:ind w:left="20"/>
              <w:spacing w:after="0"/>
              <w:rPr>
                <w:sz w:val="20"/>
                <w:szCs w:val="20"/>
                <w:color w:val="auto"/>
              </w:rPr>
            </w:pPr>
            <w:r>
              <w:rPr>
                <w:rFonts w:ascii="Arial" w:cs="Arial" w:eastAsia="Arial" w:hAnsi="Arial"/>
                <w:sz w:val="16"/>
                <w:szCs w:val="16"/>
                <w:i w:val="1"/>
                <w:iCs w:val="1"/>
                <w:color w:val="auto"/>
              </w:rPr>
              <w:t>Gross margin</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i w:val="1"/>
                <w:iCs w:val="1"/>
                <w:color w:val="auto"/>
              </w:rPr>
              <w:t>22.4 %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i w:val="1"/>
                <w:iCs w:val="1"/>
                <w:color w:val="auto"/>
              </w:rPr>
              <w:t>25.4 %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i w:val="1"/>
                <w:iCs w:val="1"/>
                <w:color w:val="auto"/>
              </w:rPr>
              <w:t>(300)bps</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r>
    </w:tbl>
    <w:p>
      <w:pPr>
        <w:spacing w:after="0" w:line="20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Cost of revenue increased by $74 million, or 6.4%, for the three months ended March 31, 2025 compared to the three months ended March 31, 2024. The change was driven primarily by a 17% higher shipment volume offset by 10% decrease in depreciation expense.</w:t>
      </w:r>
    </w:p>
    <w:p>
      <w:pPr>
        <w:spacing w:after="0" w:line="6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Gross margin decreased to 22.4% for the three months ended March 31, 2025 from 25.4% for the three months ended March 31, 2024. The decrease of 300 basis points was primarily driven by lower year-over-year underutilization payments, as well as a change in the mix of product shipped and a modest decline in average selling prices per wafer partially offset by a reduction in fixed costs.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240" w:type="dxa"/>
            <w:vAlign w:val="bottom"/>
          </w:tcPr>
          <w:p>
            <w:pPr>
              <w:spacing w:after="0"/>
              <w:rPr>
                <w:sz w:val="20"/>
                <w:szCs w:val="20"/>
                <w:color w:val="auto"/>
              </w:rPr>
            </w:pPr>
            <w:r>
              <w:rPr>
                <w:rFonts w:ascii="Arial" w:cs="Arial" w:eastAsia="Arial" w:hAnsi="Arial"/>
                <w:sz w:val="16"/>
                <w:szCs w:val="16"/>
                <w:b w:val="1"/>
                <w:bCs w:val="1"/>
                <w:i w:val="1"/>
                <w:iCs w:val="1"/>
                <w:color w:val="auto"/>
              </w:rPr>
              <w:t>Operating Expenses</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97"/>
        </w:trPr>
        <w:tc>
          <w:tcPr>
            <w:tcW w:w="6240" w:type="dxa"/>
            <w:vAlign w:val="bottom"/>
          </w:tcPr>
          <w:p>
            <w:pPr>
              <w:spacing w:after="0"/>
              <w:rPr>
                <w:sz w:val="20"/>
                <w:szCs w:val="20"/>
                <w:color w:val="auto"/>
              </w:rPr>
            </w:pPr>
            <w:r>
              <w:rPr>
                <w:rFonts w:ascii="Arial" w:cs="Arial" w:eastAsia="Arial" w:hAnsi="Arial"/>
                <w:sz w:val="16"/>
                <w:szCs w:val="16"/>
                <w:b w:val="1"/>
                <w:bCs w:val="1"/>
                <w:i w:val="1"/>
                <w:iCs w:val="1"/>
                <w:color w:val="auto"/>
              </w:rPr>
              <w:t>Research and Development Expenses</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6"/>
        </w:trPr>
        <w:tc>
          <w:tcPr>
            <w:tcW w:w="6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540" w:type="dxa"/>
            <w:vAlign w:val="bottom"/>
            <w:gridSpan w:val="7"/>
          </w:tcPr>
          <w:p>
            <w:pPr>
              <w:ind w:left="80"/>
              <w:spacing w:after="0"/>
              <w:rPr>
                <w:sz w:val="20"/>
                <w:szCs w:val="20"/>
                <w:color w:val="auto"/>
              </w:rPr>
            </w:pPr>
            <w:r>
              <w:rPr>
                <w:rFonts w:ascii="Arial" w:cs="Arial" w:eastAsia="Arial" w:hAnsi="Arial"/>
                <w:sz w:val="16"/>
                <w:szCs w:val="16"/>
                <w:b w:val="1"/>
                <w:bCs w:val="1"/>
                <w:color w:val="auto"/>
              </w:rPr>
              <w:t>Three Months Ended March 31</w:t>
            </w:r>
          </w:p>
        </w:tc>
        <w:tc>
          <w:tcPr>
            <w:tcW w:w="1180" w:type="dxa"/>
            <w:vAlign w:val="bottom"/>
          </w:tcPr>
          <w:p>
            <w:pPr>
              <w:spacing w:after="0"/>
              <w:rPr>
                <w:sz w:val="22"/>
                <w:szCs w:val="22"/>
                <w:color w:val="auto"/>
              </w:rPr>
            </w:pPr>
          </w:p>
        </w:tc>
      </w:tr>
      <w:tr>
        <w:trPr>
          <w:trHeight w:val="21"/>
        </w:trPr>
        <w:tc>
          <w:tcPr>
            <w:tcW w:w="6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0"/>
        </w:trPr>
        <w:tc>
          <w:tcPr>
            <w:tcW w:w="6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39"/>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ind w:left="60"/>
              <w:spacing w:after="0"/>
              <w:rPr>
                <w:sz w:val="20"/>
                <w:szCs w:val="20"/>
                <w:color w:val="auto"/>
              </w:rPr>
            </w:pPr>
            <w:r>
              <w:rPr>
                <w:rFonts w:ascii="Arial" w:cs="Arial" w:eastAsia="Arial" w:hAnsi="Arial"/>
                <w:sz w:val="16"/>
                <w:szCs w:val="16"/>
                <w:b w:val="1"/>
                <w:bCs w:val="1"/>
                <w:color w:val="auto"/>
              </w:rPr>
              <w:t>Change</w:t>
            </w: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37"/>
        </w:trPr>
        <w:tc>
          <w:tcPr>
            <w:tcW w:w="6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r>
      <w:tr>
        <w:trPr>
          <w:trHeight w:val="237"/>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Research and development expenses</w:t>
            </w:r>
          </w:p>
        </w:tc>
        <w:tc>
          <w:tcPr>
            <w:tcW w:w="80" w:type="dxa"/>
            <w:vAlign w:val="bottom"/>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127</w:t>
            </w:r>
          </w:p>
        </w:tc>
        <w:tc>
          <w:tcPr>
            <w:tcW w:w="80" w:type="dxa"/>
            <w:vAlign w:val="bottom"/>
          </w:tcPr>
          <w:p>
            <w:pPr>
              <w:spacing w:after="0"/>
              <w:rPr>
                <w:sz w:val="20"/>
                <w:szCs w:val="20"/>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2.4 %</w:t>
            </w:r>
          </w:p>
        </w:tc>
      </w:tr>
      <w:tr>
        <w:trPr>
          <w:trHeight w:val="214"/>
        </w:trPr>
        <w:tc>
          <w:tcPr>
            <w:tcW w:w="6240" w:type="dxa"/>
            <w:vAlign w:val="bottom"/>
          </w:tcPr>
          <w:p>
            <w:pPr>
              <w:ind w:left="20"/>
              <w:spacing w:after="0"/>
              <w:rPr>
                <w:sz w:val="20"/>
                <w:szCs w:val="20"/>
                <w:color w:val="auto"/>
              </w:rPr>
            </w:pPr>
            <w:r>
              <w:rPr>
                <w:rFonts w:ascii="Arial" w:cs="Arial" w:eastAsia="Arial" w:hAnsi="Arial"/>
                <w:sz w:val="16"/>
                <w:szCs w:val="16"/>
                <w:i w:val="1"/>
                <w:iCs w:val="1"/>
                <w:color w:val="auto"/>
              </w:rPr>
              <w:t>As a % of revenue</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i w:val="1"/>
                <w:iCs w:val="1"/>
                <w:color w:val="auto"/>
              </w:rPr>
              <w:t>8.0 %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i w:val="1"/>
                <w:iCs w:val="1"/>
                <w:color w:val="auto"/>
              </w:rPr>
              <w:t>8.0 %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r>
    </w:tbl>
    <w:p>
      <w:pPr>
        <w:spacing w:after="0" w:line="23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R&amp;D expenses increased by $3 million, or 2.4%, for the three months ended March 31, 2025 compared to the three months ended March 31, 2024. The increase was primarily due to $3 million higher R&amp;D portfolio investments.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240" w:type="dxa"/>
            <w:vAlign w:val="bottom"/>
          </w:tcPr>
          <w:p>
            <w:pPr>
              <w:spacing w:after="0"/>
              <w:rPr>
                <w:sz w:val="20"/>
                <w:szCs w:val="20"/>
                <w:color w:val="auto"/>
              </w:rPr>
            </w:pPr>
            <w:r>
              <w:rPr>
                <w:rFonts w:ascii="Arial" w:cs="Arial" w:eastAsia="Arial" w:hAnsi="Arial"/>
                <w:sz w:val="16"/>
                <w:szCs w:val="16"/>
                <w:b w:val="1"/>
                <w:bCs w:val="1"/>
                <w:i w:val="1"/>
                <w:iCs w:val="1"/>
                <w:color w:val="auto"/>
              </w:rPr>
              <w:t>Selling, General and Administrative Expenses</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43"/>
        </w:trPr>
        <w:tc>
          <w:tcPr>
            <w:tcW w:w="6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540" w:type="dxa"/>
            <w:vAlign w:val="bottom"/>
            <w:gridSpan w:val="7"/>
          </w:tcPr>
          <w:p>
            <w:pPr>
              <w:ind w:left="80"/>
              <w:spacing w:after="0"/>
              <w:rPr>
                <w:sz w:val="20"/>
                <w:szCs w:val="20"/>
                <w:color w:val="auto"/>
              </w:rPr>
            </w:pPr>
            <w:r>
              <w:rPr>
                <w:rFonts w:ascii="Arial" w:cs="Arial" w:eastAsia="Arial" w:hAnsi="Arial"/>
                <w:sz w:val="16"/>
                <w:szCs w:val="16"/>
                <w:b w:val="1"/>
                <w:bCs w:val="1"/>
                <w:color w:val="auto"/>
              </w:rPr>
              <w:t>Three Months Ended March 31</w:t>
            </w:r>
          </w:p>
        </w:tc>
        <w:tc>
          <w:tcPr>
            <w:tcW w:w="1180" w:type="dxa"/>
            <w:vAlign w:val="bottom"/>
          </w:tcPr>
          <w:p>
            <w:pPr>
              <w:spacing w:after="0"/>
              <w:rPr>
                <w:sz w:val="21"/>
                <w:szCs w:val="21"/>
                <w:color w:val="auto"/>
              </w:rPr>
            </w:pPr>
          </w:p>
        </w:tc>
      </w:tr>
      <w:tr>
        <w:trPr>
          <w:trHeight w:val="21"/>
        </w:trPr>
        <w:tc>
          <w:tcPr>
            <w:tcW w:w="6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0"/>
        </w:trPr>
        <w:tc>
          <w:tcPr>
            <w:tcW w:w="6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39"/>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ind w:left="60"/>
              <w:spacing w:after="0"/>
              <w:rPr>
                <w:sz w:val="20"/>
                <w:szCs w:val="20"/>
                <w:color w:val="auto"/>
              </w:rPr>
            </w:pPr>
            <w:r>
              <w:rPr>
                <w:rFonts w:ascii="Arial" w:cs="Arial" w:eastAsia="Arial" w:hAnsi="Arial"/>
                <w:sz w:val="16"/>
                <w:szCs w:val="16"/>
                <w:b w:val="1"/>
                <w:bCs w:val="1"/>
                <w:color w:val="auto"/>
              </w:rPr>
              <w:t>Change</w:t>
            </w: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33"/>
        </w:trPr>
        <w:tc>
          <w:tcPr>
            <w:tcW w:w="6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80" w:type="dxa"/>
            <w:vAlign w:val="bottom"/>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77</w:t>
            </w:r>
          </w:p>
        </w:tc>
        <w:tc>
          <w:tcPr>
            <w:tcW w:w="80" w:type="dxa"/>
            <w:vAlign w:val="bottom"/>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(36.9)%</w:t>
            </w:r>
          </w:p>
        </w:tc>
      </w:tr>
      <w:tr>
        <w:trPr>
          <w:trHeight w:val="214"/>
        </w:trPr>
        <w:tc>
          <w:tcPr>
            <w:tcW w:w="6240" w:type="dxa"/>
            <w:vAlign w:val="bottom"/>
          </w:tcPr>
          <w:p>
            <w:pPr>
              <w:ind w:left="20"/>
              <w:spacing w:after="0"/>
              <w:rPr>
                <w:sz w:val="20"/>
                <w:szCs w:val="20"/>
                <w:color w:val="auto"/>
              </w:rPr>
            </w:pPr>
            <w:r>
              <w:rPr>
                <w:rFonts w:ascii="Arial" w:cs="Arial" w:eastAsia="Arial" w:hAnsi="Arial"/>
                <w:sz w:val="16"/>
                <w:szCs w:val="16"/>
                <w:i w:val="1"/>
                <w:iCs w:val="1"/>
                <w:color w:val="auto"/>
              </w:rPr>
              <w:t>As a % of revenue</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i w:val="1"/>
                <w:iCs w:val="1"/>
                <w:color w:val="auto"/>
              </w:rPr>
              <w:t>4.9 %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i w:val="1"/>
                <w:iCs w:val="1"/>
                <w:color w:val="auto"/>
              </w:rPr>
              <w:t>7.9 %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r>
    </w:tbl>
    <w:p>
      <w:pPr>
        <w:spacing w:after="0" w:line="24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SG&amp;A expenses decreased by $45 million, or 36.9%, for the three months ended March 31, 2025 compared to the three months ended March 31, 2024. The change was primarily a result of $26 million higher tool sales gains, $10 million decrease in withholding tax expense related to an intercompany loan and an increase of $4 million advanced manufacturing investment tax credits.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400" w:type="dxa"/>
            <w:vAlign w:val="bottom"/>
          </w:tcPr>
          <w:p>
            <w:pPr>
              <w:spacing w:after="0"/>
              <w:rPr>
                <w:sz w:val="20"/>
                <w:szCs w:val="20"/>
                <w:color w:val="auto"/>
              </w:rPr>
            </w:pPr>
            <w:r>
              <w:rPr>
                <w:rFonts w:ascii="Arial" w:cs="Arial" w:eastAsia="Arial" w:hAnsi="Arial"/>
                <w:sz w:val="16"/>
                <w:szCs w:val="16"/>
                <w:b w:val="1"/>
                <w:bCs w:val="1"/>
                <w:i w:val="1"/>
                <w:iCs w:val="1"/>
                <w:color w:val="auto"/>
              </w:rPr>
              <w:t>Finance income (expense), net</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43"/>
        </w:trPr>
        <w:tc>
          <w:tcPr>
            <w:tcW w:w="6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60" w:type="dxa"/>
            <w:vAlign w:val="bottom"/>
            <w:gridSpan w:val="7"/>
          </w:tcPr>
          <w:p>
            <w:pPr>
              <w:ind w:left="20"/>
              <w:spacing w:after="0"/>
              <w:rPr>
                <w:sz w:val="20"/>
                <w:szCs w:val="20"/>
                <w:color w:val="auto"/>
              </w:rPr>
            </w:pPr>
            <w:r>
              <w:rPr>
                <w:rFonts w:ascii="Arial" w:cs="Arial" w:eastAsia="Arial" w:hAnsi="Arial"/>
                <w:sz w:val="16"/>
                <w:szCs w:val="16"/>
                <w:b w:val="1"/>
                <w:bCs w:val="1"/>
                <w:color w:val="auto"/>
              </w:rPr>
              <w:t>Three Months Ended March 31</w:t>
            </w:r>
          </w:p>
        </w:tc>
        <w:tc>
          <w:tcPr>
            <w:tcW w:w="1100" w:type="dxa"/>
            <w:vAlign w:val="bottom"/>
          </w:tcPr>
          <w:p>
            <w:pPr>
              <w:spacing w:after="0"/>
              <w:rPr>
                <w:sz w:val="21"/>
                <w:szCs w:val="21"/>
                <w:color w:val="auto"/>
              </w:rPr>
            </w:pPr>
          </w:p>
        </w:tc>
      </w:tr>
      <w:tr>
        <w:trPr>
          <w:trHeight w:val="21"/>
        </w:trPr>
        <w:tc>
          <w:tcPr>
            <w:tcW w:w="64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0"/>
        </w:trPr>
        <w:tc>
          <w:tcPr>
            <w:tcW w:w="6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3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Change</w:t>
            </w:r>
          </w:p>
        </w:tc>
        <w:tc>
          <w:tcPr>
            <w:tcW w:w="11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 Change</w:t>
            </w:r>
          </w:p>
        </w:tc>
      </w:tr>
      <w:tr>
        <w:trPr>
          <w:trHeight w:val="37"/>
        </w:trPr>
        <w:tc>
          <w:tcPr>
            <w:tcW w:w="6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r>
      <w:tr>
        <w:trPr>
          <w:trHeight w:val="228"/>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income (expense), net</w:t>
            </w:r>
          </w:p>
        </w:tc>
        <w:tc>
          <w:tcPr>
            <w:tcW w:w="100" w:type="dxa"/>
            <w:vAlign w:val="bottom"/>
          </w:tcPr>
          <w:p>
            <w:pPr>
              <w:spacing w:after="0"/>
              <w:rPr>
                <w:sz w:val="19"/>
                <w:szCs w:val="19"/>
                <w:color w:val="auto"/>
              </w:rPr>
            </w:pPr>
          </w:p>
        </w:tc>
        <w:tc>
          <w:tcPr>
            <w:tcW w:w="78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w w:val="8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40.0 %</w:t>
            </w:r>
          </w:p>
        </w:tc>
      </w:tr>
      <w:tr>
        <w:trPr>
          <w:trHeight w:val="29"/>
        </w:trPr>
        <w:tc>
          <w:tcPr>
            <w:tcW w:w="640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Finance income (expense), net increased by $4 million, for the three months ended March 31, 2025 compared to the three months ended March 31, 2024. The increase was primarily a result of $12 million lower interest expense due to lower debt balances in the first quarter of 2025 compared to the first quarter of 2024. This was partially offset by $9 million lower interest income generated from money market funds and investments in marketable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6"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420" w:type="dxa"/>
            <w:vAlign w:val="bottom"/>
          </w:tcPr>
          <w:p>
            <w:pPr>
              <w:spacing w:after="0"/>
              <w:rPr>
                <w:sz w:val="20"/>
                <w:szCs w:val="20"/>
                <w:color w:val="auto"/>
              </w:rPr>
            </w:pPr>
            <w:r>
              <w:rPr>
                <w:rFonts w:ascii="Arial" w:cs="Arial" w:eastAsia="Arial" w:hAnsi="Arial"/>
                <w:sz w:val="16"/>
                <w:szCs w:val="16"/>
                <w:b w:val="1"/>
                <w:bCs w:val="1"/>
                <w:i w:val="1"/>
                <w:iCs w:val="1"/>
                <w:color w:val="auto"/>
              </w:rPr>
              <w:t>Other income (expense), net</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43"/>
        </w:trPr>
        <w:tc>
          <w:tcPr>
            <w:tcW w:w="6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80" w:type="dxa"/>
            <w:vAlign w:val="bottom"/>
            <w:gridSpan w:val="7"/>
          </w:tcPr>
          <w:p>
            <w:pPr>
              <w:ind w:left="20"/>
              <w:spacing w:after="0"/>
              <w:rPr>
                <w:sz w:val="20"/>
                <w:szCs w:val="20"/>
                <w:color w:val="auto"/>
              </w:rPr>
            </w:pPr>
            <w:r>
              <w:rPr>
                <w:rFonts w:ascii="Arial" w:cs="Arial" w:eastAsia="Arial" w:hAnsi="Arial"/>
                <w:sz w:val="16"/>
                <w:szCs w:val="16"/>
                <w:b w:val="1"/>
                <w:bCs w:val="1"/>
                <w:color w:val="auto"/>
              </w:rPr>
              <w:t>Three Months Ended March 31</w:t>
            </w:r>
          </w:p>
        </w:tc>
        <w:tc>
          <w:tcPr>
            <w:tcW w:w="1080" w:type="dxa"/>
            <w:vAlign w:val="bottom"/>
          </w:tcPr>
          <w:p>
            <w:pPr>
              <w:spacing w:after="0"/>
              <w:rPr>
                <w:sz w:val="21"/>
                <w:szCs w:val="21"/>
                <w:color w:val="auto"/>
              </w:rPr>
            </w:pPr>
          </w:p>
        </w:tc>
      </w:tr>
      <w:tr>
        <w:trPr>
          <w:trHeight w:val="21"/>
        </w:trPr>
        <w:tc>
          <w:tcPr>
            <w:tcW w:w="64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20"/>
        </w:trPr>
        <w:tc>
          <w:tcPr>
            <w:tcW w:w="6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3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2024</w:t>
            </w:r>
          </w:p>
        </w:tc>
        <w:tc>
          <w:tcPr>
            <w:tcW w:w="2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Change</w:t>
            </w:r>
          </w:p>
        </w:tc>
        <w:tc>
          <w:tcPr>
            <w:tcW w:w="10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37"/>
        </w:trPr>
        <w:tc>
          <w:tcPr>
            <w:tcW w:w="6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Borders>
              <w:top w:val="single" w:sz="8" w:color="auto"/>
            </w:tcBorders>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080" w:type="dxa"/>
            <w:vAlign w:val="bottom"/>
            <w:tcBorders>
              <w:top w:val="single" w:sz="8" w:color="auto"/>
            </w:tcBorders>
          </w:tcPr>
          <w:p>
            <w:pPr>
              <w:spacing w:after="0"/>
              <w:rPr>
                <w:sz w:val="3"/>
                <w:szCs w:val="3"/>
                <w:color w:val="auto"/>
              </w:rPr>
            </w:pPr>
          </w:p>
        </w:tc>
      </w:tr>
      <w:tr>
        <w:trPr>
          <w:trHeight w:val="228"/>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100" w:type="dxa"/>
            <w:vAlign w:val="bottom"/>
          </w:tcPr>
          <w:p>
            <w:pPr>
              <w:spacing w:after="0"/>
              <w:rPr>
                <w:sz w:val="19"/>
                <w:szCs w:val="19"/>
                <w:color w:val="auto"/>
              </w:rPr>
            </w:pP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80" w:type="dxa"/>
            <w:vAlign w:val="bottom"/>
          </w:tcPr>
          <w:p>
            <w:pPr>
              <w:spacing w:after="0"/>
              <w:rPr>
                <w:sz w:val="19"/>
                <w:szCs w:val="19"/>
                <w:color w:val="auto"/>
              </w:rPr>
            </w:pPr>
          </w:p>
        </w:tc>
        <w:tc>
          <w:tcPr>
            <w:tcW w:w="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1600.0 %</w:t>
            </w:r>
          </w:p>
        </w:tc>
      </w:tr>
      <w:tr>
        <w:trPr>
          <w:trHeight w:val="29"/>
        </w:trPr>
        <w:tc>
          <w:tcPr>
            <w:tcW w:w="642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Other income (expense), net increased by $32 million for the three months ended March 31, 2025 compared to the three months ended March 31, 2024.</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increase was primarily driven by $31 million gain from the step-acquisition of the remaining equity interest of a joint venture of the Company.</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400" w:type="dxa"/>
            <w:vAlign w:val="bottom"/>
          </w:tcPr>
          <w:p>
            <w:pPr>
              <w:spacing w:after="0"/>
              <w:rPr>
                <w:sz w:val="20"/>
                <w:szCs w:val="20"/>
                <w:color w:val="auto"/>
              </w:rPr>
            </w:pPr>
            <w:r>
              <w:rPr>
                <w:rFonts w:ascii="Arial" w:cs="Arial" w:eastAsia="Arial" w:hAnsi="Arial"/>
                <w:sz w:val="16"/>
                <w:szCs w:val="16"/>
                <w:b w:val="1"/>
                <w:bCs w:val="1"/>
                <w:i w:val="1"/>
                <w:iCs w:val="1"/>
                <w:color w:val="auto"/>
              </w:rPr>
              <w:t>Income Tax Expense</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64"/>
        </w:trPr>
        <w:tc>
          <w:tcPr>
            <w:tcW w:w="6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7"/>
          </w:tcPr>
          <w:p>
            <w:pPr>
              <w:ind w:left="20"/>
              <w:spacing w:after="0"/>
              <w:rPr>
                <w:sz w:val="20"/>
                <w:szCs w:val="20"/>
                <w:color w:val="auto"/>
              </w:rPr>
            </w:pPr>
            <w:r>
              <w:rPr>
                <w:rFonts w:ascii="Arial" w:cs="Arial" w:eastAsia="Arial" w:hAnsi="Arial"/>
                <w:sz w:val="16"/>
                <w:szCs w:val="16"/>
                <w:b w:val="1"/>
                <w:bCs w:val="1"/>
                <w:color w:val="auto"/>
              </w:rPr>
              <w:t>Three Months Ended March 31</w:t>
            </w:r>
          </w:p>
        </w:tc>
        <w:tc>
          <w:tcPr>
            <w:tcW w:w="1100" w:type="dxa"/>
            <w:vAlign w:val="bottom"/>
          </w:tcPr>
          <w:p>
            <w:pPr>
              <w:spacing w:after="0"/>
              <w:rPr>
                <w:sz w:val="24"/>
                <w:szCs w:val="24"/>
                <w:color w:val="auto"/>
              </w:rPr>
            </w:pPr>
          </w:p>
        </w:tc>
      </w:tr>
      <w:tr>
        <w:trPr>
          <w:trHeight w:val="21"/>
        </w:trPr>
        <w:tc>
          <w:tcPr>
            <w:tcW w:w="64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0"/>
        </w:trPr>
        <w:tc>
          <w:tcPr>
            <w:tcW w:w="6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3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Change</w:t>
            </w:r>
          </w:p>
        </w:tc>
        <w:tc>
          <w:tcPr>
            <w:tcW w:w="11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 Change</w:t>
            </w:r>
          </w:p>
        </w:tc>
      </w:tr>
      <w:tr>
        <w:trPr>
          <w:trHeight w:val="231"/>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 benefit</w:t>
            </w:r>
          </w:p>
        </w:tc>
        <w:tc>
          <w:tcPr>
            <w:tcW w:w="100" w:type="dxa"/>
            <w:vAlign w:val="bottom"/>
          </w:tcPr>
          <w:p>
            <w:pPr>
              <w:spacing w:after="0"/>
              <w:rPr>
                <w:sz w:val="20"/>
                <w:szCs w:val="20"/>
                <w:color w:val="auto"/>
              </w:rPr>
            </w:pPr>
          </w:p>
        </w:tc>
        <w:tc>
          <w:tcPr>
            <w:tcW w:w="78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w w:val="8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80" w:type="dxa"/>
            <w:vAlign w:val="bottom"/>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176.2 %</w:t>
            </w:r>
          </w:p>
        </w:tc>
      </w:tr>
      <w:tr>
        <w:trPr>
          <w:trHeight w:val="29"/>
        </w:trPr>
        <w:tc>
          <w:tcPr>
            <w:tcW w:w="640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Income tax expense decreased by $37 million for the three months ended March 31, 2025 compared to the three months ended March 31, 2024, primarily due to $40 million of tax benefit related to exchange rate changes on the base of certain non-monetary assets in Germany and $8 million of tax benefit from recognition of German deferred tax assets net of contingencies, offset by $11 million of tax expense related primarily to an anticipated qualified domestic top-up tax liability in Singapore.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6"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 Liquidity and Capital Resources</w:t>
      </w:r>
    </w:p>
    <w:p>
      <w:pPr>
        <w:spacing w:after="0" w:line="11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have historically financed operations primarily through cash and cash equivalents and marketable securities, as well as cash generated from our business operations, including prepayments under long term agreements ("LTAs"), debt and government grants. As of March 31, 2025, our cash, cash equivalents and marketable securities balances of approximately $3.7 billion included $1.6 billion of cash and cash equivalents and approximately $2.1 billion of marketable securities.</w:t>
      </w:r>
    </w:p>
    <w:p>
      <w:pPr>
        <w:spacing w:after="0" w:line="6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As of March 31, 2025 and December 31, 2024, we had an undrawn revolving credit facility of $1.0 billion. In addition to our available revolver, we had $1.1 billion and $1.8 billion of debt outstanding as of March 31, 2025 and December 31, 2024, respectively, which was primarily comprised of multiple term loans in various currencies. Our future capital requirements will depend on many factors, including our revenue growth rate, the timing and amount of payments we receive from customers pursuant to our LTAs and other business arrangements, the timing and extent of spending to support development efforts, the timing and amount of reimbursements we receive under government grants, the introduction of new and enhanced products and solutions, the continuing market adoption of our platform, and our obligations to repay our indebtedness from time to time. We may from time to time seek to raise additional capital to support our growth. As of March 31, 2025, we believe that our existing cash, cash equivalents, marketable securities, credit under our revolving credit facility and expected cash generated from operations are sufficient to meet our capital requirements for at least the next 12 months and beyond.</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00" w:type="dxa"/>
            <w:vAlign w:val="bottom"/>
          </w:tcPr>
          <w:p>
            <w:pPr>
              <w:spacing w:after="0"/>
              <w:rPr>
                <w:sz w:val="20"/>
                <w:szCs w:val="20"/>
                <w:color w:val="auto"/>
              </w:rPr>
            </w:pPr>
            <w:r>
              <w:rPr>
                <w:rFonts w:ascii="Arial" w:cs="Arial" w:eastAsia="Arial" w:hAnsi="Arial"/>
                <w:sz w:val="16"/>
                <w:szCs w:val="16"/>
                <w:b w:val="1"/>
                <w:bCs w:val="1"/>
                <w:color w:val="auto"/>
              </w:rPr>
              <w:t>Cash Flows</w:t>
            </w: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89"/>
        </w:trPr>
        <w:tc>
          <w:tcPr>
            <w:tcW w:w="7600" w:type="dxa"/>
            <w:vAlign w:val="bottom"/>
          </w:tcPr>
          <w:p>
            <w:pPr>
              <w:spacing w:after="0"/>
              <w:rPr>
                <w:sz w:val="20"/>
                <w:szCs w:val="20"/>
                <w:color w:val="auto"/>
              </w:rPr>
            </w:pPr>
            <w:r>
              <w:rPr>
                <w:rFonts w:ascii="Arial" w:cs="Arial" w:eastAsia="Arial" w:hAnsi="Arial"/>
                <w:sz w:val="16"/>
                <w:szCs w:val="16"/>
                <w:color w:val="auto"/>
              </w:rPr>
              <w:t>The following table shows a summary of our cash flows for the periods presented:</w:t>
            </w: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65"/>
        </w:trPr>
        <w:tc>
          <w:tcPr>
            <w:tcW w:w="7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6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rPr>
              <w:t>Three Months Ended March 31</w:t>
            </w:r>
          </w:p>
        </w:tc>
        <w:tc>
          <w:tcPr>
            <w:tcW w:w="500" w:type="dxa"/>
            <w:vAlign w:val="bottom"/>
          </w:tcPr>
          <w:p>
            <w:pPr>
              <w:spacing w:after="0"/>
              <w:rPr>
                <w:sz w:val="23"/>
                <w:szCs w:val="23"/>
                <w:color w:val="auto"/>
              </w:rPr>
            </w:pPr>
          </w:p>
        </w:tc>
      </w:tr>
      <w:tr>
        <w:trPr>
          <w:trHeight w:val="21"/>
        </w:trPr>
        <w:tc>
          <w:tcPr>
            <w:tcW w:w="7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229"/>
        </w:trPr>
        <w:tc>
          <w:tcPr>
            <w:tcW w:w="7600" w:type="dxa"/>
            <w:vAlign w:val="bottom"/>
          </w:tcPr>
          <w:p>
            <w:pPr>
              <w:spacing w:after="0"/>
              <w:rPr>
                <w:sz w:val="19"/>
                <w:szCs w:val="19"/>
                <w:color w:val="auto"/>
              </w:rPr>
            </w:pPr>
          </w:p>
        </w:tc>
        <w:tc>
          <w:tcPr>
            <w:tcW w:w="128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2025</w:t>
            </w:r>
          </w:p>
        </w:tc>
        <w:tc>
          <w:tcPr>
            <w:tcW w:w="540" w:type="dxa"/>
            <w:vAlign w:val="bottom"/>
          </w:tcPr>
          <w:p>
            <w:pPr>
              <w:spacing w:after="0"/>
              <w:rPr>
                <w:sz w:val="19"/>
                <w:szCs w:val="19"/>
                <w:color w:val="auto"/>
              </w:rPr>
            </w:pPr>
          </w:p>
        </w:tc>
        <w:tc>
          <w:tcPr>
            <w:tcW w:w="132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2024</w:t>
            </w:r>
          </w:p>
        </w:tc>
        <w:tc>
          <w:tcPr>
            <w:tcW w:w="500" w:type="dxa"/>
            <w:vAlign w:val="bottom"/>
          </w:tcPr>
          <w:p>
            <w:pPr>
              <w:spacing w:after="0"/>
              <w:rPr>
                <w:sz w:val="19"/>
                <w:szCs w:val="19"/>
                <w:color w:val="auto"/>
              </w:rPr>
            </w:pPr>
          </w:p>
        </w:tc>
      </w:tr>
      <w:tr>
        <w:trPr>
          <w:trHeight w:val="21"/>
        </w:trPr>
        <w:tc>
          <w:tcPr>
            <w:tcW w:w="7600" w:type="dxa"/>
            <w:vAlign w:val="bottom"/>
            <w:tcBorders>
              <w:bottom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23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provided by operating activities</w:t>
            </w:r>
          </w:p>
        </w:tc>
        <w:tc>
          <w:tcPr>
            <w:tcW w:w="80" w:type="dxa"/>
            <w:vAlign w:val="bottom"/>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100" w:type="dxa"/>
            <w:vAlign w:val="bottom"/>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3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488</w:t>
            </w:r>
          </w:p>
        </w:tc>
      </w:tr>
      <w:tr>
        <w:trPr>
          <w:trHeight w:val="227"/>
        </w:trPr>
        <w:tc>
          <w:tcPr>
            <w:tcW w:w="7600" w:type="dxa"/>
            <w:vAlign w:val="bottom"/>
          </w:tcPr>
          <w:p>
            <w:pPr>
              <w:ind w:left="20"/>
              <w:spacing w:after="0"/>
              <w:rPr>
                <w:sz w:val="20"/>
                <w:szCs w:val="20"/>
                <w:color w:val="auto"/>
              </w:rPr>
            </w:pPr>
            <w:r>
              <w:rPr>
                <w:rFonts w:ascii="Arial" w:cs="Arial" w:eastAsia="Arial" w:hAnsi="Arial"/>
                <w:sz w:val="16"/>
                <w:szCs w:val="16"/>
                <w:color w:val="auto"/>
              </w:rPr>
              <w:t>Cash used in investing activities</w:t>
            </w: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(600)</w:t>
            </w:r>
          </w:p>
        </w:tc>
      </w:tr>
      <w:tr>
        <w:trPr>
          <w:trHeight w:val="29"/>
        </w:trPr>
        <w:tc>
          <w:tcPr>
            <w:tcW w:w="7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7"/>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used in financing activities</w:t>
            </w:r>
          </w:p>
        </w:tc>
        <w:tc>
          <w:tcPr>
            <w:tcW w:w="80" w:type="dxa"/>
            <w:vAlign w:val="bottom"/>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(717)</w:t>
            </w:r>
          </w:p>
        </w:tc>
        <w:tc>
          <w:tcPr>
            <w:tcW w:w="100" w:type="dxa"/>
            <w:vAlign w:val="bottom"/>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21"/>
        </w:trPr>
        <w:tc>
          <w:tcPr>
            <w:tcW w:w="7600" w:type="dxa"/>
            <w:vAlign w:val="bottom"/>
          </w:tcPr>
          <w:p>
            <w:pPr>
              <w:ind w:left="240"/>
              <w:spacing w:after="0"/>
              <w:rPr>
                <w:sz w:val="20"/>
                <w:szCs w:val="20"/>
                <w:color w:val="auto"/>
              </w:rPr>
            </w:pPr>
            <w:r>
              <w:rPr>
                <w:rFonts w:ascii="Arial" w:cs="Arial" w:eastAsia="Arial" w:hAnsi="Arial"/>
                <w:sz w:val="16"/>
                <w:szCs w:val="16"/>
                <w:color w:val="auto"/>
              </w:rPr>
              <w:t>Effect of exchange rate changes on cash and cash equivalents</w:t>
            </w:r>
          </w:p>
        </w:tc>
        <w:tc>
          <w:tcPr>
            <w:tcW w:w="8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9"/>
        </w:trPr>
        <w:tc>
          <w:tcPr>
            <w:tcW w:w="76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500" w:type="dxa"/>
            <w:vAlign w:val="bottom"/>
          </w:tcPr>
          <w:p>
            <w:pPr>
              <w:spacing w:after="0"/>
              <w:rPr>
                <w:sz w:val="2"/>
                <w:szCs w:val="2"/>
                <w:color w:val="auto"/>
              </w:rPr>
            </w:pPr>
          </w:p>
        </w:tc>
      </w:tr>
      <w:tr>
        <w:trPr>
          <w:trHeight w:val="230"/>
        </w:trPr>
        <w:tc>
          <w:tcPr>
            <w:tcW w:w="7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decrease in cash and cash equivalents</w:t>
            </w:r>
          </w:p>
        </w:tc>
        <w:tc>
          <w:tcPr>
            <w:tcW w:w="80" w:type="dxa"/>
            <w:vAlign w:val="bottom"/>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jc w:val="right"/>
              <w:ind w:right="999"/>
              <w:spacing w:after="0"/>
              <w:rPr>
                <w:sz w:val="20"/>
                <w:szCs w:val="20"/>
                <w:color w:val="auto"/>
              </w:rPr>
            </w:pPr>
            <w:r>
              <w:rPr>
                <w:rFonts w:ascii="Arial" w:cs="Arial" w:eastAsia="Arial" w:hAnsi="Arial"/>
                <w:sz w:val="16"/>
                <w:szCs w:val="16"/>
                <w:b w:val="1"/>
                <w:bCs w:val="1"/>
                <w:color w:val="auto"/>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(596)</w:t>
            </w:r>
          </w:p>
        </w:tc>
        <w:tc>
          <w:tcPr>
            <w:tcW w:w="100" w:type="dxa"/>
            <w:vAlign w:val="bottom"/>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jc w:val="right"/>
              <w:ind w:right="1039"/>
              <w:spacing w:after="0"/>
              <w:rPr>
                <w:sz w:val="20"/>
                <w:szCs w:val="20"/>
                <w:color w:val="auto"/>
              </w:rPr>
            </w:pPr>
            <w:r>
              <w:rPr>
                <w:rFonts w:ascii="Arial" w:cs="Arial" w:eastAsia="Arial" w:hAnsi="Arial"/>
                <w:sz w:val="16"/>
                <w:szCs w:val="16"/>
                <w:b w:val="1"/>
                <w:bCs w:val="1"/>
                <w:color w:val="auto"/>
                <w:w w:val="89"/>
              </w:rPr>
              <w:t>$</w:t>
            </w: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(140)</w:t>
            </w:r>
          </w:p>
        </w:tc>
      </w:tr>
      <w:tr>
        <w:trPr>
          <w:trHeight w:val="20"/>
        </w:trPr>
        <w:tc>
          <w:tcPr>
            <w:tcW w:w="7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Activities</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Cash provided by operating activities of $331 million decreased $157 million for the three months ended March 31, 2025, compared to $488 million for the three months ended March 31, 2024. The decrease was primarily driven by $87 million of lower deferred income taxes, primarily due to the recognition of German net deferred tax assets and foreign currency impacts, $40 million lower depreciation expenses as a result of prior year impairment charges, a $31 million gain from the step-acquisition of the remaining equity interest of a joint venture of the Company, and $29 million higher gains on the disposal of property, plant and equipment driven by tool sales. These impacts were primarily offset by a $77 million increase in net income. In addition, unfavorable changes in working capital of $47 million were primarily due to $158 million lower cash generated from accounts receivable, prepayments and other current assets, driven by timing differences, partially offset by $108 million increase in current and non current trade and other payables primarily due to income tax payables and timing differences.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Investing Activities</w:t>
      </w:r>
    </w:p>
    <w:p>
      <w:pPr>
        <w:spacing w:after="0" w:line="11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Cash used in investing activities for the three months ended March 31, 2025 of $211 million decreased $389 million compared to the cash used in investing activities of $600 million for the three months ended March 31, 2024. The decrease was primarily driven by $300 million lower purchases of marketable securities and $61 million decrease in capital and intangible expenditures due to lower costs related to the expansion of our fabrication facilities.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Cash used in financing activities for the three months ended March 31, 2025 of $717 million increased $690 million compared to the cash used of $27 million for the three months ended March 31, 2024. The change was primarily attributable to a $683 million increase in repayments of debt and lease obligations primarily due to $664 million prepayment of our Term Loan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sectPr>
      <w:pgSz w:w="11900" w:h="16838" w:orient="portrait"/>
      <w:cols w:equalWidth="0" w:num="1">
        <w:col w:w="11240"/>
      </w:cols>
      <w:pgMar w:left="320" w:top="20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200000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2025-05-06T06:30:56Z</dcterms:created>
  <dcterms:modified xsi:type="dcterms:W3CDTF">2025-05-06T06:30:56Z</dcterms:modified>
</cp:coreProperties>
</file>