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20"/>
        <w:spacing w:after="0"/>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p>
    <w:p>
      <w:pPr>
        <w:spacing w:after="0" w:line="3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For the month of May 2024</w:t>
      </w:r>
    </w:p>
    <w:p>
      <w:pPr>
        <w:spacing w:after="0" w:line="18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60" w:right="176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are the following exhibits.</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Exhibit 99.1</w:t>
            </w:r>
          </w:p>
        </w:tc>
        <w:tc>
          <w:tcPr>
            <w:tcW w:w="1100" w:type="dxa"/>
            <w:vAlign w:val="bottom"/>
          </w:tcPr>
          <w:p>
            <w:pPr>
              <w:spacing w:after="0"/>
              <w:rPr>
                <w:sz w:val="18"/>
                <w:szCs w:val="18"/>
                <w:color w:val="auto"/>
              </w:rPr>
            </w:pPr>
          </w:p>
        </w:tc>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Financial Statements as of March 31, 2024 and December 31, 2023 and for the</w:t>
            </w:r>
          </w:p>
        </w:tc>
      </w:tr>
      <w:tr>
        <w:trPr>
          <w:trHeight w:val="209"/>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88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three months ended March 31, 2024 and 2023.</w:t>
            </w:r>
          </w:p>
        </w:tc>
        <w:tc>
          <w:tcPr>
            <w:tcW w:w="80" w:type="dxa"/>
            <w:vAlign w:val="bottom"/>
          </w:tcPr>
          <w:p>
            <w:pPr>
              <w:spacing w:after="0"/>
              <w:rPr>
                <w:sz w:val="18"/>
                <w:szCs w:val="18"/>
                <w:color w:val="auto"/>
              </w:rPr>
            </w:pPr>
          </w:p>
        </w:tc>
      </w:tr>
      <w:tr>
        <w:trPr>
          <w:trHeight w:val="20"/>
        </w:trPr>
        <w:tc>
          <w:tcPr>
            <w:tcW w:w="2000" w:type="dxa"/>
            <w:vAlign w:val="bottom"/>
            <w:gridSpan w:val="2"/>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r>
      <w:tr>
        <w:trPr>
          <w:trHeight w:val="399"/>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 99.2</w:t>
            </w:r>
          </w:p>
        </w:tc>
        <w:tc>
          <w:tcPr>
            <w:tcW w:w="8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 for the three months ended March</w:t>
            </w:r>
          </w:p>
        </w:tc>
      </w:tr>
      <w:tr>
        <w:trPr>
          <w:trHeight w:val="209"/>
        </w:trPr>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31, 2024 and 2023.</w:t>
            </w:r>
          </w:p>
        </w:tc>
        <w:tc>
          <w:tcPr>
            <w:tcW w:w="7560" w:type="dxa"/>
            <w:vAlign w:val="bottom"/>
            <w:tcBorders>
              <w:top w:val="single" w:sz="8" w:color="0000FF"/>
            </w:tcBorders>
            <w:gridSpan w:val="3"/>
          </w:tcPr>
          <w:p>
            <w:pPr>
              <w:spacing w:after="0"/>
              <w:rPr>
                <w:sz w:val="18"/>
                <w:szCs w:val="18"/>
                <w:color w:val="auto"/>
              </w:rPr>
            </w:pPr>
          </w:p>
        </w:tc>
      </w:tr>
    </w:tbl>
    <w:p>
      <w:pPr>
        <w:sectPr>
          <w:pgSz w:w="11900" w:h="16838" w:orient="portrait"/>
          <w:cols w:equalWidth="0" w:num="1">
            <w:col w:w="10940"/>
          </w:cols>
          <w:pgMar w:left="340" w:top="1440" w:right="61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794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49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1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180" w:type="dxa"/>
            <w:vAlign w:val="bottom"/>
          </w:tcPr>
          <w:p>
            <w:pPr>
              <w:spacing w:after="0"/>
              <w:rPr>
                <w:sz w:val="20"/>
                <w:szCs w:val="20"/>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180" w:type="dxa"/>
            <w:vAlign w:val="bottom"/>
          </w:tcPr>
          <w:p>
            <w:pPr>
              <w:spacing w:after="0"/>
              <w:rPr>
                <w:sz w:val="24"/>
                <w:szCs w:val="24"/>
                <w:color w:val="auto"/>
              </w:rPr>
            </w:pPr>
          </w:p>
        </w:tc>
        <w:tc>
          <w:tcPr>
            <w:tcW w:w="29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920" w:type="dxa"/>
            <w:vAlign w:val="bottom"/>
            <w:gridSpan w:val="6"/>
          </w:tcPr>
          <w:p>
            <w:pPr>
              <w:ind w:left="4060"/>
              <w:spacing w:after="0"/>
              <w:rPr>
                <w:sz w:val="20"/>
                <w:szCs w:val="20"/>
                <w:color w:val="auto"/>
              </w:rPr>
            </w:pPr>
            <w:r>
              <w:rPr>
                <w:rFonts w:ascii="Arial" w:cs="Arial" w:eastAsia="Arial" w:hAnsi="Arial"/>
                <w:sz w:val="18"/>
                <w:szCs w:val="18"/>
                <w:color w:val="auto"/>
              </w:rPr>
              <w:t>Unaudited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9920" w:type="dxa"/>
            <w:vAlign w:val="bottom"/>
            <w:gridSpan w:val="6"/>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5740" w:type="dxa"/>
            <w:vAlign w:val="bottom"/>
            <w:gridSpan w:val="5"/>
          </w:tcPr>
          <w:p>
            <w:pPr>
              <w:spacing w:after="0"/>
              <w:rPr>
                <w:sz w:val="20"/>
                <w:szCs w:val="20"/>
                <w:color w:val="auto"/>
              </w:rPr>
            </w:pPr>
            <w:r>
              <w:rPr>
                <w:rFonts w:ascii="Arial" w:cs="Arial" w:eastAsia="Arial" w:hAnsi="Arial"/>
                <w:sz w:val="18"/>
                <w:szCs w:val="18"/>
                <w:color w:val="0000FF"/>
                <w:w w:val="99"/>
              </w:rPr>
              <w:t>Interim Condensed Consolidated Statements of Comprehensive Income</w:t>
            </w:r>
          </w:p>
        </w:tc>
        <w:tc>
          <w:tcPr>
            <w:tcW w:w="4180" w:type="dxa"/>
            <w:vAlign w:val="bottom"/>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4</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5240" w:type="dxa"/>
            <w:vAlign w:val="bottom"/>
            <w:gridSpan w:val="4"/>
          </w:tcPr>
          <w:p>
            <w:pPr>
              <w:spacing w:after="0"/>
              <w:rPr>
                <w:sz w:val="20"/>
                <w:szCs w:val="20"/>
                <w:color w:val="auto"/>
              </w:rPr>
            </w:pPr>
            <w:r>
              <w:rPr>
                <w:rFonts w:ascii="Arial" w:cs="Arial" w:eastAsia="Arial" w:hAnsi="Arial"/>
                <w:sz w:val="18"/>
                <w:szCs w:val="18"/>
                <w:color w:val="0000FF"/>
                <w:w w:val="98"/>
              </w:rPr>
              <w:t>Interim Condensed Consolidated Statements of Changes in Equity</w:t>
            </w:r>
          </w:p>
        </w:tc>
        <w:tc>
          <w:tcPr>
            <w:tcW w:w="5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460" w:type="dxa"/>
            <w:vAlign w:val="bottom"/>
            <w:gridSpan w:val="2"/>
          </w:tcPr>
          <w:p>
            <w:pPr>
              <w:spacing w:after="0"/>
              <w:rPr>
                <w:sz w:val="22"/>
                <w:szCs w:val="22"/>
                <w:color w:val="auto"/>
              </w:rPr>
            </w:pPr>
          </w:p>
        </w:tc>
        <w:tc>
          <w:tcPr>
            <w:tcW w:w="468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4840" w:type="dxa"/>
            <w:vAlign w:val="bottom"/>
            <w:gridSpan w:val="3"/>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16</w:t>
            </w:r>
          </w:p>
        </w:tc>
      </w:tr>
      <w:tr>
        <w:trPr>
          <w:trHeight w:val="20"/>
        </w:trPr>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20"/>
          </w:cols>
          <w:pgMar w:left="340" w:top="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jc w:val="center"/>
        <w:spacing w:after="0" w:line="228" w:lineRule="auto"/>
        <w:rPr>
          <w:sz w:val="20"/>
          <w:szCs w:val="20"/>
          <w:color w:val="auto"/>
        </w:rPr>
      </w:pPr>
      <w:r>
        <w:rPr>
          <w:rFonts w:ascii="Arial" w:cs="Arial" w:eastAsia="Arial" w:hAnsi="Arial"/>
          <w:sz w:val="16"/>
          <w:szCs w:val="16"/>
          <w:b w:val="1"/>
          <w:bCs w:val="1"/>
          <w:color w:val="auto"/>
        </w:rPr>
        <w:t>As of March 31, 2024 AND December 31,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ectPr>
          <w:pgSz w:w="11900" w:h="16838" w:orient="portrait"/>
          <w:cols w:equalWidth="0" w:num="1">
            <w:col w:w="11240"/>
          </w:cols>
          <w:pgMar w:left="320" w:top="98" w:right="339" w:bottom="7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 millions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62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3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Receivables, prepayments and 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current 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20" w:type="dxa"/>
            <w:vAlign w:val="bottom"/>
          </w:tcPr>
          <w:p>
            <w:pPr>
              <w:spacing w:after="0"/>
              <w:rPr>
                <w:sz w:val="19"/>
                <w:szCs w:val="19"/>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240" w:type="dxa"/>
            <w:vAlign w:val="bottom"/>
          </w:tcPr>
          <w:p>
            <w:pPr>
              <w:spacing w:after="0"/>
              <w:rPr>
                <w:sz w:val="19"/>
                <w:szCs w:val="19"/>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680"/>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2,247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57"/>
        </w:trPr>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1,033</w:t>
            </w:r>
          </w:p>
        </w:tc>
      </w:tr>
      <w:tr>
        <w:trPr>
          <w:trHeight w:val="257"/>
        </w:trPr>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1,420</w:t>
            </w:r>
          </w:p>
        </w:tc>
      </w:tr>
      <w:tr>
        <w:trPr>
          <w:trHeight w:val="256"/>
        </w:trPr>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9"/>
        </w:trPr>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9"/>
        </w:trPr>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6,214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6,327</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ectPr>
          <w:pgSz w:w="11900" w:h="16838" w:orient="portrait"/>
          <w:cols w:equalWidth="0" w:num="2">
            <w:col w:w="7400" w:space="720"/>
            <w:col w:w="3120"/>
          </w:cols>
          <w:pgMar w:left="320" w:top="98" w:right="339" w:bottom="788"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10,164</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Goodwill and intangible assets,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Other non-current financial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12,240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11,717</w:t>
            </w:r>
          </w:p>
        </w:tc>
      </w:tr>
      <w:tr>
        <w:trPr>
          <w:trHeight w:val="25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18,454</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18,044</w:t>
            </w:r>
          </w:p>
        </w:tc>
      </w:tr>
      <w:tr>
        <w:trPr>
          <w:trHeight w:val="257"/>
        </w:trPr>
        <w:tc>
          <w:tcPr>
            <w:tcW w:w="8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2,153</w:t>
            </w:r>
          </w:p>
        </w:tc>
        <w:tc>
          <w:tcPr>
            <w:tcW w:w="8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2,349</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2,854</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3,099</w:t>
            </w:r>
          </w:p>
        </w:tc>
      </w:tr>
      <w:tr>
        <w:trPr>
          <w:trHeight w:val="19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long-term debt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4,303</w:t>
            </w:r>
          </w:p>
        </w:tc>
        <w:tc>
          <w:tcPr>
            <w:tcW w:w="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3,794</w:t>
            </w: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7,157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6,893</w:t>
            </w:r>
          </w:p>
        </w:tc>
      </w:tr>
      <w:tr>
        <w:trPr>
          <w:trHeight w:val="203"/>
        </w:trPr>
        <w:tc>
          <w:tcPr>
            <w:tcW w:w="8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Share capital</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Ordinary shares, $0.02 par value, 555,476 thousand and 553,548 thousand shares issued and outstanding as of</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March 31, 2024 and December 31, 2023</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24,067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24,027</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(12,868)</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11,251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11,104</w:t>
            </w:r>
          </w:p>
        </w:tc>
      </w:tr>
      <w:tr>
        <w:trPr>
          <w:trHeight w:val="221"/>
        </w:trPr>
        <w:tc>
          <w:tcPr>
            <w:tcW w:w="81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11,297</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11,151</w:t>
            </w:r>
          </w:p>
        </w:tc>
      </w:tr>
      <w:tr>
        <w:trPr>
          <w:trHeight w:val="25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18,454</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ectPr>
          <w:pgSz w:w="11900" w:h="16838" w:orient="portrait"/>
          <w:cols w:equalWidth="0" w:num="1">
            <w:col w:w="11240"/>
          </w:cols>
          <w:pgMar w:left="320" w:top="98" w:right="339" w:bottom="788"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8" w:right="339" w:bottom="788"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98"/>
        </w:trPr>
        <w:tc>
          <w:tcPr>
            <w:tcW w:w="7900" w:type="dxa"/>
            <w:vAlign w:val="bottom"/>
          </w:tcPr>
          <w:p>
            <w:pPr>
              <w:jc w:val="center"/>
              <w:ind w:left="3258"/>
              <w:spacing w:after="0"/>
              <w:rPr>
                <w:sz w:val="20"/>
                <w:szCs w:val="20"/>
                <w:color w:val="auto"/>
              </w:rPr>
            </w:pPr>
            <w:r>
              <w:rPr>
                <w:rFonts w:ascii="Arial" w:cs="Arial" w:eastAsia="Arial" w:hAnsi="Arial"/>
                <w:sz w:val="22"/>
                <w:szCs w:val="22"/>
                <w:b w:val="1"/>
                <w:bCs w:val="1"/>
                <w:color w:val="auto"/>
                <w:w w:val="98"/>
              </w:rPr>
              <w:t>GLOBALFOUNDRIES INC.</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1"/>
        </w:trPr>
        <w:tc>
          <w:tcPr>
            <w:tcW w:w="9620" w:type="dxa"/>
            <w:vAlign w:val="bottom"/>
            <w:gridSpan w:val="4"/>
          </w:tcPr>
          <w:p>
            <w:pPr>
              <w:ind w:left="2780"/>
              <w:spacing w:after="0"/>
              <w:rPr>
                <w:sz w:val="20"/>
                <w:szCs w:val="20"/>
                <w:color w:val="auto"/>
              </w:rPr>
            </w:pPr>
            <w:r>
              <w:rPr>
                <w:rFonts w:ascii="Arial" w:cs="Arial" w:eastAsia="Arial" w:hAnsi="Arial"/>
                <w:sz w:val="16"/>
                <w:szCs w:val="16"/>
                <w:b w:val="1"/>
                <w:bCs w:val="1"/>
                <w:color w:val="auto"/>
              </w:rPr>
              <w:t>INTERIM CONDENSED CONSOLIDATED STATEMENTS OF OPERATIONS FOR THE</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3"/>
        </w:trPr>
        <w:tc>
          <w:tcPr>
            <w:tcW w:w="7900" w:type="dxa"/>
            <w:vAlign w:val="bottom"/>
          </w:tcPr>
          <w:p>
            <w:pPr>
              <w:jc w:val="center"/>
              <w:ind w:left="3258"/>
              <w:spacing w:after="0"/>
              <w:rPr>
                <w:sz w:val="20"/>
                <w:szCs w:val="20"/>
                <w:color w:val="auto"/>
              </w:rPr>
            </w:pPr>
            <w:r>
              <w:rPr>
                <w:rFonts w:ascii="Arial" w:cs="Arial" w:eastAsia="Arial" w:hAnsi="Arial"/>
                <w:sz w:val="16"/>
                <w:szCs w:val="16"/>
                <w:b w:val="1"/>
                <w:bCs w:val="1"/>
                <w:color w:val="auto"/>
              </w:rPr>
              <w:t>Three Months Ended March 31, 2024 AND 2023</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7900" w:type="dxa"/>
            <w:vAlign w:val="bottom"/>
          </w:tcPr>
          <w:p>
            <w:pPr>
              <w:jc w:val="center"/>
              <w:ind w:left="3278"/>
              <w:spacing w:after="0"/>
              <w:rPr>
                <w:sz w:val="20"/>
                <w:szCs w:val="20"/>
                <w:color w:val="auto"/>
              </w:rPr>
            </w:pPr>
            <w:r>
              <w:rPr>
                <w:rFonts w:ascii="Arial" w:cs="Arial" w:eastAsia="Arial" w:hAnsi="Arial"/>
                <w:sz w:val="16"/>
                <w:szCs w:val="16"/>
                <w:b w:val="1"/>
                <w:bCs w:val="1"/>
                <w:color w:val="auto"/>
              </w:rPr>
              <w:t>(Unaudited)</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749"/>
        </w:trPr>
        <w:tc>
          <w:tcPr>
            <w:tcW w:w="7900" w:type="dxa"/>
            <w:vAlign w:val="bottom"/>
          </w:tcPr>
          <w:p>
            <w:pPr>
              <w:spacing w:after="0"/>
              <w:rPr>
                <w:sz w:val="24"/>
                <w:szCs w:val="24"/>
                <w:color w:val="auto"/>
              </w:rPr>
            </w:pPr>
          </w:p>
        </w:tc>
        <w:tc>
          <w:tcPr>
            <w:tcW w:w="27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24"/>
                <w:szCs w:val="24"/>
                <w:color w:val="auto"/>
              </w:rPr>
            </w:pPr>
          </w:p>
        </w:tc>
      </w:tr>
      <w:tr>
        <w:trPr>
          <w:trHeight w:val="244"/>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10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21"/>
                <w:szCs w:val="21"/>
                <w:color w:val="auto"/>
              </w:rPr>
            </w:pPr>
          </w:p>
        </w:tc>
      </w:tr>
      <w:tr>
        <w:trPr>
          <w:trHeight w:val="229"/>
        </w:trPr>
        <w:tc>
          <w:tcPr>
            <w:tcW w:w="79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29"/>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515</w:t>
            </w:r>
          </w:p>
        </w:tc>
      </w:tr>
      <w:tr>
        <w:trPr>
          <w:trHeight w:val="221"/>
        </w:trPr>
        <w:tc>
          <w:tcPr>
            <w:tcW w:w="790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0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9"/>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10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5"/>
        </w:trPr>
        <w:tc>
          <w:tcPr>
            <w:tcW w:w="790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0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2"/>
        </w:trPr>
        <w:tc>
          <w:tcPr>
            <w:tcW w:w="7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r>
      <w:tr>
        <w:trPr>
          <w:trHeight w:val="22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0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290</w:t>
            </w:r>
          </w:p>
        </w:tc>
      </w:tr>
      <w:tr>
        <w:trPr>
          <w:trHeight w:val="21"/>
        </w:trPr>
        <w:tc>
          <w:tcPr>
            <w:tcW w:w="7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10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Share of profit of joint ventures</w:t>
            </w:r>
          </w:p>
        </w:tc>
        <w:tc>
          <w:tcPr>
            <w:tcW w:w="10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277</w:t>
            </w:r>
          </w:p>
        </w:tc>
      </w:tr>
      <w:tr>
        <w:trPr>
          <w:trHeight w:val="21"/>
        </w:trPr>
        <w:tc>
          <w:tcPr>
            <w:tcW w:w="7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9"/>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c>
          <w:tcPr>
            <w:tcW w:w="10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r>
      <w:tr>
        <w:trPr>
          <w:trHeight w:val="22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 of the Company:</w:t>
            </w: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9"/>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0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9"/>
                <w:szCs w:val="19"/>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29"/>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8"/>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r>
      <w:tr>
        <w:trPr>
          <w:trHeight w:val="29"/>
        </w:trPr>
        <w:tc>
          <w:tcPr>
            <w:tcW w:w="7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 OF COMPREHENSIVE INCOME (LOSS) FOR THE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2024 AND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26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March 31,</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80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
        </w:trPr>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9"/>
        </w:trPr>
        <w:tc>
          <w:tcPr>
            <w:tcW w:w="80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for the period</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80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profit:</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8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r>
      <w:tr>
        <w:trPr>
          <w:trHeight w:val="29"/>
        </w:trPr>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on investments measured at fair value through other comprehensive income</w:t>
            </w:r>
          </w:p>
        </w:tc>
        <w:tc>
          <w:tcPr>
            <w:tcW w:w="10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 for the period</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9"/>
                <w:szCs w:val="19"/>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50"/>
        </w:trPr>
        <w:tc>
          <w:tcPr>
            <w:tcW w:w="80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7"/>
        </w:trPr>
        <w:tc>
          <w:tcPr>
            <w:tcW w:w="802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
        </w:trPr>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9"/>
        </w:trPr>
        <w:tc>
          <w:tcPr>
            <w:tcW w:w="80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for the period</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802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802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10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9"/>
                <w:szCs w:val="19"/>
                <w:color w:val="auto"/>
              </w:rPr>
            </w:pPr>
          </w:p>
        </w:tc>
      </w:tr>
      <w:tr>
        <w:trPr>
          <w:trHeight w:val="29"/>
        </w:trPr>
        <w:tc>
          <w:tcPr>
            <w:tcW w:w="8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for the period</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9"/>
                <w:szCs w:val="19"/>
                <w:color w:val="auto"/>
              </w:rPr>
            </w:pPr>
          </w:p>
        </w:tc>
      </w:tr>
      <w:tr>
        <w:trPr>
          <w:trHeight w:val="21"/>
        </w:trPr>
        <w:tc>
          <w:tcPr>
            <w:tcW w:w="8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8" w:right="339" w:bottom="1440" w:gutter="0" w:footer="0" w:header="0"/>
        </w:sectPr>
      </w:pPr>
    </w:p>
    <w:bookmarkStart w:id="6" w:name="page7"/>
    <w:bookmarkEnd w:id="6"/>
    <w:p>
      <w:pPr>
        <w:jc w:val="center"/>
        <w:ind w:right="-1019"/>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8" w:lineRule="exact"/>
        <w:rPr>
          <w:sz w:val="20"/>
          <w:szCs w:val="20"/>
          <w:color w:val="auto"/>
        </w:rPr>
      </w:pPr>
    </w:p>
    <w:p>
      <w:pPr>
        <w:jc w:val="center"/>
        <w:ind w:right="-1019"/>
        <w:spacing w:after="0"/>
        <w:rPr>
          <w:sz w:val="20"/>
          <w:szCs w:val="20"/>
          <w:color w:val="auto"/>
        </w:rPr>
      </w:pPr>
      <w:r>
        <w:rPr>
          <w:rFonts w:ascii="Arial" w:cs="Arial" w:eastAsia="Arial" w:hAnsi="Arial"/>
          <w:sz w:val="16"/>
          <w:szCs w:val="16"/>
          <w:b w:val="1"/>
          <w:bCs w:val="1"/>
          <w:color w:val="auto"/>
        </w:rPr>
        <w:t>Three Months Ended March 31, 2024 AND 2023</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Currency</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and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Paid-In</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Hedging</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Investments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Controlling</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860" w:type="dxa"/>
            <w:vAlign w:val="bottom"/>
            <w:gridSpan w:val="5"/>
          </w:tcPr>
          <w:p>
            <w:pPr>
              <w:ind w:left="380"/>
              <w:spacing w:after="0"/>
              <w:rPr>
                <w:sz w:val="20"/>
                <w:szCs w:val="20"/>
                <w:color w:val="auto"/>
              </w:rPr>
            </w:pPr>
            <w:r>
              <w:rPr>
                <w:rFonts w:ascii="Arial" w:cs="Arial" w:eastAsia="Arial" w:hAnsi="Arial"/>
                <w:sz w:val="13"/>
                <w:szCs w:val="13"/>
                <w:b w:val="1"/>
                <w:bCs w:val="1"/>
                <w:color w:val="auto"/>
              </w:rPr>
              <w:t>Common Shares</w:t>
            </w:r>
          </w:p>
        </w:tc>
        <w:tc>
          <w:tcPr>
            <w:tcW w:w="100" w:type="dxa"/>
            <w:vAlign w:val="bottom"/>
          </w:tcPr>
          <w:p>
            <w:pPr>
              <w:spacing w:after="0"/>
              <w:rPr>
                <w:sz w:val="16"/>
                <w:szCs w:val="16"/>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Reserve</w:t>
            </w:r>
          </w:p>
        </w:tc>
        <w:tc>
          <w:tcPr>
            <w:tcW w:w="1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Reserves</w:t>
            </w: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Interest</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23,831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9,913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9,960</w:t>
            </w:r>
          </w:p>
        </w:tc>
        <w:tc>
          <w:tcPr>
            <w:tcW w:w="0" w:type="dxa"/>
            <w:vAlign w:val="bottom"/>
          </w:tcPr>
          <w:p>
            <w:pPr>
              <w:spacing w:after="0"/>
              <w:rPr>
                <w:sz w:val="1"/>
                <w:szCs w:val="1"/>
                <w:color w:val="auto"/>
              </w:rPr>
            </w:pPr>
          </w:p>
        </w:tc>
      </w:tr>
      <w:tr>
        <w:trPr>
          <w:trHeight w:val="171"/>
        </w:trPr>
        <w:tc>
          <w:tcPr>
            <w:tcW w:w="1680" w:type="dxa"/>
            <w:vAlign w:val="bottom"/>
          </w:tcPr>
          <w:p>
            <w:pPr>
              <w:ind w:left="20"/>
              <w:spacing w:after="0"/>
              <w:rPr>
                <w:sz w:val="20"/>
                <w:szCs w:val="20"/>
                <w:color w:val="auto"/>
              </w:rPr>
            </w:pPr>
            <w:r>
              <w:rPr>
                <w:rFonts w:ascii="Arial" w:cs="Arial" w:eastAsia="Arial" w:hAnsi="Arial"/>
                <w:sz w:val="13"/>
                <w:szCs w:val="13"/>
                <w:color w:val="auto"/>
              </w:rPr>
              <w:t>Proceeds from issuance of</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6"/>
        </w:trPr>
        <w:tc>
          <w:tcPr>
            <w:tcW w:w="1680" w:type="dxa"/>
            <w:vAlign w:val="bottom"/>
          </w:tcPr>
          <w:p>
            <w:pPr>
              <w:ind w:left="20"/>
              <w:spacing w:after="0"/>
              <w:rPr>
                <w:sz w:val="20"/>
                <w:szCs w:val="20"/>
                <w:color w:val="auto"/>
              </w:rPr>
            </w:pPr>
            <w:r>
              <w:rPr>
                <w:rFonts w:ascii="Arial" w:cs="Arial" w:eastAsia="Arial" w:hAnsi="Arial"/>
                <w:sz w:val="13"/>
                <w:szCs w:val="13"/>
                <w:color w:val="auto"/>
              </w:rPr>
              <w:t>equity instruments</w:t>
            </w: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5"/>
        </w:trPr>
        <w:tc>
          <w:tcPr>
            <w:tcW w:w="16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41"/>
        </w:trPr>
        <w:tc>
          <w:tcPr>
            <w:tcW w:w="1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March 31, 2023</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552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23,916</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(13,767)</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w:t>
            </w:r>
          </w:p>
        </w:tc>
        <w:tc>
          <w:tcPr>
            <w:tcW w:w="160" w:type="dxa"/>
            <w:vAlign w:val="bottom"/>
          </w:tcPr>
          <w:p>
            <w:pPr>
              <w:spacing w:after="0"/>
              <w:rPr>
                <w:sz w:val="15"/>
                <w:szCs w:val="15"/>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10,260</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5"/>
                <w:szCs w:val="15"/>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10,307</w:t>
            </w:r>
          </w:p>
        </w:tc>
        <w:tc>
          <w:tcPr>
            <w:tcW w:w="0" w:type="dxa"/>
            <w:vAlign w:val="bottom"/>
          </w:tcPr>
          <w:p>
            <w:pPr>
              <w:spacing w:after="0"/>
              <w:rPr>
                <w:sz w:val="1"/>
                <w:szCs w:val="1"/>
                <w:color w:val="auto"/>
              </w:rPr>
            </w:pPr>
          </w:p>
        </w:tc>
      </w:tr>
      <w:tr>
        <w:trPr>
          <w:trHeight w:val="35"/>
        </w:trPr>
        <w:tc>
          <w:tcPr>
            <w:tcW w:w="16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December 31, 2023</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554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(13,001)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11,104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11,151</w:t>
            </w: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instruments</w:t>
            </w: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41"/>
        </w:trPr>
        <w:tc>
          <w:tcPr>
            <w:tcW w:w="1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5"/>
        </w:trPr>
        <w:tc>
          <w:tcPr>
            <w:tcW w:w="16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41"/>
        </w:trPr>
        <w:tc>
          <w:tcPr>
            <w:tcW w:w="1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w:t>
            </w: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93"/>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9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80" w:type="dxa"/>
            <w:vAlign w:val="bottom"/>
          </w:tcPr>
          <w:p>
            <w:pPr>
              <w:ind w:left="20"/>
              <w:spacing w:after="0"/>
              <w:rPr>
                <w:sz w:val="20"/>
                <w:szCs w:val="20"/>
                <w:color w:val="auto"/>
              </w:rPr>
            </w:pPr>
            <w:r>
              <w:rPr>
                <w:rFonts w:ascii="Arial" w:cs="Arial" w:eastAsia="Arial" w:hAnsi="Arial"/>
                <w:sz w:val="13"/>
                <w:szCs w:val="13"/>
                <w:b w:val="1"/>
                <w:bCs w:val="1"/>
                <w:color w:val="auto"/>
              </w:rPr>
              <w:t>March 31, 2024</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24,067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11,251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11,297</w:t>
            </w:r>
          </w:p>
        </w:tc>
        <w:tc>
          <w:tcPr>
            <w:tcW w:w="0" w:type="dxa"/>
            <w:vAlign w:val="bottom"/>
          </w:tcPr>
          <w:p>
            <w:pPr>
              <w:spacing w:after="0"/>
              <w:rPr>
                <w:sz w:val="1"/>
                <w:szCs w:val="1"/>
                <w:color w:val="auto"/>
              </w:rPr>
            </w:pPr>
          </w:p>
        </w:tc>
      </w:tr>
      <w:tr>
        <w:trPr>
          <w:trHeight w:val="25"/>
        </w:trPr>
        <w:tc>
          <w:tcPr>
            <w:tcW w:w="16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20"/>
          </w:cols>
          <w:pgMar w:left="320" w:top="98" w:right="135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 FOR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2024 AND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7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r>
      <w:tr>
        <w:trPr>
          <w:trHeight w:val="244"/>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21"/>
                <w:szCs w:val="21"/>
                <w:color w:val="auto"/>
              </w:rPr>
            </w:pPr>
          </w:p>
        </w:tc>
      </w:tr>
      <w:tr>
        <w:trPr>
          <w:trHeight w:val="229"/>
        </w:trPr>
        <w:tc>
          <w:tcPr>
            <w:tcW w:w="7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r>
      <w:tr>
        <w:trPr>
          <w:trHeight w:val="21"/>
        </w:trPr>
        <w:tc>
          <w:tcPr>
            <w:tcW w:w="7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taxes paid and finance income (expense),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disposal of property, plant and equipment and other</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Change in assets and liabilities: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and non-current trade and other payables</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488</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479</w:t>
            </w:r>
          </w:p>
        </w:tc>
      </w:tr>
      <w:tr>
        <w:trPr>
          <w:trHeight w:val="21"/>
        </w:trPr>
        <w:tc>
          <w:tcPr>
            <w:tcW w:w="79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
        </w:trPr>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 of intangible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a business</w:t>
            </w: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(586)</w:t>
            </w:r>
          </w:p>
        </w:tc>
      </w:tr>
      <w:tr>
        <w:trPr>
          <w:trHeight w:val="250"/>
        </w:trPr>
        <w:tc>
          <w:tcPr>
            <w:tcW w:w="79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Net proceeds from borrowings</w:t>
            </w: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issuance of equity instruments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r>
        <w:trPr>
          <w:trHeight w:val="21"/>
        </w:trPr>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1"/>
        </w:trPr>
        <w:tc>
          <w:tcPr>
            <w:tcW w:w="798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9"/>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r>
      <w:tr>
        <w:trPr>
          <w:trHeight w:val="250"/>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2,247</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2,256</w:t>
            </w:r>
          </w:p>
        </w:tc>
      </w:tr>
      <w:tr>
        <w:trPr>
          <w:trHeight w:val="21"/>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 and power management units.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Judgements, Estimates and Assumptions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consolidated financial statements have been prepared in accordance with IAS 34, Interim Financial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information and footnote disclosures normally included in the annual audited consolidated financial statements prepared in accordance with International Financial Reporting Standards (“IFRS”), as issued by the International Accounting Standards Board (“IASB”), have been omitted or condensed. These interim consolidated financial statements should be read in conjunction with GLOBALFOUNDRIES' Annual Report on Form 20-F for the year ended December 31, 2023. The interim consolidated statements have been prepared on a basis consistent with the accounting policies disclosed in the December 31, 2023 audited consolidated financial statements.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interim consolidated financial statements are unaudited and reflect adjustments (consisting of normal recurring adjustments) that are, in the opinion of management, necessary to provide a fair statement of results for the interim periods in accordance with IFRS.</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interim condensed consolidated financial statements were authorized by the Audit, Risk and Compliance Committee of GLOBALFOUNDRIES’ Board of Directors on May 7, 2024, to be issued and subsequent events have been evaluated for their potential effect on the interim condensed consolidated financial statements through May 7, 2024.</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r>
        <w:rPr>
          <w:rFonts w:ascii="Arial" w:cs="Arial" w:eastAsia="Arial" w:hAnsi="Arial"/>
          <w:sz w:val="16"/>
          <w:szCs w:val="16"/>
          <w:b w:val="1"/>
          <w:bCs w:val="1"/>
          <w:color w:val="auto"/>
        </w:rPr>
        <w:t xml:space="preserve"> </w:t>
      </w:r>
      <w:r>
        <w:rPr>
          <w:rFonts w:ascii="Arial" w:cs="Arial" w:eastAsia="Arial" w:hAnsi="Arial"/>
          <w:sz w:val="16"/>
          <w:szCs w:val="16"/>
          <w:color w:val="auto"/>
        </w:rPr>
        <w:t>critical judgments, estimates and assumptions adopted in the preparation of the interim condensed consolidated financial statements are consistent with those followed in the preparation of the Company's annual audited consolidated financial statements contained in our Annual Report on Form 20-F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6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presents the Company’s revenue disaggregated based on revenue source and timing of revenue recognition for the three month periods ended March 31, 2024 and 2023. The Company believes these categories best depict the nature and timing of 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76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Type of goods and services:</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Wafer fabrication</w:t>
            </w:r>
            <w:r>
              <w:rPr>
                <w:rFonts w:ascii="Arial" w:cs="Arial" w:eastAsia="Arial" w:hAnsi="Arial"/>
                <w:sz w:val="21"/>
                <w:szCs w:val="21"/>
                <w:color w:val="auto"/>
                <w:vertAlign w:val="superscript"/>
              </w:rPr>
              <w:t>(1)</w:t>
            </w:r>
          </w:p>
        </w:tc>
        <w:tc>
          <w:tcPr>
            <w:tcW w:w="5740" w:type="dxa"/>
            <w:vAlign w:val="bottom"/>
            <w:tcBorders>
              <w:top w:val="single" w:sz="8" w:color="CCEEFF"/>
            </w:tcBorders>
            <w:gridSpan w:val="2"/>
          </w:tcPr>
          <w:p>
            <w:pPr>
              <w:spacing w:after="0"/>
              <w:rPr>
                <w:sz w:val="22"/>
                <w:szCs w:val="22"/>
                <w:color w:val="auto"/>
              </w:rPr>
            </w:pPr>
          </w:p>
        </w:tc>
        <w:tc>
          <w:tcPr>
            <w:tcW w:w="32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Engineering and other pre-fabrication services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1,549</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1,841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Timing of revenue recognition:</w:t>
            </w: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Revenue recognized over time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6"/>
                <w:szCs w:val="16"/>
                <w:color w:val="auto"/>
              </w:rPr>
              <w:t>Revenue recognized at a point in time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firstLine="8"/>
        <w:spacing w:after="0" w:line="295" w:lineRule="auto"/>
        <w:tabs>
          <w:tab w:leader="none" w:pos="149"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Beginning in 2024, access fees and other have been reclassified from wafer fabrication to engineering and other pre-fabrication services. Prior period amounts have not been adjusted as it is not material.</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a Cayman Islands corporation, the Company’s domestic statutory income tax rate is 0.0%. The difference between the Company’s domestic statutory income tax rate and its effective income tax rate reflected in the income tax benefit or income tax expense is </w:t>
      </w:r>
      <w:r>
        <w:rPr>
          <w:rFonts w:ascii="Arial" w:cs="Arial" w:eastAsia="Arial" w:hAnsi="Arial"/>
          <w:sz w:val="16"/>
          <w:szCs w:val="16"/>
          <w:color w:val="212121"/>
        </w:rPr>
        <w:t>primarily due to the effect of the tax rates and permanent differences in</w:t>
      </w:r>
      <w:r>
        <w:rPr>
          <w:rFonts w:ascii="Arial" w:cs="Arial" w:eastAsia="Arial" w:hAnsi="Arial"/>
          <w:sz w:val="16"/>
          <w:szCs w:val="16"/>
          <w:color w:val="auto"/>
        </w:rPr>
        <w:t xml:space="preserve"> </w:t>
      </w:r>
      <w:r>
        <w:rPr>
          <w:rFonts w:ascii="Arial" w:cs="Arial" w:eastAsia="Arial" w:hAnsi="Arial"/>
          <w:sz w:val="16"/>
          <w:szCs w:val="16"/>
          <w:color w:val="212121"/>
        </w:rPr>
        <w:t>the other jurisdictions in which the Company operates.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effective tax rate for the three months ended March 31, 2024 and 2023 was 13.5% and 8.3%, respectively. The increase for the three months ended March 31, 2024 compared to the prior year was primarily the result of higher income tax expense related to the U.S. corporate alternative minimum tax and an increase in permanent differences, offset by withholding tax accrued in the U.S. classified as other taxes in the current year as it is not creditable against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7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
        </w:trPr>
        <w:tc>
          <w:tcPr>
            <w:tcW w:w="7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 except per share amounts)</w:t>
            </w: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7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equity shareholders of the Company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50"/>
        </w:trPr>
        <w:tc>
          <w:tcPr>
            <w:tcW w:w="74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00" w:type="dxa"/>
            <w:vAlign w:val="bottom"/>
          </w:tcPr>
          <w:p>
            <w:pPr>
              <w:ind w:left="16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 shareholders</w:t>
            </w:r>
          </w:p>
        </w:tc>
        <w:tc>
          <w:tcPr>
            <w:tcW w:w="4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400" w:type="dxa"/>
            <w:vAlign w:val="bottom"/>
          </w:tcPr>
          <w:p>
            <w:pPr>
              <w:ind w:left="120"/>
              <w:spacing w:after="0"/>
              <w:rPr>
                <w:sz w:val="20"/>
                <w:szCs w:val="20"/>
                <w:color w:val="auto"/>
              </w:rPr>
            </w:pPr>
            <w:r>
              <w:rPr>
                <w:rFonts w:ascii="Arial" w:cs="Arial" w:eastAsia="Arial" w:hAnsi="Arial"/>
                <w:sz w:val="16"/>
                <w:szCs w:val="16"/>
                <w:color w:val="auto"/>
              </w:rPr>
              <w:t>Basic</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9"/>
        </w:trPr>
        <w:tc>
          <w:tcPr>
            <w:tcW w:w="7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gridSpan w:val="4"/>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Land and</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Building and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Land</w:t>
            </w: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Leasehold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Construction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Improvements</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Improvements</w:t>
            </w:r>
          </w:p>
        </w:tc>
        <w:tc>
          <w:tcPr>
            <w:tcW w:w="18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Equipment</w:t>
            </w: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Computer</w:t>
            </w:r>
          </w:p>
        </w:tc>
        <w:tc>
          <w:tcPr>
            <w:tcW w:w="18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Progress</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8,581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24,285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1,509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34,960</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6"/>
                <w:szCs w:val="16"/>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Transfers from construction in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24,684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35,163</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 March 31,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4,951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10,304</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Accumulated Depreciation and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24,796</w:t>
            </w:r>
          </w:p>
        </w:tc>
        <w:tc>
          <w:tcPr>
            <w:tcW w:w="0" w:type="dxa"/>
            <w:vAlign w:val="bottom"/>
          </w:tcPr>
          <w:p>
            <w:pPr>
              <w:spacing w:after="0"/>
              <w:rPr>
                <w:sz w:val="1"/>
                <w:szCs w:val="1"/>
                <w:color w:val="auto"/>
              </w:rPr>
            </w:pPr>
          </w:p>
        </w:tc>
      </w:tr>
      <w:tr>
        <w:trPr>
          <w:trHeight w:val="227"/>
        </w:trPr>
        <w:tc>
          <w:tcPr>
            <w:tcW w:w="25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9"/>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24,859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March 31, 2024 and 2023, the depreciation expense of property, plant and equipment was $361 million and $312 million, respectively.</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Restructuring</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incurred nil and $5 million of restructuring costs during the three months ended March 31, 2024 and 2023, respectively. These costs are included in restructuring expenses in the Company’s consolidated statements of operations and unpaid amounts are included in provisions within current liabilities on the consolidated statements of financial position.</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changes to the restructuring provisions recorded on the consolidated statements of financial position as of March 31, 2024, are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Pr>
          <w:p>
            <w:pPr>
              <w:spacing w:after="0"/>
              <w:rPr>
                <w:sz w:val="19"/>
                <w:szCs w:val="19"/>
                <w:color w:val="auto"/>
              </w:rPr>
            </w:pPr>
          </w:p>
        </w:tc>
        <w:tc>
          <w:tcPr>
            <w:tcW w:w="1820" w:type="dxa"/>
            <w:vAlign w:val="bottom"/>
          </w:tcPr>
          <w:p>
            <w:pPr>
              <w:jc w:val="right"/>
              <w:ind w:right="939"/>
              <w:spacing w:after="0"/>
              <w:rPr>
                <w:sz w:val="20"/>
                <w:szCs w:val="20"/>
                <w:color w:val="auto"/>
              </w:rPr>
            </w:pPr>
            <w:r>
              <w:rPr>
                <w:rFonts w:ascii="Arial" w:cs="Arial" w:eastAsia="Arial" w:hAnsi="Arial"/>
                <w:sz w:val="16"/>
                <w:szCs w:val="16"/>
                <w:b w:val="1"/>
                <w:bCs w:val="1"/>
                <w:color w:val="auto"/>
              </w:rPr>
              <w:t>2023</w:t>
            </w:r>
          </w:p>
        </w:tc>
      </w:tr>
      <w:tr>
        <w:trPr>
          <w:trHeight w:val="21"/>
        </w:trPr>
        <w:tc>
          <w:tcPr>
            <w:tcW w:w="8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as of December 31, 2023</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8860" w:type="dxa"/>
            <w:vAlign w:val="bottom"/>
          </w:tcPr>
          <w:p>
            <w:pPr>
              <w:ind w:left="20"/>
              <w:spacing w:after="0"/>
              <w:rPr>
                <w:sz w:val="20"/>
                <w:szCs w:val="20"/>
                <w:color w:val="auto"/>
              </w:rPr>
            </w:pPr>
            <w:r>
              <w:rPr>
                <w:rFonts w:ascii="Arial" w:cs="Arial" w:eastAsia="Arial" w:hAnsi="Arial"/>
                <w:sz w:val="16"/>
                <w:szCs w:val="16"/>
                <w:color w:val="auto"/>
              </w:rPr>
              <w:t>Amounts paid</w:t>
            </w:r>
          </w:p>
        </w:tc>
        <w:tc>
          <w:tcPr>
            <w:tcW w:w="5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88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75"/>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as of March 31, 2024</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79"/>
        </w:trPr>
        <w:tc>
          <w:tcPr>
            <w:tcW w:w="7900" w:type="dxa"/>
            <w:vAlign w:val="bottom"/>
          </w:tcPr>
          <w:p>
            <w:pPr>
              <w:spacing w:after="0"/>
              <w:rPr>
                <w:sz w:val="24"/>
                <w:szCs w:val="24"/>
                <w:color w:val="auto"/>
              </w:rPr>
            </w:pPr>
          </w:p>
        </w:tc>
        <w:tc>
          <w:tcPr>
            <w:tcW w:w="1240" w:type="dxa"/>
            <w:vAlign w:val="bottom"/>
          </w:tcPr>
          <w:p>
            <w:pPr>
              <w:jc w:val="center"/>
              <w:ind w:left="299"/>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1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29"/>
        </w:trPr>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12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7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financial assets</w:t>
            </w:r>
          </w:p>
        </w:tc>
        <w:tc>
          <w:tcPr>
            <w:tcW w:w="12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79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1,190</w:t>
            </w:r>
          </w:p>
        </w:tc>
        <w:tc>
          <w:tcPr>
            <w:tcW w:w="10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1,420</w:t>
            </w: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w:t>
            </w:r>
          </w:p>
        </w:tc>
        <w:tc>
          <w:tcPr>
            <w:tcW w:w="6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Advances to suppliers</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9"/>
        </w:trPr>
        <w:tc>
          <w:tcPr>
            <w:tcW w:w="7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w:t>
            </w:r>
          </w:p>
        </w:tc>
        <w:tc>
          <w:tcPr>
            <w:tcW w:w="6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79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w:t>
            </w:r>
          </w:p>
        </w:tc>
      </w:tr>
      <w:tr>
        <w:trPr>
          <w:trHeight w:val="20"/>
        </w:trPr>
        <w:tc>
          <w:tcPr>
            <w:tcW w:w="7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ind w:firstLine="8"/>
        <w:spacing w:after="0" w:line="222" w:lineRule="auto"/>
        <w:tabs>
          <w:tab w:leader="none" w:pos="189"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in the Company’s unbilled accounts receivable as of March 31, 2024 and for the twelve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respectively: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40" w:type="dxa"/>
            <w:vAlign w:val="bottom"/>
          </w:tcPr>
          <w:p>
            <w:pPr>
              <w:ind w:left="60"/>
              <w:spacing w:after="0"/>
              <w:rPr>
                <w:sz w:val="20"/>
                <w:szCs w:val="20"/>
                <w:color w:val="auto"/>
              </w:rPr>
            </w:pPr>
            <w:r>
              <w:rPr>
                <w:rFonts w:ascii="Arial" w:cs="Arial" w:eastAsia="Arial" w:hAnsi="Arial"/>
                <w:sz w:val="16"/>
                <w:szCs w:val="16"/>
                <w:color w:val="auto"/>
              </w:rPr>
              <w:t>Revenue recognized during the period</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0" w:type="dxa"/>
            <w:vAlign w:val="bottom"/>
          </w:tcPr>
          <w:p>
            <w:pPr>
              <w:spacing w:after="0"/>
              <w:rPr>
                <w:sz w:val="22"/>
                <w:szCs w:val="22"/>
                <w:color w:val="auto"/>
              </w:rPr>
            </w:pPr>
          </w:p>
        </w:tc>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Amounts invoiced</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7240" w:type="dxa"/>
            <w:vAlign w:val="bottom"/>
          </w:tcPr>
          <w:p>
            <w:pPr>
              <w:ind w:left="60"/>
              <w:spacing w:after="0"/>
              <w:rPr>
                <w:sz w:val="20"/>
                <w:szCs w:val="20"/>
                <w:color w:val="auto"/>
              </w:rPr>
            </w:pPr>
            <w:r>
              <w:rPr>
                <w:rFonts w:ascii="Arial" w:cs="Arial" w:eastAsia="Arial" w:hAnsi="Arial"/>
                <w:sz w:val="16"/>
                <w:szCs w:val="16"/>
                <w:b w:val="1"/>
                <w:bCs w:val="1"/>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9. Inventories</w:t>
            </w: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9"/>
        </w:trPr>
        <w:tc>
          <w:tcPr>
            <w:tcW w:w="7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62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20" w:type="dxa"/>
            <w:vAlign w:val="bottom"/>
            <w:tcBorders>
              <w:bottom w:val="single" w:sz="8" w:color="CCEEFF"/>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28"/>
        </w:trPr>
        <w:tc>
          <w:tcPr>
            <w:tcW w:w="7620" w:type="dxa"/>
            <w:vAlign w:val="bottom"/>
            <w:gridSpan w:val="2"/>
          </w:tcPr>
          <w:p>
            <w:pPr>
              <w:ind w:left="8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w w:val="97"/>
              </w:rPr>
              <w:t>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9"/>
        </w:trPr>
        <w:tc>
          <w:tcPr>
            <w:tcW w:w="76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62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1,667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1,487</w:t>
            </w: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Long Term Debt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Year</w:t>
            </w: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
        </w:trPr>
        <w:tc>
          <w:tcPr>
            <w:tcW w:w="3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1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Currency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Rate</w:t>
            </w:r>
          </w:p>
        </w:tc>
        <w:tc>
          <w:tcPr>
            <w:tcW w:w="11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line="20" w:lineRule="exact"/>
              <w:rPr>
                <w:sz w:val="1"/>
                <w:szCs w:val="1"/>
                <w:color w:val="auto"/>
              </w:rPr>
            </w:pPr>
          </w:p>
        </w:tc>
      </w:tr>
      <w:tr>
        <w:trPr>
          <w:trHeight w:val="216"/>
        </w:trPr>
        <w:tc>
          <w:tcPr>
            <w:tcW w:w="39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Maturity</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Tool Equipment Purchase and Lease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SOFR</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6"/>
                <w:szCs w:val="16"/>
                <w:color w:val="auto"/>
              </w:rPr>
              <w:t>2020 USD Equipment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EUR, 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2024-2026</w:t>
            </w: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Current total</w:t>
            </w:r>
          </w:p>
        </w:tc>
        <w:tc>
          <w:tcPr>
            <w:tcW w:w="1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542</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571</w:t>
            </w:r>
          </w:p>
        </w:tc>
        <w:tc>
          <w:tcPr>
            <w:tcW w:w="0" w:type="dxa"/>
            <w:vAlign w:val="bottom"/>
          </w:tcPr>
          <w:p>
            <w:pPr>
              <w:spacing w:after="0"/>
              <w:rPr>
                <w:sz w:val="1"/>
                <w:szCs w:val="1"/>
                <w:color w:val="auto"/>
              </w:rPr>
            </w:pPr>
          </w:p>
        </w:tc>
      </w:tr>
      <w:tr>
        <w:trPr>
          <w:trHeight w:val="21"/>
        </w:trPr>
        <w:tc>
          <w:tcPr>
            <w:tcW w:w="3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6"/>
                <w:szCs w:val="16"/>
                <w:color w:val="auto"/>
              </w:rPr>
              <w:t>2020 USD Equipment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+ 1.90%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USD Term Loan A</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2025</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28"/>
        </w:trPr>
        <w:tc>
          <w:tcPr>
            <w:tcW w:w="3920" w:type="dxa"/>
            <w:vAlign w:val="bottom"/>
          </w:tcPr>
          <w:p>
            <w:pPr>
              <w:ind w:left="20"/>
              <w:spacing w:after="0"/>
              <w:rPr>
                <w:sz w:val="20"/>
                <w:szCs w:val="20"/>
                <w:color w:val="auto"/>
              </w:rPr>
            </w:pPr>
            <w:r>
              <w:rPr>
                <w:rFonts w:ascii="Arial" w:cs="Arial" w:eastAsia="Arial" w:hAnsi="Arial"/>
                <w:sz w:val="16"/>
                <w:szCs w:val="16"/>
                <w:color w:val="auto"/>
              </w:rPr>
              <w:t>2019 EUR Dresden Equipment Financing</w:t>
            </w:r>
          </w:p>
        </w:tc>
        <w:tc>
          <w:tcPr>
            <w:tcW w:w="1140" w:type="dxa"/>
            <w:vAlign w:val="bottom"/>
          </w:tcPr>
          <w:p>
            <w:pPr>
              <w:ind w:left="80"/>
              <w:spacing w:after="0"/>
              <w:rPr>
                <w:sz w:val="20"/>
                <w:szCs w:val="20"/>
                <w:color w:val="auto"/>
              </w:rPr>
            </w:pPr>
            <w:r>
              <w:rPr>
                <w:rFonts w:ascii="Arial" w:cs="Arial" w:eastAsia="Arial" w:hAnsi="Arial"/>
                <w:sz w:val="16"/>
                <w:szCs w:val="16"/>
                <w:color w:val="auto"/>
              </w:rPr>
              <w:t>EUR</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Pr>
          <w:p>
            <w:pPr>
              <w:jc w:val="center"/>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9"/>
        </w:trPr>
        <w:tc>
          <w:tcPr>
            <w:tcW w:w="3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 SGD EDB Loan</w:t>
            </w:r>
          </w:p>
        </w:tc>
        <w:tc>
          <w:tcPr>
            <w:tcW w:w="1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SGD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1.40%</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2041</w:t>
            </w: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Pr>
          <w:p>
            <w:pPr>
              <w:ind w:left="80"/>
              <w:spacing w:after="0"/>
              <w:rPr>
                <w:sz w:val="20"/>
                <w:szCs w:val="20"/>
                <w:color w:val="auto"/>
              </w:rPr>
            </w:pPr>
            <w:r>
              <w:rPr>
                <w:rFonts w:ascii="Arial" w:cs="Arial" w:eastAsia="Arial" w:hAnsi="Arial"/>
                <w:sz w:val="16"/>
                <w:szCs w:val="16"/>
                <w:color w:val="auto"/>
              </w:rPr>
              <w:t>EUR, USD</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Pr>
          <w:p>
            <w:pPr>
              <w:jc w:val="center"/>
              <w:spacing w:after="0"/>
              <w:rPr>
                <w:sz w:val="20"/>
                <w:szCs w:val="20"/>
                <w:color w:val="auto"/>
              </w:rPr>
            </w:pPr>
            <w:r>
              <w:rPr>
                <w:rFonts w:ascii="Arial" w:cs="Arial" w:eastAsia="Arial" w:hAnsi="Arial"/>
                <w:sz w:val="16"/>
                <w:szCs w:val="16"/>
                <w:color w:val="auto"/>
              </w:rPr>
              <w:t>2024-2027</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9"/>
        </w:trPr>
        <w:tc>
          <w:tcPr>
            <w:tcW w:w="39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total</w:t>
            </w:r>
          </w:p>
        </w:tc>
        <w:tc>
          <w:tcPr>
            <w:tcW w:w="1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1,801</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2,308</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2,372</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7"/>
                <w:szCs w:val="17"/>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3"/>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9"/>
                <w:szCs w:val="19"/>
                <w:color w:val="auto"/>
              </w:rPr>
            </w:pPr>
          </w:p>
        </w:tc>
        <w:tc>
          <w:tcPr>
            <w:tcW w:w="13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7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8"/>
        </w:trPr>
        <w:tc>
          <w:tcPr>
            <w:tcW w:w="7920" w:type="dxa"/>
            <w:vAlign w:val="bottom"/>
          </w:tcPr>
          <w:p>
            <w:pPr>
              <w:ind w:left="20"/>
              <w:spacing w:after="0"/>
              <w:rPr>
                <w:sz w:val="20"/>
                <w:szCs w:val="20"/>
                <w:color w:val="auto"/>
              </w:rPr>
            </w:pPr>
            <w:r>
              <w:rPr>
                <w:rFonts w:ascii="Arial" w:cs="Arial" w:eastAsia="Arial" w:hAnsi="Arial"/>
                <w:sz w:val="16"/>
                <w:szCs w:val="16"/>
                <w:color w:val="auto"/>
              </w:rPr>
              <w:t>Uncommitted Credit Facilities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9"/>
        </w:trPr>
        <w:tc>
          <w:tcPr>
            <w:tcW w:w="7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Related Party Disclosures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total amounts of $7 million and $12 million due from related parties as of March 31, 2024 and December 31, 2023, respectively, have been included in receivables, prepayments and other assets (see Note 8). The $8 million and $10 million due to related parties as of March 31, 2024 and December 31, 2023, respectively, have been included in trade and other payables.</w:t>
      </w:r>
    </w:p>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Related party balances disclosed in the interim condensed consolidated statements of financial position related to Silicon Manufacturing Partners Pte Ltd. ("SMP"). SMP is a joint venture with LSI Technology (Singapore) Pte. Ltd. The Company holds a 49% interest in SMP and manages all aspects of its manufacturing operations.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380" w:type="dxa"/>
            <w:vAlign w:val="bottom"/>
            <w:gridSpan w:val="3"/>
          </w:tcPr>
          <w:p>
            <w:pPr>
              <w:ind w:left="1000"/>
              <w:spacing w:after="0"/>
              <w:rPr>
                <w:sz w:val="20"/>
                <w:szCs w:val="20"/>
                <w:color w:val="auto"/>
              </w:rPr>
            </w:pPr>
            <w:r>
              <w:rPr>
                <w:rFonts w:ascii="Arial" w:cs="Arial" w:eastAsia="Arial" w:hAnsi="Arial"/>
                <w:sz w:val="16"/>
                <w:szCs w:val="16"/>
                <w:b w:val="1"/>
                <w:bCs w:val="1"/>
                <w:color w:val="auto"/>
              </w:rPr>
              <w:t>Three Months Ended March 31,</w:t>
            </w:r>
          </w:p>
        </w:tc>
      </w:tr>
      <w:tr>
        <w:trPr>
          <w:trHeight w:val="21"/>
        </w:trPr>
        <w:tc>
          <w:tcPr>
            <w:tcW w:w="68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29"/>
        </w:trPr>
        <w:tc>
          <w:tcPr>
            <w:tcW w:w="68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2023</w:t>
            </w:r>
          </w:p>
        </w:tc>
      </w:tr>
      <w:tr>
        <w:trPr>
          <w:trHeight w:val="21"/>
        </w:trPr>
        <w:tc>
          <w:tcPr>
            <w:tcW w:w="68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1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r>
      <w:tr>
        <w:trPr>
          <w:trHeight w:val="227"/>
        </w:trPr>
        <w:tc>
          <w:tcPr>
            <w:tcW w:w="6860" w:type="dxa"/>
            <w:vAlign w:val="bottom"/>
          </w:tcPr>
          <w:p>
            <w:pPr>
              <w:ind w:left="20"/>
              <w:spacing w:after="0"/>
              <w:rPr>
                <w:sz w:val="20"/>
                <w:szCs w:val="20"/>
                <w:color w:val="auto"/>
              </w:rPr>
            </w:pPr>
            <w:r>
              <w:rPr>
                <w:rFonts w:ascii="Arial" w:cs="Arial" w:eastAsia="Arial" w:hAnsi="Arial"/>
                <w:sz w:val="16"/>
                <w:szCs w:val="16"/>
                <w:color w:val="auto"/>
              </w:rPr>
              <w:t>SMP</w:t>
            </w:r>
          </w:p>
        </w:tc>
        <w:tc>
          <w:tcPr>
            <w:tcW w:w="1980" w:type="dxa"/>
            <w:vAlign w:val="bottom"/>
          </w:tcPr>
          <w:p>
            <w:pPr>
              <w:jc w:val="center"/>
              <w:spacing w:after="0"/>
              <w:rPr>
                <w:sz w:val="20"/>
                <w:szCs w:val="20"/>
                <w:color w:val="auto"/>
              </w:rPr>
            </w:pPr>
            <w:r>
              <w:rPr>
                <w:rFonts w:ascii="Arial" w:cs="Arial" w:eastAsia="Arial" w:hAnsi="Arial"/>
                <w:sz w:val="16"/>
                <w:szCs w:val="16"/>
                <w:color w:val="auto"/>
                <w:w w:val="97"/>
              </w:rPr>
              <w:t>$14</w:t>
            </w:r>
          </w:p>
        </w:tc>
        <w:tc>
          <w:tcPr>
            <w:tcW w:w="10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7"/>
              </w:rPr>
              <w:t>$10</w:t>
            </w:r>
          </w:p>
        </w:tc>
      </w:tr>
      <w:tr>
        <w:trPr>
          <w:trHeight w:val="36"/>
        </w:trPr>
        <w:tc>
          <w:tcPr>
            <w:tcW w:w="686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r>
      <w:tr>
        <w:trPr>
          <w:trHeight w:val="243"/>
        </w:trPr>
        <w:tc>
          <w:tcPr>
            <w:tcW w:w="686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r>
      <w:tr>
        <w:trPr>
          <w:trHeight w:val="236"/>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1"/>
        </w:trPr>
        <w:tc>
          <w:tcPr>
            <w:tcW w:w="6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8"/>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 of tools)</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$13</w:t>
            </w:r>
          </w:p>
        </w:tc>
      </w:tr>
      <w:tr>
        <w:trPr>
          <w:trHeight w:val="29"/>
        </w:trPr>
        <w:tc>
          <w:tcPr>
            <w:tcW w:w="68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Commitments and Contingencies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third-parties. The total future payments under these agreements amounted to $650 million and $1.1 billion, as of March 31, 2024 and December 31, 2023, respectively. Unconditional purchase commitments of $299 million are due within the next 12 months.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the above, the Company obtained letters of credit to primarily guarantee payments for utility suppliers and foreign statutory payroll related charges. The Company has obtained letters of credit of $23 million as of March 31, 2024, and December 31, 2023 and has drawn down bank guarantees of $58 million and $54 million as of March 31, 2024 and December 31, 2023, respectively.</w:t>
      </w:r>
    </w:p>
    <w:p>
      <w:pPr>
        <w:spacing w:after="0" w:line="34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condensed consolidated statements of financial position or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201F1E"/>
        </w:rPr>
        <w:t xml:space="preserve">On April 28, 2021, IBM sent the Company a letter alleging for the first time that it did not fulfill its obligations under the contracts entered into with IBM in 2014 and 2015 associated with the acquisition of IBM’s Microelectronics division. IBM asserted that the Company engaged in fraudulent misrepresentations during the underlying negotiations, and claimed the Company owed them </w:t>
      </w:r>
      <w:r>
        <w:rPr>
          <w:rFonts w:ascii="Arial" w:cs="Arial" w:eastAsia="Arial" w:hAnsi="Arial"/>
          <w:sz w:val="16"/>
          <w:szCs w:val="16"/>
          <w:color w:val="000000"/>
        </w:rPr>
        <w:t>$2.5 billion</w:t>
      </w:r>
      <w:r>
        <w:rPr>
          <w:rFonts w:ascii="Arial" w:cs="Arial" w:eastAsia="Arial" w:hAnsi="Arial"/>
          <w:sz w:val="16"/>
          <w:szCs w:val="16"/>
          <w:color w:val="201F1E"/>
        </w:rPr>
        <w:t xml:space="preserve">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the dismissal of its fraud claim, and on April 7, 2022, the New York Appellate Division reversed the Court’s decision. Discovery and dispositive motion practice have been completed and the parties are awaiting a trial date. The Company believes, based on discussions with legal counsel, that it has meritorious defenses against IBM’s claims and intends to vigorously defend against them.</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Fair Value Measurements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9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30"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 and</w:t>
      </w:r>
    </w:p>
    <w:p>
      <w:pPr>
        <w:ind w:left="660" w:hanging="328"/>
        <w:spacing w:after="0" w:line="27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Quoted Prices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Inputs</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22"/>
                <w:szCs w:val="22"/>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March 31, 2024</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8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Included in cash and cash equivalents on the Company’s interim condensed consolidated statements of financial position.</w:t>
      </w:r>
    </w:p>
    <w:p>
      <w:pPr>
        <w:spacing w:after="0" w:line="117"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93" w:lineRule="exact"/>
        <w:rPr>
          <w:rFonts w:ascii="Arial" w:cs="Arial" w:eastAsia="Arial" w:hAnsi="Arial"/>
          <w:sz w:val="18"/>
          <w:szCs w:val="18"/>
          <w:color w:val="auto"/>
          <w:vertAlign w:val="superscript"/>
        </w:rPr>
      </w:pPr>
    </w:p>
    <w:p>
      <w:pPr>
        <w:ind w:firstLine="8"/>
        <w:spacing w:after="0" w:line="248" w:lineRule="auto"/>
        <w:tabs>
          <w:tab w:leader="none" w:pos="155"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Consists of foreign currency forward contracts, interest rate swaps, cross currency swaps and commodity hedge. Included in other current and non-current financial assets on the Company’s interim condensed consolidated statements of financial position</w:t>
      </w:r>
      <w:r>
        <w:rPr>
          <w:rFonts w:ascii="Arial" w:cs="Arial" w:eastAsia="Arial" w:hAnsi="Arial"/>
          <w:sz w:val="15"/>
          <w:szCs w:val="15"/>
          <w:color w:val="auto"/>
        </w:rPr>
        <w: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in current and non-current marketable securities on the Company's interim condensed consolidated statements of financial position.</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three months ended March 31, 2024, FVOCI corporate debt securities with carrying amounts of $646 million, were transferred from Level 1 to Level 2. These transfers occurred as the Company reassessed the market activity of these securities.</w:t>
      </w:r>
    </w:p>
    <w:p>
      <w:pPr>
        <w:spacing w:after="0" w:line="19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Other than mentioned above, there were no transfers between Level 1, Level 2 or Level 3 fair value measurements during the three months ended March 31, 2024 and 2023.</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98"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26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8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carrying amounts and fair values of the Company’s financial instruments not recorded at fair value on a recurring basis are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2024</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2023</w:t>
            </w:r>
          </w:p>
        </w:tc>
      </w:tr>
      <w:tr>
        <w:trPr>
          <w:trHeight w:val="21"/>
        </w:trPr>
        <w:tc>
          <w:tcPr>
            <w:tcW w:w="3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34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2,319</w:t>
            </w:r>
          </w:p>
        </w:tc>
      </w:tr>
      <w:tr>
        <w:trPr>
          <w:trHeight w:val="29"/>
        </w:trPr>
        <w:tc>
          <w:tcPr>
            <w:tcW w:w="3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2,319</w:t>
            </w:r>
          </w:p>
        </w:tc>
      </w:tr>
      <w:tr>
        <w:trPr>
          <w:trHeight w:val="20"/>
        </w:trPr>
        <w:tc>
          <w:tcPr>
            <w:tcW w:w="3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represents a Level 2 valuation. The fair values are estimated based on the type of debt and their maturities. The Company estimates the fair value using market interest rates of debts with similar maturities.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Share-Based Compensation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3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wars in Ukraine and Israel;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increasing interest rates, rising inflation and any potential recession;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2023 Annual Report on Form 20-F, current reports on Form 6-K and other reports filed with the Securities and Exchange Commission.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feature-rich integrated circuits (“ICs”) that enable billions of electronic devices that are essential throughout nearly every sector of the global economy. With our specialized foundry manufacturing processes, a library consisting of thousands of IP titles, and differentiated transistor and device technology, we serve a broad range of customers, including the global leaders in IC design, and provide optimized solutions for the function, performance and power requirements of critical applications driving key secular growth end markets.</w:t>
      </w:r>
    </w:p>
    <w:p>
      <w:pPr>
        <w:spacing w:after="0" w:line="2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combination of our highly-differentiated technology and our scaled manufacturing footprint enables us to attract a large share of single-sourced products and long-term supply agreements (“LTAs”), providing a high degree of revenue visibility and significant operating leverage, resulting in improved financial performance and bottom line growth. These agreements include binding, multi-year, reciprocal annual (and, in some cases, quarterly) minimum purchase and supply commitments with wafer pricing and associated mechanics outlined for the contract term. Through an intense focus on collaboration, we have built deep strategic partnerships with a broad base of more than 250 customers as of March 31, 2024, many of whom are the global leaders in their field.</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89% of our net revenue for the three-months ended March 31, 2024, respectively. The rest of our net revenue was mainly derived from photomask manufacturing, sourcing services and pre-fab manufacturing services.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business has experienced weaker demand across several of the end markets within which we operate, as our customers manage elevated inventory levels and tighter monetary policies, which adversely impacted our revenues. As discussed in Item 3.D. “Key Information - Risk Factors,” in our Annual Report on From 20-F for the fiscal year ended December 31, 2023, we have chosen to renegotiate certain of our LTAs with existing customers to reflect lower volume commitments and/or longer commitment timelines, and we expect that we will continue to have to renegotiate additional LTAs in 2024. We remain cautious as the global macroeconomic uncertainty continues, reflecting the impacts of inflation, high interest rates, and geopolitical conflicts. Although we are starting to see the inflationary headwinds moderate, the ongoing high interest rate environment has led to a prolonged and deeper cyclical downturn than was first anticipated. The extent to which these uncertainties will impact our business activities will depend on future developments that cannot be predicted at this time. We continue to collaborate closely with our customers to support the acceleration of their inventory depletion, while seeking to preserve the economic value of the commercial agreements we have entered into.</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generate the majority of our revenue from sales of finished semiconductor wafers, which are priced on a per-wafer basis for the applicable design, and breakage fee or settlement fee arising from not meeting the minimum purchase requirements under certain long-term supply agreements with customers. We also generate revenue from rendering of non-recurring engineering (“NRE”) services, mask production and pre-fabrication services such as bump, test, and packaging.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25"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 We expect our cost of revenue as a percentage of revenue to increase modestly in the second quarter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operating expense consist of research and development (“R&amp;D”), selling, general and administrative expense (“SG&amp;A”), and restructuring expense. Personnel costs are the most significant component of our operating expenses and consist of salaries, benefits, bonuses, share-based compensation, and commissions.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modestly increase as a percentage of revenue, in the second quarter 2024.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 Beginning in the third quarter of 2023, SG&amp;A expenses also include certain contract cancellation fees,(gain) loss on tool sales and withholding taxes. Certain contract cancellation fees and (gain) loss on tool sales were previously included in other income (expense) while withholding taxes were previously recorded in income tax expense. We expect our SG&amp;A as a percentage of revenue to modestly increase in the second quarter 2024.</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Expense</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Restructuring expense primarily relates to reductions in our global workforce, leased workspace and consultants we engage for strategic support of the restructuring.</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the other credit facilities we maintain with various financial institutions.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Other income (expense), net consists of one-time gains and losses and other miscellaneous income and expense items unrelated to our core operations. Included are gains and losses relating to hedging activities. Prior to third quarter of 2023, other income (expense), net also included (gain) loss on tool sales and certain contract cancellation fees.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25" w:right="3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Months Ended March 31, 2024 and 2023</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20"/>
                <w:szCs w:val="20"/>
                <w:color w:val="auto"/>
              </w:rPr>
            </w:pPr>
            <w:r>
              <w:rPr>
                <w:rFonts w:ascii="Arial" w:cs="Arial" w:eastAsia="Arial" w:hAnsi="Arial"/>
                <w:sz w:val="16"/>
                <w:szCs w:val="16"/>
                <w:b w:val="1"/>
                <w:bCs w:val="1"/>
                <w:i w:val="1"/>
                <w:iCs w:val="1"/>
                <w:color w:val="auto"/>
              </w:rPr>
              <w:t>Net Revenue</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280"/>
              <w:spacing w:after="0"/>
              <w:rPr>
                <w:sz w:val="20"/>
                <w:szCs w:val="20"/>
                <w:color w:val="auto"/>
              </w:rPr>
            </w:pPr>
            <w:r>
              <w:rPr>
                <w:rFonts w:ascii="Arial" w:cs="Arial" w:eastAsia="Arial" w:hAnsi="Arial"/>
                <w:sz w:val="16"/>
                <w:szCs w:val="16"/>
                <w:b w:val="1"/>
                <w:bCs w:val="1"/>
                <w:color w:val="auto"/>
              </w:rPr>
              <w:t>Three Months Ended March 31,</w:t>
            </w:r>
          </w:p>
        </w:tc>
        <w:tc>
          <w:tcPr>
            <w:tcW w:w="1560" w:type="dxa"/>
            <w:vAlign w:val="bottom"/>
            <w:tcBorders>
              <w:bottom w:val="single" w:sz="8" w:color="auto"/>
            </w:tcBorders>
          </w:tcPr>
          <w:p>
            <w:pPr>
              <w:spacing w:after="0"/>
              <w:rPr>
                <w:sz w:val="20"/>
                <w:szCs w:val="20"/>
                <w:color w:val="auto"/>
              </w:rPr>
            </w:pPr>
          </w:p>
        </w:tc>
      </w:tr>
      <w:tr>
        <w:trPr>
          <w:trHeight w:val="220"/>
        </w:trPr>
        <w:tc>
          <w:tcPr>
            <w:tcW w:w="4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48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revenue decreased by $292 million or 15.9% for the three-months ended March 31, 2024 compared to the three-months ended March 31, 2023. The decrease from prior period was driven by wafer shipment volume totaling 463 thousand (300mm equivalent), a 9% decrease from prior and reduction in our average selling price of approximately 6% compared to the prior period.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80"/>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Borders>
              <w:bottom w:val="single" w:sz="8" w:color="auto"/>
            </w:tcBorders>
          </w:tcPr>
          <w:p>
            <w:pPr>
              <w:spacing w:after="0"/>
              <w:rPr>
                <w:sz w:val="24"/>
                <w:szCs w:val="24"/>
                <w:color w:val="auto"/>
              </w:rPr>
            </w:pPr>
          </w:p>
        </w:tc>
      </w:tr>
      <w:tr>
        <w:trPr>
          <w:trHeight w:val="220"/>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07"/>
        </w:trPr>
        <w:tc>
          <w:tcPr>
            <w:tcW w:w="54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260bps</w:t>
            </w:r>
          </w:p>
        </w:tc>
        <w:tc>
          <w:tcPr>
            <w:tcW w:w="1520" w:type="dxa"/>
            <w:vAlign w:val="bottom"/>
          </w:tcPr>
          <w:p>
            <w:pPr>
              <w:jc w:val="center"/>
              <w:ind w:left="879"/>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Cost of revenue decreased by $170 million or 12.8% for the three-months ended March 31, 2024 compared to the three-months ended March 31, 2023. The change was driven by a 9% lower shipment volume and favorable product mix in the period.</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Gross margin decreased to 25.4% for the three-months ended March 31, 2024 from 28.0% for the three-months ended March 31, 2023. The decrease was primarily due to approximately 6% lower average selling price and 9% lower wafer shipment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2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4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46"/>
        </w:trPr>
        <w:tc>
          <w:tcPr>
            <w:tcW w:w="5440" w:type="dxa"/>
            <w:vAlign w:val="bottom"/>
          </w:tcPr>
          <w:p>
            <w:pPr>
              <w:spacing w:after="0"/>
              <w:rPr>
                <w:sz w:val="20"/>
                <w:szCs w:val="20"/>
                <w:color w:val="auto"/>
              </w:rPr>
            </w:pPr>
            <w:r>
              <w:rPr>
                <w:rFonts w:ascii="Arial" w:cs="Arial" w:eastAsia="Arial" w:hAnsi="Arial"/>
                <w:sz w:val="16"/>
                <w:szCs w:val="16"/>
                <w:b w:val="1"/>
                <w:bCs w:val="1"/>
                <w:i w:val="1"/>
                <w:iCs w:val="1"/>
                <w:color w:val="auto"/>
              </w:rPr>
              <w:t>Research and Development Expense</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Borders>
              <w:bottom w:val="single" w:sz="8" w:color="auto"/>
            </w:tcBorders>
          </w:tcPr>
          <w:p>
            <w:pPr>
              <w:spacing w:after="0"/>
              <w:rPr>
                <w:sz w:val="19"/>
                <w:szCs w:val="19"/>
                <w:color w:val="auto"/>
              </w:rPr>
            </w:pPr>
          </w:p>
        </w:tc>
      </w:tr>
      <w:tr>
        <w:trPr>
          <w:trHeight w:val="220"/>
        </w:trPr>
        <w:tc>
          <w:tcPr>
            <w:tcW w:w="5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54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14"/>
        </w:trPr>
        <w:tc>
          <w:tcPr>
            <w:tcW w:w="544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i w:val="1"/>
                <w:iCs w:val="1"/>
                <w:color w:val="auto"/>
              </w:rPr>
              <w:t>8.0 %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i w:val="1"/>
                <w:iCs w:val="1"/>
                <w:color w:val="auto"/>
              </w:rPr>
              <w:t>5.9 %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R&amp;D expense increased by $15 million or 13.8% for the three-months ended March 31, 2024 compared to the three-months ended March 31, 2023. The increase was primarily due to $7 million higher R&amp;D portfolio investments, $5 million higher employee-related expenses, and $3 million higher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67"/>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1480" w:type="dxa"/>
            <w:vAlign w:val="bottom"/>
            <w:tcBorders>
              <w:bottom w:val="single" w:sz="8" w:color="auto"/>
            </w:tcBorders>
          </w:tcPr>
          <w:p>
            <w:pPr>
              <w:spacing w:after="0"/>
              <w:rPr>
                <w:sz w:val="24"/>
                <w:szCs w:val="24"/>
                <w:color w:val="auto"/>
              </w:rPr>
            </w:pPr>
          </w:p>
        </w:tc>
      </w:tr>
      <w:tr>
        <w:trPr>
          <w:trHeight w:val="220"/>
        </w:trPr>
        <w:tc>
          <w:tcPr>
            <w:tcW w:w="5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54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4"/>
        </w:trPr>
        <w:tc>
          <w:tcPr>
            <w:tcW w:w="540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i w:val="1"/>
                <w:iCs w:val="1"/>
                <w:color w:val="auto"/>
              </w:rPr>
              <w:t>7.8 %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i w:val="1"/>
                <w:iCs w:val="1"/>
                <w:color w:val="auto"/>
              </w:rPr>
              <w:t>6.0 %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SG&amp;A expenses increased by $11 million, or 9.9% for the three-months ended March 31, 2024, compared to the three-months ended March 31, 2023. The change was primarily a result of $6 million higher professional services associated with strategic initiatives and a $6 million increase in employee-related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Restructuring Expense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80"/>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640" w:type="dxa"/>
            <w:vAlign w:val="bottom"/>
            <w:tcBorders>
              <w:bottom w:val="single" w:sz="8" w:color="auto"/>
            </w:tcBorders>
          </w:tcPr>
          <w:p>
            <w:pPr>
              <w:spacing w:after="0"/>
              <w:rPr>
                <w:sz w:val="24"/>
                <w:szCs w:val="24"/>
                <w:color w:val="auto"/>
              </w:rPr>
            </w:pPr>
          </w:p>
        </w:tc>
      </w:tr>
      <w:tr>
        <w:trPr>
          <w:trHeight w:val="220"/>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1640" w:type="dxa"/>
            <w:vAlign w:val="bottom"/>
          </w:tcPr>
          <w:p>
            <w:pPr>
              <w:jc w:val="right"/>
              <w:ind w:right="35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5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0" w:lineRule="exact"/>
        <w:rPr>
          <w:sz w:val="20"/>
          <w:szCs w:val="20"/>
          <w:color w:val="auto"/>
        </w:rPr>
      </w:pPr>
    </w:p>
    <w:p>
      <w:pPr>
        <w:spacing w:after="0" w:line="28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Restructuring expense decreased by $5 million or 100.0%, for the three-months ended March 31, 2024, compared to the three-months ended March 31, 2023. The change was driven by a decrease of employee-related expenses associated with the reduction in our global workforce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4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67"/>
        </w:trPr>
        <w:tc>
          <w:tcPr>
            <w:tcW w:w="54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left="39"/>
              <w:spacing w:after="0"/>
              <w:rPr>
                <w:sz w:val="20"/>
                <w:szCs w:val="20"/>
                <w:color w:val="auto"/>
              </w:rPr>
            </w:pPr>
            <w:r>
              <w:rPr>
                <w:rFonts w:ascii="Arial" w:cs="Arial" w:eastAsia="Arial" w:hAnsi="Arial"/>
                <w:sz w:val="16"/>
                <w:szCs w:val="16"/>
                <w:b w:val="1"/>
                <w:bCs w:val="1"/>
                <w:color w:val="auto"/>
              </w:rPr>
              <w:t>Three Months Ended March 31,</w:t>
            </w:r>
          </w:p>
        </w:tc>
        <w:tc>
          <w:tcPr>
            <w:tcW w:w="1680" w:type="dxa"/>
            <w:vAlign w:val="bottom"/>
            <w:tcBorders>
              <w:bottom w:val="single" w:sz="8" w:color="auto"/>
            </w:tcBorders>
          </w:tcPr>
          <w:p>
            <w:pPr>
              <w:spacing w:after="0"/>
              <w:rPr>
                <w:sz w:val="24"/>
                <w:szCs w:val="24"/>
                <w:color w:val="auto"/>
              </w:rPr>
            </w:pPr>
          </w:p>
        </w:tc>
      </w:tr>
      <w:tr>
        <w:trPr>
          <w:trHeight w:val="220"/>
        </w:trPr>
        <w:tc>
          <w:tcPr>
            <w:tcW w:w="5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35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5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900.0 %</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increased by $9 million, for the three-months ended March 31, 2024, compared to the three-months ended March 31, 2023. The increase was primarily a result of $15 million higher interest income generated from money market funds and investments in marketable securities, offset by $6 million higher interest expense.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615"/>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6"/>
                <w:szCs w:val="16"/>
                <w:b w:val="1"/>
                <w:bCs w:val="1"/>
                <w:color w:val="auto"/>
              </w:rPr>
              <w:t>Three Months Ended March 31,</w:t>
            </w:r>
          </w:p>
        </w:tc>
        <w:tc>
          <w:tcPr>
            <w:tcW w:w="1520" w:type="dxa"/>
            <w:vAlign w:val="bottom"/>
            <w:tcBorders>
              <w:bottom w:val="single" w:sz="8" w:color="auto"/>
            </w:tcBorders>
          </w:tcPr>
          <w:p>
            <w:pPr>
              <w:spacing w:after="0"/>
              <w:rPr>
                <w:sz w:val="24"/>
                <w:szCs w:val="24"/>
                <w:color w:val="auto"/>
              </w:rPr>
            </w:pPr>
          </w:p>
        </w:tc>
      </w:tr>
      <w:tr>
        <w:trPr>
          <w:trHeight w:val="220"/>
        </w:trPr>
        <w:tc>
          <w:tcPr>
            <w:tcW w:w="53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53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increased by $13 million for the three-months ended March 31, 2024 compared to the three-months ended March 31, 2023. The increase was primarily driven by $16 million reduction in foreign exchange currency losses and losses from unwinding of certain commodity hedges in 2023, offset by $4 million gain on tool sales for the three-months ended March 31, 2024,</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2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80"/>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340" w:type="dxa"/>
            <w:vAlign w:val="bottom"/>
            <w:tcBorders>
              <w:bottom w:val="single" w:sz="8" w:color="auto"/>
            </w:tcBorders>
          </w:tcPr>
          <w:p>
            <w:pPr>
              <w:spacing w:after="0"/>
              <w:rPr>
                <w:sz w:val="24"/>
                <w:szCs w:val="24"/>
                <w:color w:val="auto"/>
              </w:rPr>
            </w:pPr>
          </w:p>
        </w:tc>
      </w:tr>
      <w:tr>
        <w:trPr>
          <w:trHeight w:val="220"/>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58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Income tax expense decreased by $2 million, or 8.7%, for the three-months ended March 31, 2024, compared to the three-months ended March 31, 2023. The decrease in expense was primarily a result of $8 million withholding tax accrued in the United States reclassified from income tax expense to other taxes in the current year as it is not creditable against income taxes and a decrease in global earnings compared to the three months ended March 31, 2023, offset by $4M of income tax expense related to the accrual of United States corporate alternative minimum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3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historically financed operations primarily through cash and cash equivalents, marketable securities, as well as cash generated from our business operations, including prepayments under LTAs, debt and government grants. As of March 31, 2024, our cash, cash equivalents and marketable securities balances of $4.2 billion included $2.2 billion of cash and cash equivalents and approximately $2 billion of marketable securities.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March 31, 2024 and December 31, 2023, we had an undrawn revolving credit facility of $1 billion. In addition to our available revolver, we had $2.3 billion and $2.4 billion of debt outstanding as of March 31, 2024 and December 31, 2023, respectively, which was primarily comprised of multiple term loans in various currencies. Our future capital requirements will depend on many factors, including our revenue growth rate, the timing and the amount of payments we receive from customers pursuant to our LTAs and other business arrangements, the timing and extent of spending to support development efforts, the introduction of new and enhanced products and solutions, the continuing market adoption of our platform, and our obligations to repay our indebtedness from time to time. We may from time to time seek to raise additional capital to support our growth. As of March 31, 2024,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8"/>
        </w:trPr>
        <w:tc>
          <w:tcPr>
            <w:tcW w:w="734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7"/>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223"/>
        </w:trPr>
        <w:tc>
          <w:tcPr>
            <w:tcW w:w="7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r>
      <w:tr>
        <w:trPr>
          <w:trHeight w:val="210"/>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488</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w:t>
            </w: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(600)</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(586)</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r>
      <w:tr>
        <w:trPr>
          <w:trHeight w:val="209"/>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380" w:type="dxa"/>
            <w:vAlign w:val="bottom"/>
            <w:tcBorders>
              <w:bottom w:val="single" w:sz="8" w:color="auto"/>
            </w:tcBorders>
            <w:gridSpan w:val="2"/>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Cash provided by operating activities for the three-months ended March 31, 2024 of $488 million increased $9 million compared to the $479 million provided for the three-month period ended March 31, 2023. The increase was primarily attributable to changes of $71 million from net income, depreciation and amortization. In addition, net working capital changed $77 million, primarily due to improvements in cash generated from accounts receivables of $129 million and trade and other payables of $44 million. These improvements were partially offset by unfavorable cash used for inventory of $96 million, due to increased raw materials, driven by strategic wafer buys.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Cash used in investing activities for the three-months ended March 31, 2024 of $600 million, increased $14 million compared to the use of $586 million for the three-month period ended March 31, 2023. The increase was driven by $396 million of net purchases of marketable securities for the three-months ended March 31, 2024, compared to the prior period. In addition, the 2023 period includes $238 million of proceeds from the sale of the East Fishkill facility received in January 2023. These increases were partially offset by $626 million lower capital and intangible expenditures primarily due to lower costs related to the expansion of our fabrication facilities.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3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Cash used in financing activities for the three-months ended March 31, 2024 of $27 million decreased $42 million as compared to the cash provided by financing activities of $15 million for the three-months ended March 31, 2023. The change was primarily attributable to net debt repayments of $20 million and lower proceeds from the issuance of equity instruments, government grants and other financing of $14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2024-05-07T06:35:28Z</dcterms:created>
  <dcterms:modified xsi:type="dcterms:W3CDTF">2024-05-07T06:35:28Z</dcterms:modified>
</cp:coreProperties>
</file>