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UNITED STATES</w:t>
      </w:r>
    </w:p>
    <w:p>
      <w:pPr>
        <w:jc w:val="center"/>
        <w:ind w:right="-3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385" w:lineRule="exact"/>
        <w:rPr>
          <w:sz w:val="24"/>
          <w:szCs w:val="24"/>
          <w:color w:val="auto"/>
        </w:rPr>
      </w:pPr>
    </w:p>
    <w:p>
      <w:pPr>
        <w:ind w:left="5080"/>
        <w:spacing w:after="0"/>
        <w:rPr>
          <w:sz w:val="20"/>
          <w:szCs w:val="20"/>
          <w:color w:val="auto"/>
        </w:rPr>
      </w:pPr>
      <w:r>
        <w:rPr>
          <w:rFonts w:ascii="Arial" w:cs="Arial" w:eastAsia="Arial" w:hAnsi="Arial"/>
          <w:sz w:val="22"/>
          <w:szCs w:val="22"/>
          <w:b w:val="1"/>
          <w:bCs w:val="1"/>
          <w:color w:val="auto"/>
        </w:rPr>
        <w:t>FORM 6-K</w:t>
      </w:r>
    </w:p>
    <w:p>
      <w:pPr>
        <w:spacing w:after="0" w:line="178" w:lineRule="exact"/>
        <w:rPr>
          <w:sz w:val="24"/>
          <w:szCs w:val="24"/>
          <w:color w:val="auto"/>
        </w:rPr>
      </w:pPr>
    </w:p>
    <w:p>
      <w:pPr>
        <w:ind w:left="220"/>
        <w:spacing w:after="0"/>
        <w:rPr>
          <w:sz w:val="20"/>
          <w:szCs w:val="20"/>
          <w:color w:val="auto"/>
        </w:rPr>
      </w:pPr>
      <w:r>
        <w:rPr>
          <w:rFonts w:ascii="Arial" w:cs="Arial" w:eastAsia="Arial" w:hAnsi="Arial"/>
          <w:sz w:val="21"/>
          <w:szCs w:val="21"/>
          <w:b w:val="1"/>
          <w:bCs w:val="1"/>
          <w:color w:val="auto"/>
        </w:rPr>
        <w:t>REPORT OF FOREIGN PRIVATE ISSUER PURSUANT TO RULE 13a-16 OR 15d-16 UNDER THE SECURITIES</w:t>
      </w:r>
    </w:p>
    <w:p>
      <w:pPr>
        <w:jc w:val="center"/>
        <w:ind w:right="-39"/>
        <w:spacing w:after="0"/>
        <w:rPr>
          <w:sz w:val="20"/>
          <w:szCs w:val="20"/>
          <w:color w:val="auto"/>
        </w:rPr>
      </w:pPr>
      <w:r>
        <w:rPr>
          <w:rFonts w:ascii="Arial" w:cs="Arial" w:eastAsia="Arial" w:hAnsi="Arial"/>
          <w:sz w:val="22"/>
          <w:szCs w:val="22"/>
          <w:b w:val="1"/>
          <w:bCs w:val="1"/>
          <w:color w:val="auto"/>
        </w:rPr>
        <w:t>EXCHANGE ACT OF 1934</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August 2023</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001-40974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GLOBALFOUNDRIES Inc.</w:t>
      </w:r>
    </w:p>
    <w:p>
      <w:pPr>
        <w:spacing w:after="0" w:line="18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400 Stonebreak Road Extension</w:t>
      </w:r>
    </w:p>
    <w:p>
      <w:pPr>
        <w:ind w:left="4960"/>
        <w:spacing w:after="0" w:line="205" w:lineRule="auto"/>
        <w:rPr>
          <w:sz w:val="20"/>
          <w:szCs w:val="20"/>
          <w:color w:val="auto"/>
        </w:rPr>
      </w:pPr>
      <w:r>
        <w:rPr>
          <w:rFonts w:ascii="Arial" w:cs="Arial" w:eastAsia="Arial" w:hAnsi="Arial"/>
          <w:sz w:val="18"/>
          <w:szCs w:val="18"/>
          <w:b w:val="1"/>
          <w:bCs w:val="1"/>
          <w:color w:val="auto"/>
        </w:rPr>
        <w:t>Malta, NY 12020</w:t>
      </w:r>
    </w:p>
    <w:p>
      <w:pPr>
        <w:spacing w:after="0" w:line="1"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(Address of principal executive offices)</w:t>
      </w:r>
    </w:p>
    <w:p>
      <w:pPr>
        <w:spacing w:after="0" w:line="15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2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640"/>
        <w:spacing w:after="0"/>
        <w:rPr>
          <w:sz w:val="20"/>
          <w:szCs w:val="20"/>
          <w:color w:val="auto"/>
        </w:rPr>
      </w:pPr>
      <w:r>
        <w:rPr>
          <w:rFonts w:ascii="Arial" w:cs="Arial" w:eastAsia="Arial" w:hAnsi="Arial"/>
          <w:sz w:val="18"/>
          <w:szCs w:val="18"/>
          <w:color w:val="auto"/>
        </w:rPr>
        <w:t>Attached hereto are the following exhibits.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9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Exhibit 99.1</w:t>
            </w:r>
          </w:p>
        </w:tc>
        <w:tc>
          <w:tcPr>
            <w:tcW w:w="1120" w:type="dxa"/>
            <w:vAlign w:val="bottom"/>
          </w:tcPr>
          <w:p>
            <w:pPr>
              <w:spacing w:after="0"/>
              <w:rPr>
                <w:sz w:val="21"/>
                <w:szCs w:val="21"/>
                <w:color w:val="auto"/>
              </w:rPr>
            </w:pPr>
          </w:p>
        </w:tc>
        <w:tc>
          <w:tcPr>
            <w:tcW w:w="91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Unaudited Interim Condensed Consolidated Financial Statements as of June 30, 2023 and December 31, 2022 and for the three</w:t>
            </w:r>
          </w:p>
        </w:tc>
      </w:tr>
      <w:tr>
        <w:trPr>
          <w:trHeight w:val="136"/>
        </w:trPr>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140" w:type="dxa"/>
            <w:vAlign w:val="bottom"/>
            <w:gridSpan w:val="4"/>
          </w:tcPr>
          <w:p>
            <w:pPr>
              <w:spacing w:after="0" w:line="136" w:lineRule="exact"/>
              <w:rPr>
                <w:sz w:val="20"/>
                <w:szCs w:val="20"/>
                <w:color w:val="auto"/>
              </w:rPr>
            </w:pPr>
            <w:r>
              <w:rPr>
                <w:rFonts w:ascii="Arial" w:cs="Arial" w:eastAsia="Arial" w:hAnsi="Arial"/>
                <w:sz w:val="15"/>
                <w:szCs w:val="15"/>
                <w:color w:val="0000FF"/>
              </w:rPr>
              <w:t>and six months ended June 30, 2023 and 2022.</w:t>
            </w:r>
          </w:p>
        </w:tc>
      </w:tr>
      <w:tr>
        <w:trPr>
          <w:trHeight w:val="20"/>
        </w:trPr>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9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Exhibit 99.2</w:t>
            </w:r>
          </w:p>
        </w:tc>
        <w:tc>
          <w:tcPr>
            <w:tcW w:w="1120" w:type="dxa"/>
            <w:vAlign w:val="bottom"/>
          </w:tcPr>
          <w:p>
            <w:pPr>
              <w:spacing w:after="0"/>
              <w:rPr>
                <w:sz w:val="20"/>
                <w:szCs w:val="20"/>
                <w:color w:val="auto"/>
              </w:rPr>
            </w:pPr>
          </w:p>
        </w:tc>
        <w:tc>
          <w:tcPr>
            <w:tcW w:w="89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 for the three and six months ended</w:t>
            </w:r>
          </w:p>
        </w:tc>
        <w:tc>
          <w:tcPr>
            <w:tcW w:w="160" w:type="dxa"/>
            <w:vAlign w:val="bottom"/>
          </w:tcPr>
          <w:p>
            <w:pPr>
              <w:spacing w:after="0"/>
              <w:rPr>
                <w:sz w:val="20"/>
                <w:szCs w:val="20"/>
                <w:color w:val="auto"/>
              </w:rPr>
            </w:pPr>
          </w:p>
        </w:tc>
      </w:tr>
      <w:tr>
        <w:trPr>
          <w:trHeight w:val="196"/>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7"/>
              </w:rPr>
              <w:t>June 30, 2023 and 2022.</w:t>
            </w:r>
          </w:p>
        </w:tc>
        <w:tc>
          <w:tcPr>
            <w:tcW w:w="7380" w:type="dxa"/>
            <w:vAlign w:val="bottom"/>
            <w:gridSpan w:val="3"/>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4119245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860" w:type="dxa"/>
            <w:vAlign w:val="bottom"/>
            <w:gridSpan w:val="2"/>
          </w:tcPr>
          <w:p>
            <w:pPr>
              <w:ind w:left="1720"/>
              <w:spacing w:after="0"/>
              <w:rPr>
                <w:sz w:val="20"/>
                <w:szCs w:val="20"/>
                <w:color w:val="auto"/>
              </w:rPr>
            </w:pPr>
            <w:r>
              <w:rPr>
                <w:rFonts w:ascii="Arial" w:cs="Arial" w:eastAsia="Arial" w:hAnsi="Arial"/>
                <w:sz w:val="18"/>
                <w:szCs w:val="18"/>
                <w:b w:val="1"/>
                <w:bCs w:val="1"/>
                <w:color w:val="auto"/>
              </w:rPr>
              <w:t>GLOBALFOUNDRIES Inc.</w:t>
            </w:r>
          </w:p>
        </w:tc>
      </w:tr>
      <w:tr>
        <w:trPr>
          <w:trHeight w:val="527"/>
        </w:trPr>
        <w:tc>
          <w:tcPr>
            <w:tcW w:w="3260" w:type="dxa"/>
            <w:vAlign w:val="bottom"/>
          </w:tcPr>
          <w:p>
            <w:pPr>
              <w:spacing w:after="0"/>
              <w:rPr>
                <w:sz w:val="20"/>
                <w:szCs w:val="20"/>
                <w:color w:val="auto"/>
              </w:rPr>
            </w:pPr>
            <w:r>
              <w:rPr>
                <w:rFonts w:ascii="Arial" w:cs="Arial" w:eastAsia="Arial" w:hAnsi="Arial"/>
                <w:sz w:val="18"/>
                <w:szCs w:val="18"/>
                <w:color w:val="auto"/>
              </w:rPr>
              <w:t>Date: August 9, 2023</w:t>
            </w:r>
          </w:p>
        </w:tc>
        <w:tc>
          <w:tcPr>
            <w:tcW w:w="2860" w:type="dxa"/>
            <w:vAlign w:val="bottom"/>
          </w:tcPr>
          <w:p>
            <w:pPr>
              <w:ind w:left="1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Caulfield</w:t>
            </w:r>
          </w:p>
        </w:tc>
      </w:tr>
      <w:tr>
        <w:trPr>
          <w:trHeight w:val="237"/>
        </w:trPr>
        <w:tc>
          <w:tcPr>
            <w:tcW w:w="3260" w:type="dxa"/>
            <w:vAlign w:val="bottom"/>
          </w:tcPr>
          <w:p>
            <w:pPr>
              <w:spacing w:after="0"/>
              <w:rPr>
                <w:sz w:val="20"/>
                <w:szCs w:val="20"/>
                <w:color w:val="auto"/>
              </w:rPr>
            </w:pPr>
          </w:p>
        </w:tc>
        <w:tc>
          <w:tcPr>
            <w:tcW w:w="2860" w:type="dxa"/>
            <w:vAlign w:val="bottom"/>
          </w:tcPr>
          <w:p>
            <w:pPr>
              <w:ind w:left="1720"/>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Dr. Thomas Caulfield</w:t>
            </w:r>
          </w:p>
        </w:tc>
      </w:tr>
      <w:tr>
        <w:trPr>
          <w:trHeight w:val="283"/>
        </w:trPr>
        <w:tc>
          <w:tcPr>
            <w:tcW w:w="3260" w:type="dxa"/>
            <w:vAlign w:val="bottom"/>
          </w:tcPr>
          <w:p>
            <w:pPr>
              <w:spacing w:after="0"/>
              <w:rPr>
                <w:sz w:val="24"/>
                <w:szCs w:val="24"/>
                <w:color w:val="auto"/>
              </w:rPr>
            </w:pPr>
          </w:p>
        </w:tc>
        <w:tc>
          <w:tcPr>
            <w:tcW w:w="2860" w:type="dxa"/>
            <w:vAlign w:val="bottom"/>
          </w:tcPr>
          <w:p>
            <w:pPr>
              <w:ind w:left="172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1417"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920" w:type="dxa"/>
            <w:vAlign w:val="bottom"/>
            <w:gridSpan w:val="6"/>
          </w:tcPr>
          <w:p>
            <w:pPr>
              <w:ind w:left="4060"/>
              <w:spacing w:after="0"/>
              <w:rPr>
                <w:sz w:val="20"/>
                <w:szCs w:val="20"/>
                <w:color w:val="auto"/>
              </w:rPr>
            </w:pPr>
            <w:r>
              <w:rPr>
                <w:rFonts w:ascii="Arial" w:cs="Arial" w:eastAsia="Arial" w:hAnsi="Arial"/>
                <w:sz w:val="18"/>
                <w:szCs w:val="18"/>
                <w:color w:val="auto"/>
              </w:rPr>
              <w:t>Unaudited Statements</w:t>
            </w:r>
          </w:p>
        </w:tc>
        <w:tc>
          <w:tcPr>
            <w:tcW w:w="1300" w:type="dxa"/>
            <w:vAlign w:val="bottom"/>
            <w:gridSpan w:val="6"/>
          </w:tcPr>
          <w:p>
            <w:pPr>
              <w:ind w:left="420"/>
              <w:spacing w:after="0"/>
              <w:rPr>
                <w:sz w:val="20"/>
                <w:szCs w:val="20"/>
                <w:color w:val="auto"/>
              </w:rPr>
            </w:pPr>
            <w:r>
              <w:rPr>
                <w:rFonts w:ascii="Arial" w:cs="Arial" w:eastAsia="Arial" w:hAnsi="Arial"/>
                <w:sz w:val="18"/>
                <w:szCs w:val="18"/>
                <w:b w:val="1"/>
                <w:bCs w:val="1"/>
                <w:color w:val="auto"/>
              </w:rPr>
              <w:t>Page</w:t>
            </w:r>
          </w:p>
        </w:tc>
      </w:tr>
      <w:tr>
        <w:trPr>
          <w:trHeight w:val="29"/>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453"/>
        </w:trPr>
        <w:tc>
          <w:tcPr>
            <w:tcW w:w="9920" w:type="dxa"/>
            <w:vAlign w:val="bottom"/>
            <w:gridSpan w:val="6"/>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
        </w:trPr>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2"/>
          </w:tcPr>
          <w:p>
            <w:pPr>
              <w:spacing w:after="0"/>
              <w:rPr>
                <w:sz w:val="22"/>
                <w:szCs w:val="22"/>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3"/>
        </w:trPr>
        <w:tc>
          <w:tcPr>
            <w:tcW w:w="574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Comprehensive Income</w:t>
            </w:r>
          </w:p>
        </w:tc>
        <w:tc>
          <w:tcPr>
            <w:tcW w:w="4180" w:type="dxa"/>
            <w:vAlign w:val="bottom"/>
          </w:tcPr>
          <w:p>
            <w:pPr>
              <w:spacing w:after="0"/>
              <w:rPr>
                <w:sz w:val="22"/>
                <w:szCs w:val="22"/>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4"/>
        </w:trPr>
        <w:tc>
          <w:tcPr>
            <w:tcW w:w="5240" w:type="dxa"/>
            <w:vAlign w:val="bottom"/>
            <w:gridSpan w:val="4"/>
          </w:tcPr>
          <w:p>
            <w:pPr>
              <w:spacing w:after="0"/>
              <w:rPr>
                <w:sz w:val="20"/>
                <w:szCs w:val="20"/>
                <w:color w:val="auto"/>
              </w:rPr>
            </w:pPr>
            <w:r>
              <w:rPr>
                <w:rFonts w:ascii="Arial" w:cs="Arial" w:eastAsia="Arial" w:hAnsi="Arial"/>
                <w:sz w:val="18"/>
                <w:szCs w:val="18"/>
                <w:color w:val="0000FF"/>
                <w:w w:val="98"/>
              </w:rPr>
              <w:t>Interim Condensed Consolidated Statements of Changes in Equity</w:t>
            </w:r>
          </w:p>
        </w:tc>
        <w:tc>
          <w:tcPr>
            <w:tcW w:w="5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460" w:type="dxa"/>
            <w:vAlign w:val="bottom"/>
            <w:gridSpan w:val="2"/>
          </w:tcPr>
          <w:p>
            <w:pPr>
              <w:spacing w:after="0"/>
              <w:rPr>
                <w:sz w:val="21"/>
                <w:szCs w:val="21"/>
                <w:color w:val="auto"/>
              </w:rPr>
            </w:pPr>
          </w:p>
        </w:tc>
        <w:tc>
          <w:tcPr>
            <w:tcW w:w="4680" w:type="dxa"/>
            <w:vAlign w:val="bottom"/>
            <w:gridSpan w:val="2"/>
          </w:tcPr>
          <w:p>
            <w:pPr>
              <w:spacing w:after="0"/>
              <w:rPr>
                <w:sz w:val="21"/>
                <w:szCs w:val="21"/>
                <w:color w:val="auto"/>
              </w:rPr>
            </w:pPr>
          </w:p>
        </w:tc>
        <w:tc>
          <w:tcPr>
            <w:tcW w:w="700" w:type="dxa"/>
            <w:vAlign w:val="bottom"/>
            <w:gridSpan w:val="4"/>
          </w:tcPr>
          <w:p>
            <w:pPr>
              <w:jc w:val="center"/>
              <w:ind w:left="510"/>
              <w:spacing w:after="0"/>
              <w:rPr>
                <w:sz w:val="20"/>
                <w:szCs w:val="20"/>
                <w:color w:val="auto"/>
              </w:rPr>
            </w:pPr>
            <w:r>
              <w:rPr>
                <w:rFonts w:ascii="Arial" w:cs="Arial" w:eastAsia="Arial" w:hAnsi="Arial"/>
                <w:sz w:val="18"/>
                <w:szCs w:val="18"/>
                <w:color w:val="0000FF"/>
                <w:w w:val="99"/>
              </w:rPr>
              <w:t>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3"/>
        </w:trPr>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4840" w:type="dxa"/>
            <w:vAlign w:val="bottom"/>
            <w:gridSpan w:val="3"/>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15</w:t>
            </w:r>
          </w:p>
        </w:tc>
        <w:tc>
          <w:tcPr>
            <w:tcW w:w="48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line="228" w:lineRule="auto"/>
        <w:rPr>
          <w:sz w:val="20"/>
          <w:szCs w:val="20"/>
          <w:color w:val="auto"/>
        </w:rPr>
      </w:pPr>
      <w:r>
        <w:rPr>
          <w:rFonts w:ascii="Arial" w:cs="Arial" w:eastAsia="Arial" w:hAnsi="Arial"/>
          <w:sz w:val="16"/>
          <w:szCs w:val="16"/>
          <w:b w:val="1"/>
          <w:bCs w:val="1"/>
          <w:color w:val="auto"/>
        </w:rPr>
        <w:t>As of June 30, 2023 AND December 31,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94" w:right="339" w:bottom="9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millions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6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prepayments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current assets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As of</w:t>
            </w:r>
          </w:p>
        </w:tc>
        <w:tc>
          <w:tcPr>
            <w:tcW w:w="1320" w:type="dxa"/>
            <w:vAlign w:val="bottom"/>
          </w:tcPr>
          <w:p>
            <w:pPr>
              <w:spacing w:after="0"/>
              <w:rPr>
                <w:sz w:val="19"/>
                <w:szCs w:val="19"/>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5"/>
        </w:trPr>
        <w:tc>
          <w:tcPr>
            <w:tcW w:w="260" w:type="dxa"/>
            <w:vAlign w:val="bottom"/>
          </w:tcPr>
          <w:p>
            <w:pPr>
              <w:spacing w:after="0"/>
              <w:rPr>
                <w:sz w:val="17"/>
                <w:szCs w:val="17"/>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260" w:type="dxa"/>
            <w:vAlign w:val="bottom"/>
          </w:tcPr>
          <w:p>
            <w:pPr>
              <w:spacing w:after="0"/>
              <w:rPr>
                <w:sz w:val="19"/>
                <w:szCs w:val="19"/>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76"/>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1,832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2,352</w:t>
            </w:r>
          </w:p>
        </w:tc>
      </w:tr>
      <w:tr>
        <w:trPr>
          <w:trHeight w:val="257"/>
        </w:trPr>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57"/>
        </w:trPr>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57"/>
        </w:trPr>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1,339</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9"/>
        </w:trPr>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5,800</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7420" w:space="720"/>
            <w:col w:w="3100"/>
          </w:cols>
          <w:pgMar w:left="320" w:top="94" w:right="339" w:bottom="99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10,596</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33"/>
        </w:trPr>
        <w:tc>
          <w:tcPr>
            <w:tcW w:w="8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24"/>
        </w:trPr>
        <w:tc>
          <w:tcPr>
            <w:tcW w:w="8140" w:type="dxa"/>
            <w:vAlign w:val="bottom"/>
          </w:tcPr>
          <w:p>
            <w:pPr>
              <w:ind w:left="20"/>
              <w:spacing w:after="0"/>
              <w:rPr>
                <w:sz w:val="20"/>
                <w:szCs w:val="20"/>
                <w:color w:val="auto"/>
              </w:rPr>
            </w:pPr>
            <w:r>
              <w:rPr>
                <w:rFonts w:ascii="Arial" w:cs="Arial" w:eastAsia="Arial" w:hAnsi="Arial"/>
                <w:sz w:val="16"/>
                <w:szCs w:val="16"/>
                <w:color w:val="auto"/>
              </w:rPr>
              <w:t>Other noncurrent financial assets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8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50"/>
        </w:trPr>
        <w:tc>
          <w:tcPr>
            <w:tcW w:w="814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12,041</w:t>
            </w:r>
          </w:p>
        </w:tc>
      </w:tr>
      <w:tr>
        <w:trPr>
          <w:trHeight w:val="257"/>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17,815</w:t>
            </w:r>
          </w:p>
        </w:tc>
        <w:tc>
          <w:tcPr>
            <w:tcW w:w="6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17,841</w:t>
            </w:r>
          </w:p>
        </w:tc>
      </w:tr>
      <w:tr>
        <w:trPr>
          <w:trHeight w:val="257"/>
        </w:trPr>
        <w:tc>
          <w:tcPr>
            <w:tcW w:w="81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94" w:right="339" w:bottom="99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 payables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Provisions</w:t>
      </w:r>
    </w:p>
    <w:p>
      <w:pPr>
        <w:spacing w:after="0" w:line="73" w:lineRule="exact"/>
        <w:rPr>
          <w:sz w:val="20"/>
          <w:szCs w:val="20"/>
          <w:color w:val="auto"/>
        </w:rPr>
      </w:pPr>
    </w:p>
    <w:p>
      <w:pPr>
        <w:ind w:left="20" w:right="3160"/>
        <w:spacing w:after="0" w:line="343" w:lineRule="auto"/>
        <w:rPr>
          <w:sz w:val="20"/>
          <w:szCs w:val="20"/>
          <w:color w:val="auto"/>
        </w:rPr>
      </w:pPr>
      <w:r>
        <w:rPr>
          <w:rFonts w:ascii="Arial" w:cs="Arial" w:eastAsia="Arial" w:hAnsi="Arial"/>
          <w:sz w:val="16"/>
          <w:szCs w:val="16"/>
          <w:color w:val="auto"/>
        </w:rPr>
        <w:t>Current portion of deferred income from government grants Current portion of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current liabilities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2,320</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256"/>
        </w:trPr>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57"/>
        </w:trPr>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57"/>
        </w:trPr>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6"/>
        </w:trPr>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33"/>
        </w:trPr>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9"/>
        </w:trPr>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3,359</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ectPr>
          <w:pgSz w:w="11900" w:h="16838" w:orient="portrait"/>
          <w:cols w:equalWidth="0" w:num="2">
            <w:col w:w="7420" w:space="720"/>
            <w:col w:w="3100"/>
          </w:cols>
          <w:pgMar w:left="320" w:top="94" w:right="339" w:bottom="99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long-term debt</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8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8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4,451</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4,522</w:t>
            </w: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7,241</w:t>
            </w:r>
          </w:p>
        </w:tc>
        <w:tc>
          <w:tcPr>
            <w:tcW w:w="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7,881</w:t>
            </w:r>
          </w:p>
        </w:tc>
      </w:tr>
      <w:tr>
        <w:trPr>
          <w:trHeight w:val="230"/>
        </w:trPr>
        <w:tc>
          <w:tcPr>
            <w:tcW w:w="81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Equity:</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19"/>
        </w:trPr>
        <w:tc>
          <w:tcPr>
            <w:tcW w:w="8140" w:type="dxa"/>
            <w:vAlign w:val="bottom"/>
          </w:tcPr>
          <w:p>
            <w:pPr>
              <w:ind w:left="20"/>
              <w:spacing w:after="0"/>
              <w:rPr>
                <w:sz w:val="20"/>
                <w:szCs w:val="20"/>
                <w:color w:val="auto"/>
              </w:rPr>
            </w:pPr>
            <w:r>
              <w:rPr>
                <w:rFonts w:ascii="Arial" w:cs="Arial" w:eastAsia="Arial" w:hAnsi="Arial"/>
                <w:sz w:val="16"/>
                <w:szCs w:val="16"/>
                <w:color w:val="auto"/>
              </w:rPr>
              <w:t>Ordinary shares, $0.02 par value, 552,673 thousand and 547,755 thousand shares issued and outstanding as of</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7"/>
        </w:trPr>
        <w:tc>
          <w:tcPr>
            <w:tcW w:w="8140" w:type="dxa"/>
            <w:vAlign w:val="bottom"/>
          </w:tcPr>
          <w:p>
            <w:pPr>
              <w:ind w:left="20"/>
              <w:spacing w:after="0"/>
              <w:rPr>
                <w:sz w:val="20"/>
                <w:szCs w:val="20"/>
                <w:color w:val="auto"/>
              </w:rPr>
            </w:pPr>
            <w:r>
              <w:rPr>
                <w:rFonts w:ascii="Arial" w:cs="Arial" w:eastAsia="Arial" w:hAnsi="Arial"/>
                <w:sz w:val="16"/>
                <w:szCs w:val="16"/>
                <w:color w:val="auto"/>
              </w:rPr>
              <w:t>June 30, 2023 and December 31, 2022</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58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23,968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23,831</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(14,021)</w:t>
            </w:r>
          </w:p>
        </w:tc>
      </w:tr>
      <w:tr>
        <w:trPr>
          <w:trHeight w:val="33"/>
        </w:trPr>
        <w:tc>
          <w:tcPr>
            <w:tcW w:w="8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2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10,529</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9,913</w:t>
            </w:r>
          </w:p>
        </w:tc>
      </w:tr>
      <w:tr>
        <w:trPr>
          <w:trHeight w:val="21"/>
        </w:trPr>
        <w:tc>
          <w:tcPr>
            <w:tcW w:w="8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10,574</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9,960</w:t>
            </w: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990" w:gutter="0" w:footer="0" w:header="0"/>
          <w:type w:val="continuous"/>
        </w:sect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99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ind w:left="3560" w:right="2120" w:hanging="778"/>
        <w:spacing w:after="0" w:line="259" w:lineRule="auto"/>
        <w:rPr>
          <w:sz w:val="20"/>
          <w:szCs w:val="20"/>
          <w:color w:val="auto"/>
        </w:rPr>
      </w:pPr>
      <w:r>
        <w:rPr>
          <w:rFonts w:ascii="Arial" w:cs="Arial" w:eastAsia="Arial" w:hAnsi="Arial"/>
          <w:sz w:val="16"/>
          <w:szCs w:val="16"/>
          <w:b w:val="1"/>
          <w:bCs w:val="1"/>
          <w:color w:val="auto"/>
        </w:rPr>
        <w:t>INTERIM CONDENSED CONSOLIDATED STATEMENTS OF OPERATIONS FOR THE Three and Six Months Ended June 30, 2023 AND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27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248"/>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0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June 30,</w:t>
            </w:r>
          </w:p>
        </w:tc>
        <w:tc>
          <w:tcPr>
            <w:tcW w:w="5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21"/>
                <w:szCs w:val="21"/>
                <w:color w:val="auto"/>
              </w:rPr>
            </w:pPr>
          </w:p>
        </w:tc>
      </w:tr>
      <w:tr>
        <w:trPr>
          <w:trHeight w:val="229"/>
        </w:trPr>
        <w:tc>
          <w:tcPr>
            <w:tcW w:w="4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
        </w:trPr>
        <w:tc>
          <w:tcPr>
            <w:tcW w:w="4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14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56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3,933</w:t>
            </w:r>
          </w:p>
        </w:tc>
      </w:tr>
      <w:tr>
        <w:trPr>
          <w:trHeight w:val="250"/>
        </w:trPr>
        <w:tc>
          <w:tcPr>
            <w:tcW w:w="45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r>
      <w:tr>
        <w:trPr>
          <w:trHeight w:val="25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1,007</w:t>
            </w:r>
          </w:p>
        </w:tc>
      </w:tr>
      <w:tr>
        <w:trPr>
          <w:trHeight w:val="221"/>
        </w:trPr>
        <w:tc>
          <w:tcPr>
            <w:tcW w:w="45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33"/>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50"/>
        </w:trPr>
        <w:tc>
          <w:tcPr>
            <w:tcW w:w="456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w:t>
            </w:r>
          </w:p>
        </w:tc>
      </w:tr>
      <w:tr>
        <w:trPr>
          <w:trHeight w:val="23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275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522</w:t>
            </w:r>
          </w:p>
        </w:tc>
      </w:tr>
      <w:tr>
        <w:trPr>
          <w:trHeight w:val="21"/>
        </w:trPr>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(expenses), net</w:t>
            </w: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24"/>
        </w:trPr>
        <w:tc>
          <w:tcPr>
            <w:tcW w:w="4560" w:type="dxa"/>
            <w:vAlign w:val="bottom"/>
          </w:tcPr>
          <w:p>
            <w:pPr>
              <w:ind w:left="20"/>
              <w:spacing w:after="0"/>
              <w:rPr>
                <w:sz w:val="20"/>
                <w:szCs w:val="20"/>
                <w:color w:val="auto"/>
              </w:rPr>
            </w:pPr>
            <w:r>
              <w:rPr>
                <w:rFonts w:ascii="Arial" w:cs="Arial" w:eastAsia="Arial" w:hAnsi="Arial"/>
                <w:sz w:val="16"/>
                <w:szCs w:val="16"/>
                <w:color w:val="auto"/>
              </w:rPr>
              <w:t>Share of profit of joint ventures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6"/>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Profit before income taxes</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265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501</w:t>
            </w:r>
          </w:p>
        </w:tc>
      </w:tr>
      <w:tr>
        <w:trPr>
          <w:trHeight w:val="21"/>
        </w:trPr>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5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4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11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491</w:t>
            </w:r>
          </w:p>
        </w:tc>
        <w:tc>
          <w:tcPr>
            <w:tcW w:w="5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442</w:t>
            </w:r>
          </w:p>
        </w:tc>
      </w:tr>
      <w:tr>
        <w:trPr>
          <w:trHeight w:val="23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33"/>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w:t>
            </w:r>
          </w:p>
        </w:tc>
        <w:tc>
          <w:tcPr>
            <w:tcW w:w="10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w:t>
            </w: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w:t>
            </w:r>
          </w:p>
        </w:tc>
      </w:tr>
      <w:tr>
        <w:trPr>
          <w:trHeight w:val="198"/>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of the Company:</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33"/>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23"/>
        </w:trPr>
        <w:tc>
          <w:tcPr>
            <w:tcW w:w="456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0.43</w:t>
            </w: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0.49</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0.90</w:t>
            </w:r>
          </w:p>
        </w:tc>
        <w:tc>
          <w:tcPr>
            <w:tcW w:w="5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0.83</w:t>
            </w:r>
          </w:p>
        </w:tc>
      </w:tr>
      <w:tr>
        <w:trPr>
          <w:trHeight w:val="33"/>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14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5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r>
      <w:tr>
        <w:trPr>
          <w:trHeight w:val="33"/>
        </w:trPr>
        <w:tc>
          <w:tcPr>
            <w:tcW w:w="4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line="309" w:lineRule="auto"/>
        <w:rPr>
          <w:sz w:val="20"/>
          <w:szCs w:val="20"/>
          <w:color w:val="auto"/>
        </w:rPr>
      </w:pPr>
      <w:r>
        <w:rPr>
          <w:rFonts w:ascii="Arial" w:cs="Arial" w:eastAsia="Arial" w:hAnsi="Arial"/>
          <w:sz w:val="16"/>
          <w:szCs w:val="16"/>
          <w:b w:val="1"/>
          <w:bCs w:val="1"/>
          <w:color w:val="auto"/>
        </w:rPr>
        <w:t>INTERIM CONDENSED CONSOLIDATED STATEMENT OF COMPREHENSIVE INCOME FOR THE Three and Six Months Ended June 30, 2023 AND 2022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6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48"/>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29"/>
        </w:trPr>
        <w:tc>
          <w:tcPr>
            <w:tcW w:w="512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
        </w:trPr>
        <w:tc>
          <w:tcPr>
            <w:tcW w:w="5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50"/>
        </w:trPr>
        <w:tc>
          <w:tcPr>
            <w:tcW w:w="51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06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491</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r>
      <w:tr>
        <w:trPr>
          <w:trHeight w:val="267"/>
        </w:trPr>
        <w:tc>
          <w:tcPr>
            <w:tcW w:w="5120" w:type="dxa"/>
            <w:vAlign w:val="bottom"/>
            <w:tcBorders>
              <w:top w:val="single" w:sz="8" w:color="CCEEFF"/>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net of tax:</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5"/>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profit:</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
        </w:trPr>
        <w:tc>
          <w:tcPr>
            <w:tcW w:w="5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4"/>
        </w:trPr>
        <w:tc>
          <w:tcPr>
            <w:tcW w:w="512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5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on investments measured at fair value through other</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5120" w:type="dxa"/>
            <w:vAlign w:val="bottom"/>
          </w:tcPr>
          <w:p>
            <w:pPr>
              <w:ind w:left="20"/>
              <w:spacing w:after="0"/>
              <w:rPr>
                <w:sz w:val="20"/>
                <w:szCs w:val="20"/>
                <w:color w:val="auto"/>
              </w:rPr>
            </w:pPr>
            <w:r>
              <w:rPr>
                <w:rFonts w:ascii="Arial" w:cs="Arial" w:eastAsia="Arial" w:hAnsi="Arial"/>
                <w:sz w:val="16"/>
                <w:szCs w:val="16"/>
                <w:color w:val="auto"/>
              </w:rPr>
              <w:t>Income tax effect</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loss for the period</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r>
      <w:tr>
        <w:trPr>
          <w:trHeight w:val="250"/>
        </w:trPr>
        <w:tc>
          <w:tcPr>
            <w:tcW w:w="5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106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(72)</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5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loss for the period</w:t>
            </w:r>
          </w:p>
        </w:tc>
        <w:tc>
          <w:tcPr>
            <w:tcW w:w="110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06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54"/>
        </w:trPr>
        <w:tc>
          <w:tcPr>
            <w:tcW w:w="5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r>
      <w:tr>
        <w:trPr>
          <w:trHeight w:val="246"/>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110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106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186</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439</w:t>
            </w:r>
          </w:p>
        </w:tc>
      </w:tr>
      <w:tr>
        <w:trPr>
          <w:trHeight w:val="267"/>
        </w:trPr>
        <w:tc>
          <w:tcPr>
            <w:tcW w:w="5120" w:type="dxa"/>
            <w:vAlign w:val="bottom"/>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5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w:t>
            </w:r>
          </w:p>
        </w:tc>
        <w:tc>
          <w:tcPr>
            <w:tcW w:w="106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r>
      <w:tr>
        <w:trPr>
          <w:trHeight w:val="20"/>
        </w:trPr>
        <w:tc>
          <w:tcPr>
            <w:tcW w:w="5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6" w:name="page7"/>
    <w:bookmarkEnd w:id="6"/>
    <w:p>
      <w:pPr>
        <w:jc w:val="center"/>
        <w:ind w:right="-999"/>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12"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Six Months Ended June 30, 2023 AND 2022</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0" w:type="dxa"/>
            <w:vAlign w:val="bottom"/>
            <w:gridSpan w:val="14"/>
          </w:tcPr>
          <w:p>
            <w:pPr>
              <w:jc w:val="right"/>
              <w:ind w:right="457"/>
              <w:spacing w:after="0"/>
              <w:rPr>
                <w:sz w:val="20"/>
                <w:szCs w:val="20"/>
                <w:color w:val="auto"/>
              </w:rPr>
            </w:pPr>
            <w:r>
              <w:rPr>
                <w:rFonts w:ascii="Arial" w:cs="Arial" w:eastAsia="Arial" w:hAnsi="Arial"/>
                <w:sz w:val="13"/>
                <w:szCs w:val="13"/>
                <w:b w:val="1"/>
                <w:bCs w:val="1"/>
                <w:color w:val="auto"/>
              </w:rPr>
              <w:t>Equity Attributable to Shareholders of GLOBALFOUNDRIES Inc.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rPr>
              <w:t>Foreign</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Currency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Translation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w w:val="99"/>
              </w:rPr>
              <w:t>Hedging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Investments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Controlling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740" w:type="dxa"/>
            <w:vAlign w:val="bottom"/>
            <w:gridSpan w:val="4"/>
          </w:tcPr>
          <w:p>
            <w:pPr>
              <w:jc w:val="right"/>
              <w:ind w:right="297"/>
              <w:spacing w:after="0"/>
              <w:rPr>
                <w:sz w:val="20"/>
                <w:szCs w:val="20"/>
                <w:color w:val="auto"/>
              </w:rPr>
            </w:pPr>
            <w:r>
              <w:rPr>
                <w:rFonts w:ascii="Arial" w:cs="Arial" w:eastAsia="Arial" w:hAnsi="Arial"/>
                <w:sz w:val="13"/>
                <w:szCs w:val="13"/>
                <w:b w:val="1"/>
                <w:bCs w:val="1"/>
                <w:color w:val="auto"/>
              </w:rPr>
              <w:t>Common 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Reserve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Reserves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Interest</w:t>
            </w:r>
          </w:p>
        </w:tc>
        <w:tc>
          <w:tcPr>
            <w:tcW w:w="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532</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23,487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(15,469)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$7,975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c>
          <w:tcPr>
            <w:tcW w:w="2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8,033</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Proceeds from issuance of</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equity instruments</w:t>
            </w: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June 30, 2022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$540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$23,673</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$(15,026)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w:t>
            </w: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$8,607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$51</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$8,658</w:t>
            </w:r>
          </w:p>
        </w:tc>
        <w:tc>
          <w:tcPr>
            <w:tcW w:w="0" w:type="dxa"/>
            <w:vAlign w:val="bottom"/>
          </w:tcPr>
          <w:p>
            <w:pPr>
              <w:spacing w:after="0"/>
              <w:rPr>
                <w:sz w:val="1"/>
                <w:szCs w:val="1"/>
                <w:color w:val="auto"/>
              </w:rPr>
            </w:pPr>
          </w:p>
        </w:tc>
      </w:tr>
      <w:tr>
        <w:trPr>
          <w:trHeight w:val="35"/>
        </w:trPr>
        <w:tc>
          <w:tcPr>
            <w:tcW w:w="16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December 31, 2022</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548</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23,831</w:t>
            </w:r>
          </w:p>
        </w:tc>
        <w:tc>
          <w:tcPr>
            <w:tcW w:w="26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(14,021)</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103</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9,913</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28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9,960</w:t>
            </w: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instruments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494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Arial" w:cs="Arial" w:eastAsia="Arial" w:hAnsi="Arial"/>
                <w:sz w:val="13"/>
                <w:szCs w:val="13"/>
                <w:color w:val="auto"/>
              </w:rPr>
              <w:t>Other comprehensive</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3"/>
                <w:szCs w:val="13"/>
                <w:color w:val="auto"/>
              </w:rPr>
              <w:t>income</w:t>
            </w: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2023</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553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23,968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(13,527)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10,529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10,574</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ind w:left="55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94" w:right="1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 FOR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2023 AND 2022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6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Six Months Ended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491</w:t>
            </w:r>
          </w:p>
        </w:tc>
        <w:tc>
          <w:tcPr>
            <w:tcW w:w="110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taxes paid and finance income (expense), net</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deferred income from government grants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(Gain) Loss on disposal of property, plant and equipment and other</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8000" w:type="dxa"/>
            <w:vAlign w:val="bottom"/>
          </w:tcPr>
          <w:p>
            <w:pPr>
              <w:ind w:left="20"/>
              <w:spacing w:after="0"/>
              <w:rPr>
                <w:sz w:val="20"/>
                <w:szCs w:val="20"/>
                <w:color w:val="auto"/>
              </w:rPr>
            </w:pPr>
            <w:r>
              <w:rPr>
                <w:rFonts w:ascii="Arial" w:cs="Arial" w:eastAsia="Arial" w:hAnsi="Arial"/>
                <w:sz w:val="16"/>
                <w:szCs w:val="16"/>
                <w:color w:val="auto"/>
              </w:rPr>
              <w:t>Trade and other payables</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5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1,454</w:t>
            </w:r>
          </w:p>
        </w:tc>
        <w:tc>
          <w:tcPr>
            <w:tcW w:w="0" w:type="dxa"/>
            <w:vAlign w:val="bottom"/>
          </w:tcPr>
          <w:p>
            <w:pPr>
              <w:spacing w:after="0"/>
              <w:rPr>
                <w:sz w:val="1"/>
                <w:szCs w:val="1"/>
                <w:color w:val="auto"/>
              </w:rPr>
            </w:pPr>
          </w:p>
        </w:tc>
      </w:tr>
      <w:tr>
        <w:trPr>
          <w:trHeight w:val="267"/>
        </w:trPr>
        <w:tc>
          <w:tcPr>
            <w:tcW w:w="80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net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intangible assets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1"/>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the sale of EFK business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Advances and proceeds from sale of property, plant and equipment and intangible assets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Purchases of investment in marketable securities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sale of investment in marketable securities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(2,243)</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Net proceeds from borrowings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 and finance lease obligations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issuance of equity instruments and other</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w:t>
            </w:r>
          </w:p>
        </w:tc>
        <w:tc>
          <w:tcPr>
            <w:tcW w:w="0" w:type="dxa"/>
            <w:vAlign w:val="bottom"/>
          </w:tcPr>
          <w:p>
            <w:pPr>
              <w:spacing w:after="0"/>
              <w:rPr>
                <w:sz w:val="1"/>
                <w:szCs w:val="1"/>
                <w:color w:val="auto"/>
              </w:rPr>
            </w:pPr>
          </w:p>
        </w:tc>
      </w:tr>
      <w:tr>
        <w:trPr>
          <w:trHeight w:val="224"/>
        </w:trPr>
        <w:tc>
          <w:tcPr>
            <w:tcW w:w="80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0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2,352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2,939</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1,832</w:t>
            </w:r>
          </w:p>
        </w:tc>
        <w:tc>
          <w:tcPr>
            <w:tcW w:w="110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payable for property, plant and equipment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10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color w:val="auto"/>
              </w:rPr>
              <w:t>Property, plant and equipment acquired through lease</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payable for intangible assets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10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and Summary of Significant Accounting Policies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accompanying interim condensed consolidated financial statements have been prepared by management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accordance with the rules and regulations of the International Financial Reporting Standards (“IFRS”) as issued by the International Accounting Standards Board (“IASB”). The interim condensed consolidated financial statements do not include all the information and disclosures required in the annual consolidated financial statements prepared in accordance with IFRS as issued by the IASB and should be read in conjunction with the Company’s annual consolidated financial statements, included in GLOBALFOUNDRIES' Annual Report on Form 20-F for the year ended December 31, 2022.</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interim condensed consolidated financial statements were authorized by the Audit, Risk and Compliance Committee of GLOBALFOUNDRIES’ Board of Directors on August 08, 2023, to be issued and subsequent events have been evaluated for their potential effect on the interim condensed consolidated financial statements through August 09, 2022.</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Significant Accounting Judgments, Estimates and Assumptions — </w:t>
      </w:r>
      <w:r>
        <w:rPr>
          <w:rFonts w:ascii="Arial" w:cs="Arial" w:eastAsia="Arial" w:hAnsi="Arial"/>
          <w:sz w:val="16"/>
          <w:szCs w:val="16"/>
          <w:color w:val="auto"/>
        </w:rPr>
        <w:t>The preparation of financial statements in accordance with International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(“IAS”) 34, Interim Financial Reporting, requires the use of certain critical accounting estimates. It also requires management to exercise judgment in applying the Company’s accounting policies. In the opinion of management, all adjustments, consisting solely of normal recurring adjustments necessary for a fair presentation of the financial information for the periods indicated, have been included. The results for the three and six months ended June 30, 2023 are not necessarily indicative of the results that may be expected for the year ending December 31, 2023.</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Significant Accounting Policies — </w:t>
      </w:r>
      <w:r>
        <w:rPr>
          <w:rFonts w:ascii="Arial" w:cs="Arial" w:eastAsia="Arial" w:hAnsi="Arial"/>
          <w:sz w:val="16"/>
          <w:szCs w:val="16"/>
          <w:color w:val="auto"/>
        </w:rPr>
        <w:t>Except as set forth below, the accounting policies (including accounting judgements, estimates and assumptions)</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in the preparation of the interim condensed consolidated financial statements are consistent with those followed in the preparation of the Company's annual audited consolidated financial statements contained in our Annual Report on Form 20-F for the year ended December 31, 2022.</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Property, Plant and Equipment — </w:t>
      </w:r>
      <w:r>
        <w:rPr>
          <w:rFonts w:ascii="Arial" w:cs="Arial" w:eastAsia="Arial" w:hAnsi="Arial"/>
          <w:sz w:val="16"/>
          <w:szCs w:val="16"/>
          <w:color w:val="auto"/>
        </w:rPr>
        <w:t>We periodically assess the estimated useful lives of property, plant and equipment. As a result of a review completed in</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2023, the Company concluded the estimated maximum useful life of certain buildings should be increased from 26 years to 50 years. This change in estimate was applied prospectively, effective beginning in the first quarter of 2023. The impact of the change in estimated useful lives of certain buildings resulted in an increase to net income before income taxes by $22 million and $23 million for the three and six months ended June 30, 2023.</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Adopted: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Amendments to IFRS 9, IAS 39, IFRS 7 and IFRS 16 Interest Rate Benchmark Reform (“IBOR reform”)</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June 30, 2023, the Company has completed the transition of the affected rates on borrowings from USD London Interbank Offered Rate ("LIBOR") to Term Secured Overnight Financing Rate ("SOFR") and assessed the changes to be economically equivalent in accordance with IFRS 9. Any future impact has been deemed to be immaterial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presents the Company’s revenue disaggregated based on revenue source and timing of revenue recognition for the three and six month periods ended June 30, 2023 and 2022. The Company believes these categories best depict the nature and timing of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34"/>
        </w:trPr>
        <w:tc>
          <w:tcPr>
            <w:tcW w:w="20" w:type="dxa"/>
            <w:vAlign w:val="bottom"/>
            <w:shd w:val="clear" w:color="auto" w:fill="CCEEFF"/>
          </w:tcPr>
          <w:p>
            <w:pPr>
              <w:spacing w:after="0"/>
              <w:rPr>
                <w:sz w:val="20"/>
                <w:szCs w:val="20"/>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Type of goods and services:</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Wafer fabrication</w:t>
            </w:r>
          </w:p>
        </w:tc>
        <w:tc>
          <w:tcPr>
            <w:tcW w:w="23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1,727</w:t>
            </w:r>
          </w:p>
        </w:tc>
        <w:tc>
          <w:tcPr>
            <w:tcW w:w="500" w:type="dxa"/>
            <w:vAlign w:val="bottom"/>
            <w:tcBorders>
              <w:top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1,884</w:t>
            </w:r>
          </w:p>
        </w:tc>
        <w:tc>
          <w:tcPr>
            <w:tcW w:w="460" w:type="dxa"/>
            <w:vAlign w:val="bottom"/>
            <w:tcBorders>
              <w:top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3,407</w:t>
            </w:r>
          </w:p>
        </w:tc>
        <w:tc>
          <w:tcPr>
            <w:tcW w:w="460" w:type="dxa"/>
            <w:vAlign w:val="bottom"/>
            <w:tcBorders>
              <w:top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3,709</w:t>
            </w: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Engineering and other pre-fabrication services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1,845</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3,686</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3,933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Timing of revenue recognition:</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23"/>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3,700</w:t>
            </w: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1,845</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1,993</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3,686</w:t>
            </w:r>
          </w:p>
        </w:tc>
        <w:tc>
          <w:tcPr>
            <w:tcW w:w="46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3,933</w:t>
            </w:r>
          </w:p>
        </w:tc>
      </w:tr>
      <w:tr>
        <w:trPr>
          <w:trHeight w:val="20"/>
        </w:trPr>
        <w:tc>
          <w:tcPr>
            <w:tcW w:w="2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a Cayman Islands corporation, the Company’s domestic statutory income tax rate is 0.0%. The difference between the Company’s domestic statutory income tax rate and its effective income tax rate reflected in the income tax benefit or income tax expense is </w:t>
      </w:r>
      <w:r>
        <w:rPr>
          <w:rFonts w:ascii="Arial" w:cs="Arial" w:eastAsia="Arial" w:hAnsi="Arial"/>
          <w:sz w:val="16"/>
          <w:szCs w:val="16"/>
          <w:color w:val="212121"/>
        </w:rPr>
        <w:t>primarily due to the effect of the tax rates and permanent differences in</w:t>
      </w:r>
      <w:r>
        <w:rPr>
          <w:rFonts w:ascii="Arial" w:cs="Arial" w:eastAsia="Arial" w:hAnsi="Arial"/>
          <w:sz w:val="16"/>
          <w:szCs w:val="16"/>
          <w:color w:val="auto"/>
        </w:rPr>
        <w:t xml:space="preserve"> </w:t>
      </w:r>
      <w:r>
        <w:rPr>
          <w:rFonts w:ascii="Arial" w:cs="Arial" w:eastAsia="Arial" w:hAnsi="Arial"/>
          <w:sz w:val="16"/>
          <w:szCs w:val="16"/>
          <w:color w:val="212121"/>
        </w:rPr>
        <w:t>the other jurisdictions in which the Company operates.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effective tax rate for the six months ended June 30, 2023 and 2022 was 9.4% and 11.8%, respectively. The decrease for the six months ended June 30, 2023 compared to the prior year was primarily due to an improved mix of income in certain jurisdictions, partially offset by additional withholding tax expense accrued in the United States.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2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
        </w:trPr>
        <w:tc>
          <w:tcPr>
            <w:tcW w:w="4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
        </w:trPr>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equity shareholders of the</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6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120"/>
              <w:spacing w:after="0"/>
              <w:rPr>
                <w:sz w:val="20"/>
                <w:szCs w:val="20"/>
                <w:color w:val="auto"/>
              </w:rPr>
            </w:pPr>
            <w:r>
              <w:rPr>
                <w:rFonts w:ascii="Arial" w:cs="Arial" w:eastAsia="Arial" w:hAnsi="Arial"/>
                <w:sz w:val="16"/>
                <w:szCs w:val="16"/>
                <w:color w:val="auto"/>
              </w:rPr>
              <w:t>Basic</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40" w:type="dxa"/>
            <w:vAlign w:val="bottom"/>
            <w:gridSpan w:val="3"/>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Land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rPr>
              <w:t>Building and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Land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rPr>
              <w:t>Leasehold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Construction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Improvements</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Equipment</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Computer</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 Progress</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7,867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22,569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3,384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34,381</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9"/>
        </w:trPr>
        <w:tc>
          <w:tcPr>
            <w:tcW w:w="2520" w:type="dxa"/>
            <w:vAlign w:val="bottom"/>
          </w:tcPr>
          <w:p>
            <w:pPr>
              <w:ind w:left="20"/>
              <w:spacing w:after="0"/>
              <w:rPr>
                <w:sz w:val="20"/>
                <w:szCs w:val="20"/>
                <w:color w:val="auto"/>
              </w:rPr>
            </w:pPr>
            <w:r>
              <w:rPr>
                <w:rFonts w:ascii="Arial" w:cs="Arial" w:eastAsia="Arial" w:hAnsi="Arial"/>
                <w:sz w:val="16"/>
                <w:szCs w:val="16"/>
                <w:color w:val="auto"/>
              </w:rPr>
              <w:t>Transfers from construction in</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2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8,158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35,004</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 June 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3,474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3,793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3,385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10,789</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Accumulated Depreciation and</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18,804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23,785</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0"/>
        </w:trPr>
        <w:tc>
          <w:tcPr>
            <w:tcW w:w="252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7"/>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24,215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the three months ended June 30, 2023 and 2022, the depreciation expense of property, plant and equipment was $307 million and $363 million, respectively. For the six months ended June 30, 2023 and 2022, the depreciation expense of property, plant and equipment was $619 million and $719 million,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Restructuring</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the fourth quarter 2022, the Company’s management approved and commenced a restructuring plan aimed to realign the Company’s business and strategic priorities. This worldwide restructuring plan included a reduction in the number of full-time employees, as well as a reduction in leased workspaces and engagement of consultants for strategic support.</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incurred $19 million and $24 million of restructuring costs during the three and six months ended June 30, 2023, respectively. These costs are included in restructuring expenses in the Company’s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changes to the restructuring provisions recorded on the consolidated statements of financial position as of June 30, 2023,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as of December 31, 2022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Provision</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paid</w:t>
            </w:r>
          </w:p>
        </w:tc>
        <w:tc>
          <w:tcPr>
            <w:tcW w:w="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Ending balance as of June 30, 2023</w:t>
            </w:r>
          </w:p>
        </w:tc>
        <w:tc>
          <w:tcPr>
            <w:tcW w:w="9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9"/>
        </w:trPr>
        <w:tc>
          <w:tcPr>
            <w:tcW w:w="7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79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7"/>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857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57"/>
        </w:trPr>
        <w:tc>
          <w:tcPr>
            <w:tcW w:w="7900" w:type="dxa"/>
            <w:vAlign w:val="bottom"/>
          </w:tcPr>
          <w:p>
            <w:pPr>
              <w:ind w:left="20"/>
              <w:spacing w:after="0"/>
              <w:rPr>
                <w:sz w:val="20"/>
                <w:szCs w:val="20"/>
                <w:color w:val="auto"/>
              </w:rPr>
            </w:pPr>
            <w:r>
              <w:rPr>
                <w:rFonts w:ascii="Arial" w:cs="Arial" w:eastAsia="Arial" w:hAnsi="Arial"/>
                <w:sz w:val="16"/>
                <w:szCs w:val="16"/>
                <w:color w:val="auto"/>
              </w:rPr>
              <w:t xml:space="preserve">Unbilled accounts receivable </w:t>
            </w:r>
            <w:r>
              <w:rPr>
                <w:rFonts w:ascii="Arial" w:cs="Arial" w:eastAsia="Arial" w:hAnsi="Arial"/>
                <w:sz w:val="21"/>
                <w:szCs w:val="21"/>
                <w:color w:val="auto"/>
                <w:vertAlign w:val="superscript"/>
              </w:rPr>
              <w:t>(1)</w:t>
            </w: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financial assets</w:t>
            </w:r>
          </w:p>
        </w:tc>
        <w:tc>
          <w:tcPr>
            <w:tcW w:w="9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6"/>
        </w:trPr>
        <w:tc>
          <w:tcPr>
            <w:tcW w:w="7900" w:type="dxa"/>
            <w:vAlign w:val="bottom"/>
          </w:tcPr>
          <w:p>
            <w:pPr>
              <w:spacing w:after="0"/>
              <w:rPr>
                <w:sz w:val="20"/>
                <w:szCs w:val="20"/>
                <w:color w:val="auto"/>
              </w:rPr>
            </w:pPr>
          </w:p>
        </w:tc>
        <w:tc>
          <w:tcPr>
            <w:tcW w:w="9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4"/>
              </w:rPr>
              <w:t>1,232</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1,487</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w:t>
            </w:r>
          </w:p>
        </w:tc>
        <w:tc>
          <w:tcPr>
            <w:tcW w:w="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Advances to suppliers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firstLine="8"/>
        <w:spacing w:after="0" w:line="226" w:lineRule="auto"/>
        <w:tabs>
          <w:tab w:leader="none" w:pos="189"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3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 summarizes the activity in the Company’s unbilled accounts receivable for the six months ended June 30, 2023 and the twelve months ended December 31, 2022, respectively:</w:t>
      </w:r>
    </w:p>
    <w:p>
      <w:pPr>
        <w:spacing w:after="0" w:line="257"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7"/>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
        </w:trPr>
        <w:tc>
          <w:tcPr>
            <w:tcW w:w="7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7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beginning of period</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23"/>
        </w:trPr>
        <w:tc>
          <w:tcPr>
            <w:tcW w:w="7260" w:type="dxa"/>
            <w:vAlign w:val="bottom"/>
          </w:tcPr>
          <w:p>
            <w:pPr>
              <w:ind w:left="60"/>
              <w:spacing w:after="0"/>
              <w:rPr>
                <w:sz w:val="20"/>
                <w:szCs w:val="20"/>
                <w:color w:val="auto"/>
              </w:rPr>
            </w:pPr>
            <w:r>
              <w:rPr>
                <w:rFonts w:ascii="Arial" w:cs="Arial" w:eastAsia="Arial" w:hAnsi="Arial"/>
                <w:sz w:val="16"/>
                <w:szCs w:val="16"/>
                <w:color w:val="auto"/>
              </w:rPr>
              <w:t>Revenue recognized during the period</w:t>
            </w:r>
          </w:p>
        </w:tc>
        <w:tc>
          <w:tcPr>
            <w:tcW w:w="11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7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Amounts invoiced</w:t>
            </w: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56"/>
        </w:trPr>
        <w:tc>
          <w:tcPr>
            <w:tcW w:w="7260" w:type="dxa"/>
            <w:vAlign w:val="bottom"/>
          </w:tcPr>
          <w:p>
            <w:pPr>
              <w:ind w:left="60"/>
              <w:spacing w:after="0"/>
              <w:rPr>
                <w:sz w:val="20"/>
                <w:szCs w:val="20"/>
                <w:color w:val="auto"/>
              </w:rPr>
            </w:pPr>
            <w:r>
              <w:rPr>
                <w:rFonts w:ascii="Arial" w:cs="Arial" w:eastAsia="Arial" w:hAnsi="Arial"/>
                <w:sz w:val="16"/>
                <w:szCs w:val="16"/>
                <w:b w:val="1"/>
                <w:bCs w:val="1"/>
                <w:color w:val="auto"/>
              </w:rPr>
              <w:t>Balance, end of period</w:t>
            </w:r>
          </w:p>
        </w:tc>
        <w:tc>
          <w:tcPr>
            <w:tcW w:w="1160" w:type="dxa"/>
            <w:vAlign w:val="bottom"/>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rPr>
              <w:t>34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24</w:t>
            </w:r>
          </w:p>
        </w:tc>
      </w:tr>
      <w:tr>
        <w:trPr>
          <w:trHeight w:val="21"/>
        </w:trPr>
        <w:tc>
          <w:tcPr>
            <w:tcW w:w="7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Inventories</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records inventories at the lower of cost or net realizable value for finished goods, work-in-progress, raw materials, and supplies. The Company makes inventory write-downs on an item-by-item basis, except where it may be appropriate to group similar or related items.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44"/>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34"/>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23"/>
        </w:trPr>
        <w:tc>
          <w:tcPr>
            <w:tcW w:w="7780" w:type="dxa"/>
            <w:vAlign w:val="bottom"/>
          </w:tcPr>
          <w:p>
            <w:pPr>
              <w:ind w:left="80"/>
              <w:spacing w:after="0"/>
              <w:rPr>
                <w:sz w:val="20"/>
                <w:szCs w:val="20"/>
                <w:color w:val="auto"/>
              </w:rPr>
            </w:pPr>
            <w:r>
              <w:rPr>
                <w:rFonts w:ascii="Arial" w:cs="Arial" w:eastAsia="Arial" w:hAnsi="Arial"/>
                <w:sz w:val="16"/>
                <w:szCs w:val="16"/>
                <w:color w:val="auto"/>
              </w:rPr>
              <w:t>Raw materials and supplies</w:t>
            </w: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33"/>
        </w:trPr>
        <w:tc>
          <w:tcPr>
            <w:tcW w:w="7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0"/>
        </w:trPr>
        <w:tc>
          <w:tcPr>
            <w:tcW w:w="778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1,504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 w:right="339" w:bottom="7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765"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Long Term Debt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Year</w:t>
            </w:r>
          </w:p>
        </w:tc>
        <w:tc>
          <w:tcPr>
            <w:tcW w:w="300" w:type="dxa"/>
            <w:vAlign w:val="bottom"/>
          </w:tcPr>
          <w:p>
            <w:pPr>
              <w:spacing w:after="0"/>
              <w:rPr>
                <w:sz w:val="17"/>
                <w:szCs w:val="17"/>
                <w:color w:val="auto"/>
              </w:rPr>
            </w:pPr>
          </w:p>
        </w:tc>
        <w:tc>
          <w:tcPr>
            <w:tcW w:w="136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2"/>
        </w:trPr>
        <w:tc>
          <w:tcPr>
            <w:tcW w:w="3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1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Currency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Rate</w:t>
            </w:r>
          </w:p>
        </w:tc>
        <w:tc>
          <w:tcPr>
            <w:tcW w:w="11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line="20" w:lineRule="exact"/>
              <w:rPr>
                <w:sz w:val="1"/>
                <w:szCs w:val="1"/>
                <w:color w:val="auto"/>
              </w:rPr>
            </w:pPr>
          </w:p>
        </w:tc>
      </w:tr>
      <w:tr>
        <w:trPr>
          <w:trHeight w:val="216"/>
        </w:trPr>
        <w:tc>
          <w:tcPr>
            <w:tcW w:w="39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Maturity</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2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 Tool Equipment Purchase and Lease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2023</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2019 Tool Equipment Purchase and Lease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SOFR</w:t>
            </w:r>
            <w:r>
              <w:rPr>
                <w:rFonts w:ascii="Arial" w:cs="Arial" w:eastAsia="Arial" w:hAnsi="Arial"/>
                <w:sz w:val="16"/>
                <w:szCs w:val="16"/>
                <w:color w:val="auto"/>
              </w:rPr>
              <w:t>+ 1.75%</w:t>
            </w:r>
          </w:p>
        </w:tc>
        <w:tc>
          <w:tcPr>
            <w:tcW w:w="1160" w:type="dxa"/>
            <w:vAlign w:val="bottom"/>
          </w:tcPr>
          <w:p>
            <w:pPr>
              <w:jc w:val="center"/>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USD Dresden Equipment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2020 USD Equipment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EUR Term Loan A</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+ 2.60%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Various</w:t>
            </w:r>
          </w:p>
        </w:tc>
        <w:tc>
          <w:tcPr>
            <w:tcW w:w="1160" w:type="dxa"/>
            <w:vAlign w:val="bottom"/>
          </w:tcPr>
          <w:p>
            <w:pPr>
              <w:ind w:left="100"/>
              <w:spacing w:after="0"/>
              <w:rPr>
                <w:sz w:val="20"/>
                <w:szCs w:val="20"/>
                <w:color w:val="auto"/>
              </w:rPr>
            </w:pPr>
            <w:r>
              <w:rPr>
                <w:rFonts w:ascii="Arial" w:cs="Arial" w:eastAsia="Arial" w:hAnsi="Arial"/>
                <w:sz w:val="16"/>
                <w:szCs w:val="16"/>
                <w:color w:val="auto"/>
              </w:rPr>
              <w:t>EUR, USD</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Pr>
          <w:p>
            <w:pPr>
              <w:jc w:val="center"/>
              <w:spacing w:after="0"/>
              <w:rPr>
                <w:sz w:val="20"/>
                <w:szCs w:val="20"/>
                <w:color w:val="auto"/>
              </w:rPr>
            </w:pPr>
            <w:r>
              <w:rPr>
                <w:rFonts w:ascii="Arial" w:cs="Arial" w:eastAsia="Arial" w:hAnsi="Arial"/>
                <w:sz w:val="16"/>
                <w:szCs w:val="16"/>
                <w:color w:val="auto"/>
              </w:rPr>
              <w:t>2024-2026</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total</w:t>
            </w:r>
          </w:p>
        </w:tc>
        <w:tc>
          <w:tcPr>
            <w:tcW w:w="1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Tool Equipment Purchase and Lease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6"/>
                <w:szCs w:val="16"/>
                <w:color w:val="auto"/>
              </w:rPr>
              <w:t>2019 USD Dresden Equipment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6"/>
                <w:szCs w:val="16"/>
                <w:color w:val="auto"/>
              </w:rPr>
              <w:t>SOFR + 2.25%</w:t>
            </w:r>
          </w:p>
        </w:tc>
        <w:tc>
          <w:tcPr>
            <w:tcW w:w="1160" w:type="dxa"/>
            <w:vAlign w:val="bottom"/>
          </w:tcPr>
          <w:p>
            <w:pPr>
              <w:jc w:val="center"/>
              <w:spacing w:after="0"/>
              <w:rPr>
                <w:sz w:val="20"/>
                <w:szCs w:val="20"/>
                <w:color w:val="auto"/>
              </w:rPr>
            </w:pPr>
            <w:r>
              <w:rPr>
                <w:rFonts w:ascii="Arial" w:cs="Arial" w:eastAsia="Arial" w:hAnsi="Arial"/>
                <w:sz w:val="16"/>
                <w:szCs w:val="16"/>
                <w:color w:val="auto"/>
              </w:rPr>
              <w:t>2026</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USD Equipment Financing</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+ 1.90%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160" w:type="dxa"/>
            <w:vAlign w:val="bottom"/>
          </w:tcPr>
          <w:p>
            <w:pPr>
              <w:ind w:left="1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EUR Term Loan A</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+ 2.60%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6"/>
                <w:szCs w:val="16"/>
                <w:color w:val="auto"/>
              </w:rPr>
              <w:t>2019 EUR Dresden Equipment Financing</w:t>
            </w:r>
          </w:p>
        </w:tc>
        <w:tc>
          <w:tcPr>
            <w:tcW w:w="1160" w:type="dxa"/>
            <w:vAlign w:val="bottom"/>
          </w:tcPr>
          <w:p>
            <w:pPr>
              <w:ind w:left="100"/>
              <w:spacing w:after="0"/>
              <w:rPr>
                <w:sz w:val="20"/>
                <w:szCs w:val="20"/>
                <w:color w:val="auto"/>
              </w:rPr>
            </w:pPr>
            <w:r>
              <w:rPr>
                <w:rFonts w:ascii="Arial" w:cs="Arial" w:eastAsia="Arial" w:hAnsi="Arial"/>
                <w:sz w:val="16"/>
                <w:szCs w:val="16"/>
                <w:color w:val="auto"/>
              </w:rPr>
              <w:t>EUR</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Pr>
          <w:p>
            <w:pPr>
              <w:jc w:val="center"/>
              <w:spacing w:after="0"/>
              <w:rPr>
                <w:sz w:val="20"/>
                <w:szCs w:val="20"/>
                <w:color w:val="auto"/>
              </w:rPr>
            </w:pPr>
            <w:r>
              <w:rPr>
                <w:rFonts w:ascii="Arial" w:cs="Arial" w:eastAsia="Arial" w:hAnsi="Arial"/>
                <w:sz w:val="16"/>
                <w:szCs w:val="16"/>
                <w:color w:val="auto"/>
              </w:rPr>
              <w:t>2026</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 SGD EDB Loan</w:t>
            </w:r>
          </w:p>
        </w:tc>
        <w:tc>
          <w:tcPr>
            <w:tcW w:w="1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SGD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2041</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color w:val="auto"/>
              </w:rPr>
              <w:t>Various</w:t>
            </w:r>
          </w:p>
        </w:tc>
        <w:tc>
          <w:tcPr>
            <w:tcW w:w="1160" w:type="dxa"/>
            <w:vAlign w:val="bottom"/>
          </w:tcPr>
          <w:p>
            <w:pPr>
              <w:ind w:left="100"/>
              <w:spacing w:after="0"/>
              <w:rPr>
                <w:sz w:val="20"/>
                <w:szCs w:val="20"/>
                <w:color w:val="auto"/>
              </w:rPr>
            </w:pPr>
            <w:r>
              <w:rPr>
                <w:rFonts w:ascii="Arial" w:cs="Arial" w:eastAsia="Arial" w:hAnsi="Arial"/>
                <w:sz w:val="16"/>
                <w:szCs w:val="16"/>
                <w:color w:val="auto"/>
              </w:rPr>
              <w:t>EUR, USD</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Pr>
          <w:p>
            <w:pPr>
              <w:jc w:val="center"/>
              <w:spacing w:after="0"/>
              <w:rPr>
                <w:sz w:val="20"/>
                <w:szCs w:val="20"/>
                <w:color w:val="auto"/>
              </w:rPr>
            </w:pPr>
            <w:r>
              <w:rPr>
                <w:rFonts w:ascii="Arial" w:cs="Arial" w:eastAsia="Arial" w:hAnsi="Arial"/>
                <w:sz w:val="16"/>
                <w:szCs w:val="16"/>
                <w:color w:val="auto"/>
              </w:rPr>
              <w:t>2024-2027</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total</w:t>
            </w:r>
          </w:p>
        </w:tc>
        <w:tc>
          <w:tcPr>
            <w:tcW w:w="1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2,288</w:t>
            </w:r>
          </w:p>
        </w:tc>
        <w:tc>
          <w:tcPr>
            <w:tcW w:w="0" w:type="dxa"/>
            <w:vAlign w:val="bottom"/>
          </w:tcPr>
          <w:p>
            <w:pPr>
              <w:spacing w:after="0"/>
              <w:rPr>
                <w:sz w:val="1"/>
                <w:szCs w:val="1"/>
                <w:color w:val="auto"/>
              </w:rPr>
            </w:pPr>
          </w:p>
        </w:tc>
      </w:tr>
      <w:tr>
        <w:trPr>
          <w:trHeight w:val="254"/>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2,429</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2,511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44"/>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3"/>
        </w:trPr>
        <w:tc>
          <w:tcPr>
            <w:tcW w:w="7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SGD EDB Loan</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Uncommitted Credit Facilities</w:t>
            </w:r>
            <w:r>
              <w:rPr>
                <w:rFonts w:ascii="Arial" w:cs="Arial" w:eastAsia="Arial" w:hAnsi="Arial"/>
                <w:sz w:val="21"/>
                <w:szCs w:val="21"/>
                <w:color w:val="auto"/>
                <w:vertAlign w:val="superscript"/>
              </w:rPr>
              <w:t>(1)</w:t>
            </w:r>
          </w:p>
        </w:tc>
        <w:tc>
          <w:tcPr>
            <w:tcW w:w="11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50"/>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93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w w:val="94"/>
              </w:rPr>
              <w:t>1,079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1,118</w:t>
            </w:r>
          </w:p>
        </w:tc>
      </w:tr>
      <w:tr>
        <w:trPr>
          <w:trHeight w:val="21"/>
        </w:trPr>
        <w:tc>
          <w:tcPr>
            <w:tcW w:w="7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Subject to lender approval before draw-down or being usable.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Related Party Disclosures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total amounts of $7 million and $11 million due from related parties as of June 30, 2023 and December 31, 2022, respectively, have been included in receivables, prepayments and other assets (see Note 8). The $13 million and $10 million due to related parties as of June 30, 2023 and December 31, 2022, respectively, have been included in trade and other payables.</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Related party balances disclosed in the interim condensed consolidated statements of financial position related to Silicon Manufacturing Partners Pte Ltd. ("SMP"). SMP is a joint venture with LSI Technology (Singapore) Pte. Ltd. The Company holds a 49.0% interest in SMP and manages all aspects of its manufacturing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4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Three Months Ended June 30,</w:t>
            </w:r>
          </w:p>
        </w:tc>
        <w:tc>
          <w:tcPr>
            <w:tcW w:w="33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Six Months Ended June 30,</w:t>
            </w:r>
          </w:p>
        </w:tc>
      </w:tr>
      <w:tr>
        <w:trPr>
          <w:trHeight w:val="233"/>
        </w:trPr>
        <w:tc>
          <w:tcPr>
            <w:tcW w:w="44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178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2022</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c>
          <w:tcPr>
            <w:tcW w:w="16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2022</w:t>
            </w:r>
          </w:p>
        </w:tc>
      </w:tr>
      <w:tr>
        <w:trPr>
          <w:trHeight w:val="21"/>
        </w:trPr>
        <w:tc>
          <w:tcPr>
            <w:tcW w:w="44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6"/>
                <w:szCs w:val="16"/>
                <w:color w:val="auto"/>
              </w:rPr>
              <w:t>SMP</w:t>
            </w:r>
          </w:p>
        </w:tc>
        <w:tc>
          <w:tcPr>
            <w:tcW w:w="1680" w:type="dxa"/>
            <w:vAlign w:val="bottom"/>
          </w:tcPr>
          <w:p>
            <w:pPr>
              <w:jc w:val="center"/>
              <w:spacing w:after="0"/>
              <w:rPr>
                <w:sz w:val="20"/>
                <w:szCs w:val="20"/>
                <w:color w:val="auto"/>
              </w:rPr>
            </w:pPr>
            <w:r>
              <w:rPr>
                <w:rFonts w:ascii="Arial" w:cs="Arial" w:eastAsia="Arial" w:hAnsi="Arial"/>
                <w:sz w:val="16"/>
                <w:szCs w:val="16"/>
                <w:color w:val="auto"/>
              </w:rPr>
              <w:t>$13</w:t>
            </w:r>
          </w:p>
        </w:tc>
        <w:tc>
          <w:tcPr>
            <w:tcW w:w="1780" w:type="dxa"/>
            <w:vAlign w:val="bottom"/>
            <w:gridSpan w:val="2"/>
          </w:tcPr>
          <w:p>
            <w:pPr>
              <w:jc w:val="center"/>
              <w:spacing w:after="0"/>
              <w:rPr>
                <w:sz w:val="20"/>
                <w:szCs w:val="20"/>
                <w:color w:val="auto"/>
              </w:rPr>
            </w:pPr>
            <w:r>
              <w:rPr>
                <w:rFonts w:ascii="Arial" w:cs="Arial" w:eastAsia="Arial" w:hAnsi="Arial"/>
                <w:sz w:val="16"/>
                <w:szCs w:val="16"/>
                <w:color w:val="auto"/>
                <w:w w:val="97"/>
              </w:rPr>
              <w:t>$13</w:t>
            </w:r>
          </w:p>
        </w:tc>
        <w:tc>
          <w:tcPr>
            <w:tcW w:w="1660" w:type="dxa"/>
            <w:vAlign w:val="bottom"/>
          </w:tcPr>
          <w:p>
            <w:pPr>
              <w:jc w:val="center"/>
              <w:spacing w:after="0"/>
              <w:rPr>
                <w:sz w:val="20"/>
                <w:szCs w:val="20"/>
                <w:color w:val="auto"/>
              </w:rPr>
            </w:pPr>
            <w:r>
              <w:rPr>
                <w:rFonts w:ascii="Arial" w:cs="Arial" w:eastAsia="Arial" w:hAnsi="Arial"/>
                <w:sz w:val="16"/>
                <w:szCs w:val="16"/>
                <w:color w:val="auto"/>
              </w:rPr>
              <w:t>$23</w:t>
            </w:r>
          </w:p>
        </w:tc>
        <w:tc>
          <w:tcPr>
            <w:tcW w:w="1660" w:type="dxa"/>
            <w:vAlign w:val="bottom"/>
            <w:gridSpan w:val="2"/>
          </w:tcPr>
          <w:p>
            <w:pPr>
              <w:jc w:val="center"/>
              <w:ind w:left="19"/>
              <w:spacing w:after="0"/>
              <w:rPr>
                <w:sz w:val="20"/>
                <w:szCs w:val="20"/>
                <w:color w:val="auto"/>
              </w:rPr>
            </w:pPr>
            <w:r>
              <w:rPr>
                <w:rFonts w:ascii="Arial" w:cs="Arial" w:eastAsia="Arial" w:hAnsi="Arial"/>
                <w:sz w:val="16"/>
                <w:szCs w:val="16"/>
                <w:color w:val="auto"/>
              </w:rPr>
              <w:t>$27</w:t>
            </w:r>
          </w:p>
        </w:tc>
      </w:tr>
      <w:tr>
        <w:trPr>
          <w:trHeight w:val="40"/>
        </w:trPr>
        <w:tc>
          <w:tcPr>
            <w:tcW w:w="44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4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
        </w:trPr>
        <w:tc>
          <w:tcPr>
            <w:tcW w:w="4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 of tools)</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7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7"/>
              </w:rPr>
              <w:t>$12</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6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$22</w:t>
            </w:r>
          </w:p>
        </w:tc>
      </w:tr>
      <w:tr>
        <w:trPr>
          <w:trHeight w:val="33"/>
        </w:trPr>
        <w:tc>
          <w:tcPr>
            <w:tcW w:w="4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 purchases.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Arial" w:cs="Arial" w:eastAsia="Arial" w:hAnsi="Arial"/>
                <w:sz w:val="16"/>
                <w:szCs w:val="16"/>
                <w:b w:val="1"/>
                <w:bCs w:val="1"/>
                <w:color w:val="auto"/>
              </w:rPr>
              <w:t>Note 12. Commitments and Contingencies</w:t>
            </w: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660" w:type="dxa"/>
            <w:vAlign w:val="bottom"/>
          </w:tcPr>
          <w:p>
            <w:pPr>
              <w:spacing w:after="0"/>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Company’s unconditional purchase commitments are as follows:</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32"/>
        </w:trPr>
        <w:tc>
          <w:tcPr>
            <w:tcW w:w="7660" w:type="dxa"/>
            <w:vAlign w:val="bottom"/>
            <w:vMerge w:val="continue"/>
          </w:tcPr>
          <w:p>
            <w:pPr>
              <w:spacing w:after="0"/>
              <w:rPr>
                <w:sz w:val="11"/>
                <w:szCs w:val="11"/>
                <w:color w:val="auto"/>
              </w:rPr>
            </w:pPr>
          </w:p>
        </w:tc>
        <w:tc>
          <w:tcPr>
            <w:tcW w:w="12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95"/>
        </w:trPr>
        <w:tc>
          <w:tcPr>
            <w:tcW w:w="76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Contracts for capital expenditures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50"/>
        </w:trPr>
        <w:tc>
          <w:tcPr>
            <w:tcW w:w="7660" w:type="dxa"/>
            <w:vAlign w:val="bottom"/>
          </w:tcPr>
          <w:p>
            <w:pPr>
              <w:ind w:left="80"/>
              <w:spacing w:after="0"/>
              <w:rPr>
                <w:sz w:val="20"/>
                <w:szCs w:val="20"/>
                <w:color w:val="auto"/>
              </w:rPr>
            </w:pPr>
            <w:r>
              <w:rPr>
                <w:rFonts w:ascii="Arial" w:cs="Arial" w:eastAsia="Arial" w:hAnsi="Arial"/>
                <w:sz w:val="16"/>
                <w:szCs w:val="16"/>
                <w:color w:val="auto"/>
              </w:rPr>
              <w:t>Contracts for operating expenditures</w:t>
            </w:r>
          </w:p>
        </w:tc>
        <w:tc>
          <w:tcPr>
            <w:tcW w:w="1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61"/>
        </w:trPr>
        <w:tc>
          <w:tcPr>
            <w:tcW w:w="76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5,111</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6,361</w:t>
            </w:r>
          </w:p>
        </w:tc>
        <w:tc>
          <w:tcPr>
            <w:tcW w:w="0" w:type="dxa"/>
            <w:vAlign w:val="bottom"/>
          </w:tcPr>
          <w:p>
            <w:pPr>
              <w:spacing w:after="0"/>
              <w:rPr>
                <w:sz w:val="1"/>
                <w:szCs w:val="1"/>
                <w:color w:val="auto"/>
              </w:rPr>
            </w:pPr>
          </w:p>
        </w:tc>
      </w:tr>
      <w:tr>
        <w:trPr>
          <w:trHeight w:val="229"/>
        </w:trPr>
        <w:tc>
          <w:tcPr>
            <w:tcW w:w="7660" w:type="dxa"/>
            <w:vAlign w:val="bottom"/>
            <w:tcBorders>
              <w:top w:val="single" w:sz="8" w:color="CCEEFF"/>
            </w:tcBorders>
          </w:tcPr>
          <w:p>
            <w:pPr>
              <w:ind w:left="80"/>
              <w:spacing w:after="0"/>
              <w:rPr>
                <w:sz w:val="20"/>
                <w:szCs w:val="20"/>
                <w:color w:val="auto"/>
              </w:rPr>
            </w:pPr>
            <w:r>
              <w:rPr>
                <w:rFonts w:ascii="Arial" w:cs="Arial" w:eastAsia="Arial" w:hAnsi="Arial"/>
                <w:sz w:val="16"/>
                <w:szCs w:val="16"/>
                <w:b w:val="1"/>
                <w:bCs w:val="1"/>
                <w:color w:val="auto"/>
              </w:rPr>
              <w:t>Due within the next 12 months</w:t>
            </w:r>
          </w:p>
        </w:tc>
        <w:tc>
          <w:tcPr>
            <w:tcW w:w="122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1,648</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2,732</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addition to the above, the Company obtained letters of credit to primarily guarantee payments for utility suppliers and foreign statutory payroll related charges. The Company has obtained letters of credit of $20 million as of June 30, 2023 and December 31, 2022 and has drawn down bank guarantees of $9 million and $4 million as of June 30, 2023 and December 31, 2022, respectively.</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income (loss).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April 28, 2021, International Business Machines (“IBM”) sent the Company a letter alleging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at least $2.5 billion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its fraud claim, and on April 7, 2022, the New York Appellate Division reversed the Court’s decision. The Company believes, based on discussions with legal counsel, that it has meritorious defenses against IBM’s claims. The Company disputes IBM’s claims and intends to vigorously defend against them.</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Fair Value Measurements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1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7"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 and</w:t>
      </w:r>
    </w:p>
    <w:p>
      <w:pPr>
        <w:ind w:left="660" w:hanging="328"/>
        <w:spacing w:after="0" w:line="27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include U.S. Treasury Securities, U.S. Government Sponsored Enterprises, floating rate securities, money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Quoted Prices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Identical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rPr>
              <w:t>Significant Other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center"/>
              <w:ind w:right="199"/>
              <w:spacing w:after="0"/>
              <w:rPr>
                <w:sz w:val="20"/>
                <w:szCs w:val="20"/>
                <w:color w:val="auto"/>
              </w:rPr>
            </w:pPr>
            <w:r>
              <w:rPr>
                <w:rFonts w:ascii="Arial" w:cs="Arial" w:eastAsia="Arial" w:hAnsi="Arial"/>
                <w:sz w:val="16"/>
                <w:szCs w:val="16"/>
                <w:b w:val="1"/>
                <w:bCs w:val="1"/>
                <w:color w:val="auto"/>
              </w:rPr>
              <w:t>Significant</w:t>
            </w:r>
          </w:p>
        </w:tc>
      </w:tr>
      <w:tr>
        <w:trPr>
          <w:trHeight w:val="227"/>
        </w:trPr>
        <w:tc>
          <w:tcPr>
            <w:tcW w:w="4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Inputs</w:t>
            </w:r>
          </w:p>
        </w:tc>
        <w:tc>
          <w:tcPr>
            <w:tcW w:w="12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74"/>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3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instruments</w:t>
            </w:r>
            <w:r>
              <w:rPr>
                <w:rFonts w:ascii="Arial" w:cs="Arial" w:eastAsia="Arial" w:hAnsi="Arial"/>
                <w:sz w:val="21"/>
                <w:szCs w:val="21"/>
                <w:color w:val="auto"/>
                <w:vertAlign w:val="superscript"/>
              </w:rPr>
              <w:t>(2)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50"/>
        </w:trPr>
        <w:tc>
          <w:tcPr>
            <w:tcW w:w="404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0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r>
              <w:rPr>
                <w:rFonts w:ascii="Arial" w:cs="Arial" w:eastAsia="Arial" w:hAnsi="Arial"/>
                <w:sz w:val="21"/>
                <w:szCs w:val="21"/>
                <w:color w:val="auto"/>
                <w:vertAlign w:val="superscript"/>
              </w:rPr>
              <w:t>(4)</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66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4040" w:type="dxa"/>
            <w:vAlign w:val="bottom"/>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June 30, 2023</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1,267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1,267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Equity instruments</w:t>
            </w:r>
            <w:r>
              <w:rPr>
                <w:rFonts w:ascii="Arial" w:cs="Arial" w:eastAsia="Arial" w:hAnsi="Arial"/>
                <w:sz w:val="21"/>
                <w:szCs w:val="21"/>
                <w:color w:val="auto"/>
                <w:vertAlign w:val="superscript"/>
              </w:rPr>
              <w:t>(2)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63"/>
        </w:trPr>
        <w:tc>
          <w:tcPr>
            <w:tcW w:w="4040" w:type="dxa"/>
            <w:vAlign w:val="bottom"/>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129</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Marketable securities</w:t>
            </w:r>
            <w:r>
              <w:rPr>
                <w:rFonts w:ascii="Arial" w:cs="Arial" w:eastAsia="Arial" w:hAnsi="Arial"/>
                <w:sz w:val="21"/>
                <w:szCs w:val="21"/>
                <w:color w:val="auto"/>
                <w:vertAlign w:val="superscript"/>
              </w:rPr>
              <w:t>(4)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1,471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1,471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4040" w:type="dxa"/>
            <w:vAlign w:val="bottom"/>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Included in cash and cash equivalents on the Company’s interim condensed consolidated statements of financial position.</w:t>
      </w:r>
    </w:p>
    <w:p>
      <w:pPr>
        <w:spacing w:after="0" w:line="141"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122" w:lineRule="exact"/>
        <w:rPr>
          <w:rFonts w:ascii="Arial" w:cs="Arial" w:eastAsia="Arial" w:hAnsi="Arial"/>
          <w:sz w:val="9"/>
          <w:szCs w:val="9"/>
          <w:color w:val="auto"/>
        </w:rPr>
      </w:pPr>
    </w:p>
    <w:p>
      <w:pPr>
        <w:ind w:firstLine="8"/>
        <w:spacing w:after="0" w:line="238" w:lineRule="auto"/>
        <w:tabs>
          <w:tab w:leader="none" w:pos="156"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Consists of foreign currency forward contracts, interest rate swaps, cross currency swaps and commodity hedge. Included in other current and non-current financial assets on the Company’s interim condensed consolidated statements of financial position</w:t>
      </w:r>
      <w:r>
        <w:rPr>
          <w:rFonts w:ascii="Arial" w:cs="Arial" w:eastAsia="Arial" w:hAnsi="Arial"/>
          <w:sz w:val="15"/>
          <w:szCs w:val="15"/>
          <w:color w:val="auto"/>
        </w:rPr>
        <w:t>.</w:t>
      </w:r>
    </w:p>
    <w:p>
      <w:pPr>
        <w:spacing w:after="0" w:line="9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Included in current and non-current marketable securities on the Company's interim condensed consolidated statements of financial position.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June 30, 2023 and 2022, there were no transfers between Level 1, Level 2 or Level 3 fair value measurements.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2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91"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carrying amounts and fair values of the Company’s financial instruments not recorded at fair value on a recurring basis are presented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 2023</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December 31, 2022</w:t>
            </w:r>
          </w:p>
        </w:tc>
      </w:tr>
      <w:tr>
        <w:trPr>
          <w:trHeight w:val="259"/>
        </w:trPr>
        <w:tc>
          <w:tcPr>
            <w:tcW w:w="3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Carrying Amount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4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2,511</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2,414</w:t>
            </w:r>
          </w:p>
        </w:tc>
      </w:tr>
      <w:tr>
        <w:trPr>
          <w:trHeight w:val="33"/>
        </w:trPr>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2,414</w:t>
            </w:r>
          </w:p>
        </w:tc>
      </w:tr>
      <w:tr>
        <w:trPr>
          <w:trHeight w:val="20"/>
        </w:trPr>
        <w:tc>
          <w:tcPr>
            <w:tcW w:w="3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represents a Level 2 valuation. The fair values are estimated based on the type of debt and their maturities. The Company estimates the fair value using market interest rates of debts with similar maturities.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Share-Based Compensation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32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240"/>
          </w:cols>
          <w:pgMar w:left="320" w:top="9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Russia/Ukraine conflict; the market for our products may develop or recover more slowly than expected or than it has in the past; we may fail to achieve the full benefits of our current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including due to increasing interest rates, rising inflation, and any potential recession.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GLOBALFOUNDRIES’ Annual Report on Form 20-F for the year ended December 31, 2022, current reports on Form 6-K and other reports filed with the Securities and Exchange Commission (the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feature-rich integrated circuits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combination of our highly-differentiated technology and our scaled manufacturing footprint enables us to attract a large share of single-sourced products and long-term supply agreements (“LTAs”), providing a high degree of revenue visibility and significant operating leverage, resulting in improved financial performance and bottom line growth.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40 customers with LTAs as of June 30, 2023, many of whom are the global leaders in their field.</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94% and 92% of our net revenue for the three and six months ended June 30, 2023, respectively. The rest of our net revenue was mainly derived from photomask manufacturing, sourcing services and pre-fab manufacturing services.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semiconductor industry is susceptible to uncertain economic conditions that could impact demand. We remain cautious regarding the macroeconomic headwinds facing our industry in the second half of 2023. We continue to implement a long-term partnership-driven model, which is helping to provide improved visibility for our business through this period of uncertainty.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generate the majority of our revenue from sales of finished semiconductor wafers, which are priced on a per-wafer basis for the applicable design. We also generate revenue from pre-fabrication services such as rendering of non-recurring engineering (“NRE”) services, mask production and pre-fabrication services such as bump, test, and packaging. Pricing is typically agreed prior to production and then updated based on subsequent period negotiations.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inflationary-headwinds we are facing within our business, we have experienced increased costs for materials and energy, and we expect these increases to continue to have an adverse impact on our financial results of operations, while these economic conditions persist.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charges primarily include the depreciation of production equipment. We periodically assess the estimated useful lives of</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property, plant and equipment</w:t>
      </w:r>
      <w:r>
        <w:rPr>
          <w:rFonts w:ascii="Arial" w:cs="Arial" w:eastAsia="Arial" w:hAnsi="Arial"/>
          <w:sz w:val="21"/>
          <w:szCs w:val="21"/>
          <w:color w:val="auto"/>
        </w:rPr>
        <w:t>.</w:t>
      </w:r>
      <w:r>
        <w:rPr>
          <w:rFonts w:ascii="Arial" w:cs="Arial" w:eastAsia="Arial" w:hAnsi="Arial"/>
          <w:sz w:val="16"/>
          <w:szCs w:val="16"/>
          <w:color w:val="auto"/>
        </w:rPr>
        <w:t xml:space="preserve"> As a result of a review completed in April 2023, the Company concluded the estimated maximum useful life of buildings should be increased from 26 years to 50 years. This change in estimate was applied prospectively, effective beginning in the first quarter of 2023. We depreciate equipment on a straight-line basis over a two-to-ten-year period.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 We expect cost of revenue to increase modestly in absolute terms and as a percentage of revenue in the third quarter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expenses (“SG&amp;A”), and restructuring charges. Personnel costs are the most significant component of our operating expenses and consist of salaries, benefits, bonuses, share-based compensation, and commissions.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expense to increase modestly in absolute terms and as a percentage of revenue in the third quarter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incur costs associated with operating as a publicly traded company, including those associated with audit, accounting, legal, information technology, regulatory, compliance, director and officer insurance, and investor and public relations. We expect SG&amp;A expenses to decrease modestly in absolute terms and as a percentage of revenue in the third quarter 2023.</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Restructuring charges primarily relate to reductions in our global workforce, leased workspace and we engage consultants for strategic support of the restructuring.</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Finance income (expense), net consists primarily of interest on borrowings, amortization of debt issuance costs under our term loans, revolving credit facility, finance leases and the other credit facilities we maintain with various financial institutions, net of interest income received on our cash deposits.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income (expense), net consists of gains and losses and other miscellaneous income and expense items unrelated to our core operations. Included are tool sales to third parties, as well as gains and losses relating to hedging activities.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 expense consists primarily of income taxes in certain foreign jurisdictions in which we conduct business, which mainly include Germany, Singapore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20" w:type="dxa"/>
            <w:vAlign w:val="bottom"/>
          </w:tcPr>
          <w:p>
            <w:pPr>
              <w:spacing w:after="0"/>
              <w:rPr>
                <w:sz w:val="20"/>
                <w:szCs w:val="20"/>
                <w:color w:val="auto"/>
              </w:rPr>
            </w:pPr>
            <w:r>
              <w:rPr>
                <w:rFonts w:ascii="Arial" w:cs="Arial" w:eastAsia="Arial" w:hAnsi="Arial"/>
                <w:sz w:val="16"/>
                <w:szCs w:val="16"/>
                <w:b w:val="1"/>
                <w:bCs w:val="1"/>
                <w:color w:val="auto"/>
              </w:rPr>
              <w:t>A. Results of Operations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8"/>
        </w:trPr>
        <w:tc>
          <w:tcPr>
            <w:tcW w:w="8300" w:type="dxa"/>
            <w:vAlign w:val="bottom"/>
            <w:gridSpan w:val="8"/>
          </w:tcPr>
          <w:p>
            <w:pPr>
              <w:spacing w:after="0"/>
              <w:rPr>
                <w:sz w:val="20"/>
                <w:szCs w:val="20"/>
                <w:color w:val="auto"/>
              </w:rPr>
            </w:pPr>
            <w:r>
              <w:rPr>
                <w:rFonts w:ascii="Arial" w:cs="Arial" w:eastAsia="Arial" w:hAnsi="Arial"/>
                <w:sz w:val="16"/>
                <w:szCs w:val="16"/>
                <w:color w:val="auto"/>
              </w:rPr>
              <w:t>The following table sets forth our unaudited consolidated statements of operations data for the periods indicated: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7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520" w:type="dxa"/>
            <w:vAlign w:val="bottom"/>
            <w:vMerge w:val="continue"/>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9"/>
              </w:rPr>
              <w:t>1,845</w:t>
            </w:r>
          </w:p>
        </w:tc>
        <w:tc>
          <w:tcPr>
            <w:tcW w:w="108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9"/>
              </w:rPr>
              <w:t>1,993</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3,686</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3,933</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99"/>
              </w:rPr>
              <w:t>1,313</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99"/>
              </w:rPr>
              <w:t>1,455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532</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1,007</w:t>
            </w: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Arial" w:cs="Arial" w:eastAsia="Arial" w:hAnsi="Arial"/>
                <w:sz w:val="16"/>
                <w:szCs w:val="16"/>
                <w:i w:val="1"/>
                <w:iCs w:val="1"/>
                <w:color w:val="auto"/>
              </w:rPr>
              <w:t>Gross profit margin</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28.8 %</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27.0 %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28.4 %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i w:val="1"/>
                <w:iCs w:val="1"/>
                <w:color w:val="auto"/>
              </w:rPr>
              <w:t>25.6 %</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257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241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482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485</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522</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Finance income (expenses), net</w:t>
            </w:r>
          </w:p>
        </w:tc>
        <w:tc>
          <w:tcPr>
            <w:tcW w:w="100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of profit of joint ventures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Profit before income taxes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265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501</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237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264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491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gridSpan w:val="18"/>
          </w:tcPr>
          <w:p>
            <w:pPr>
              <w:spacing w:after="0"/>
              <w:rPr>
                <w:sz w:val="20"/>
                <w:szCs w:val="20"/>
                <w:color w:val="auto"/>
              </w:rPr>
            </w:pPr>
            <w:r>
              <w:rPr>
                <w:rFonts w:ascii="Arial" w:cs="Arial" w:eastAsia="Arial" w:hAnsi="Arial"/>
                <w:sz w:val="16"/>
                <w:szCs w:val="16"/>
                <w:b w:val="1"/>
                <w:bCs w:val="1"/>
                <w:color w:val="auto"/>
              </w:rPr>
              <w:t>Comparison of Three Months Ended June 30, 2023 and 2022 and Six Months Ended June 30, 2023 and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64"/>
        </w:trPr>
        <w:tc>
          <w:tcPr>
            <w:tcW w:w="14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4"/>
        </w:trPr>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30"/>
        </w:trPr>
        <w:tc>
          <w:tcPr>
            <w:tcW w:w="1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10"/>
        </w:trPr>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0"/>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Net revenue decreased by $148 million or 7.4% for the three-months ended June 30, 2023 compared to the three-months ended June 30, 2022. The decrease was driven by lower wafer shipment volume of 573 thousand (300mm equivalent), a 9% decrease from prior period, 1% decline in average selling price (“ASP”) slightly offset by 8% increase in revenue generated from engineering and other prefabrication services.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revenue decreased $247 million, or 6.3%, for the six-months ended June 30, 2023, compared to the six-months ended June 30, 2022. The decrease was driven by lower wafer shipment volume of 1.1 million (300mm equivalent), a 14% decrease from the prior year, offset by a 5% increase in ASP year over year driven by ramping LTAs with better pricing, and continued improvement in product mix and 24% increase in revenue generated from engineering and other prefabrication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7"/>
        </w:trPr>
        <w:tc>
          <w:tcPr>
            <w:tcW w:w="15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0"/>
        </w:trPr>
        <w:tc>
          <w:tcPr>
            <w:tcW w:w="1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10"/>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1,313</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2,639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1"/>
        </w:trPr>
        <w:tc>
          <w:tcPr>
            <w:tcW w:w="158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25.6 %</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decreased by $142 million or 9.8% for the three-months ended June 30, 2023 compared to the three- months ended June 30, 2022. The decrease was primarily a result of lower shipments in the period, depreciation and amortization expense reduction and a decrease in employee-related expense driven by the sale of the East Fishkill sale transaction and restructuring activities.</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decreased by $287 million or 9.8% for the six-months ended June 30, 2023 compared to the six-months ended June 30, 2022. The decrease was primarily a result of lower shipments in the period, depreciation and amortization expense reduction, a decrease in employee-related expenses driven by the sale of East Fishkill transaction and restructuring activities and lower share-based compensation expense.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236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rPr>
              <w:t>Six Months Ended June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3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w w:val="98"/>
              </w:rPr>
              <w:t>30,</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9"/>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8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Research and</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120</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50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(11.7)%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3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26"/>
        </w:trPr>
        <w:tc>
          <w:tcPr>
            <w:tcW w:w="18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development expenses</w:t>
            </w:r>
          </w:p>
        </w:tc>
        <w:tc>
          <w:tcPr>
            <w:tcW w:w="26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500" w:type="dxa"/>
            <w:vAlign w:val="bottom"/>
            <w:gridSpan w:val="4"/>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5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4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8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5.7 %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6.0 %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i w:val="1"/>
                <w:iCs w:val="1"/>
                <w:color w:val="auto"/>
              </w:rPr>
              <w:t>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i w:val="1"/>
                <w:iCs w:val="1"/>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Research and development expenses decreased by $14 million and $33 million, or 11.7% and 13.3%, for the three- and six-months ended June 30, 2023, respectively, compared to the three-and six-months ended June 30, 2022, respectively. The change was primarily a result of a 20% decrease in employee-related expenses driven by lower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40" w:type="dxa"/>
            <w:vAlign w:val="bottom"/>
            <w:gridSpan w:val="7"/>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5"/>
            <w:vMerge w:val="restart"/>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4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gridSpan w:val="3"/>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Change</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1"/>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4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3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243</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237</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12"/>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administrative expenses</w:t>
            </w:r>
          </w:p>
        </w:tc>
        <w:tc>
          <w:tcPr>
            <w:tcW w:w="12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460" w:type="dxa"/>
            <w:vAlign w:val="bottom"/>
            <w:gridSpan w:val="3"/>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9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i w:val="1"/>
                <w:iCs w:val="1"/>
                <w:color w:val="auto"/>
              </w:rPr>
              <w:t>7.2 %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6.1 %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6.6 %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6.0 %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Selling, general and administrative expenses increased by $11 million, or 9.1% for the three-months ended June 30, 2023, compared to the three-months ended June 30, 2022. The change was primarily a result of $4 million higher professional services spend, associated with strategic initiatives, including new leadership hires and $6 million related to software lease and IT related costs.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Selling, general and administrative expenses increased by $6 million, or 2.5% for the six-months ended June 30, 2023, compared to the six-months ended June 30, 2022. The change was primarily a result of $9 million higher professional services spend, associated with strategic initiatives, including new leadership hires, $15 million related to software lease and IT related costs offset by $18 million lower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80" w:type="dxa"/>
            <w:vAlign w:val="bottom"/>
          </w:tcPr>
          <w:p>
            <w:pPr>
              <w:spacing w:after="0"/>
              <w:rPr>
                <w:sz w:val="20"/>
                <w:szCs w:val="20"/>
                <w:color w:val="auto"/>
              </w:rPr>
            </w:pPr>
            <w:r>
              <w:rPr>
                <w:rFonts w:ascii="Arial" w:cs="Arial" w:eastAsia="Arial" w:hAnsi="Arial"/>
                <w:sz w:val="16"/>
                <w:szCs w:val="16"/>
                <w:b w:val="1"/>
                <w:bCs w:val="1"/>
                <w:i w:val="1"/>
                <w:iCs w:val="1"/>
                <w:color w:val="auto"/>
              </w:rPr>
              <w:t>Restructuring Charges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48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rPr>
              <w:t>Three Months Ended June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rPr>
              <w:t>Six Months Ended June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8"/>
              </w:rPr>
              <w:t>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30,</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98"/>
              </w:rPr>
              <w:t>NA</w:t>
            </w:r>
          </w:p>
        </w:tc>
        <w:tc>
          <w:tcPr>
            <w:tcW w:w="86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33"/>
        </w:trPr>
        <w:tc>
          <w:tcPr>
            <w:tcW w:w="2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Restructuring charges were $19 million and $24 million for the three and six-months ended June 30, 2023, respectively, compared to $0 for the three and six-months ended June 30, 2022.This change was due to the Company incurring employee-related charges associated with the reduction in our global workforce.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960" w:type="dxa"/>
            <w:vAlign w:val="bottom"/>
          </w:tcPr>
          <w:p>
            <w:pPr>
              <w:spacing w:after="0"/>
              <w:rPr>
                <w:sz w:val="24"/>
                <w:szCs w:val="24"/>
                <w:color w:val="auto"/>
              </w:rPr>
            </w:pPr>
          </w:p>
        </w:tc>
        <w:tc>
          <w:tcPr>
            <w:tcW w:w="216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 June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30,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60" w:type="dxa"/>
            <w:vAlign w:val="bottom"/>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740" w:type="dxa"/>
            <w:vAlign w:val="bottom"/>
            <w:vMerge w:val="restart"/>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620" w:type="dxa"/>
            <w:vAlign w:val="bottom"/>
            <w:gridSpan w:val="3"/>
            <w:vMerge w:val="restart"/>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90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11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(expenses), net</w:t>
            </w:r>
          </w:p>
        </w:tc>
        <w:tc>
          <w:tcPr>
            <w:tcW w:w="740" w:type="dxa"/>
            <w:vAlign w:val="bottom"/>
            <w:vMerge w:val="continue"/>
            <w:shd w:val="clear" w:color="auto" w:fill="CCEEFF"/>
          </w:tcPr>
          <w:p>
            <w:pPr>
              <w:spacing w:after="0"/>
              <w:rPr>
                <w:sz w:val="9"/>
                <w:szCs w:val="9"/>
                <w:color w:val="auto"/>
              </w:rPr>
            </w:pPr>
          </w:p>
        </w:tc>
        <w:tc>
          <w:tcPr>
            <w:tcW w:w="620" w:type="dxa"/>
            <w:vAlign w:val="bottom"/>
            <w:gridSpan w:val="3"/>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40" w:type="dxa"/>
            <w:vAlign w:val="bottom"/>
            <w:gridSpan w:val="2"/>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960" w:type="dxa"/>
            <w:vAlign w:val="bottom"/>
            <w:vMerge w:val="continue"/>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Finance income, net increased by $19 million or 100.0%, for the three-months ended June 30, 2023, compared to the three-months ended June 30, 2022. The increase was primarily a result of $26 million higher interest income generated from money market funds and investments in marketable securities, partially offset by $7 million higher interest expense.</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Finance income, net increased by $48 million or 102.1% for the six-months ended June 30, 2023 compared to the six-months ended June 30, 2022. The increase was primarily a result of $57 million higher interest income generated from money market funds and investment in marketable securities, partially offset by $9 million higher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1620" w:type="dxa"/>
            <w:vAlign w:val="bottom"/>
          </w:tcPr>
          <w:p>
            <w:pPr>
              <w:spacing w:after="0"/>
              <w:rPr>
                <w:sz w:val="24"/>
                <w:szCs w:val="24"/>
                <w:color w:val="auto"/>
              </w:rPr>
            </w:pPr>
          </w:p>
        </w:tc>
        <w:tc>
          <w:tcPr>
            <w:tcW w:w="216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12"/>
                <w:szCs w:val="12"/>
                <w:color w:val="auto"/>
              </w:rPr>
            </w:pPr>
          </w:p>
        </w:tc>
        <w:tc>
          <w:tcPr>
            <w:tcW w:w="64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30,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620" w:type="dxa"/>
            <w:vAlign w:val="bottom"/>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2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Other income</w:t>
            </w:r>
          </w:p>
        </w:tc>
        <w:tc>
          <w:tcPr>
            <w:tcW w:w="72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(11)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208.3 %</w:t>
            </w:r>
          </w:p>
        </w:tc>
        <w:tc>
          <w:tcPr>
            <w:tcW w:w="0" w:type="dxa"/>
            <w:vAlign w:val="bottom"/>
          </w:tcPr>
          <w:p>
            <w:pPr>
              <w:spacing w:after="0"/>
              <w:rPr>
                <w:sz w:val="1"/>
                <w:szCs w:val="1"/>
                <w:color w:val="auto"/>
              </w:rPr>
            </w:pPr>
          </w:p>
        </w:tc>
      </w:tr>
      <w:tr>
        <w:trPr>
          <w:trHeight w:val="126"/>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720" w:type="dxa"/>
            <w:vAlign w:val="bottom"/>
            <w:vMerge w:val="continue"/>
            <w:shd w:val="clear" w:color="auto" w:fill="CCEEFF"/>
          </w:tcPr>
          <w:p>
            <w:pPr>
              <w:spacing w:after="0"/>
              <w:rPr>
                <w:sz w:val="10"/>
                <w:szCs w:val="10"/>
                <w:color w:val="auto"/>
              </w:rPr>
            </w:pPr>
          </w:p>
        </w:tc>
        <w:tc>
          <w:tcPr>
            <w:tcW w:w="640" w:type="dxa"/>
            <w:vAlign w:val="bottom"/>
            <w:gridSpan w:val="3"/>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460" w:type="dxa"/>
            <w:vAlign w:val="bottom"/>
            <w:gridSpan w:val="2"/>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6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Other income (expense), net decreased by $26 million for the three-months ended June 30, 2023 compared to the three-months ended June 30, 2022. The decrease was primarily driven by a $12 million reduction in tool sales and $9 million of increased foreign exchange currency losses related to currency hedges.</w:t>
      </w:r>
    </w:p>
    <w:p>
      <w:pPr>
        <w:spacing w:after="0" w:line="200" w:lineRule="exact"/>
        <w:rPr>
          <w:sz w:val="20"/>
          <w:szCs w:val="20"/>
          <w:color w:val="auto"/>
        </w:rPr>
      </w:pP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Other income (expense), net decreased by $50 million, for the six-months ended June 30, 2023, compared to the six-months ended June 30, 2022. The decrease was primarily driven by $39 million of increased foreign exchange currency losses related to currency hedges and the unwinding of certain commodity hedges and a $14 million reduction in tool sales.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700" w:type="dxa"/>
            <w:vAlign w:val="bottom"/>
          </w:tcPr>
          <w:p>
            <w:pPr>
              <w:spacing w:after="0"/>
              <w:rPr>
                <w:sz w:val="24"/>
                <w:szCs w:val="24"/>
                <w:color w:val="auto"/>
              </w:rPr>
            </w:pPr>
          </w:p>
        </w:tc>
        <w:tc>
          <w:tcPr>
            <w:tcW w:w="216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 June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rPr>
              <w:t>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400" w:type="dxa"/>
            <w:vAlign w:val="bottom"/>
            <w:gridSpan w:val="2"/>
            <w:vMerge w:val="continue"/>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9"/>
        </w:trPr>
        <w:tc>
          <w:tcPr>
            <w:tcW w:w="17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Income tax expense decreased by $2 million, or 6.7%, for the three-months ended June 30, 2023, compared to the three-months ended June 30, 2022. The decrease was primarily a result of an improved mix of income in certain jurisdictions, partially offset by additional withholding tax expense accrued in the United States.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Income tax expense decreased by $8 million, 13.6%, for the six-months ended June 30, 2023, compared to the six-months ended June 30, 2022. The decrease was primarily a result of an improved mix of income in certain jurisdictions, partially offset by additional withholding tax expense accrued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financed our operations primarily through cash and cash equivalents, marketable securities, as well as cash generated from our business operations, including customers' prepayments under LTAs. As of June 30, 2023, our cash, cash equivalents and marketable securities balances of $3.3 billion included $1.8 billion of cash and cash equivalents and $1.5 billion of marketable securities.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June 30, 2023 and December 31, 2022, we had an undrawn revolving credit facility of $1 billion. In addition to our available revolver, we had $2.4 billion and $2.5 billion of debt outstanding as of June 30, 2023 and December 31, 2022, respectively, which was primarily comprised of multiple term loans in various currencies. Our future capital requirements will depend on many factors, including our revenue growth rate, the timing and the amount we receive from customers, the timing and extent of our expansion in new territories, spending to support research and development efforts, the introduction of new and enhanced products and solutions, and the continuing market adoption of our technology offerings. We may from time to time seek to raise additional capital to support our growth. We believe that our existing cash, cash equivalents, investment in marketable securities, credit under our revolving credit facility, and expected cash generated from operations, are sufficient to meet our capital requirements.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20" w:type="dxa"/>
            <w:vAlign w:val="bottom"/>
            <w:gridSpan w:val="2"/>
          </w:tcPr>
          <w:p>
            <w:pPr>
              <w:spacing w:after="0"/>
              <w:rPr>
                <w:sz w:val="20"/>
                <w:szCs w:val="20"/>
                <w:color w:val="auto"/>
              </w:rPr>
            </w:pPr>
            <w:r>
              <w:rPr>
                <w:rFonts w:ascii="Arial" w:cs="Arial" w:eastAsia="Arial" w:hAnsi="Arial"/>
                <w:sz w:val="16"/>
                <w:szCs w:val="16"/>
                <w:b w:val="1"/>
                <w:bCs w:val="1"/>
                <w:color w:val="auto"/>
              </w:rPr>
              <w:t>Cash Flows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20"/>
        </w:trPr>
        <w:tc>
          <w:tcPr>
            <w:tcW w:w="7820" w:type="dxa"/>
            <w:vAlign w:val="bottom"/>
            <w:gridSpan w:val="2"/>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11"/>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r>
      <w:tr>
        <w:trPr>
          <w:trHeight w:val="237"/>
        </w:trPr>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0"/>
                <w:szCs w:val="20"/>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16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213"/>
        </w:trPr>
        <w:tc>
          <w:tcPr>
            <w:tcW w:w="7820" w:type="dxa"/>
            <w:vAlign w:val="bottom"/>
            <w:gridSpan w:val="2"/>
          </w:tcPr>
          <w:p>
            <w:pPr>
              <w:ind w:left="20"/>
              <w:spacing w:after="0"/>
              <w:rPr>
                <w:sz w:val="20"/>
                <w:szCs w:val="20"/>
                <w:color w:val="auto"/>
              </w:rPr>
            </w:pPr>
            <w:r>
              <w:rPr>
                <w:rFonts w:ascii="Arial" w:cs="Arial" w:eastAsia="Arial" w:hAnsi="Arial"/>
                <w:sz w:val="16"/>
                <w:szCs w:val="16"/>
                <w:color w:val="auto"/>
              </w:rPr>
              <w:t>Cash used in investing activities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(2,243)</w:t>
            </w: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06"/>
        </w:trPr>
        <w:tc>
          <w:tcPr>
            <w:tcW w:w="7720" w:type="dxa"/>
            <w:vAlign w:val="bottom"/>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7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Cash provided by operating activities for the six-months ended June 30, 2023 of $1,025 million decreased $429 million compared to the $1,454 million provided for the six-month period ended June 30, 2022. The decrease was primarily attributable to higher net income of $49 million, adjusted for $136 million of reduced depreciation and amortization of intangible assets and $25 million of lower share-based compensation expense. Unfavorable changes in working capital of $353 million included a decrease in trade and other payables of $421 million driven by a decrease in advances and deposits, and an increase in inventory of $24 million dues to ongoing cyclical headwinds facing the semiconductor industry, in part caused by recent macroeconomic events which have led to softness in certain consumer-centric markets. This was partially offset by lower prepayments received in the current year as compared to the prior year, which contributed to a decrease in receivables, prepayments other non-current assets and other assets of $92 million.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Cash used in investing activities for the six-months ended June 30, 2023 of $1,474 million, improved $769 million compared to the use of $2,243 million for the six-month period ended June 30, 2022. The decrease was primarily driven by $319 million lower net purchases of marketable securities in the current year, as compared to 2022, and $238 million in proceeds from the sale of the East Fishkill business. Additionally, in the prior year, we incurred higher capital expenditures associated with activities to expand capacity within certain of our fabrication facilities. In the current year, costs associated with those expansion activities have moderated, resulting in a decrease of $213 million from the prior year period, where capital expenditures were $1,252 million, net of a $152 million tax credit refund from the State of New York.</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Cash used in financing activities for the six-months ended June 30, 2023 of $71 million decreased $396 million as compared to the cash provided by financing activities of $325 million for the six-months ended June 30, 2022. The decrease was primarily attributable to reduced net borrowings of $348 million and lower proceeds from the issuance of equity instruments of $48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2023-08-09T16:03:29Z</dcterms:created>
  <dcterms:modified xsi:type="dcterms:W3CDTF">2023-08-09T16:03:29Z</dcterms:modified>
</cp:coreProperties>
</file>