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4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6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74" w:lineRule="exact"/>
        <w:rPr>
          <w:sz w:val="24"/>
          <w:szCs w:val="24"/>
          <w:color w:val="auto"/>
        </w:rPr>
      </w:pPr>
    </w:p>
    <w:p>
      <w:pPr>
        <w:jc w:val="center"/>
        <w:ind w:left="340" w:right="520"/>
        <w:spacing w:after="0" w:line="312" w:lineRule="auto"/>
        <w:rPr>
          <w:sz w:val="20"/>
          <w:szCs w:val="20"/>
          <w:color w:val="auto"/>
        </w:rPr>
      </w:pPr>
      <w:r>
        <w:rPr>
          <w:rFonts w:ascii="Georgia" w:cs="Georgia" w:eastAsia="Georgia" w:hAnsi="Georgia"/>
          <w:sz w:val="22"/>
          <w:szCs w:val="22"/>
          <w:b w:val="1"/>
          <w:bCs w:val="1"/>
          <w:color w:val="auto"/>
        </w:rPr>
        <w:t xml:space="preserve">REPORT OF FOREIGN PRIVATE ISSUER PURSUANT TO RULE 13a-16 OR </w:t>
      </w:r>
      <w:r>
        <w:rPr>
          <w:rFonts w:ascii="Times New Roman" w:cs="Times New Roman" w:eastAsia="Times New Roman" w:hAnsi="Times New Roman"/>
          <w:sz w:val="22"/>
          <w:szCs w:val="22"/>
          <w:b w:val="1"/>
          <w:bCs w:val="1"/>
          <w:color w:val="auto"/>
        </w:rPr>
        <w:t>15d-16 UNDER THE</w:t>
      </w:r>
      <w:r>
        <w:rPr>
          <w:rFonts w:ascii="Georgia" w:cs="Georgia" w:eastAsia="Georgia" w:hAnsi="Georgia"/>
          <w:sz w:val="22"/>
          <w:szCs w:val="22"/>
          <w:b w:val="1"/>
          <w:bCs w:val="1"/>
          <w:color w:val="auto"/>
        </w:rPr>
        <w:t xml:space="preserve"> </w:t>
      </w:r>
      <w:r>
        <w:rPr>
          <w:rFonts w:ascii="Times New Roman" w:cs="Times New Roman" w:eastAsia="Times New Roman" w:hAnsi="Times New Roman"/>
          <w:sz w:val="22"/>
          <w:szCs w:val="22"/>
          <w:b w:val="1"/>
          <w:bCs w:val="1"/>
          <w:color w:val="auto"/>
        </w:rPr>
        <w:t>SECURITIES EXCHANGE ACT OF 1934</w:t>
      </w:r>
    </w:p>
    <w:p>
      <w:pPr>
        <w:spacing w:after="0" w:line="15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 the month of November 2026</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Commission File Number 001-40974</w:t>
      </w:r>
    </w:p>
    <w:p>
      <w:pPr>
        <w:spacing w:after="0" w:line="3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GLOBALFOUNDRIES Inc.</w:t>
      </w:r>
    </w:p>
    <w:p>
      <w:pPr>
        <w:spacing w:after="0" w:line="35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400 Stonebreak Road Extension</w:t>
      </w:r>
    </w:p>
    <w:p>
      <w:pPr>
        <w:spacing w:after="0" w:line="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Malta, NY 12020</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ndicate by check mark whether the Registrant files or will file annual reports under cover of Form 20-F or Form 40-F.</w:t>
      </w:r>
    </w:p>
    <w:p>
      <w:pPr>
        <w:spacing w:after="0" w:line="184" w:lineRule="exact"/>
        <w:rPr>
          <w:sz w:val="24"/>
          <w:szCs w:val="24"/>
          <w:color w:val="auto"/>
        </w:rPr>
      </w:pPr>
    </w:p>
    <w:p>
      <w:pPr>
        <w:ind w:left="280"/>
        <w:spacing w:after="0" w:line="207" w:lineRule="exact"/>
        <w:tabs>
          <w:tab w:leader="none" w:pos="1420" w:val="left"/>
          <w:tab w:leader="none" w:pos="16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Attached hereto is the following exhibit.</w:t>
      </w: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4"/>
              </w:rPr>
              <w:t>Exhibit 99.1</w:t>
            </w:r>
          </w:p>
        </w:tc>
        <w:tc>
          <w:tcPr>
            <w:tcW w:w="1080" w:type="dxa"/>
            <w:vAlign w:val="bottom"/>
          </w:tcPr>
          <w:p>
            <w:pPr>
              <w:spacing w:after="0"/>
              <w:rPr>
                <w:sz w:val="18"/>
                <w:szCs w:val="18"/>
                <w:color w:val="auto"/>
              </w:rPr>
            </w:pPr>
          </w:p>
        </w:tc>
        <w:tc>
          <w:tcPr>
            <w:tcW w:w="9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Unaudited Interim Condensed Consolidated Financial Statements as of September 30, 2026 and December 31, 2025 and for the</w:t>
            </w:r>
          </w:p>
        </w:tc>
        <w:tc>
          <w:tcPr>
            <w:tcW w:w="180" w:type="dxa"/>
            <w:vAlign w:val="bottom"/>
          </w:tcPr>
          <w:p>
            <w:pPr>
              <w:spacing w:after="0"/>
              <w:rPr>
                <w:sz w:val="18"/>
                <w:szCs w:val="18"/>
                <w:color w:val="auto"/>
              </w:rPr>
            </w:pPr>
          </w:p>
        </w:tc>
      </w:tr>
      <w:tr>
        <w:trPr>
          <w:trHeight w:val="237"/>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three and nine months ended September 30, 2026 and 2025, and Management’s Discussion and Analysis of Financial Condition</w:t>
            </w:r>
          </w:p>
        </w:tc>
        <w:tc>
          <w:tcPr>
            <w:tcW w:w="180" w:type="dxa"/>
            <w:vAlign w:val="bottom"/>
          </w:tcPr>
          <w:p>
            <w:pPr>
              <w:spacing w:after="0"/>
              <w:rPr>
                <w:sz w:val="20"/>
                <w:szCs w:val="20"/>
                <w:color w:val="auto"/>
              </w:rPr>
            </w:pPr>
          </w:p>
        </w:tc>
      </w:tr>
      <w:tr>
        <w:trPr>
          <w:trHeight w:val="236"/>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Results of Operations for the three and nine months ended September 30, 2026 and 2025.</w:t>
            </w:r>
          </w:p>
        </w:tc>
      </w:tr>
      <w:tr>
        <w:trPr>
          <w:trHeight w:val="1972"/>
        </w:trPr>
        <w:tc>
          <w:tcPr>
            <w:tcW w:w="100" w:type="dxa"/>
            <w:vAlign w:val="bottom"/>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740" w:type="dxa"/>
            <w:vAlign w:val="bottom"/>
            <w:tcBorders>
              <w:top w:val="single" w:sz="8" w:color="auto"/>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7179310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2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74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GLOBALFOUNDRIES Inc.</w:t>
            </w:r>
          </w:p>
        </w:tc>
      </w:tr>
      <w:tr>
        <w:trPr>
          <w:trHeight w:val="68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2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Sam Franklin</w:t>
            </w:r>
          </w:p>
        </w:tc>
      </w:tr>
      <w:tr>
        <w:trPr>
          <w:trHeight w:val="27"/>
        </w:trPr>
        <w:tc>
          <w:tcPr>
            <w:tcW w:w="33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91"/>
        </w:trPr>
        <w:tc>
          <w:tcPr>
            <w:tcW w:w="3380" w:type="dxa"/>
            <w:vAlign w:val="bottom"/>
          </w:tcPr>
          <w:p>
            <w:pPr>
              <w:spacing w:after="0"/>
              <w:rPr>
                <w:sz w:val="24"/>
                <w:szCs w:val="24"/>
                <w:color w:val="auto"/>
              </w:rPr>
            </w:pPr>
          </w:p>
        </w:tc>
        <w:tc>
          <w:tcPr>
            <w:tcW w:w="2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 Franklin</w:t>
            </w:r>
          </w:p>
        </w:tc>
      </w:tr>
      <w:tr>
        <w:trPr>
          <w:trHeight w:val="378"/>
        </w:trPr>
        <w:tc>
          <w:tcPr>
            <w:tcW w:w="3380" w:type="dxa"/>
            <w:vAlign w:val="bottom"/>
          </w:tcPr>
          <w:p>
            <w:pPr>
              <w:spacing w:after="0"/>
              <w:rPr>
                <w:sz w:val="24"/>
                <w:szCs w:val="24"/>
                <w:color w:val="auto"/>
              </w:rPr>
            </w:pPr>
          </w:p>
        </w:tc>
        <w:tc>
          <w:tcPr>
            <w:tcW w:w="2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2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9920" w:type="dxa"/>
            <w:vAlign w:val="bottom"/>
            <w:gridSpan w:val="8"/>
          </w:tcPr>
          <w:p>
            <w:pPr>
              <w:spacing w:after="0"/>
              <w:rPr>
                <w:sz w:val="20"/>
                <w:szCs w:val="20"/>
                <w:color w:val="auto"/>
              </w:rPr>
            </w:pPr>
            <w:r>
              <w:rPr>
                <w:rFonts w:ascii="Arial" w:cs="Arial" w:eastAsia="Arial" w:hAnsi="Arial"/>
                <w:sz w:val="18"/>
                <w:szCs w:val="18"/>
                <w:b w:val="1"/>
                <w:bCs w:val="1"/>
                <w:color w:val="auto"/>
              </w:rPr>
              <w:t>Part 1 - Unaudited Financial Statements</w:t>
            </w:r>
          </w:p>
        </w:tc>
        <w:tc>
          <w:tcPr>
            <w:tcW w:w="1300" w:type="dxa"/>
            <w:vAlign w:val="bottom"/>
            <w:gridSpan w:val="5"/>
          </w:tcPr>
          <w:p>
            <w:pPr>
              <w:ind w:left="440"/>
              <w:spacing w:after="0"/>
              <w:rPr>
                <w:sz w:val="20"/>
                <w:szCs w:val="20"/>
                <w:color w:val="auto"/>
              </w:rPr>
            </w:pPr>
            <w:r>
              <w:rPr>
                <w:rFonts w:ascii="Arial" w:cs="Arial" w:eastAsia="Arial" w:hAnsi="Arial"/>
                <w:sz w:val="18"/>
                <w:szCs w:val="18"/>
                <w:b w:val="1"/>
                <w:bCs w:val="1"/>
                <w:color w:val="auto"/>
              </w:rPr>
              <w:t>Page</w:t>
            </w:r>
          </w:p>
        </w:tc>
      </w:tr>
      <w:tr>
        <w:trPr>
          <w:trHeight w:val="29"/>
        </w:trPr>
        <w:tc>
          <w:tcPr>
            <w:tcW w:w="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453"/>
        </w:trPr>
        <w:tc>
          <w:tcPr>
            <w:tcW w:w="20" w:type="dxa"/>
            <w:vAlign w:val="bottom"/>
          </w:tcPr>
          <w:p>
            <w:pPr>
              <w:spacing w:after="0"/>
              <w:rPr>
                <w:sz w:val="24"/>
                <w:szCs w:val="24"/>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0000FF"/>
              </w:rPr>
              <w:t>Interim Condensed Consolidated Statements of Financial Position</w:t>
            </w:r>
          </w:p>
        </w:tc>
        <w:tc>
          <w:tcPr>
            <w:tcW w:w="840" w:type="dxa"/>
            <w:vAlign w:val="bottom"/>
            <w:gridSpan w:val="4"/>
          </w:tcPr>
          <w:p>
            <w:pPr>
              <w:jc w:val="center"/>
              <w:ind w:left="370"/>
              <w:spacing w:after="0"/>
              <w:rPr>
                <w:sz w:val="20"/>
                <w:szCs w:val="20"/>
                <w:color w:val="auto"/>
              </w:rPr>
            </w:pPr>
            <w:r>
              <w:rPr>
                <w:rFonts w:ascii="Arial" w:cs="Arial" w:eastAsia="Arial" w:hAnsi="Arial"/>
                <w:sz w:val="18"/>
                <w:szCs w:val="18"/>
                <w:color w:val="0000FF"/>
                <w:w w:val="99"/>
              </w:rPr>
              <w:t>2</w:t>
            </w:r>
          </w:p>
        </w:tc>
        <w:tc>
          <w:tcPr>
            <w:tcW w:w="4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47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56"/>
        </w:trPr>
        <w:tc>
          <w:tcPr>
            <w:tcW w:w="20" w:type="dxa"/>
            <w:vAlign w:val="bottom"/>
          </w:tcPr>
          <w:p>
            <w:pPr>
              <w:spacing w:after="0"/>
              <w:rPr>
                <w:sz w:val="22"/>
                <w:szCs w:val="22"/>
                <w:color w:val="auto"/>
              </w:rPr>
            </w:pPr>
          </w:p>
        </w:tc>
        <w:tc>
          <w:tcPr>
            <w:tcW w:w="4720" w:type="dxa"/>
            <w:vAlign w:val="bottom"/>
          </w:tcPr>
          <w:p>
            <w:pPr>
              <w:spacing w:after="0"/>
              <w:rPr>
                <w:sz w:val="20"/>
                <w:szCs w:val="20"/>
                <w:color w:val="auto"/>
              </w:rPr>
            </w:pPr>
            <w:r>
              <w:rPr>
                <w:rFonts w:ascii="Arial" w:cs="Arial" w:eastAsia="Arial" w:hAnsi="Arial"/>
                <w:sz w:val="18"/>
                <w:szCs w:val="18"/>
                <w:color w:val="0000FF"/>
                <w:w w:val="99"/>
              </w:rPr>
              <w:t>Interim Condensed Consolidated Statements of Operations</w:t>
            </w:r>
          </w:p>
        </w:tc>
        <w:tc>
          <w:tcPr>
            <w:tcW w:w="520" w:type="dxa"/>
            <w:vAlign w:val="bottom"/>
            <w:gridSpan w:val="3"/>
          </w:tcPr>
          <w:p>
            <w:pPr>
              <w:spacing w:after="0"/>
              <w:rPr>
                <w:sz w:val="22"/>
                <w:szCs w:val="22"/>
                <w:color w:val="auto"/>
              </w:rPr>
            </w:pPr>
          </w:p>
        </w:tc>
        <w:tc>
          <w:tcPr>
            <w:tcW w:w="4680" w:type="dxa"/>
            <w:vAlign w:val="bottom"/>
            <w:gridSpan w:val="4"/>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3</w:t>
            </w:r>
          </w:p>
        </w:tc>
        <w:tc>
          <w:tcPr>
            <w:tcW w:w="4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0000FF"/>
              </w:rPr>
              <w:t>Interim Condensed Consolidated Statements of Comprehensive Income (Loss)</w:t>
            </w:r>
          </w:p>
        </w:tc>
        <w:tc>
          <w:tcPr>
            <w:tcW w:w="840" w:type="dxa"/>
            <w:vAlign w:val="bottom"/>
            <w:gridSpan w:val="4"/>
          </w:tcPr>
          <w:p>
            <w:pPr>
              <w:jc w:val="center"/>
              <w:ind w:left="370"/>
              <w:spacing w:after="0"/>
              <w:rPr>
                <w:sz w:val="20"/>
                <w:szCs w:val="20"/>
                <w:color w:val="auto"/>
              </w:rPr>
            </w:pPr>
            <w:r>
              <w:rPr>
                <w:rFonts w:ascii="Arial" w:cs="Arial" w:eastAsia="Arial" w:hAnsi="Arial"/>
                <w:sz w:val="18"/>
                <w:szCs w:val="18"/>
                <w:color w:val="0000FF"/>
                <w:w w:val="99"/>
              </w:rPr>
              <w:t>4</w:t>
            </w:r>
          </w:p>
        </w:tc>
        <w:tc>
          <w:tcPr>
            <w:tcW w:w="4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0000FF"/>
                <w:w w:val="99"/>
              </w:rPr>
              <w:t>Interim Condensed Consolidated Statements of Cash Flows</w:t>
            </w:r>
          </w:p>
        </w:tc>
        <w:tc>
          <w:tcPr>
            <w:tcW w:w="1500" w:type="dxa"/>
            <w:vAlign w:val="bottom"/>
            <w:gridSpan w:val="4"/>
          </w:tcPr>
          <w:p>
            <w:pPr>
              <w:spacing w:after="0"/>
              <w:rPr>
                <w:sz w:val="22"/>
                <w:szCs w:val="22"/>
                <w:color w:val="auto"/>
              </w:rPr>
            </w:pPr>
          </w:p>
        </w:tc>
        <w:tc>
          <w:tcPr>
            <w:tcW w:w="3640" w:type="dxa"/>
            <w:vAlign w:val="bottom"/>
            <w:gridSpan w:val="2"/>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5</w:t>
            </w:r>
          </w:p>
        </w:tc>
        <w:tc>
          <w:tcPr>
            <w:tcW w:w="4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300" w:type="dxa"/>
            <w:vAlign w:val="bottom"/>
            <w:gridSpan w:val="5"/>
          </w:tcPr>
          <w:p>
            <w:pPr>
              <w:spacing w:after="0"/>
              <w:rPr>
                <w:sz w:val="20"/>
                <w:szCs w:val="20"/>
                <w:color w:val="auto"/>
              </w:rPr>
            </w:pPr>
            <w:r>
              <w:rPr>
                <w:rFonts w:ascii="Arial" w:cs="Arial" w:eastAsia="Arial" w:hAnsi="Arial"/>
                <w:sz w:val="18"/>
                <w:szCs w:val="18"/>
                <w:color w:val="0000FF"/>
                <w:w w:val="99"/>
              </w:rPr>
              <w:t>Interim Condensed Consolidated Statements of Changes in Equity</w:t>
            </w:r>
          </w:p>
        </w:tc>
        <w:tc>
          <w:tcPr>
            <w:tcW w:w="4620" w:type="dxa"/>
            <w:vAlign w:val="bottom"/>
            <w:gridSpan w:val="3"/>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6</w:t>
            </w:r>
          </w:p>
        </w:tc>
        <w:tc>
          <w:tcPr>
            <w:tcW w:w="4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0000FF"/>
                <w:w w:val="99"/>
              </w:rPr>
              <w:t>Notes to Interim Condensed Consolidated Financial Statements</w:t>
            </w:r>
          </w:p>
        </w:tc>
        <w:tc>
          <w:tcPr>
            <w:tcW w:w="220" w:type="dxa"/>
            <w:vAlign w:val="bottom"/>
            <w:gridSpan w:val="2"/>
          </w:tcPr>
          <w:p>
            <w:pPr>
              <w:spacing w:after="0"/>
              <w:rPr>
                <w:sz w:val="22"/>
                <w:szCs w:val="22"/>
                <w:color w:val="auto"/>
              </w:rPr>
            </w:pPr>
          </w:p>
        </w:tc>
        <w:tc>
          <w:tcPr>
            <w:tcW w:w="4620" w:type="dxa"/>
            <w:vAlign w:val="bottom"/>
            <w:gridSpan w:val="3"/>
          </w:tcPr>
          <w:p>
            <w:pPr>
              <w:spacing w:after="0"/>
              <w:rPr>
                <w:sz w:val="22"/>
                <w:szCs w:val="22"/>
                <w:color w:val="auto"/>
              </w:rPr>
            </w:pPr>
          </w:p>
        </w:tc>
        <w:tc>
          <w:tcPr>
            <w:tcW w:w="1300" w:type="dxa"/>
            <w:vAlign w:val="bottom"/>
            <w:gridSpan w:val="5"/>
          </w:tcPr>
          <w:p>
            <w:pPr>
              <w:jc w:val="center"/>
              <w:spacing w:after="0"/>
              <w:rPr>
                <w:sz w:val="20"/>
                <w:szCs w:val="20"/>
                <w:color w:val="auto"/>
              </w:rPr>
            </w:pPr>
            <w:r>
              <w:rPr>
                <w:rFonts w:ascii="Arial" w:cs="Arial" w:eastAsia="Arial" w:hAnsi="Arial"/>
                <w:sz w:val="18"/>
                <w:szCs w:val="18"/>
                <w:color w:val="0000FF"/>
                <w:w w:val="99"/>
              </w:rPr>
              <w:t>7</w:t>
            </w:r>
            <w:r>
              <w:rPr>
                <w:rFonts w:ascii="Arial" w:cs="Arial" w:eastAsia="Arial" w:hAnsi="Arial"/>
                <w:sz w:val="18"/>
                <w:szCs w:val="18"/>
                <w:color w:val="000000"/>
                <w:w w:val="99"/>
              </w:rPr>
              <w:t>-</w:t>
            </w:r>
            <w:r>
              <w:rPr>
                <w:rFonts w:ascii="Arial" w:cs="Arial" w:eastAsia="Arial" w:hAnsi="Arial"/>
                <w:sz w:val="18"/>
                <w:szCs w:val="18"/>
                <w:color w:val="0000FF"/>
                <w:w w:val="99"/>
              </w:rPr>
              <w:t>20</w:t>
            </w: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9920" w:type="dxa"/>
            <w:vAlign w:val="bottom"/>
            <w:gridSpan w:val="3"/>
          </w:tcPr>
          <w:p>
            <w:pPr>
              <w:spacing w:after="0"/>
              <w:rPr>
                <w:sz w:val="20"/>
                <w:szCs w:val="20"/>
                <w:color w:val="auto"/>
              </w:rPr>
            </w:pPr>
            <w:r>
              <w:rPr>
                <w:rFonts w:ascii="Arial" w:cs="Arial" w:eastAsia="Arial" w:hAnsi="Arial"/>
                <w:sz w:val="18"/>
                <w:szCs w:val="18"/>
                <w:b w:val="1"/>
                <w:bCs w:val="1"/>
                <w:color w:val="auto"/>
              </w:rPr>
              <w:t>Part 2</w:t>
            </w:r>
          </w:p>
        </w:tc>
        <w:tc>
          <w:tcPr>
            <w:tcW w:w="42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Arial" w:cs="Arial" w:eastAsia="Arial" w:hAnsi="Arial"/>
                <w:sz w:val="18"/>
                <w:szCs w:val="18"/>
                <w:b w:val="1"/>
                <w:bCs w:val="1"/>
                <w:color w:val="auto"/>
              </w:rPr>
              <w:t>Page</w:t>
            </w:r>
          </w:p>
        </w:tc>
      </w:tr>
      <w:tr>
        <w:trPr>
          <w:trHeight w:val="28"/>
        </w:trPr>
        <w:tc>
          <w:tcPr>
            <w:tcW w:w="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453"/>
        </w:trPr>
        <w:tc>
          <w:tcPr>
            <w:tcW w:w="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00" w:type="dxa"/>
            <w:vAlign w:val="bottom"/>
            <w:gridSpan w:val="5"/>
          </w:tcPr>
          <w:p>
            <w:pPr>
              <w:ind w:left="420"/>
              <w:spacing w:after="0"/>
              <w:rPr>
                <w:sz w:val="20"/>
                <w:szCs w:val="20"/>
                <w:color w:val="auto"/>
              </w:rPr>
            </w:pPr>
            <w:r>
              <w:rPr>
                <w:rFonts w:ascii="Arial" w:cs="Arial" w:eastAsia="Arial" w:hAnsi="Arial"/>
                <w:sz w:val="18"/>
                <w:szCs w:val="18"/>
                <w:color w:val="0000FF"/>
              </w:rPr>
              <w:t>21</w:t>
            </w:r>
            <w:r>
              <w:rPr>
                <w:rFonts w:ascii="Arial" w:cs="Arial" w:eastAsia="Arial" w:hAnsi="Arial"/>
                <w:sz w:val="18"/>
                <w:szCs w:val="18"/>
                <w:color w:val="000000"/>
              </w:rPr>
              <w:t>-</w:t>
            </w:r>
            <w:r>
              <w:rPr>
                <w:rFonts w:ascii="Arial" w:cs="Arial" w:eastAsia="Arial" w:hAnsi="Arial"/>
                <w:sz w:val="18"/>
                <w:szCs w:val="18"/>
                <w:color w:val="0000FF"/>
              </w:rPr>
              <w:t>29</w:t>
            </w:r>
          </w:p>
        </w:tc>
      </w:tr>
      <w:tr>
        <w:trPr>
          <w:trHeight w:val="20"/>
        </w:trPr>
        <w:tc>
          <w:tcPr>
            <w:tcW w:w="20" w:type="dxa"/>
            <w:vAlign w:val="bottom"/>
          </w:tcPr>
          <w:p>
            <w:pPr>
              <w:spacing w:after="0" w:line="20" w:lineRule="exact"/>
              <w:rPr>
                <w:sz w:val="1"/>
                <w:szCs w:val="1"/>
                <w:color w:val="auto"/>
              </w:rPr>
            </w:pPr>
          </w:p>
        </w:tc>
        <w:tc>
          <w:tcPr>
            <w:tcW w:w="708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FINANCIAL POSITION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September 30, 2026 and December 31, 2025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share amounts)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360" w:type="dxa"/>
            <w:vAlign w:val="bottom"/>
          </w:tcPr>
          <w:p>
            <w:pPr>
              <w:spacing w:after="0"/>
              <w:rPr>
                <w:sz w:val="19"/>
                <w:szCs w:val="19"/>
                <w:color w:val="auto"/>
              </w:rPr>
            </w:pPr>
          </w:p>
        </w:tc>
      </w:tr>
      <w:tr>
        <w:trPr>
          <w:trHeight w:val="21"/>
        </w:trPr>
        <w:tc>
          <w:tcPr>
            <w:tcW w:w="7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9"/>
        </w:trPr>
        <w:tc>
          <w:tcPr>
            <w:tcW w:w="7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r>
      <w:tr>
        <w:trPr>
          <w:trHeight w:val="223"/>
        </w:trPr>
        <w:tc>
          <w:tcPr>
            <w:tcW w:w="7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b w:val="1"/>
                <w:bCs w:val="1"/>
                <w:color w:val="auto"/>
              </w:rPr>
              <w:t>2025</w:t>
            </w:r>
          </w:p>
        </w:tc>
      </w:tr>
      <w:tr>
        <w:trPr>
          <w:trHeight w:val="21"/>
        </w:trPr>
        <w:tc>
          <w:tcPr>
            <w:tcW w:w="7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16"/>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1,809</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1,241</w:t>
            </w:r>
          </w:p>
        </w:tc>
      </w:tr>
      <w:tr>
        <w:trPr>
          <w:trHeight w:val="29"/>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1,922</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1,578</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1,577</w:t>
            </w:r>
          </w:p>
        </w:tc>
      </w:tr>
      <w:tr>
        <w:trPr>
          <w:trHeight w:val="29"/>
        </w:trPr>
        <w:tc>
          <w:tcPr>
            <w:tcW w:w="7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5,758</w:t>
            </w:r>
          </w:p>
        </w:tc>
        <w:tc>
          <w:tcPr>
            <w:tcW w:w="8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6,205</w:t>
            </w:r>
          </w:p>
        </w:tc>
      </w:tr>
      <w:tr>
        <w:trPr>
          <w:trHeight w:val="196"/>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6,987</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7,223</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939</w:t>
            </w:r>
          </w:p>
        </w:tc>
      </w:tr>
      <w:tr>
        <w:trPr>
          <w:trHeight w:val="29"/>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and intangible assets, net</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1,931</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1,368</w:t>
            </w:r>
          </w:p>
        </w:tc>
      </w:tr>
      <w:tr>
        <w:trPr>
          <w:trHeight w:val="227"/>
        </w:trPr>
        <w:tc>
          <w:tcPr>
            <w:tcW w:w="796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569</w:t>
            </w:r>
          </w:p>
        </w:tc>
      </w:tr>
      <w:tr>
        <w:trPr>
          <w:trHeight w:val="29"/>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9"/>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financial assets</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non-current assets</w:t>
            </w:r>
          </w:p>
        </w:tc>
        <w:tc>
          <w:tcPr>
            <w:tcW w:w="20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11,280</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10,936</w:t>
            </w: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17,038</w:t>
            </w:r>
          </w:p>
        </w:tc>
        <w:tc>
          <w:tcPr>
            <w:tcW w:w="80" w:type="dxa"/>
            <w:vAlign w:val="bottom"/>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17,141</w:t>
            </w:r>
          </w:p>
        </w:tc>
      </w:tr>
      <w:tr>
        <w:trPr>
          <w:trHeight w:val="257"/>
        </w:trPr>
        <w:tc>
          <w:tcPr>
            <w:tcW w:w="7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2,081</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2,213</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Current portion of lease obligations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9"/>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2,236</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2,368</w:t>
            </w:r>
          </w:p>
        </w:tc>
      </w:tr>
      <w:tr>
        <w:trPr>
          <w:trHeight w:val="19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bl>
    <w:p>
      <w:pPr>
        <w:spacing w:after="0" w:line="13" w:lineRule="exact"/>
        <w:rPr>
          <w:sz w:val="20"/>
          <w:szCs w:val="20"/>
          <w:color w:val="auto"/>
        </w:rPr>
      </w:pPr>
    </w:p>
    <w:p>
      <w:pPr>
        <w:sectPr>
          <w:pgSz w:w="11900" w:h="16838" w:orient="portrait"/>
          <w:cols w:equalWidth="0" w:num="1">
            <w:col w:w="11240"/>
          </w:cols>
          <w:pgMar w:left="320" w:top="98" w:right="339" w:bottom="1087" w:gutter="0" w:footer="0" w:header="0"/>
        </w:sectPr>
      </w:pPr>
    </w:p>
    <w:p>
      <w:pPr>
        <w:ind w:left="20"/>
        <w:spacing w:after="0"/>
        <w:rPr>
          <w:sz w:val="20"/>
          <w:szCs w:val="20"/>
          <w:color w:val="auto"/>
        </w:rPr>
      </w:pPr>
      <w:r>
        <w:rPr>
          <w:rFonts w:ascii="Arial" w:cs="Arial" w:eastAsia="Arial" w:hAnsi="Arial"/>
          <w:sz w:val="16"/>
          <w:szCs w:val="16"/>
          <w:color w:val="auto"/>
        </w:rPr>
        <w:t>Non-current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060440"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non-current liabilities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Non-current portion of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06044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Non-current portion of deferred income from government grants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0604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0440" cy="171450"/>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non-current liabilities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606044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06044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 capital</w:t>
      </w:r>
    </w:p>
    <w:p>
      <w:pPr>
        <w:spacing w:after="0" w:line="73" w:lineRule="exact"/>
        <w:rPr>
          <w:sz w:val="20"/>
          <w:szCs w:val="20"/>
          <w:color w:val="auto"/>
        </w:rPr>
      </w:pPr>
    </w:p>
    <w:p>
      <w:pPr>
        <w:ind w:left="20"/>
        <w:spacing w:after="0" w:line="299" w:lineRule="auto"/>
        <w:rPr>
          <w:sz w:val="20"/>
          <w:szCs w:val="20"/>
          <w:color w:val="auto"/>
        </w:rPr>
      </w:pPr>
      <w:r>
        <w:rPr>
          <w:rFonts w:ascii="Arial" w:cs="Arial" w:eastAsia="Arial" w:hAnsi="Arial"/>
          <w:sz w:val="16"/>
          <w:szCs w:val="16"/>
          <w:color w:val="auto"/>
        </w:rPr>
        <w:t>Ordinary shares, $0.02 par value, 557,448,741 and 555,888,455 shares issued and outstanding as of September 30,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606044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Additional paid-in capital</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06044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6044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Accumulated other comprehensive income</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6"/>
          <w:szCs w:val="16"/>
          <w:color w:val="auto"/>
        </w:rPr>
        <w:t>1,037</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896</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524</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183</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176</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2,816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1011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66" w:lineRule="exact"/>
        <w:rPr>
          <w:sz w:val="20"/>
          <w:szCs w:val="20"/>
          <w:color w:val="auto"/>
        </w:rPr>
      </w:pPr>
    </w:p>
    <w:p>
      <w:pPr>
        <w:ind w:left="1089" w:hanging="1089"/>
        <w:spacing w:after="0"/>
        <w:tabs>
          <w:tab w:leader="none" w:pos="1089"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5,052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29" w:hanging="1329"/>
        <w:spacing w:after="0"/>
        <w:tabs>
          <w:tab w:leader="none" w:pos="1329" w:val="left"/>
        </w:tabs>
        <w:numPr>
          <w:ilvl w:val="0"/>
          <w:numId w:val="2"/>
        </w:numPr>
        <w:rPr>
          <w:rFonts w:ascii="Arial" w:cs="Arial" w:eastAsia="Arial" w:hAnsi="Arial"/>
          <w:sz w:val="16"/>
          <w:szCs w:val="16"/>
          <w:color w:val="auto"/>
        </w:rPr>
      </w:pPr>
      <w:r>
        <w:rPr>
          <w:rFonts w:ascii="Arial" w:cs="Arial" w:eastAsia="Arial" w:hAnsi="Arial"/>
          <w:sz w:val="16"/>
          <w:szCs w:val="16"/>
          <w:color w:val="auto"/>
        </w:rPr>
        <w:t>11</w:t>
      </w:r>
    </w:p>
    <w:p>
      <w:pPr>
        <w:spacing w:after="0" w:line="72" w:lineRule="exact"/>
        <w:rPr>
          <w:rFonts w:ascii="Arial" w:cs="Arial" w:eastAsia="Arial" w:hAnsi="Arial"/>
          <w:sz w:val="16"/>
          <w:szCs w:val="16"/>
          <w:color w:val="auto"/>
        </w:rPr>
      </w:pPr>
    </w:p>
    <w:p>
      <w:pPr>
        <w:ind w:left="989"/>
        <w:spacing w:after="0"/>
        <w:rPr>
          <w:rFonts w:ascii="Arial" w:cs="Arial" w:eastAsia="Arial" w:hAnsi="Arial"/>
          <w:sz w:val="16"/>
          <w:szCs w:val="16"/>
          <w:color w:val="auto"/>
        </w:rPr>
      </w:pPr>
      <w:r>
        <w:rPr>
          <w:rFonts w:ascii="Arial" w:cs="Arial" w:eastAsia="Arial" w:hAnsi="Arial"/>
          <w:sz w:val="16"/>
          <w:szCs w:val="16"/>
          <w:color w:val="auto"/>
        </w:rPr>
        <w:t>24,337</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(12,516)</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10115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6"/>
          <w:szCs w:val="16"/>
          <w:color w:val="auto"/>
        </w:rPr>
        <w:t>1,065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38100</wp:posOffset>
            </wp:positionV>
            <wp:extent cx="101155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1555" cy="163195"/>
                    </a:xfrm>
                    <a:prstGeom prst="rect">
                      <a:avLst/>
                    </a:prstGeom>
                    <a:noFill/>
                  </pic:spPr>
                </pic:pic>
              </a:graphicData>
            </a:graphic>
          </wp:anchor>
        </w:drawing>
      </w:r>
    </w:p>
    <w:p>
      <w:pPr>
        <w:spacing w:after="0" w:line="5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862</w:t>
      </w:r>
    </w:p>
    <w:p>
      <w:pPr>
        <w:spacing w:after="0" w:line="7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38100</wp:posOffset>
            </wp:positionV>
            <wp:extent cx="101155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1555" cy="163195"/>
                    </a:xfrm>
                    <a:prstGeom prst="rect">
                      <a:avLst/>
                    </a:prstGeom>
                    <a:noFill/>
                  </pic:spPr>
                </pic:pic>
              </a:graphicData>
            </a:graphic>
          </wp:anchor>
        </w:drawing>
      </w:r>
    </w:p>
    <w:p>
      <w:pPr>
        <w:spacing w:after="0" w:line="5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202</w:t>
      </w:r>
    </w:p>
    <w:p>
      <w:pPr>
        <w:spacing w:after="0" w:line="7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38100</wp:posOffset>
            </wp:positionV>
            <wp:extent cx="101155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11555" cy="171450"/>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2,790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38100</wp:posOffset>
            </wp:positionV>
            <wp:extent cx="10115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66" w:lineRule="exact"/>
        <w:rPr>
          <w:sz w:val="20"/>
          <w:szCs w:val="20"/>
          <w:color w:val="auto"/>
        </w:rPr>
      </w:pPr>
    </w:p>
    <w:p>
      <w:pPr>
        <w:ind w:left="1082" w:hanging="1082"/>
        <w:spacing w:after="0"/>
        <w:tabs>
          <w:tab w:leader="none" w:pos="1082"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5,158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337820</wp:posOffset>
            </wp:positionV>
            <wp:extent cx="101155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11555" cy="16319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38100</wp:posOffset>
            </wp:positionV>
            <wp:extent cx="101155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115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22" w:hanging="1322"/>
        <w:spacing w:after="0"/>
        <w:tabs>
          <w:tab w:leader="none" w:pos="1322" w:val="left"/>
        </w:tabs>
        <w:numPr>
          <w:ilvl w:val="0"/>
          <w:numId w:val="4"/>
        </w:numPr>
        <w:rPr>
          <w:rFonts w:ascii="Arial" w:cs="Arial" w:eastAsia="Arial" w:hAnsi="Arial"/>
          <w:sz w:val="16"/>
          <w:szCs w:val="16"/>
          <w:color w:val="auto"/>
        </w:rPr>
      </w:pPr>
      <w:r>
        <w:rPr>
          <w:rFonts w:ascii="Arial" w:cs="Arial" w:eastAsia="Arial" w:hAnsi="Arial"/>
          <w:sz w:val="16"/>
          <w:szCs w:val="16"/>
          <w:color w:val="auto"/>
        </w:rPr>
        <w:t>11</w:t>
      </w:r>
    </w:p>
    <w:p>
      <w:pPr>
        <w:spacing w:after="0" w:line="72" w:lineRule="exact"/>
        <w:rPr>
          <w:rFonts w:ascii="Arial" w:cs="Arial" w:eastAsia="Arial" w:hAnsi="Arial"/>
          <w:sz w:val="16"/>
          <w:szCs w:val="16"/>
          <w:color w:val="auto"/>
        </w:rPr>
      </w:pPr>
    </w:p>
    <w:p>
      <w:pPr>
        <w:ind w:left="1002"/>
        <w:spacing w:after="0"/>
        <w:rPr>
          <w:rFonts w:ascii="Arial" w:cs="Arial" w:eastAsia="Arial" w:hAnsi="Arial"/>
          <w:sz w:val="16"/>
          <w:szCs w:val="16"/>
          <w:color w:val="auto"/>
        </w:rPr>
      </w:pPr>
      <w:r>
        <w:rPr>
          <w:rFonts w:ascii="Arial" w:cs="Arial" w:eastAsia="Arial" w:hAnsi="Arial"/>
          <w:sz w:val="16"/>
          <w:szCs w:val="16"/>
          <w:color w:val="auto"/>
        </w:rPr>
        <w:t>24,220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-124460</wp:posOffset>
            </wp:positionV>
            <wp:extent cx="101155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11555" cy="163195"/>
                    </a:xfrm>
                    <a:prstGeom prst="rect">
                      <a:avLst/>
                    </a:prstGeom>
                    <a:noFill/>
                  </pic:spPr>
                </pic:pic>
              </a:graphicData>
            </a:graphic>
          </wp:anchor>
        </w:drawing>
      </w:r>
    </w:p>
    <w:p>
      <w:pPr>
        <w:spacing w:after="0" w:line="5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(12,381)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38100</wp:posOffset>
            </wp:positionV>
            <wp:extent cx="101155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11555" cy="162560"/>
                    </a:xfrm>
                    <a:prstGeom prst="rect">
                      <a:avLst/>
                    </a:prstGeom>
                    <a:noFill/>
                  </pic:spPr>
                </pic:pic>
              </a:graphicData>
            </a:graphic>
          </wp:anchor>
        </w:drawing>
      </w:r>
    </w:p>
    <w:p>
      <w:pPr>
        <w:spacing w:after="0" w:line="5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38100</wp:posOffset>
            </wp:positionV>
            <wp:extent cx="10115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3">
            <w:col w:w="7280" w:space="711"/>
            <w:col w:w="1529" w:space="158"/>
            <w:col w:w="1562"/>
          </w:cols>
          <w:pgMar w:left="320" w:top="98" w:right="339" w:bottom="1087"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Equity attributable to the shareholders of GLOBALFOUNDRIES Inc.</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11,929</w:t>
            </w:r>
          </w:p>
        </w:tc>
      </w:tr>
      <w:tr>
        <w:trPr>
          <w:trHeight w:val="21"/>
        </w:trPr>
        <w:tc>
          <w:tcPr>
            <w:tcW w:w="79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5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11,986</w:t>
            </w: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17,038</w:t>
            </w:r>
          </w:p>
        </w:tc>
      </w:tr>
    </w:tbl>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6"/>
          <w:szCs w:val="16"/>
          <w:b w:val="1"/>
          <w:bCs w:val="1"/>
          <w:color w:val="auto"/>
        </w:rPr>
        <w:t>11,928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38100</wp:posOffset>
            </wp:positionV>
            <wp:extent cx="101155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11555" cy="171450"/>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38100</wp:posOffset>
            </wp:positionV>
            <wp:extent cx="10115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11,983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38100</wp:posOffset>
            </wp:positionV>
            <wp:extent cx="101155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11555" cy="188595"/>
                    </a:xfrm>
                    <a:prstGeom prst="rect">
                      <a:avLst/>
                    </a:prstGeom>
                    <a:noFill/>
                  </pic:spPr>
                </pic:pic>
              </a:graphicData>
            </a:graphic>
          </wp:anchor>
        </w:drawing>
      </w:r>
    </w:p>
    <w:p>
      <w:pPr>
        <w:spacing w:after="0" w:line="66" w:lineRule="exact"/>
        <w:rPr>
          <w:sz w:val="20"/>
          <w:szCs w:val="20"/>
          <w:color w:val="auto"/>
        </w:rPr>
      </w:pPr>
    </w:p>
    <w:p>
      <w:pPr>
        <w:ind w:left="1002" w:hanging="1002"/>
        <w:spacing w:after="0"/>
        <w:tabs>
          <w:tab w:leader="none" w:pos="1002"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17,141</w:t>
      </w:r>
    </w:p>
    <w:p>
      <w:pPr>
        <w:spacing w:after="0" w:line="298" w:lineRule="exact"/>
        <w:rPr>
          <w:sz w:val="20"/>
          <w:szCs w:val="20"/>
          <w:color w:val="auto"/>
        </w:rPr>
      </w:pPr>
    </w:p>
    <w:p>
      <w:pPr>
        <w:sectPr>
          <w:pgSz w:w="11900" w:h="16838" w:orient="portrait"/>
          <w:cols w:equalWidth="0" w:num="2">
            <w:col w:w="9560" w:space="118"/>
            <w:col w:w="1562"/>
          </w:cols>
          <w:pgMar w:left="320" w:top="98" w:right="339" w:bottom="108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interim condensed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087"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Nine Months Ended September 30, 2026 and 2025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270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6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Nine Months Ended</w:t>
            </w:r>
          </w:p>
        </w:tc>
      </w:tr>
      <w:tr>
        <w:trPr>
          <w:trHeight w:val="223"/>
        </w:trPr>
        <w:tc>
          <w:tcPr>
            <w:tcW w:w="4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8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19"/>
                <w:szCs w:val="19"/>
                <w:color w:val="auto"/>
              </w:rPr>
            </w:pPr>
          </w:p>
        </w:tc>
      </w:tr>
      <w:tr>
        <w:trPr>
          <w:trHeight w:val="21"/>
        </w:trPr>
        <w:tc>
          <w:tcPr>
            <w:tcW w:w="4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9"/>
        </w:trPr>
        <w:tc>
          <w:tcPr>
            <w:tcW w:w="4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5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2025</w:t>
            </w:r>
          </w:p>
        </w:tc>
      </w:tr>
      <w:tr>
        <w:trPr>
          <w:trHeight w:val="21"/>
        </w:trPr>
        <w:tc>
          <w:tcPr>
            <w:tcW w:w="46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1,899</w:t>
            </w:r>
          </w:p>
        </w:tc>
        <w:tc>
          <w:tcPr>
            <w:tcW w:w="8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12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5,319</w:t>
            </w:r>
          </w:p>
        </w:tc>
        <w:tc>
          <w:tcPr>
            <w:tcW w:w="10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4,961</w:t>
            </w:r>
          </w:p>
        </w:tc>
      </w:tr>
      <w:tr>
        <w:trPr>
          <w:trHeight w:val="227"/>
        </w:trPr>
        <w:tc>
          <w:tcPr>
            <w:tcW w:w="46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1,328</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3,792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3,779</w:t>
            </w:r>
          </w:p>
        </w:tc>
      </w:tr>
      <w:tr>
        <w:trPr>
          <w:trHeight w:val="29"/>
        </w:trPr>
        <w:tc>
          <w:tcPr>
            <w:tcW w:w="4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571</w:t>
            </w:r>
          </w:p>
        </w:tc>
        <w:tc>
          <w:tcPr>
            <w:tcW w:w="80" w:type="dxa"/>
            <w:vAlign w:val="bottom"/>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419</w:t>
            </w:r>
          </w:p>
        </w:tc>
        <w:tc>
          <w:tcPr>
            <w:tcW w:w="12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1,527</w:t>
            </w:r>
          </w:p>
        </w:tc>
        <w:tc>
          <w:tcPr>
            <w:tcW w:w="100" w:type="dxa"/>
            <w:vAlign w:val="bottom"/>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1,182</w:t>
            </w:r>
          </w:p>
        </w:tc>
      </w:tr>
      <w:tr>
        <w:trPr>
          <w:trHeight w:val="221"/>
        </w:trPr>
        <w:tc>
          <w:tcPr>
            <w:tcW w:w="466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0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385</w:t>
            </w:r>
          </w:p>
        </w:tc>
      </w:tr>
      <w:tr>
        <w:trPr>
          <w:trHeight w:val="29"/>
        </w:trPr>
        <w:tc>
          <w:tcPr>
            <w:tcW w:w="4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 and other</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0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341</w:t>
            </w:r>
          </w:p>
        </w:tc>
        <w:tc>
          <w:tcPr>
            <w:tcW w:w="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224</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943</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640</w:t>
            </w:r>
          </w:p>
        </w:tc>
      </w:tr>
      <w:tr>
        <w:trPr>
          <w:trHeight w:val="21"/>
        </w:trPr>
        <w:tc>
          <w:tcPr>
            <w:tcW w:w="46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230</w:t>
            </w:r>
          </w:p>
        </w:tc>
        <w:tc>
          <w:tcPr>
            <w:tcW w:w="8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w:t>
            </w:r>
          </w:p>
        </w:tc>
        <w:tc>
          <w:tcPr>
            <w:tcW w:w="12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584</w:t>
            </w:r>
          </w:p>
        </w:tc>
        <w:tc>
          <w:tcPr>
            <w:tcW w:w="10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542</w:t>
            </w: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Finance income (expense), net</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9"/>
        </w:trPr>
        <w:tc>
          <w:tcPr>
            <w:tcW w:w="4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8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0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w:t>
            </w:r>
          </w:p>
        </w:tc>
        <w:tc>
          <w:tcPr>
            <w:tcW w:w="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221</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181</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637</w:t>
            </w:r>
          </w:p>
        </w:tc>
      </w:tr>
      <w:tr>
        <w:trPr>
          <w:trHeight w:val="21"/>
        </w:trPr>
        <w:tc>
          <w:tcPr>
            <w:tcW w:w="4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(270)</w:t>
            </w:r>
          </w:p>
        </w:tc>
        <w:tc>
          <w:tcPr>
            <w:tcW w:w="80" w:type="dxa"/>
            <w:vAlign w:val="bottom"/>
          </w:tcPr>
          <w:p>
            <w:pPr>
              <w:spacing w:after="0"/>
              <w:rPr>
                <w:sz w:val="19"/>
                <w:szCs w:val="19"/>
                <w:color w:val="auto"/>
              </w:rPr>
            </w:pPr>
          </w:p>
        </w:tc>
        <w:tc>
          <w:tcPr>
            <w:tcW w:w="104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249</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688</w:t>
            </w:r>
          </w:p>
        </w:tc>
      </w:tr>
      <w:tr>
        <w:trPr>
          <w:trHeight w:val="21"/>
        </w:trPr>
        <w:tc>
          <w:tcPr>
            <w:tcW w:w="46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Attributable to:</w:t>
            </w:r>
          </w:p>
        </w:tc>
        <w:tc>
          <w:tcPr>
            <w:tcW w:w="10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Shareholders of GLOBALFOUNDRIES Inc.</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(271)</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686</w:t>
            </w:r>
          </w:p>
        </w:tc>
      </w:tr>
      <w:tr>
        <w:trPr>
          <w:trHeight w:val="29"/>
        </w:trPr>
        <w:tc>
          <w:tcPr>
            <w:tcW w:w="4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57"/>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 (loss)</w:t>
            </w: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(270)</w:t>
            </w:r>
          </w:p>
        </w:tc>
        <w:tc>
          <w:tcPr>
            <w:tcW w:w="8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688</w:t>
            </w:r>
          </w:p>
        </w:tc>
      </w:tr>
      <w:tr>
        <w:trPr>
          <w:trHeight w:val="202"/>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(loss) per share attributable to the equity</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holders of the Company:</w:t>
            </w:r>
          </w:p>
        </w:tc>
        <w:tc>
          <w:tcPr>
            <w:tcW w:w="10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Basic</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(0.49)</w:t>
            </w:r>
          </w:p>
        </w:tc>
        <w:tc>
          <w:tcPr>
            <w:tcW w:w="1120" w:type="dxa"/>
            <w:vAlign w:val="bottom"/>
            <w:gridSpan w:val="2"/>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0.45</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9"/>
        </w:trPr>
        <w:tc>
          <w:tcPr>
            <w:tcW w:w="4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8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Weighted average ordinary shares outstanding:</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9"/>
        </w:trPr>
        <w:tc>
          <w:tcPr>
            <w:tcW w:w="4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8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Diluted</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551</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interim condensed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Nine Months Ended September 30, 2026 and 2025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74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6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Nine Months Ended</w:t>
            </w:r>
          </w:p>
        </w:tc>
      </w:tr>
      <w:tr>
        <w:trPr>
          <w:trHeight w:val="223"/>
        </w:trPr>
        <w:tc>
          <w:tcPr>
            <w:tcW w:w="4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19"/>
                <w:szCs w:val="19"/>
                <w:color w:val="auto"/>
              </w:rPr>
            </w:pPr>
          </w:p>
        </w:tc>
      </w:tr>
      <w:tr>
        <w:trPr>
          <w:trHeight w:val="21"/>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9"/>
        </w:trPr>
        <w:tc>
          <w:tcPr>
            <w:tcW w:w="4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540" w:type="dxa"/>
            <w:vAlign w:val="bottom"/>
          </w:tcPr>
          <w:p>
            <w:pPr>
              <w:spacing w:after="0"/>
              <w:rPr>
                <w:sz w:val="19"/>
                <w:szCs w:val="19"/>
                <w:color w:val="auto"/>
              </w:rPr>
            </w:pPr>
          </w:p>
        </w:tc>
        <w:tc>
          <w:tcPr>
            <w:tcW w:w="11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2025</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9"/>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w:t>
            </w:r>
          </w:p>
        </w:tc>
      </w:tr>
      <w:tr>
        <w:trPr>
          <w:trHeight w:val="228"/>
        </w:trPr>
        <w:tc>
          <w:tcPr>
            <w:tcW w:w="470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020" w:type="dxa"/>
            <w:vAlign w:val="bottom"/>
            <w:tcBorders>
              <w:top w:val="single" w:sz="8" w:color="auto"/>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(270)</w:t>
            </w:r>
          </w:p>
        </w:tc>
        <w:tc>
          <w:tcPr>
            <w:tcW w:w="100" w:type="dxa"/>
            <w:vAlign w:val="bottom"/>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w:t>
            </w:r>
          </w:p>
        </w:tc>
        <w:tc>
          <w:tcPr>
            <w:tcW w:w="100" w:type="dxa"/>
            <w:vAlign w:val="bottom"/>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688</w:t>
            </w:r>
          </w:p>
        </w:tc>
      </w:tr>
      <w:tr>
        <w:trPr>
          <w:trHeight w:val="250"/>
        </w:trPr>
        <w:tc>
          <w:tcPr>
            <w:tcW w:w="47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3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5"/>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Items that may be reclassified subsequently to income:</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
        </w:trPr>
        <w:tc>
          <w:tcPr>
            <w:tcW w:w="4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28"/>
        </w:trPr>
        <w:tc>
          <w:tcPr>
            <w:tcW w:w="4700" w:type="dxa"/>
            <w:vAlign w:val="bottom"/>
          </w:tcPr>
          <w:p>
            <w:pPr>
              <w:ind w:left="20"/>
              <w:spacing w:after="0"/>
              <w:rPr>
                <w:sz w:val="20"/>
                <w:szCs w:val="20"/>
                <w:color w:val="auto"/>
              </w:rPr>
            </w:pPr>
            <w:r>
              <w:rPr>
                <w:rFonts w:ascii="Arial" w:cs="Arial" w:eastAsia="Arial" w:hAnsi="Arial"/>
                <w:sz w:val="16"/>
                <w:szCs w:val="16"/>
                <w:color w:val="auto"/>
              </w:rPr>
              <w:t>Effective portion of changes in the fair value of cash flow hedges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9"/>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5"/>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gain (loss) on investments measured at fair value</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through other comprehensive income (loss)</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Total other comprehensive income (loss)</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99</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47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5"/>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Attributable to:</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
        </w:trPr>
        <w:tc>
          <w:tcPr>
            <w:tcW w:w="4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28"/>
        </w:trPr>
        <w:tc>
          <w:tcPr>
            <w:tcW w:w="470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9"/>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(loss)</w:t>
            </w:r>
          </w:p>
        </w:tc>
        <w:tc>
          <w:tcPr>
            <w:tcW w:w="1020" w:type="dxa"/>
            <w:vAlign w:val="bottom"/>
            <w:tcBorders>
              <w:top w:val="single" w:sz="8" w:color="auto"/>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c>
          <w:tcPr>
            <w:tcW w:w="100" w:type="dxa"/>
            <w:vAlign w:val="bottom"/>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w:t>
            </w:r>
          </w:p>
        </w:tc>
      </w:tr>
      <w:tr>
        <w:trPr>
          <w:trHeight w:val="250"/>
        </w:trPr>
        <w:tc>
          <w:tcPr>
            <w:tcW w:w="470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(232)</w:t>
            </w:r>
          </w:p>
        </w:tc>
        <w:tc>
          <w:tcPr>
            <w:tcW w:w="100" w:type="dxa"/>
            <w:vAlign w:val="bottom"/>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w:t>
            </w:r>
          </w:p>
        </w:tc>
        <w:tc>
          <w:tcPr>
            <w:tcW w:w="10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787</w:t>
            </w:r>
          </w:p>
        </w:tc>
      </w:tr>
      <w:tr>
        <w:trPr>
          <w:trHeight w:val="208"/>
        </w:trPr>
        <w:tc>
          <w:tcPr>
            <w:tcW w:w="470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9"/>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w:t>
            </w:r>
          </w:p>
        </w:tc>
      </w:tr>
      <w:tr>
        <w:trPr>
          <w:trHeight w:val="228"/>
        </w:trPr>
        <w:tc>
          <w:tcPr>
            <w:tcW w:w="470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9"/>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1020" w:type="dxa"/>
            <w:vAlign w:val="bottom"/>
            <w:tcBorders>
              <w:top w:val="single" w:sz="8" w:color="auto"/>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(232)</w:t>
            </w:r>
          </w:p>
        </w:tc>
        <w:tc>
          <w:tcPr>
            <w:tcW w:w="100" w:type="dxa"/>
            <w:vAlign w:val="bottom"/>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w:t>
            </w:r>
          </w:p>
        </w:tc>
        <w:tc>
          <w:tcPr>
            <w:tcW w:w="100" w:type="dxa"/>
            <w:vAlign w:val="bottom"/>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787</w:t>
            </w:r>
          </w:p>
        </w:tc>
      </w:tr>
      <w:tr>
        <w:trPr>
          <w:trHeight w:val="20"/>
        </w:trPr>
        <w:tc>
          <w:tcPr>
            <w:tcW w:w="4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interim condensed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Nine Months Ended September 30, 2026 and 2025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7120"/>
        <w:spacing w:after="0"/>
        <w:rPr>
          <w:sz w:val="20"/>
          <w:szCs w:val="20"/>
          <w:color w:val="auto"/>
        </w:rPr>
      </w:pPr>
      <w:r>
        <w:rPr>
          <w:rFonts w:ascii="Arial" w:cs="Arial" w:eastAsia="Arial" w:hAnsi="Arial"/>
          <w:sz w:val="16"/>
          <w:szCs w:val="16"/>
          <w:b w:val="1"/>
          <w:bCs w:val="1"/>
          <w:color w:val="auto"/>
        </w:rPr>
        <w:t>Nine Months Ended</w:t>
      </w:r>
    </w:p>
    <w:p>
      <w:pPr>
        <w:spacing w:after="0" w:line="35" w:lineRule="exact"/>
        <w:rPr>
          <w:sz w:val="20"/>
          <w:szCs w:val="20"/>
          <w:color w:val="auto"/>
        </w:rPr>
      </w:pPr>
    </w:p>
    <w:p>
      <w:pPr>
        <w:jc w:val="center"/>
        <w:ind w:left="71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27940</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b w:val="1"/>
                <w:bCs w:val="1"/>
                <w:color w:val="auto"/>
              </w:rPr>
              <w:t>2026</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ind w:right="739"/>
              <w:spacing w:after="0"/>
              <w:rPr>
                <w:sz w:val="20"/>
                <w:szCs w:val="20"/>
                <w:color w:val="auto"/>
              </w:rPr>
            </w:pPr>
            <w:r>
              <w:rPr>
                <w:rFonts w:ascii="Arial" w:cs="Arial" w:eastAsia="Arial" w:hAnsi="Arial"/>
                <w:sz w:val="16"/>
                <w:szCs w:val="16"/>
                <w:b w:val="1"/>
                <w:bCs w:val="1"/>
                <w:color w:val="auto"/>
              </w:rPr>
              <w:t>2025</w:t>
            </w:r>
          </w:p>
        </w:tc>
      </w:tr>
      <w:tr>
        <w:trPr>
          <w:trHeight w:val="21"/>
        </w:trPr>
        <w:tc>
          <w:tcPr>
            <w:tcW w:w="71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3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227"/>
        </w:trPr>
        <w:tc>
          <w:tcPr>
            <w:tcW w:w="71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320" w:type="dxa"/>
            <w:vAlign w:val="bottom"/>
          </w:tcPr>
          <w:p>
            <w:pPr>
              <w:jc w:val="right"/>
              <w:ind w:right="10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58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688</w:t>
            </w:r>
          </w:p>
        </w:tc>
      </w:tr>
      <w:tr>
        <w:trPr>
          <w:trHeight w:val="29"/>
        </w:trPr>
        <w:tc>
          <w:tcPr>
            <w:tcW w:w="7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1,001</w:t>
            </w:r>
          </w:p>
        </w:tc>
      </w:tr>
      <w:tr>
        <w:trPr>
          <w:trHeight w:val="29"/>
        </w:trPr>
        <w:tc>
          <w:tcPr>
            <w:tcW w:w="7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Issuance of shares to the USG</w:t>
            </w:r>
          </w:p>
        </w:tc>
        <w:tc>
          <w:tcPr>
            <w:tcW w:w="1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714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9"/>
        </w:trPr>
        <w:tc>
          <w:tcPr>
            <w:tcW w:w="7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6"/>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on acquisition of joint venture interest</w:t>
            </w:r>
          </w:p>
        </w:tc>
        <w:tc>
          <w:tcPr>
            <w:tcW w:w="1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Finance income</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9"/>
        </w:trPr>
        <w:tc>
          <w:tcPr>
            <w:tcW w:w="7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expense</w:t>
            </w:r>
          </w:p>
        </w:tc>
        <w:tc>
          <w:tcPr>
            <w:tcW w:w="1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27"/>
        </w:trPr>
        <w:tc>
          <w:tcPr>
            <w:tcW w:w="7140" w:type="dxa"/>
            <w:vAlign w:val="bottom"/>
          </w:tcPr>
          <w:p>
            <w:pPr>
              <w:ind w:left="20"/>
              <w:spacing w:after="0"/>
              <w:rPr>
                <w:sz w:val="20"/>
                <w:szCs w:val="20"/>
                <w:color w:val="auto"/>
              </w:rPr>
            </w:pPr>
            <w:r>
              <w:rPr>
                <w:rFonts w:ascii="Arial" w:cs="Arial" w:eastAsia="Arial" w:hAnsi="Arial"/>
                <w:sz w:val="16"/>
                <w:szCs w:val="16"/>
                <w:color w:val="auto"/>
              </w:rPr>
              <w:t>Deferred income taxes, net</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9"/>
        </w:trPr>
        <w:tc>
          <w:tcPr>
            <w:tcW w:w="7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6"/>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on disposal of property, plant and equipment</w:t>
            </w:r>
          </w:p>
        </w:tc>
        <w:tc>
          <w:tcPr>
            <w:tcW w:w="1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Other operating activities</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7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assets and liabilities, net of acquisitions:</w:t>
            </w:r>
          </w:p>
        </w:tc>
        <w:tc>
          <w:tcPr>
            <w:tcW w:w="1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9"/>
        </w:trPr>
        <w:tc>
          <w:tcPr>
            <w:tcW w:w="7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6"/>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Trade and other payables</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(328)</w:t>
            </w:r>
          </w:p>
        </w:tc>
      </w:tr>
      <w:tr>
        <w:trPr>
          <w:trHeight w:val="29"/>
        </w:trPr>
        <w:tc>
          <w:tcPr>
            <w:tcW w:w="71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change in working capital</w:t>
            </w:r>
          </w:p>
        </w:tc>
        <w:tc>
          <w:tcPr>
            <w:tcW w:w="1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Interest received</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9"/>
        </w:trPr>
        <w:tc>
          <w:tcPr>
            <w:tcW w:w="7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1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Income taxes paid</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9"/>
        </w:trPr>
        <w:tc>
          <w:tcPr>
            <w:tcW w:w="7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320" w:type="dxa"/>
            <w:vAlign w:val="bottom"/>
            <w:tcBorders>
              <w:top w:val="single" w:sz="8" w:color="auto"/>
              <w:bottom w:val="single" w:sz="8" w:color="CCEEFF"/>
            </w:tcBorders>
            <w:shd w:val="clear" w:color="auto" w:fill="CCEEFF"/>
          </w:tcPr>
          <w:p>
            <w:pPr>
              <w:jc w:val="right"/>
              <w:ind w:right="109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1,288</w:t>
            </w:r>
          </w:p>
        </w:tc>
        <w:tc>
          <w:tcPr>
            <w:tcW w:w="100" w:type="dxa"/>
            <w:vAlign w:val="bottom"/>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1,357</w:t>
            </w:r>
          </w:p>
        </w:tc>
      </w:tr>
      <w:tr>
        <w:trPr>
          <w:trHeight w:val="250"/>
        </w:trPr>
        <w:tc>
          <w:tcPr>
            <w:tcW w:w="714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 and intangible assets</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(514)</w:t>
            </w:r>
          </w:p>
        </w:tc>
      </w:tr>
      <w:tr>
        <w:trPr>
          <w:trHeight w:val="29"/>
        </w:trPr>
        <w:tc>
          <w:tcPr>
            <w:tcW w:w="7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Acquisitions, net of cash acquired</w:t>
            </w:r>
          </w:p>
        </w:tc>
        <w:tc>
          <w:tcPr>
            <w:tcW w:w="1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Proceeds from government grants</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9"/>
        </w:trPr>
        <w:tc>
          <w:tcPr>
            <w:tcW w:w="7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property, plant and equipment and intangible assets</w:t>
            </w:r>
          </w:p>
        </w:tc>
        <w:tc>
          <w:tcPr>
            <w:tcW w:w="1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Purchases of equity securities</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9"/>
        </w:trPr>
        <w:tc>
          <w:tcPr>
            <w:tcW w:w="7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1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(1,360)</w:t>
            </w:r>
          </w:p>
        </w:tc>
        <w:tc>
          <w:tcPr>
            <w:tcW w:w="100" w:type="dxa"/>
            <w:vAlign w:val="bottom"/>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(1,245)</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Proceeds from sale of marketable securities</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9"/>
        </w:trPr>
        <w:tc>
          <w:tcPr>
            <w:tcW w:w="7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maturities of marketable securities</w:t>
            </w:r>
          </w:p>
        </w:tc>
        <w:tc>
          <w:tcPr>
            <w:tcW w:w="1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100" w:type="dxa"/>
            <w:vAlign w:val="bottom"/>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320" w:type="dxa"/>
            <w:vAlign w:val="bottom"/>
            <w:tcBorders>
              <w:top w:val="single" w:sz="8" w:color="auto"/>
              <w:bottom w:val="single" w:sz="8" w:color="CCEEFF"/>
            </w:tcBorders>
            <w:shd w:val="clear" w:color="auto" w:fill="CCEEFF"/>
          </w:tcPr>
          <w:p>
            <w:pPr>
              <w:jc w:val="right"/>
              <w:ind w:right="109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(1,425)</w:t>
            </w:r>
          </w:p>
        </w:tc>
        <w:tc>
          <w:tcPr>
            <w:tcW w:w="100" w:type="dxa"/>
            <w:vAlign w:val="bottom"/>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(747)</w:t>
            </w:r>
          </w:p>
        </w:tc>
      </w:tr>
      <w:tr>
        <w:trPr>
          <w:trHeight w:val="250"/>
        </w:trPr>
        <w:tc>
          <w:tcPr>
            <w:tcW w:w="714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Repurchase of shares</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6"/>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Repayments of debt and lease obligations</w:t>
            </w:r>
          </w:p>
        </w:tc>
        <w:tc>
          <w:tcPr>
            <w:tcW w:w="1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(808)</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Cash paid for dividends</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6"/>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issuance of equity instruments, net of taxes paid</w:t>
            </w:r>
          </w:p>
        </w:tc>
        <w:tc>
          <w:tcPr>
            <w:tcW w:w="1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Net proceeds from borrowings</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9"/>
        </w:trPr>
        <w:tc>
          <w:tcPr>
            <w:tcW w:w="7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30"/>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320" w:type="dxa"/>
            <w:vAlign w:val="bottom"/>
            <w:tcBorders>
              <w:top w:val="single" w:sz="8" w:color="auto"/>
              <w:bottom w:val="single" w:sz="8" w:color="CCEEFF"/>
            </w:tcBorders>
            <w:shd w:val="clear" w:color="auto" w:fill="CCEEFF"/>
          </w:tcPr>
          <w:p>
            <w:pPr>
              <w:jc w:val="right"/>
              <w:ind w:right="109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(676)</w:t>
            </w:r>
          </w:p>
        </w:tc>
        <w:tc>
          <w:tcPr>
            <w:tcW w:w="100" w:type="dxa"/>
            <w:vAlign w:val="bottom"/>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(792)</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9"/>
        </w:trPr>
        <w:tc>
          <w:tcPr>
            <w:tcW w:w="7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30"/>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320" w:type="dxa"/>
            <w:vAlign w:val="bottom"/>
            <w:tcBorders>
              <w:top w:val="single" w:sz="8" w:color="auto"/>
              <w:bottom w:val="single" w:sz="8" w:color="CCEEFF"/>
            </w:tcBorders>
            <w:shd w:val="clear" w:color="auto" w:fill="CCEEFF"/>
          </w:tcPr>
          <w:p>
            <w:pPr>
              <w:jc w:val="right"/>
              <w:ind w:right="109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(812)</w:t>
            </w:r>
          </w:p>
        </w:tc>
        <w:tc>
          <w:tcPr>
            <w:tcW w:w="100" w:type="dxa"/>
            <w:vAlign w:val="bottom"/>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2,192</w:t>
            </w:r>
          </w:p>
        </w:tc>
      </w:tr>
      <w:tr>
        <w:trPr>
          <w:trHeight w:val="29"/>
        </w:trPr>
        <w:tc>
          <w:tcPr>
            <w:tcW w:w="7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1320" w:type="dxa"/>
            <w:vAlign w:val="bottom"/>
            <w:tcBorders>
              <w:top w:val="single" w:sz="8" w:color="auto"/>
              <w:bottom w:val="single" w:sz="8" w:color="auto"/>
            </w:tcBorders>
            <w:shd w:val="clear" w:color="auto" w:fill="CCEEFF"/>
          </w:tcPr>
          <w:p>
            <w:pPr>
              <w:jc w:val="right"/>
              <w:ind w:right="109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997</w:t>
            </w:r>
          </w:p>
        </w:tc>
        <w:tc>
          <w:tcPr>
            <w:tcW w:w="100" w:type="dxa"/>
            <w:vAlign w:val="bottom"/>
          </w:tcPr>
          <w:p>
            <w:pPr>
              <w:spacing w:after="0"/>
              <w:rPr>
                <w:sz w:val="23"/>
                <w:szCs w:val="23"/>
                <w:color w:val="auto"/>
              </w:rPr>
            </w:pPr>
          </w:p>
        </w:tc>
        <w:tc>
          <w:tcPr>
            <w:tcW w:w="48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interim condensed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493"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Nine Months Ended September 30, 2026 and 2025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Equity Attributable to Shareholders of GLOBALFOUNDRIES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36195</wp:posOffset>
            </wp:positionV>
            <wp:extent cx="44831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8310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Foreign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Currency</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Translation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720" w:type="dxa"/>
            <w:vAlign w:val="bottom"/>
            <w:gridSpan w:val="3"/>
            <w:vMerge w:val="restart"/>
          </w:tcPr>
          <w:p>
            <w:pPr>
              <w:jc w:val="right"/>
              <w:ind w:right="197"/>
              <w:spacing w:after="0"/>
              <w:rPr>
                <w:sz w:val="20"/>
                <w:szCs w:val="20"/>
                <w:color w:val="auto"/>
              </w:rPr>
            </w:pPr>
            <w:r>
              <w:rPr>
                <w:rFonts w:ascii="Arial" w:cs="Arial" w:eastAsia="Arial" w:hAnsi="Arial"/>
                <w:sz w:val="13"/>
                <w:szCs w:val="13"/>
                <w:b w:val="1"/>
                <w:bCs w:val="1"/>
                <w:color w:val="auto"/>
              </w:rPr>
              <w:t>Ordinary Shares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and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Non-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140" w:type="dxa"/>
            <w:vAlign w:val="bottom"/>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restart"/>
          </w:tcPr>
          <w:p>
            <w:pPr>
              <w:jc w:val="right"/>
              <w:ind w:right="97"/>
              <w:spacing w:after="0" w:line="106" w:lineRule="exact"/>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6"/>
                <w:szCs w:val="6"/>
                <w:color w:val="auto"/>
              </w:rPr>
            </w:pPr>
          </w:p>
        </w:tc>
        <w:tc>
          <w:tcPr>
            <w:tcW w:w="960" w:type="dxa"/>
            <w:vAlign w:val="bottom"/>
            <w:gridSpan w:val="2"/>
            <w:vMerge w:val="restart"/>
          </w:tcPr>
          <w:p>
            <w:pPr>
              <w:jc w:val="right"/>
              <w:ind w:right="17"/>
              <w:spacing w:after="0" w:line="106" w:lineRule="exact"/>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restart"/>
          </w:tcPr>
          <w:p>
            <w:pPr>
              <w:jc w:val="right"/>
              <w:ind w:right="137"/>
              <w:spacing w:after="0" w:line="106" w:lineRule="exact"/>
              <w:rPr>
                <w:sz w:val="20"/>
                <w:szCs w:val="20"/>
                <w:color w:val="auto"/>
              </w:rPr>
            </w:pPr>
            <w:r>
              <w:rPr>
                <w:rFonts w:ascii="Arial" w:cs="Arial" w:eastAsia="Arial" w:hAnsi="Arial"/>
                <w:sz w:val="12"/>
                <w:szCs w:val="12"/>
                <w:b w:val="1"/>
                <w:bCs w:val="1"/>
                <w:color w:val="auto"/>
              </w:rPr>
              <w:t>Hedging</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vMerge w:val="restart"/>
          </w:tcPr>
          <w:p>
            <w:pPr>
              <w:jc w:val="center"/>
              <w:ind w:right="37"/>
              <w:spacing w:after="0" w:line="106" w:lineRule="exact"/>
              <w:rPr>
                <w:sz w:val="20"/>
                <w:szCs w:val="20"/>
                <w:color w:val="auto"/>
              </w:rPr>
            </w:pPr>
            <w:r>
              <w:rPr>
                <w:rFonts w:ascii="Arial" w:cs="Arial" w:eastAsia="Arial" w:hAnsi="Arial"/>
                <w:sz w:val="12"/>
                <w:szCs w:val="12"/>
                <w:b w:val="1"/>
                <w:bCs w:val="1"/>
                <w:color w:val="auto"/>
              </w:rPr>
              <w:t>Investments</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restart"/>
          </w:tcPr>
          <w:p>
            <w:pPr>
              <w:jc w:val="center"/>
              <w:ind w:right="37"/>
              <w:spacing w:after="0" w:line="106" w:lineRule="exact"/>
              <w:rPr>
                <w:sz w:val="20"/>
                <w:szCs w:val="20"/>
                <w:color w:val="auto"/>
              </w:rPr>
            </w:pPr>
            <w:r>
              <w:rPr>
                <w:rFonts w:ascii="Arial" w:cs="Arial" w:eastAsia="Arial" w:hAnsi="Arial"/>
                <w:sz w:val="12"/>
                <w:szCs w:val="12"/>
                <w:b w:val="1"/>
                <w:bCs w:val="1"/>
                <w:color w:val="auto"/>
              </w:rPr>
              <w:t>Controlling</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1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140" w:type="dxa"/>
            <w:vAlign w:val="bottom"/>
          </w:tcPr>
          <w:p>
            <w:pPr>
              <w:spacing w:after="0"/>
              <w:rPr>
                <w:sz w:val="17"/>
                <w:szCs w:val="17"/>
                <w:color w:val="auto"/>
              </w:rPr>
            </w:pPr>
          </w:p>
        </w:tc>
        <w:tc>
          <w:tcPr>
            <w:tcW w:w="9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Paid-In Capital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17"/>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57"/>
              <w:spacing w:after="0"/>
              <w:rPr>
                <w:sz w:val="20"/>
                <w:szCs w:val="20"/>
                <w:color w:val="auto"/>
              </w:rPr>
            </w:pPr>
            <w:r>
              <w:rPr>
                <w:rFonts w:ascii="Arial" w:cs="Arial" w:eastAsia="Arial" w:hAnsi="Arial"/>
                <w:sz w:val="13"/>
                <w:szCs w:val="13"/>
                <w:b w:val="1"/>
                <w:bCs w:val="1"/>
                <w:color w:val="auto"/>
              </w:rPr>
              <w:t>Reserve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Reserves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Interests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22"/>
        </w:trPr>
        <w:tc>
          <w:tcPr>
            <w:tcW w:w="2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553</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11</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24,014</w:t>
            </w:r>
          </w:p>
        </w:tc>
        <w:tc>
          <w:tcPr>
            <w:tcW w:w="80" w:type="dxa"/>
            <w:vAlign w:val="bottom"/>
          </w:tcPr>
          <w:p>
            <w:pPr>
              <w:spacing w:after="0"/>
              <w:rPr>
                <w:sz w:val="17"/>
                <w:szCs w:val="17"/>
                <w:color w:val="auto"/>
              </w:rPr>
            </w:pPr>
          </w:p>
        </w:tc>
        <w:tc>
          <w:tcPr>
            <w:tcW w:w="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(13,266)</w:t>
            </w:r>
          </w:p>
        </w:tc>
        <w:tc>
          <w:tcPr>
            <w:tcW w:w="8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10,776</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48</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10,824</w:t>
            </w:r>
          </w:p>
        </w:tc>
        <w:tc>
          <w:tcPr>
            <w:tcW w:w="0" w:type="dxa"/>
            <w:vAlign w:val="bottom"/>
          </w:tcPr>
          <w:p>
            <w:pPr>
              <w:spacing w:after="0"/>
              <w:rPr>
                <w:sz w:val="1"/>
                <w:szCs w:val="1"/>
                <w:color w:val="auto"/>
              </w:rPr>
            </w:pPr>
          </w:p>
        </w:tc>
      </w:tr>
      <w:tr>
        <w:trPr>
          <w:trHeight w:val="171"/>
        </w:trPr>
        <w:tc>
          <w:tcPr>
            <w:tcW w:w="2140" w:type="dxa"/>
            <w:vAlign w:val="bottom"/>
          </w:tcPr>
          <w:p>
            <w:pPr>
              <w:ind w:left="20"/>
              <w:spacing w:after="0"/>
              <w:rPr>
                <w:sz w:val="20"/>
                <w:szCs w:val="20"/>
                <w:color w:val="auto"/>
              </w:rPr>
            </w:pPr>
            <w:r>
              <w:rPr>
                <w:rFonts w:ascii="Arial" w:cs="Arial" w:eastAsia="Arial" w:hAnsi="Arial"/>
                <w:sz w:val="13"/>
                <w:szCs w:val="13"/>
                <w:color w:val="auto"/>
                <w:w w:val="97"/>
              </w:rPr>
              <w:t>Issuance of equity instruments, net of</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6"/>
        </w:trPr>
        <w:tc>
          <w:tcPr>
            <w:tcW w:w="2140" w:type="dxa"/>
            <w:vAlign w:val="bottom"/>
          </w:tcPr>
          <w:p>
            <w:pPr>
              <w:ind w:left="20"/>
              <w:spacing w:after="0"/>
              <w:rPr>
                <w:sz w:val="20"/>
                <w:szCs w:val="20"/>
                <w:color w:val="auto"/>
              </w:rPr>
            </w:pPr>
            <w:r>
              <w:rPr>
                <w:rFonts w:ascii="Arial" w:cs="Arial" w:eastAsia="Arial" w:hAnsi="Arial"/>
                <w:sz w:val="13"/>
                <w:szCs w:val="13"/>
                <w:color w:val="auto"/>
              </w:rPr>
              <w:t>withholding taxes</w:t>
            </w: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Equity-settled share-based</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3"/>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compensation</w:t>
            </w: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686</w:t>
            </w:r>
          </w:p>
        </w:tc>
        <w:tc>
          <w:tcPr>
            <w:tcW w:w="8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686</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688</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September 30, 2025</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556</w:t>
            </w:r>
          </w:p>
        </w:tc>
        <w:tc>
          <w:tcPr>
            <w:tcW w:w="80" w:type="dxa"/>
            <w:vAlign w:val="bottom"/>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jc w:val="right"/>
              <w:ind w:right="557"/>
              <w:spacing w:after="0"/>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11</w:t>
            </w:r>
          </w:p>
        </w:tc>
        <w:tc>
          <w:tcPr>
            <w:tcW w:w="80" w:type="dxa"/>
            <w:vAlign w:val="bottom"/>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24,169</w:t>
            </w:r>
          </w:p>
        </w:tc>
        <w:tc>
          <w:tcPr>
            <w:tcW w:w="80" w:type="dxa"/>
            <w:vAlign w:val="bottom"/>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(12,580)</w:t>
            </w:r>
          </w:p>
        </w:tc>
        <w:tc>
          <w:tcPr>
            <w:tcW w:w="80" w:type="dxa"/>
            <w:vAlign w:val="bottom"/>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99</w:t>
            </w:r>
          </w:p>
        </w:tc>
        <w:tc>
          <w:tcPr>
            <w:tcW w:w="100" w:type="dxa"/>
            <w:vAlign w:val="bottom"/>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w:t>
            </w:r>
          </w:p>
        </w:tc>
        <w:tc>
          <w:tcPr>
            <w:tcW w:w="80" w:type="dxa"/>
            <w:vAlign w:val="bottom"/>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11,712</w:t>
            </w:r>
          </w:p>
        </w:tc>
        <w:tc>
          <w:tcPr>
            <w:tcW w:w="80" w:type="dxa"/>
            <w:vAlign w:val="bottom"/>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54</w:t>
            </w:r>
          </w:p>
        </w:tc>
        <w:tc>
          <w:tcPr>
            <w:tcW w:w="80" w:type="dxa"/>
            <w:vAlign w:val="bottom"/>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11,766</w:t>
            </w:r>
          </w:p>
        </w:tc>
        <w:tc>
          <w:tcPr>
            <w:tcW w:w="0" w:type="dxa"/>
            <w:vAlign w:val="bottom"/>
          </w:tcPr>
          <w:p>
            <w:pPr>
              <w:spacing w:after="0"/>
              <w:rPr>
                <w:sz w:val="1"/>
                <w:szCs w:val="1"/>
                <w:color w:val="auto"/>
              </w:rPr>
            </w:pPr>
          </w:p>
        </w:tc>
      </w:tr>
      <w:tr>
        <w:trPr>
          <w:trHeight w:val="183"/>
        </w:trPr>
        <w:tc>
          <w:tcPr>
            <w:tcW w:w="21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556</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11</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24,220</w:t>
            </w:r>
          </w:p>
        </w:tc>
        <w:tc>
          <w:tcPr>
            <w:tcW w:w="80" w:type="dxa"/>
            <w:vAlign w:val="bottom"/>
          </w:tcPr>
          <w:p>
            <w:pPr>
              <w:spacing w:after="0"/>
              <w:rPr>
                <w:sz w:val="17"/>
                <w:szCs w:val="17"/>
                <w:color w:val="auto"/>
              </w:rPr>
            </w:pPr>
          </w:p>
        </w:tc>
        <w:tc>
          <w:tcPr>
            <w:tcW w:w="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(12,381)</w:t>
            </w:r>
          </w:p>
        </w:tc>
        <w:tc>
          <w:tcPr>
            <w:tcW w:w="8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65</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11,928</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11,983</w:t>
            </w:r>
          </w:p>
        </w:tc>
        <w:tc>
          <w:tcPr>
            <w:tcW w:w="0" w:type="dxa"/>
            <w:vAlign w:val="bottom"/>
          </w:tcPr>
          <w:p>
            <w:pPr>
              <w:spacing w:after="0"/>
              <w:rPr>
                <w:sz w:val="1"/>
                <w:szCs w:val="1"/>
                <w:color w:val="auto"/>
              </w:rPr>
            </w:pPr>
          </w:p>
        </w:tc>
      </w:tr>
      <w:tr>
        <w:trPr>
          <w:trHeight w:val="171"/>
        </w:trPr>
        <w:tc>
          <w:tcPr>
            <w:tcW w:w="2140" w:type="dxa"/>
            <w:vAlign w:val="bottom"/>
          </w:tcPr>
          <w:p>
            <w:pPr>
              <w:ind w:left="20"/>
              <w:spacing w:after="0"/>
              <w:rPr>
                <w:sz w:val="20"/>
                <w:szCs w:val="20"/>
                <w:color w:val="auto"/>
              </w:rPr>
            </w:pPr>
            <w:r>
              <w:rPr>
                <w:rFonts w:ascii="Arial" w:cs="Arial" w:eastAsia="Arial" w:hAnsi="Arial"/>
                <w:sz w:val="13"/>
                <w:szCs w:val="13"/>
                <w:color w:val="auto"/>
                <w:w w:val="97"/>
              </w:rPr>
              <w:t>Issuance of equity instruments, net of</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6"/>
        </w:trPr>
        <w:tc>
          <w:tcPr>
            <w:tcW w:w="2140" w:type="dxa"/>
            <w:vAlign w:val="bottom"/>
          </w:tcPr>
          <w:p>
            <w:pPr>
              <w:ind w:left="20"/>
              <w:spacing w:after="0"/>
              <w:rPr>
                <w:sz w:val="20"/>
                <w:szCs w:val="20"/>
                <w:color w:val="auto"/>
              </w:rPr>
            </w:pPr>
            <w:r>
              <w:rPr>
                <w:rFonts w:ascii="Arial" w:cs="Arial" w:eastAsia="Arial" w:hAnsi="Arial"/>
                <w:sz w:val="13"/>
                <w:szCs w:val="13"/>
                <w:color w:val="auto"/>
              </w:rPr>
              <w:t>withholding taxes</w:t>
            </w: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Equity-settled share-based</w:t>
            </w:r>
          </w:p>
        </w:tc>
        <w:tc>
          <w:tcPr>
            <w:tcW w:w="920" w:type="dxa"/>
            <w:vAlign w:val="bottom"/>
            <w:vMerge w:val="restart"/>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shd w:val="clear" w:color="auto" w:fill="BFE4FF"/>
          </w:tcPr>
          <w:p>
            <w:pPr>
              <w:spacing w:after="0"/>
              <w:rPr>
                <w:sz w:val="14"/>
                <w:szCs w:val="14"/>
                <w:color w:val="auto"/>
              </w:rPr>
            </w:pPr>
          </w:p>
        </w:tc>
        <w:tc>
          <w:tcPr>
            <w:tcW w:w="220" w:type="dxa"/>
            <w:vAlign w:val="bottom"/>
            <w:vMerge w:val="restart"/>
            <w:shd w:val="clear" w:color="auto" w:fill="BFE4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820" w:type="dxa"/>
            <w:vAlign w:val="bottom"/>
            <w:vMerge w:val="restart"/>
            <w:shd w:val="clear" w:color="auto" w:fill="BFE4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3"/>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compensation</w:t>
            </w:r>
          </w:p>
        </w:tc>
        <w:tc>
          <w:tcPr>
            <w:tcW w:w="920" w:type="dxa"/>
            <w:vAlign w:val="bottom"/>
            <w:tcBorders>
              <w:bottom w:val="single" w:sz="8" w:color="BFE4FF"/>
            </w:tcBorders>
            <w:vMerge w:val="continue"/>
            <w:shd w:val="clear" w:color="auto" w:fill="BFE4FF"/>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BFE4FF"/>
            </w:tcBorders>
            <w:shd w:val="clear" w:color="auto" w:fill="BFE4FF"/>
          </w:tcPr>
          <w:p>
            <w:pPr>
              <w:spacing w:after="0"/>
              <w:rPr>
                <w:sz w:val="15"/>
                <w:szCs w:val="15"/>
                <w:color w:val="auto"/>
              </w:rPr>
            </w:pPr>
          </w:p>
        </w:tc>
        <w:tc>
          <w:tcPr>
            <w:tcW w:w="220" w:type="dxa"/>
            <w:vAlign w:val="bottom"/>
            <w:tcBorders>
              <w:bottom w:val="single" w:sz="8" w:color="BFE4FF"/>
            </w:tcBorders>
            <w:vMerge w:val="continue"/>
            <w:shd w:val="clear" w:color="auto" w:fill="BFE4FF"/>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BFE4FF"/>
            </w:tcBorders>
            <w:shd w:val="clear" w:color="auto" w:fill="BFE4FF"/>
          </w:tcPr>
          <w:p>
            <w:pPr>
              <w:spacing w:after="0"/>
              <w:rPr>
                <w:sz w:val="15"/>
                <w:szCs w:val="15"/>
                <w:color w:val="auto"/>
              </w:rPr>
            </w:pPr>
          </w:p>
        </w:tc>
        <w:tc>
          <w:tcPr>
            <w:tcW w:w="820" w:type="dxa"/>
            <w:vAlign w:val="bottom"/>
            <w:tcBorders>
              <w:bottom w:val="single" w:sz="8" w:color="BFE4FF"/>
            </w:tcBorders>
            <w:vMerge w:val="continue"/>
            <w:shd w:val="clear" w:color="auto" w:fill="BFE4FF"/>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color w:val="auto"/>
              </w:rPr>
              <w:t>Repurchase of shares</w:t>
            </w:r>
          </w:p>
        </w:tc>
        <w:tc>
          <w:tcPr>
            <w:tcW w:w="92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80" w:type="dxa"/>
            <w:vAlign w:val="bottom"/>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color w:val="auto"/>
              </w:rPr>
              <w:t>Issuance of shares to the USG</w:t>
            </w:r>
          </w:p>
        </w:tc>
        <w:tc>
          <w:tcPr>
            <w:tcW w:w="92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441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441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441</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Dividends declared</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8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comprehensive income (loss)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4"/>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September 30, 2026</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557</w:t>
            </w:r>
          </w:p>
        </w:tc>
        <w:tc>
          <w:tcPr>
            <w:tcW w:w="80" w:type="dxa"/>
            <w:vAlign w:val="bottom"/>
          </w:tcPr>
          <w:p>
            <w:pPr>
              <w:spacing w:after="0"/>
              <w:rPr>
                <w:sz w:val="15"/>
                <w:szCs w:val="15"/>
                <w:color w:val="auto"/>
              </w:rPr>
            </w:pPr>
          </w:p>
        </w:tc>
        <w:tc>
          <w:tcPr>
            <w:tcW w:w="720" w:type="dxa"/>
            <w:vAlign w:val="bottom"/>
            <w:tcBorders>
              <w:top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11</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24,337</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(12,516)</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107</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11,929</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57</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11,986</w:t>
            </w:r>
          </w:p>
        </w:tc>
        <w:tc>
          <w:tcPr>
            <w:tcW w:w="0" w:type="dxa"/>
            <w:vAlign w:val="bottom"/>
          </w:tcPr>
          <w:p>
            <w:pPr>
              <w:spacing w:after="0"/>
              <w:rPr>
                <w:sz w:val="1"/>
                <w:szCs w:val="1"/>
                <w:color w:val="auto"/>
              </w:rPr>
            </w:pPr>
          </w:p>
        </w:tc>
      </w:tr>
      <w:tr>
        <w:trPr>
          <w:trHeight w:val="35"/>
        </w:trPr>
        <w:tc>
          <w:tcPr>
            <w:tcW w:w="21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interim condensed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indicated)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Corporate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Operations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GLOBALFOUNDRIES Inc. (“GlobalFoundries”) is an exempted company with limited liability incorporated under the laws of the Cayman Islands. The address of GlobalFoundries’ registered office is P.O. Box 309, Ugland House, Grand Cayman, KY1-1104 Cayman Islands.</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GLOBALFOUNDRIES Inc. (“we,” “GF,” or the “Company”) is one of the world’s leading manufacturers of semiconductors the world relies on to live, work and connect, enabling the scaling of Artificial Intelligence ("AI") in the cloud, and the transition of AI into the physical world. We manufacture differentiated, essential integrated circuits (“ICs”) that are used in billions of electronic devices across various industries.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Basis of Presentation, Summary of Material Accounting Policies and Critical Judgments, Estimates and Assumptions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color w:val="auto"/>
        </w:rPr>
        <w:t xml:space="preserve">Statement of Compliance — </w:t>
      </w:r>
      <w:r>
        <w:rPr>
          <w:rFonts w:ascii="Arial" w:cs="Arial" w:eastAsia="Arial" w:hAnsi="Arial"/>
          <w:sz w:val="16"/>
          <w:szCs w:val="16"/>
          <w:color w:val="auto"/>
        </w:rPr>
        <w:t>The interim condensed consolidated financial statements ("interim financial statements") have been prepared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International Accounting Standards ("IAS") 34</w:t>
      </w:r>
      <w:r>
        <w:rPr>
          <w:rFonts w:ascii="Arial" w:cs="Arial" w:eastAsia="Arial" w:hAnsi="Arial"/>
          <w:sz w:val="16"/>
          <w:szCs w:val="16"/>
          <w:i w:val="1"/>
          <w:iCs w:val="1"/>
          <w:color w:val="auto"/>
        </w:rPr>
        <w:t>, Interim Financial Reporting</w:t>
      </w:r>
      <w:r>
        <w:rPr>
          <w:rFonts w:ascii="Arial" w:cs="Arial" w:eastAsia="Arial" w:hAnsi="Arial"/>
          <w:sz w:val="16"/>
          <w:szCs w:val="16"/>
          <w:color w:val="auto"/>
        </w:rPr>
        <w:t xml:space="preserve"> ("IAS 34"), as issued by the International Accounting Standards Board ("IASB"). Certain information and footnote disclosures normally included in the annual audited consolidated financial statements prepared in accordance with International Financial Reporting Standards (“IFRS”) Accounting Standards, as issued by the IASB, have been omitted or condensed. These interim financial statements should be read in conjunction with the consolidated financial statements and notes thereto included in GlobalFoundries' Annual Report on Form 20-F for the year ended December 31, 2025. The interim financial statements have been prepared on a basis consistent with the accounting policies disclosed in the December 31, 2025 audited consolidated financial statements.</w:t>
      </w:r>
    </w:p>
    <w:p>
      <w:pPr>
        <w:spacing w:after="0" w:line="6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interim financial statements are unaudited and reflect adjustments (consisting of normal recurring adjustments) that are, in the opinion of management, necessary to provide a fair statement of results for the interim periods in accordance with IAS 34 as issued by the IASB.</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interim financial statements were approved and authorized to be issued by the Audit, Risk and Compliance Committee of GlobalFoundries’ Board of Directors on November 04, 2026, and subsequent events have been evaluated for their potential effect on the interim financial statements through November 04, 2026.</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Summary of Material Accounting Policies and Critical Judgments, Estimates and Assumptions — </w:t>
      </w:r>
      <w:r>
        <w:rPr>
          <w:rFonts w:ascii="Arial" w:cs="Arial" w:eastAsia="Arial" w:hAnsi="Arial"/>
          <w:sz w:val="16"/>
          <w:szCs w:val="16"/>
          <w:color w:val="auto"/>
        </w:rPr>
        <w:t>The summary of material accounting policies and</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critical judgments, estimates and assumptions adopted in the preparation of the interim financial statements are consistent with those followed in the preparation of the Company's annual audited consolidated financial statements contained in our Annual Report on Form 20-F for the year ended December 31, 2025.</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 Adopted: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Company adopted the following amended IFRS standards, effective January 1, 2026.</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Classification and Measurement of Financial Instruments (Amendments to IFRS 9, </w:t>
      </w:r>
      <w:r>
        <w:rPr>
          <w:rFonts w:ascii="Arial" w:cs="Arial" w:eastAsia="Arial" w:hAnsi="Arial"/>
          <w:sz w:val="16"/>
          <w:szCs w:val="16"/>
          <w:b w:val="1"/>
          <w:bCs w:val="1"/>
          <w:i w:val="1"/>
          <w:iCs w:val="1"/>
          <w:color w:val="auto"/>
        </w:rPr>
        <w:t>Financial Instruments</w:t>
      </w:r>
      <w:r>
        <w:rPr>
          <w:rFonts w:ascii="Arial" w:cs="Arial" w:eastAsia="Arial" w:hAnsi="Arial"/>
          <w:sz w:val="16"/>
          <w:szCs w:val="16"/>
          <w:b w:val="1"/>
          <w:bCs w:val="1"/>
          <w:color w:val="auto"/>
        </w:rPr>
        <w:t xml:space="preserve"> and IFRS 7, </w:t>
      </w:r>
      <w:r>
        <w:rPr>
          <w:rFonts w:ascii="Arial" w:cs="Arial" w:eastAsia="Arial" w:hAnsi="Arial"/>
          <w:sz w:val="16"/>
          <w:szCs w:val="16"/>
          <w:b w:val="1"/>
          <w:bCs w:val="1"/>
          <w:i w:val="1"/>
          <w:iCs w:val="1"/>
          <w:color w:val="auto"/>
        </w:rPr>
        <w:t>Financial Instruments: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Disclosures</w:t>
      </w:r>
      <w:r>
        <w:rPr>
          <w:rFonts w:ascii="Arial" w:cs="Arial" w:eastAsia="Arial" w:hAnsi="Arial"/>
          <w:sz w:val="16"/>
          <w:szCs w:val="16"/>
          <w:b w:val="1"/>
          <w:bCs w:val="1"/>
          <w:color w:val="auto"/>
        </w:rPr>
        <w:t>) –</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amendments clarify the requirements for the timing of recognition and derecognition of financial assets and liabilities. The amendments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also add further guidance for assessing whether a financial asset meets the solely payments of principal and interest criterion for financial assets that do not relate to basic lending risks, and add new disclosures for certain instruments with contractual terms that can change cash flows based on contingent events. The adoption of these amendments did not result in a material impact to the Company’s consolidated financial statements.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 xml:space="preserve">Annual Improvements to IFRS Accounting Standards – Volume 11 – </w:t>
      </w:r>
      <w:r>
        <w:rPr>
          <w:rFonts w:ascii="Arial" w:cs="Arial" w:eastAsia="Arial" w:hAnsi="Arial"/>
          <w:sz w:val="16"/>
          <w:szCs w:val="16"/>
          <w:color w:val="auto"/>
        </w:rPr>
        <w:t>These narrow-scope amendments relate to clarifications, simplifications,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corrections or changes to improve consistency in the following IFRS standards: IFRS 7, </w:t>
      </w:r>
      <w:r>
        <w:rPr>
          <w:rFonts w:ascii="Arial" w:cs="Arial" w:eastAsia="Arial" w:hAnsi="Arial"/>
          <w:sz w:val="16"/>
          <w:szCs w:val="16"/>
          <w:i w:val="1"/>
          <w:iCs w:val="1"/>
          <w:color w:val="auto"/>
        </w:rPr>
        <w:t>Financial Instruments: Disclosures</w:t>
      </w:r>
      <w:r>
        <w:rPr>
          <w:rFonts w:ascii="Arial" w:cs="Arial" w:eastAsia="Arial" w:hAnsi="Arial"/>
          <w:sz w:val="16"/>
          <w:szCs w:val="16"/>
          <w:color w:val="auto"/>
        </w:rPr>
        <w:t xml:space="preserve">,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IFRS 10,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IAS 7, </w:t>
      </w:r>
      <w:r>
        <w:rPr>
          <w:rFonts w:ascii="Arial" w:cs="Arial" w:eastAsia="Arial" w:hAnsi="Arial"/>
          <w:sz w:val="16"/>
          <w:szCs w:val="16"/>
          <w:i w:val="1"/>
          <w:iCs w:val="1"/>
          <w:color w:val="auto"/>
        </w:rPr>
        <w:t>Statement of Cash Flows</w:t>
      </w:r>
      <w:r>
        <w:rPr>
          <w:rFonts w:ascii="Arial" w:cs="Arial" w:eastAsia="Arial" w:hAnsi="Arial"/>
          <w:sz w:val="16"/>
          <w:szCs w:val="16"/>
          <w:color w:val="auto"/>
        </w:rPr>
        <w:t>. The adoption of these amendments did not result in a material impact to the Company’s consolidated financial statements.</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Contracts Referencing Nature-dependent Electricity – Amendment to IFRS 9 and IFRS 7 </w:t>
      </w:r>
      <w:r>
        <w:rPr>
          <w:rFonts w:ascii="Arial" w:cs="Arial" w:eastAsia="Arial" w:hAnsi="Arial"/>
          <w:sz w:val="16"/>
          <w:szCs w:val="16"/>
          <w:color w:val="auto"/>
        </w:rPr>
        <w:t>– These amendments include clarifying the application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own-use requirements for nature-dependent electricity contracts, permitting hedge accounting if these contracts are used as hedging instruments and adding new disclosure requirements to enable investors to understand the effect of these contracts on the Company’s financial performance and cash flows. The adoption of these standards, including disclosures that will be made when certain plants commence commercial operations, did not result in a material impact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indicated)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 Not Adopted: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adopted the following new, revised or amended IFRS standards that have been issued by the IASB that are not yet effective:</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IFRS 18, </w:t>
      </w:r>
      <w:r>
        <w:rPr>
          <w:rFonts w:ascii="Arial" w:cs="Arial" w:eastAsia="Arial" w:hAnsi="Arial"/>
          <w:sz w:val="16"/>
          <w:szCs w:val="16"/>
          <w:b w:val="1"/>
          <w:bCs w:val="1"/>
          <w:i w:val="1"/>
          <w:iCs w:val="1"/>
          <w:color w:val="auto"/>
        </w:rPr>
        <w:t>Presentation and Disclosure in Financial Statements</w:t>
      </w:r>
      <w:r>
        <w:rPr>
          <w:rFonts w:ascii="Arial" w:cs="Arial" w:eastAsia="Arial" w:hAnsi="Arial"/>
          <w:sz w:val="16"/>
          <w:szCs w:val="16"/>
          <w:b w:val="1"/>
          <w:bCs w:val="1"/>
          <w:color w:val="auto"/>
        </w:rPr>
        <w:t xml:space="preserve"> ("IFRS 18") — </w:t>
      </w:r>
      <w:r>
        <w:rPr>
          <w:rFonts w:ascii="Arial" w:cs="Arial" w:eastAsia="Arial" w:hAnsi="Arial"/>
          <w:sz w:val="16"/>
          <w:szCs w:val="16"/>
          <w:color w:val="auto"/>
        </w:rPr>
        <w:t>This new standard will replace IAS 1,</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Presentation of Financial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("IAS 1")</w:t>
      </w:r>
      <w:r>
        <w:rPr>
          <w:rFonts w:ascii="Arial" w:cs="Arial" w:eastAsia="Arial" w:hAnsi="Arial"/>
          <w:sz w:val="16"/>
          <w:szCs w:val="16"/>
          <w:i w:val="1"/>
          <w:iCs w:val="1"/>
          <w:color w:val="auto"/>
        </w:rPr>
        <w:t>.</w:t>
      </w:r>
      <w:r>
        <w:rPr>
          <w:rFonts w:ascii="Arial" w:cs="Arial" w:eastAsia="Arial" w:hAnsi="Arial"/>
          <w:sz w:val="16"/>
          <w:szCs w:val="16"/>
          <w:color w:val="auto"/>
        </w:rPr>
        <w:t xml:space="preserve"> The key concepts in IFRS 18 relate to the structure of the statement of profit and loss, required disclosures in the financial statements for certain management-defined performance measures and enhanced principles on aggregation and disaggregation which apply to the primary financial statements and notes in general.</w:t>
      </w:r>
    </w:p>
    <w:p>
      <w:pPr>
        <w:spacing w:after="0" w:line="65" w:lineRule="exact"/>
        <w:rPr>
          <w:sz w:val="20"/>
          <w:szCs w:val="20"/>
          <w:color w:val="auto"/>
        </w:rPr>
      </w:pPr>
    </w:p>
    <w:p>
      <w:pPr>
        <w:jc w:val="both"/>
        <w:ind w:left="66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IFRS 18 introduces new requirements for presentation within the statement of profit or loss, including specified totals and subtotals. Furthermore, entities are required to classify all income and expenses within the statement of profit and loss into one of five categories: operating, investing, financing, income taxes and discontinued operations, whereof the first three are new.</w:t>
      </w:r>
    </w:p>
    <w:p>
      <w:pPr>
        <w:spacing w:after="0" w:line="69"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It also requires disclosure of management-defined performance measures and subtotals of income and expenses and includes new requirements for aggregation and disaggregation of financial information based on the identified ‘roles’ of the primary financial statements and the notes.</w:t>
      </w:r>
    </w:p>
    <w:p>
      <w:pPr>
        <w:spacing w:after="0" w:line="47" w:lineRule="exact"/>
        <w:rPr>
          <w:rFonts w:ascii="Arial" w:cs="Arial" w:eastAsia="Arial" w:hAnsi="Arial"/>
          <w:sz w:val="16"/>
          <w:szCs w:val="16"/>
          <w:color w:val="auto"/>
        </w:rPr>
      </w:pPr>
    </w:p>
    <w:p>
      <w:pPr>
        <w:jc w:val="both"/>
        <w:ind w:left="660" w:hanging="328"/>
        <w:spacing w:after="0" w:line="267"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In addition, narrow-scope amendments have been made to IAS 7,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which include changing the starting point for determining cash flows from operations under the indirect method, from ‘profit or loss’ to ‘operating profit or loss’ and removing the optionality around classification of cash flows from dividends and interest. Interest paid will be presented as financing cash flows and interest received as investing cash flows, which is a change from current presentation as part of operating cash flows. In addition, there are consequential amendments to several other standards.</w:t>
      </w:r>
    </w:p>
    <w:p>
      <w:pPr>
        <w:spacing w:after="0" w:line="2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will adopt IFRS 18 effective January 1, 2027. Retrospective application is required, hence, the comparative information will be recast in accordance with IFRS 18. The Company is currently assessing the detailed implications of applying the new standard on the consolidated financial statements.</w:t>
      </w:r>
    </w:p>
    <w:p>
      <w:pPr>
        <w:spacing w:after="0" w:line="248" w:lineRule="exact"/>
        <w:rPr>
          <w:sz w:val="20"/>
          <w:szCs w:val="20"/>
          <w:color w:val="auto"/>
        </w:rPr>
      </w:pPr>
    </w:p>
    <w:p>
      <w:pPr>
        <w:jc w:val="both"/>
        <w:ind w:left="660" w:hanging="328"/>
        <w:spacing w:after="0" w:line="275"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Although the adoption of IFRS 18 has no impact on the Company’s net income, the Company expects that grouping items of income and expenses into the new categories may impact how operating profit is calculated and reported. For example, items currently in “Other income (expense), net” would be reclassified to “Other operating expenses”, “Other investing expenses” and “Other financing expenses” lines.</w:t>
      </w:r>
    </w:p>
    <w:p>
      <w:pPr>
        <w:spacing w:after="0" w:line="69"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does not expect a significant change in the information currently disclosed in the notes to the consolidated financial statements because the requirement to disclose material information remains unchanged. However, the way in which information is grouped may be changed and the new disclosure of management-defined performance measures is required.</w:t>
      </w:r>
    </w:p>
    <w:p>
      <w:pPr>
        <w:spacing w:after="0" w:line="7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first annual period of application of IFRS 18, disclosures are required for a reconciliation for each line item in the consolidated statement of operations between the stated amounts presented by applying IFRS 18 and the amounts previously presented applying IAS 1.</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the date the accompanying financial statements were authorized for issuance, the Company continues to evaluate the impact on its consolidated financial position and performance as a result of the initial adoption of the aforementioned standards or interpretations and related applicable periods.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Fair Value Option in Measuring Investment in Associate or Joint Venture - Amendments to IAS 28 — </w:t>
      </w:r>
      <w:r>
        <w:rPr>
          <w:rFonts w:ascii="Arial" w:cs="Arial" w:eastAsia="Arial" w:hAnsi="Arial"/>
          <w:sz w:val="16"/>
          <w:szCs w:val="16"/>
          <w:color w:val="auto"/>
        </w:rPr>
        <w:t>These amendments clarify the scope of entities</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that may elect to measure investments in associates and joint ventures at fair value through profit or loss, rather than applying the equity method. The fair value option is available to entities whose main business activity is investing in particular types of assets. The amendments are effective when IFRS 18 is adopted. The Company does not expect these amendments to have a material impact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indicated)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Net Revenue</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following table presents the Company’s revenue disaggregated based on revenue source, timing of revenue recognition and the end markets that we serve, for the three and nine month periods ended September 30, 2026 and 2025. The Company believes these categories best depict the nature and timing of revenue: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92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2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Nine Months Ended</w:t>
            </w:r>
          </w:p>
        </w:tc>
      </w:tr>
      <w:tr>
        <w:trPr>
          <w:trHeight w:val="223"/>
        </w:trPr>
        <w:tc>
          <w:tcPr>
            <w:tcW w:w="4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September 30</w:t>
            </w:r>
          </w:p>
        </w:tc>
        <w:tc>
          <w:tcPr>
            <w:tcW w:w="1140" w:type="dxa"/>
            <w:vAlign w:val="bottom"/>
          </w:tcPr>
          <w:p>
            <w:pPr>
              <w:spacing w:after="0"/>
              <w:rPr>
                <w:sz w:val="19"/>
                <w:szCs w:val="19"/>
                <w:color w:val="auto"/>
              </w:rPr>
            </w:pPr>
          </w:p>
        </w:tc>
      </w:tr>
      <w:tr>
        <w:trPr>
          <w:trHeight w:val="21"/>
        </w:trPr>
        <w:tc>
          <w:tcPr>
            <w:tcW w:w="4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9"/>
        </w:trPr>
        <w:tc>
          <w:tcPr>
            <w:tcW w:w="412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2026</w:t>
            </w:r>
          </w:p>
        </w:tc>
        <w:tc>
          <w:tcPr>
            <w:tcW w:w="580" w:type="dxa"/>
            <w:vAlign w:val="bottom"/>
          </w:tcPr>
          <w:p>
            <w:pPr>
              <w:spacing w:after="0"/>
              <w:rPr>
                <w:sz w:val="19"/>
                <w:szCs w:val="19"/>
                <w:color w:val="auto"/>
              </w:rPr>
            </w:pPr>
          </w:p>
        </w:tc>
        <w:tc>
          <w:tcPr>
            <w:tcW w:w="12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2025</w:t>
            </w:r>
          </w:p>
        </w:tc>
      </w:tr>
      <w:tr>
        <w:trPr>
          <w:trHeight w:val="21"/>
        </w:trPr>
        <w:tc>
          <w:tcPr>
            <w:tcW w:w="4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4120" w:type="dxa"/>
            <w:vAlign w:val="bottom"/>
            <w:shd w:val="clear" w:color="auto" w:fill="CCEEFF"/>
          </w:tcPr>
          <w:p>
            <w:pPr>
              <w:ind w:left="20"/>
              <w:spacing w:after="0" w:line="237" w:lineRule="exact"/>
              <w:rPr>
                <w:sz w:val="20"/>
                <w:szCs w:val="20"/>
                <w:color w:val="auto"/>
              </w:rPr>
            </w:pPr>
            <w:r>
              <w:rPr>
                <w:rFonts w:ascii="Arial" w:cs="Arial" w:eastAsia="Arial" w:hAnsi="Arial"/>
                <w:sz w:val="16"/>
                <w:szCs w:val="16"/>
                <w:color w:val="auto"/>
              </w:rPr>
              <w:t>Type of goods and services:</w:t>
            </w:r>
            <w:r>
              <w:rPr>
                <w:rFonts w:ascii="Arial" w:cs="Arial" w:eastAsia="Arial" w:hAnsi="Arial"/>
                <w:sz w:val="21"/>
                <w:szCs w:val="21"/>
                <w:color w:val="auto"/>
                <w:vertAlign w:val="superscript"/>
              </w:rPr>
              <w:t>(1)</w:t>
            </w:r>
          </w:p>
        </w:tc>
        <w:tc>
          <w:tcPr>
            <w:tcW w:w="1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7"/>
        </w:trPr>
        <w:tc>
          <w:tcPr>
            <w:tcW w:w="4120" w:type="dxa"/>
            <w:vAlign w:val="bottom"/>
          </w:tcPr>
          <w:p>
            <w:pPr>
              <w:ind w:left="20"/>
              <w:spacing w:after="0"/>
              <w:rPr>
                <w:sz w:val="20"/>
                <w:szCs w:val="20"/>
                <w:color w:val="auto"/>
              </w:rPr>
            </w:pPr>
            <w:r>
              <w:rPr>
                <w:rFonts w:ascii="Arial" w:cs="Arial" w:eastAsia="Arial" w:hAnsi="Arial"/>
                <w:sz w:val="16"/>
                <w:szCs w:val="16"/>
                <w:color w:val="auto"/>
              </w:rPr>
              <w:t>Manufacturing Services</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1,679</w:t>
            </w:r>
          </w:p>
        </w:tc>
        <w:tc>
          <w:tcPr>
            <w:tcW w:w="1220" w:type="dxa"/>
            <w:vAlign w:val="bottom"/>
            <w:gridSpan w:val="2"/>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1,491</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4,689</w:t>
            </w:r>
          </w:p>
        </w:tc>
        <w:tc>
          <w:tcPr>
            <w:tcW w:w="660" w:type="dxa"/>
            <w:vAlign w:val="bottom"/>
            <w:gridSpan w:val="2"/>
          </w:tcPr>
          <w:p>
            <w:pPr>
              <w:jc w:val="right"/>
              <w:ind w:right="3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4,410</w:t>
            </w:r>
          </w:p>
        </w:tc>
      </w:tr>
      <w:tr>
        <w:trPr>
          <w:trHeight w:val="29"/>
        </w:trPr>
        <w:tc>
          <w:tcPr>
            <w:tcW w:w="4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 Services</w:t>
            </w:r>
          </w:p>
        </w:tc>
        <w:tc>
          <w:tcPr>
            <w:tcW w:w="1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80" w:type="dxa"/>
            <w:vAlign w:val="bottom"/>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80" w:type="dxa"/>
            <w:vAlign w:val="bottom"/>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w:t>
            </w:r>
          </w:p>
        </w:tc>
      </w:tr>
      <w:tr>
        <w:trPr>
          <w:trHeight w:val="229"/>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1,899</w:t>
            </w:r>
          </w:p>
        </w:tc>
        <w:tc>
          <w:tcPr>
            <w:tcW w:w="80" w:type="dxa"/>
            <w:vAlign w:val="bottom"/>
          </w:tcPr>
          <w:p>
            <w:pPr>
              <w:spacing w:after="0"/>
              <w:rPr>
                <w:sz w:val="19"/>
                <w:szCs w:val="19"/>
                <w:color w:val="auto"/>
              </w:rPr>
            </w:pP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1,688</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5,319</w:t>
            </w: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4,961</w:t>
            </w:r>
          </w:p>
        </w:tc>
      </w:tr>
      <w:tr>
        <w:trPr>
          <w:trHeight w:val="21"/>
        </w:trPr>
        <w:tc>
          <w:tcPr>
            <w:tcW w:w="4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4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7"/>
        </w:trPr>
        <w:tc>
          <w:tcPr>
            <w:tcW w:w="4120" w:type="dxa"/>
            <w:vAlign w:val="bottom"/>
          </w:tcPr>
          <w:p>
            <w:pPr>
              <w:ind w:left="20"/>
              <w:spacing w:after="0"/>
              <w:rPr>
                <w:sz w:val="20"/>
                <w:szCs w:val="20"/>
                <w:color w:val="auto"/>
              </w:rPr>
            </w:pPr>
            <w:r>
              <w:rPr>
                <w:rFonts w:ascii="Arial" w:cs="Arial" w:eastAsia="Arial" w:hAnsi="Arial"/>
                <w:sz w:val="16"/>
                <w:szCs w:val="16"/>
                <w:color w:val="auto"/>
              </w:rPr>
              <w:t>Timing of revenue recognition:</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9"/>
        </w:trPr>
        <w:tc>
          <w:tcPr>
            <w:tcW w:w="4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recognized over time</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80" w:type="dxa"/>
            <w:vAlign w:val="bottom"/>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w:t>
            </w:r>
          </w:p>
        </w:tc>
      </w:tr>
      <w:tr>
        <w:trPr>
          <w:trHeight w:val="228"/>
        </w:trPr>
        <w:tc>
          <w:tcPr>
            <w:tcW w:w="4120" w:type="dxa"/>
            <w:vAlign w:val="bottom"/>
          </w:tcPr>
          <w:p>
            <w:pPr>
              <w:ind w:left="20"/>
              <w:spacing w:after="0"/>
              <w:rPr>
                <w:sz w:val="20"/>
                <w:szCs w:val="20"/>
                <w:color w:val="auto"/>
              </w:rPr>
            </w:pPr>
            <w:r>
              <w:rPr>
                <w:rFonts w:ascii="Arial" w:cs="Arial" w:eastAsia="Arial" w:hAnsi="Arial"/>
                <w:sz w:val="16"/>
                <w:szCs w:val="16"/>
                <w:color w:val="auto"/>
              </w:rPr>
              <w:t>Revenue recognized at a point in time</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1,719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4,822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4,512</w:t>
            </w:r>
          </w:p>
        </w:tc>
      </w:tr>
      <w:tr>
        <w:trPr>
          <w:trHeight w:val="29"/>
        </w:trPr>
        <w:tc>
          <w:tcPr>
            <w:tcW w:w="4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auto"/>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1,899</w:t>
            </w:r>
          </w:p>
        </w:tc>
        <w:tc>
          <w:tcPr>
            <w:tcW w:w="80" w:type="dxa"/>
            <w:vAlign w:val="bottom"/>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1,688</w:t>
            </w:r>
          </w:p>
        </w:tc>
        <w:tc>
          <w:tcPr>
            <w:tcW w:w="100" w:type="dxa"/>
            <w:vAlign w:val="bottom"/>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5,319</w:t>
            </w:r>
          </w:p>
        </w:tc>
        <w:tc>
          <w:tcPr>
            <w:tcW w:w="80" w:type="dxa"/>
            <w:vAlign w:val="bottom"/>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4,961</w:t>
            </w:r>
          </w:p>
        </w:tc>
      </w:tr>
      <w:tr>
        <w:trPr>
          <w:trHeight w:val="196"/>
        </w:trPr>
        <w:tc>
          <w:tcPr>
            <w:tcW w:w="4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37"/>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 Markets:</w:t>
            </w: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7"/>
        </w:trPr>
        <w:tc>
          <w:tcPr>
            <w:tcW w:w="4120" w:type="dxa"/>
            <w:vAlign w:val="bottom"/>
          </w:tcPr>
          <w:p>
            <w:pPr>
              <w:ind w:left="20"/>
              <w:spacing w:after="0"/>
              <w:rPr>
                <w:sz w:val="20"/>
                <w:szCs w:val="20"/>
                <w:color w:val="auto"/>
              </w:rPr>
            </w:pPr>
            <w:r>
              <w:rPr>
                <w:rFonts w:ascii="Arial" w:cs="Arial" w:eastAsia="Arial" w:hAnsi="Arial"/>
                <w:sz w:val="16"/>
                <w:szCs w:val="16"/>
                <w:color w:val="auto"/>
              </w:rPr>
              <w:t>Smart Mobile Devices</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611</w:t>
            </w:r>
          </w:p>
        </w:tc>
        <w:tc>
          <w:tcPr>
            <w:tcW w:w="1220" w:type="dxa"/>
            <w:vAlign w:val="bottom"/>
            <w:gridSpan w:val="2"/>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752</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1,813</w:t>
            </w:r>
          </w:p>
        </w:tc>
        <w:tc>
          <w:tcPr>
            <w:tcW w:w="660" w:type="dxa"/>
            <w:vAlign w:val="bottom"/>
            <w:gridSpan w:val="2"/>
          </w:tcPr>
          <w:p>
            <w:pPr>
              <w:jc w:val="right"/>
              <w:ind w:right="3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2,021</w:t>
            </w:r>
          </w:p>
        </w:tc>
      </w:tr>
      <w:tr>
        <w:trPr>
          <w:trHeight w:val="29"/>
        </w:trPr>
        <w:tc>
          <w:tcPr>
            <w:tcW w:w="4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Communications Infrastructure &amp; Data Center</w:t>
            </w: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80" w:type="dxa"/>
            <w:vAlign w:val="bottom"/>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80" w:type="dxa"/>
            <w:vAlign w:val="bottom"/>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w:t>
            </w:r>
          </w:p>
        </w:tc>
      </w:tr>
      <w:tr>
        <w:trPr>
          <w:trHeight w:val="228"/>
        </w:trPr>
        <w:tc>
          <w:tcPr>
            <w:tcW w:w="4120" w:type="dxa"/>
            <w:vAlign w:val="bottom"/>
          </w:tcPr>
          <w:p>
            <w:pPr>
              <w:ind w:left="20"/>
              <w:spacing w:after="0"/>
              <w:rPr>
                <w:sz w:val="20"/>
                <w:szCs w:val="20"/>
                <w:color w:val="auto"/>
              </w:rPr>
            </w:pPr>
            <w:r>
              <w:rPr>
                <w:rFonts w:ascii="Arial" w:cs="Arial" w:eastAsia="Arial" w:hAnsi="Arial"/>
                <w:sz w:val="16"/>
                <w:szCs w:val="16"/>
                <w:color w:val="auto"/>
              </w:rPr>
              <w:t>Home and Industrial IoT</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970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885</w:t>
            </w:r>
          </w:p>
        </w:tc>
      </w:tr>
      <w:tr>
        <w:trPr>
          <w:trHeight w:val="29"/>
        </w:trPr>
        <w:tc>
          <w:tcPr>
            <w:tcW w:w="4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Automotive</w:t>
            </w: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80" w:type="dxa"/>
            <w:vAlign w:val="bottom"/>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80" w:type="dxa"/>
            <w:vAlign w:val="bottom"/>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w:t>
            </w:r>
          </w:p>
        </w:tc>
      </w:tr>
      <w:tr>
        <w:trPr>
          <w:trHeight w:val="228"/>
        </w:trPr>
        <w:tc>
          <w:tcPr>
            <w:tcW w:w="4120" w:type="dxa"/>
            <w:vAlign w:val="bottom"/>
          </w:tcPr>
          <w:p>
            <w:pPr>
              <w:ind w:left="20"/>
              <w:spacing w:after="0"/>
              <w:rPr>
                <w:sz w:val="20"/>
                <w:szCs w:val="20"/>
                <w:color w:val="auto"/>
              </w:rPr>
            </w:pPr>
            <w:r>
              <w:rPr>
                <w:rFonts w:ascii="Arial" w:cs="Arial" w:eastAsia="Arial" w:hAnsi="Arial"/>
                <w:sz w:val="16"/>
                <w:szCs w:val="16"/>
                <w:color w:val="auto"/>
              </w:rPr>
              <w:t>Technology Services</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551</w:t>
            </w:r>
          </w:p>
        </w:tc>
      </w:tr>
      <w:tr>
        <w:trPr>
          <w:trHeight w:val="29"/>
        </w:trPr>
        <w:tc>
          <w:tcPr>
            <w:tcW w:w="4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auto"/>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1,899</w:t>
            </w:r>
          </w:p>
        </w:tc>
        <w:tc>
          <w:tcPr>
            <w:tcW w:w="80" w:type="dxa"/>
            <w:vAlign w:val="bottom"/>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1,688</w:t>
            </w:r>
          </w:p>
        </w:tc>
        <w:tc>
          <w:tcPr>
            <w:tcW w:w="100" w:type="dxa"/>
            <w:vAlign w:val="bottom"/>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5,319</w:t>
            </w:r>
          </w:p>
        </w:tc>
        <w:tc>
          <w:tcPr>
            <w:tcW w:w="80" w:type="dxa"/>
            <w:vAlign w:val="bottom"/>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4,961</w:t>
            </w:r>
          </w:p>
        </w:tc>
      </w:tr>
      <w:tr>
        <w:trPr>
          <w:trHeight w:val="20"/>
        </w:trPr>
        <w:tc>
          <w:tcPr>
            <w:tcW w:w="4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180" w:lineRule="exact"/>
        <w:rPr>
          <w:sz w:val="20"/>
          <w:szCs w:val="20"/>
          <w:color w:val="auto"/>
        </w:rPr>
      </w:pPr>
    </w:p>
    <w:p>
      <w:pPr>
        <w:jc w:val="both"/>
        <w:ind w:left="180" w:hanging="172"/>
        <w:spacing w:after="0" w:line="266" w:lineRule="auto"/>
        <w:tabs>
          <w:tab w:leader="none" w:pos="263" w:val="left"/>
        </w:tabs>
        <w:numPr>
          <w:ilvl w:val="0"/>
          <w:numId w:val="8"/>
        </w:numPr>
        <w:rPr>
          <w:rFonts w:ascii="Arial" w:cs="Arial" w:eastAsia="Arial" w:hAnsi="Arial"/>
          <w:sz w:val="9"/>
          <w:szCs w:val="9"/>
          <w:color w:val="auto"/>
        </w:rPr>
      </w:pPr>
      <w:r>
        <w:rPr>
          <w:rFonts w:ascii="Arial" w:cs="Arial" w:eastAsia="Arial" w:hAnsi="Arial"/>
          <w:sz w:val="14"/>
          <w:szCs w:val="14"/>
          <w:color w:val="auto"/>
        </w:rPr>
        <w:t>Effective January 1, 2026, the Company updated the terminology used to describe revenue categories. Revenue previously presented as "Wafer revenue" and "Non-wafer revenue" is now presented as "Manufacturing Services" and "Technology Services," respectively. Manufacturing Services include volume production and sales of finished semiconductor products. Technology Services include non-recurring engineering services, mask production, process qualification, post-fabrication services such as bump, test and packaging, and revenue from intellectual property licenses, related royalties and other items. We believe these categories better reflect the depth and breadth of our business model today. This change in presentation does not impact the composition of revenue, total revenue reported or revenue recognition policies. Prior periods have been conformed to the current period presentation.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Business Combination</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Acquisition of Synopsys, Inc.’s (“Synopsys”) ARC Processor IP Solutions business – </w:t>
      </w:r>
      <w:r>
        <w:rPr>
          <w:rFonts w:ascii="Arial" w:cs="Arial" w:eastAsia="Arial" w:hAnsi="Arial"/>
          <w:sz w:val="16"/>
          <w:szCs w:val="16"/>
          <w:color w:val="auto"/>
        </w:rPr>
        <w:t>On June 1, 2026, the Company completed its acquisition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Synopsys’ ARC Processor IP Solutions business and a team of engineers and designers. This strategic acquisition builds on the differentiated capabilities the Company gained through the MIPS acquisition by expanding our RISC-V and custom processor IP portfolio and software tools and accelerates time-to-market for custom silicon solutions.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20"/>
                <w:szCs w:val="20"/>
                <w:color w:val="auto"/>
              </w:rPr>
            </w:pPr>
            <w:r>
              <w:rPr>
                <w:rFonts w:ascii="Arial" w:cs="Arial" w:eastAsia="Arial" w:hAnsi="Arial"/>
                <w:sz w:val="16"/>
                <w:szCs w:val="16"/>
                <w:color w:val="auto"/>
              </w:rPr>
              <w:t>Details of the purchase consideration:</w:t>
            </w:r>
          </w:p>
        </w:tc>
        <w:tc>
          <w:tcPr>
            <w:tcW w:w="8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359"/>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24"/>
                <w:szCs w:val="24"/>
                <w:color w:val="auto"/>
              </w:rPr>
            </w:pPr>
          </w:p>
        </w:tc>
        <w:tc>
          <w:tcPr>
            <w:tcW w:w="2920" w:type="dxa"/>
            <w:vAlign w:val="bottom"/>
          </w:tcPr>
          <w:p>
            <w:pPr>
              <w:jc w:val="right"/>
              <w:ind w:right="1499"/>
              <w:spacing w:after="0"/>
              <w:rPr>
                <w:sz w:val="20"/>
                <w:szCs w:val="20"/>
                <w:color w:val="auto"/>
              </w:rPr>
            </w:pPr>
            <w:r>
              <w:rPr>
                <w:rFonts w:ascii="Arial" w:cs="Arial" w:eastAsia="Arial" w:hAnsi="Arial"/>
                <w:sz w:val="16"/>
                <w:szCs w:val="16"/>
                <w:b w:val="1"/>
                <w:bCs w:val="1"/>
                <w:color w:val="auto"/>
              </w:rPr>
              <w:t>Amount</w:t>
            </w:r>
          </w:p>
        </w:tc>
      </w:tr>
      <w:tr>
        <w:trPr>
          <w:trHeight w:val="21"/>
        </w:trPr>
        <w:tc>
          <w:tcPr>
            <w:tcW w:w="7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r>
      <w:tr>
        <w:trPr>
          <w:trHeight w:val="23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w:t>
            </w: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Contingent consideration</w:t>
            </w:r>
          </w:p>
        </w:tc>
        <w:tc>
          <w:tcPr>
            <w:tcW w:w="860" w:type="dxa"/>
            <w:vAlign w:val="bottom"/>
          </w:tcPr>
          <w:p>
            <w:pPr>
              <w:spacing w:after="0"/>
              <w:rPr>
                <w:sz w:val="19"/>
                <w:szCs w:val="19"/>
                <w:color w:val="auto"/>
              </w:rPr>
            </w:pPr>
          </w:p>
        </w:tc>
        <w:tc>
          <w:tcPr>
            <w:tcW w:w="29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9"/>
        </w:trPr>
        <w:tc>
          <w:tcPr>
            <w:tcW w:w="7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Replacement share-based payment awards</w:t>
            </w:r>
          </w:p>
        </w:tc>
        <w:tc>
          <w:tcPr>
            <w:tcW w:w="86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21"/>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Total purchase consideration</w:t>
            </w: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2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w:t>
            </w:r>
          </w:p>
        </w:tc>
      </w:tr>
      <w:tr>
        <w:trPr>
          <w:trHeight w:val="29"/>
        </w:trPr>
        <w:tc>
          <w:tcPr>
            <w:tcW w:w="74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fair value of consideration transferred was determined by the Company with the assistance of an independent appraiser as part of the purchase price allocation. The contingent consideration was settled during the three months ended September 30, 2026.</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indicated)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20"/>
                <w:szCs w:val="20"/>
                <w:color w:val="auto"/>
              </w:rPr>
            </w:pPr>
            <w:r>
              <w:rPr>
                <w:rFonts w:ascii="Arial" w:cs="Arial" w:eastAsia="Arial" w:hAnsi="Arial"/>
                <w:sz w:val="16"/>
                <w:szCs w:val="16"/>
                <w:color w:val="auto"/>
              </w:rPr>
              <w:t>Assets acquired and liabilities assumed at the date of acquisition are as follows:</w:t>
            </w:r>
          </w:p>
        </w:tc>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508"/>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24"/>
                <w:szCs w:val="24"/>
                <w:color w:val="auto"/>
              </w:rPr>
            </w:pPr>
          </w:p>
        </w:tc>
        <w:tc>
          <w:tcPr>
            <w:tcW w:w="2960" w:type="dxa"/>
            <w:vAlign w:val="bottom"/>
          </w:tcPr>
          <w:p>
            <w:pPr>
              <w:jc w:val="right"/>
              <w:ind w:right="1439"/>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7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r>
      <w:tr>
        <w:trPr>
          <w:trHeight w:val="21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20" w:type="dxa"/>
            <w:vAlign w:val="bottom"/>
            <w:tcBorders>
              <w:bottom w:val="single" w:sz="8" w:color="CCEEFF"/>
            </w:tcBorders>
            <w:shd w:val="clear" w:color="auto" w:fill="CCEEFF"/>
          </w:tcPr>
          <w:p>
            <w:pPr>
              <w:spacing w:after="0"/>
              <w:rPr>
                <w:sz w:val="18"/>
                <w:szCs w:val="18"/>
                <w:color w:val="auto"/>
              </w:rPr>
            </w:pPr>
          </w:p>
        </w:tc>
        <w:tc>
          <w:tcPr>
            <w:tcW w:w="2960" w:type="dxa"/>
            <w:vAlign w:val="bottom"/>
            <w:tcBorders>
              <w:bottom w:val="single" w:sz="8" w:color="CCEEFF"/>
            </w:tcBorders>
            <w:shd w:val="clear" w:color="auto" w:fill="CCEEFF"/>
          </w:tcPr>
          <w:p>
            <w:pPr>
              <w:spacing w:after="0"/>
              <w:rPr>
                <w:sz w:val="18"/>
                <w:szCs w:val="18"/>
                <w:color w:val="auto"/>
              </w:rPr>
            </w:pPr>
          </w:p>
        </w:tc>
      </w:tr>
      <w:tr>
        <w:trPr>
          <w:trHeight w:val="227"/>
        </w:trPr>
        <w:tc>
          <w:tcPr>
            <w:tcW w:w="74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29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9"/>
        </w:trPr>
        <w:tc>
          <w:tcPr>
            <w:tcW w:w="7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3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8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82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9"/>
        </w:trPr>
        <w:tc>
          <w:tcPr>
            <w:tcW w:w="7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3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In-process research and development</w:t>
            </w:r>
          </w:p>
        </w:tc>
        <w:tc>
          <w:tcPr>
            <w:tcW w:w="8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27"/>
        </w:trPr>
        <w:tc>
          <w:tcPr>
            <w:tcW w:w="74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82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9"/>
        </w:trPr>
        <w:tc>
          <w:tcPr>
            <w:tcW w:w="7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3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8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82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9"/>
        </w:trPr>
        <w:tc>
          <w:tcPr>
            <w:tcW w:w="7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3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8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
        </w:trPr>
        <w:tc>
          <w:tcPr>
            <w:tcW w:w="7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Net identifiable assets acquired</w:t>
            </w:r>
          </w:p>
        </w:tc>
        <w:tc>
          <w:tcPr>
            <w:tcW w:w="1780" w:type="dxa"/>
            <w:vAlign w:val="bottom"/>
          </w:tcPr>
          <w:p>
            <w:pPr>
              <w:jc w:val="right"/>
              <w:ind w:right="1579"/>
              <w:spacing w:after="0"/>
              <w:rPr>
                <w:sz w:val="20"/>
                <w:szCs w:val="20"/>
                <w:color w:val="auto"/>
              </w:rPr>
            </w:pPr>
            <w:r>
              <w:rPr>
                <w:rFonts w:ascii="Arial" w:cs="Arial" w:eastAsia="Arial" w:hAnsi="Arial"/>
                <w:sz w:val="16"/>
                <w:szCs w:val="16"/>
                <w:b w:val="1"/>
                <w:bCs w:val="1"/>
                <w:color w:val="auto"/>
              </w:rPr>
              <w:t>$</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241</w:t>
            </w:r>
          </w:p>
        </w:tc>
      </w:tr>
      <w:tr>
        <w:trPr>
          <w:trHeight w:val="21"/>
        </w:trPr>
        <w:tc>
          <w:tcPr>
            <w:tcW w:w="746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50"/>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Goodwill</w:t>
            </w:r>
            <w:r>
              <w:rPr>
                <w:rFonts w:ascii="Arial" w:cs="Arial" w:eastAsia="Arial" w:hAnsi="Arial"/>
                <w:sz w:val="21"/>
                <w:szCs w:val="21"/>
                <w:color w:val="auto"/>
                <w:vertAlign w:val="superscript"/>
              </w:rPr>
              <w:t>(1)</w:t>
            </w:r>
          </w:p>
        </w:tc>
        <w:tc>
          <w:tcPr>
            <w:tcW w:w="1780" w:type="dxa"/>
            <w:vAlign w:val="bottom"/>
            <w:tcBorders>
              <w:bottom w:val="single" w:sz="8" w:color="auto"/>
            </w:tcBorders>
            <w:shd w:val="clear" w:color="auto" w:fill="CCEEFF"/>
          </w:tcPr>
          <w:p>
            <w:pPr>
              <w:jc w:val="right"/>
              <w:ind w:right="157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r>
      <w:tr>
        <w:trPr>
          <w:trHeight w:val="229"/>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1780" w:type="dxa"/>
            <w:vAlign w:val="bottom"/>
          </w:tcPr>
          <w:p>
            <w:pPr>
              <w:jc w:val="right"/>
              <w:ind w:right="1579"/>
              <w:spacing w:after="0"/>
              <w:rPr>
                <w:sz w:val="20"/>
                <w:szCs w:val="20"/>
                <w:color w:val="auto"/>
              </w:rPr>
            </w:pPr>
            <w:r>
              <w:rPr>
                <w:rFonts w:ascii="Arial" w:cs="Arial" w:eastAsia="Arial" w:hAnsi="Arial"/>
                <w:sz w:val="16"/>
                <w:szCs w:val="16"/>
                <w:b w:val="1"/>
                <w:bCs w:val="1"/>
                <w:color w:val="auto"/>
              </w:rPr>
              <w:t>$</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455</w:t>
            </w:r>
          </w:p>
        </w:tc>
      </w:tr>
      <w:tr>
        <w:trPr>
          <w:trHeight w:val="21"/>
        </w:trPr>
        <w:tc>
          <w:tcPr>
            <w:tcW w:w="74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80" w:hanging="172"/>
        <w:spacing w:after="0" w:line="305" w:lineRule="auto"/>
        <w:tabs>
          <w:tab w:leader="none" w:pos="317" w:val="left"/>
        </w:tabs>
        <w:numPr>
          <w:ilvl w:val="0"/>
          <w:numId w:val="9"/>
        </w:numPr>
        <w:rPr>
          <w:rFonts w:ascii="Arial" w:cs="Arial" w:eastAsia="Arial" w:hAnsi="Arial"/>
          <w:sz w:val="9"/>
          <w:szCs w:val="9"/>
          <w:color w:val="auto"/>
        </w:rPr>
      </w:pPr>
      <w:r>
        <w:rPr>
          <w:rFonts w:ascii="Arial" w:cs="Arial" w:eastAsia="Arial" w:hAnsi="Arial"/>
          <w:sz w:val="14"/>
          <w:szCs w:val="14"/>
          <w:color w:val="auto"/>
        </w:rPr>
        <w:t>Goodwill is mainly attributable to the workforce, synergies, and expected future growth potential from access to new markets. Goodwill recognized is expected to be deductible for income tax purposes.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fair value of certain identifiable assets and liabilities relating to deferred revenue and deferred tax assets have been determined provisionally and are subject to adjustments as we obtain additional information. Any adjustments to the purchase price allocation will be made as soon as practicable, but no later than one year from the acquisition date.</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valuation of acquired intangible assets consisting of the developed technology, in-process research and development (“IPR&amp;D”), and customer relationships were determined based on management’s estimates and consultation with an independent appraiser. The fair value of developed technology and IPR&amp;D were estimated using the relief from royalty method, while the customer relationships were measured at fair value using the multi-period excess earnings method. The valuation of the intangible assets required management to make significant estimates and assumptions, which included the expected revenue growth rates and EBITDA margin, customer attrition rates, royalty rates and discount rates applied to future cash flows.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Acquisition of Advanced Micro Foundry Pte. Ltd. – </w:t>
      </w:r>
      <w:r>
        <w:rPr>
          <w:rFonts w:ascii="Arial" w:cs="Arial" w:eastAsia="Arial" w:hAnsi="Arial"/>
          <w:sz w:val="16"/>
          <w:szCs w:val="16"/>
          <w:color w:val="auto"/>
        </w:rPr>
        <w:t>On November 18, 2025, the Company completed its acquisition of Advanced Micro Foundry Pte. Ltd.</w:t>
      </w:r>
      <w:r>
        <w:rPr>
          <w:rFonts w:ascii="Arial" w:cs="Arial" w:eastAsia="Arial" w:hAnsi="Arial"/>
          <w:sz w:val="16"/>
          <w:szCs w:val="16"/>
          <w:b w:val="1"/>
          <w:bCs w:val="1"/>
          <w:color w:val="auto"/>
        </w:rPr>
        <w:t xml:space="preserve"> </w:t>
      </w:r>
      <w:r>
        <w:rPr>
          <w:rFonts w:ascii="Arial" w:cs="Arial" w:eastAsia="Arial" w:hAnsi="Arial"/>
          <w:sz w:val="16"/>
          <w:szCs w:val="16"/>
          <w:color w:val="auto"/>
        </w:rPr>
        <w:t>(“AMF”). AMF is a pioneering silicon photonics foundry based in Singapore. The acquisition is expected to enhance the Company’s scale, differentiation and customer base in silicon photonics and optical networking.</w:t>
      </w:r>
    </w:p>
    <w:p>
      <w:pPr>
        <w:spacing w:after="0" w:line="8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total purchase consideration was $453 million in cash paid on the closing date. The Company engaged an independent appraiser to assist in determining the fair values of the acquired assets and assumed liabilities as part of the purchase price allocation.</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20"/>
                <w:szCs w:val="20"/>
                <w:color w:val="auto"/>
              </w:rPr>
            </w:pPr>
            <w:r>
              <w:rPr>
                <w:rFonts w:ascii="Arial" w:cs="Arial" w:eastAsia="Arial" w:hAnsi="Arial"/>
                <w:sz w:val="16"/>
                <w:szCs w:val="16"/>
                <w:color w:val="auto"/>
              </w:rPr>
              <w:t>Assets acquired and liabilities assumed at the date of acquisition are as follows:</w:t>
            </w:r>
          </w:p>
        </w:tc>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64"/>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23"/>
                <w:szCs w:val="23"/>
                <w:color w:val="auto"/>
              </w:rPr>
            </w:pPr>
          </w:p>
        </w:tc>
        <w:tc>
          <w:tcPr>
            <w:tcW w:w="2960" w:type="dxa"/>
            <w:vAlign w:val="bottom"/>
          </w:tcPr>
          <w:p>
            <w:pPr>
              <w:ind w:left="700"/>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7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r>
      <w:tr>
        <w:trPr>
          <w:trHeight w:val="21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20" w:type="dxa"/>
            <w:vAlign w:val="bottom"/>
            <w:tcBorders>
              <w:bottom w:val="single" w:sz="8" w:color="CCEEFF"/>
            </w:tcBorders>
            <w:shd w:val="clear" w:color="auto" w:fill="CCEEFF"/>
          </w:tcPr>
          <w:p>
            <w:pPr>
              <w:spacing w:after="0"/>
              <w:rPr>
                <w:sz w:val="18"/>
                <w:szCs w:val="18"/>
                <w:color w:val="auto"/>
              </w:rPr>
            </w:pPr>
          </w:p>
        </w:tc>
        <w:tc>
          <w:tcPr>
            <w:tcW w:w="2960" w:type="dxa"/>
            <w:vAlign w:val="bottom"/>
            <w:tcBorders>
              <w:bottom w:val="single" w:sz="8" w:color="CCEEFF"/>
            </w:tcBorders>
            <w:shd w:val="clear" w:color="auto" w:fill="CCEEFF"/>
          </w:tcPr>
          <w:p>
            <w:pPr>
              <w:spacing w:after="0"/>
              <w:rPr>
                <w:sz w:val="18"/>
                <w:szCs w:val="18"/>
                <w:color w:val="auto"/>
              </w:rPr>
            </w:pP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2960" w:type="dxa"/>
            <w:vAlign w:val="bottom"/>
          </w:tcPr>
          <w:p>
            <w:pPr>
              <w:jc w:val="center"/>
              <w:ind w:left="2539"/>
              <w:spacing w:after="0"/>
              <w:rPr>
                <w:sz w:val="20"/>
                <w:szCs w:val="20"/>
                <w:color w:val="auto"/>
              </w:rPr>
            </w:pPr>
            <w:r>
              <w:rPr>
                <w:rFonts w:ascii="Arial" w:cs="Arial" w:eastAsia="Arial" w:hAnsi="Arial"/>
                <w:sz w:val="16"/>
                <w:szCs w:val="16"/>
                <w:color w:val="auto"/>
              </w:rPr>
              <w:t>87</w:t>
            </w:r>
          </w:p>
        </w:tc>
      </w:tr>
      <w:tr>
        <w:trPr>
          <w:trHeight w:val="29"/>
        </w:trPr>
        <w:tc>
          <w:tcPr>
            <w:tcW w:w="7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3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8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jc w:val="center"/>
              <w:ind w:left="2539"/>
              <w:spacing w:after="0"/>
              <w:rPr>
                <w:sz w:val="20"/>
                <w:szCs w:val="20"/>
                <w:color w:val="auto"/>
              </w:rPr>
            </w:pPr>
            <w:r>
              <w:rPr>
                <w:rFonts w:ascii="Arial" w:cs="Arial" w:eastAsia="Arial" w:hAnsi="Arial"/>
                <w:sz w:val="16"/>
                <w:szCs w:val="16"/>
                <w:color w:val="auto"/>
              </w:rPr>
              <w:t>36</w:t>
            </w: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820" w:type="dxa"/>
            <w:vAlign w:val="bottom"/>
          </w:tcPr>
          <w:p>
            <w:pPr>
              <w:spacing w:after="0"/>
              <w:rPr>
                <w:sz w:val="19"/>
                <w:szCs w:val="19"/>
                <w:color w:val="auto"/>
              </w:rPr>
            </w:pPr>
          </w:p>
        </w:tc>
        <w:tc>
          <w:tcPr>
            <w:tcW w:w="2960" w:type="dxa"/>
            <w:vAlign w:val="bottom"/>
          </w:tcPr>
          <w:p>
            <w:pPr>
              <w:jc w:val="center"/>
              <w:ind w:left="2539"/>
              <w:spacing w:after="0"/>
              <w:rPr>
                <w:sz w:val="20"/>
                <w:szCs w:val="20"/>
                <w:color w:val="auto"/>
              </w:rPr>
            </w:pPr>
            <w:r>
              <w:rPr>
                <w:rFonts w:ascii="Arial" w:cs="Arial" w:eastAsia="Arial" w:hAnsi="Arial"/>
                <w:sz w:val="16"/>
                <w:szCs w:val="16"/>
                <w:color w:val="auto"/>
              </w:rPr>
              <w:t>74</w:t>
            </w:r>
          </w:p>
        </w:tc>
      </w:tr>
      <w:tr>
        <w:trPr>
          <w:trHeight w:val="29"/>
        </w:trPr>
        <w:tc>
          <w:tcPr>
            <w:tcW w:w="7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3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In-process research and development</w:t>
            </w:r>
          </w:p>
        </w:tc>
        <w:tc>
          <w:tcPr>
            <w:tcW w:w="8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jc w:val="center"/>
              <w:ind w:left="2539"/>
              <w:spacing w:after="0"/>
              <w:rPr>
                <w:sz w:val="20"/>
                <w:szCs w:val="20"/>
                <w:color w:val="auto"/>
              </w:rPr>
            </w:pPr>
            <w:r>
              <w:rPr>
                <w:rFonts w:ascii="Arial" w:cs="Arial" w:eastAsia="Arial" w:hAnsi="Arial"/>
                <w:sz w:val="16"/>
                <w:szCs w:val="16"/>
                <w:color w:val="auto"/>
              </w:rPr>
              <w:t>63</w:t>
            </w: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820" w:type="dxa"/>
            <w:vAlign w:val="bottom"/>
          </w:tcPr>
          <w:p>
            <w:pPr>
              <w:spacing w:after="0"/>
              <w:rPr>
                <w:sz w:val="19"/>
                <w:szCs w:val="19"/>
                <w:color w:val="auto"/>
              </w:rPr>
            </w:pPr>
          </w:p>
        </w:tc>
        <w:tc>
          <w:tcPr>
            <w:tcW w:w="2960" w:type="dxa"/>
            <w:vAlign w:val="bottom"/>
          </w:tcPr>
          <w:p>
            <w:pPr>
              <w:jc w:val="center"/>
              <w:ind w:left="2539"/>
              <w:spacing w:after="0"/>
              <w:rPr>
                <w:sz w:val="20"/>
                <w:szCs w:val="20"/>
                <w:color w:val="auto"/>
              </w:rPr>
            </w:pPr>
            <w:r>
              <w:rPr>
                <w:rFonts w:ascii="Arial" w:cs="Arial" w:eastAsia="Arial" w:hAnsi="Arial"/>
                <w:sz w:val="16"/>
                <w:szCs w:val="16"/>
                <w:color w:val="auto"/>
              </w:rPr>
              <w:t>66</w:t>
            </w:r>
          </w:p>
        </w:tc>
      </w:tr>
      <w:tr>
        <w:trPr>
          <w:trHeight w:val="29"/>
        </w:trPr>
        <w:tc>
          <w:tcPr>
            <w:tcW w:w="7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3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8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820" w:type="dxa"/>
            <w:vAlign w:val="bottom"/>
          </w:tcPr>
          <w:p>
            <w:pPr>
              <w:spacing w:after="0"/>
              <w:rPr>
                <w:sz w:val="19"/>
                <w:szCs w:val="19"/>
                <w:color w:val="auto"/>
              </w:rPr>
            </w:pPr>
          </w:p>
        </w:tc>
        <w:tc>
          <w:tcPr>
            <w:tcW w:w="2960" w:type="dxa"/>
            <w:vAlign w:val="bottom"/>
          </w:tcPr>
          <w:p>
            <w:pPr>
              <w:jc w:val="center"/>
              <w:ind w:left="2539"/>
              <w:spacing w:after="0"/>
              <w:rPr>
                <w:sz w:val="20"/>
                <w:szCs w:val="20"/>
                <w:color w:val="auto"/>
              </w:rPr>
            </w:pPr>
            <w:r>
              <w:rPr>
                <w:rFonts w:ascii="Arial" w:cs="Arial" w:eastAsia="Arial" w:hAnsi="Arial"/>
                <w:sz w:val="16"/>
                <w:szCs w:val="16"/>
                <w:color w:val="auto"/>
              </w:rPr>
              <w:t>(17)</w:t>
            </w:r>
          </w:p>
        </w:tc>
      </w:tr>
      <w:tr>
        <w:trPr>
          <w:trHeight w:val="29"/>
        </w:trPr>
        <w:tc>
          <w:tcPr>
            <w:tcW w:w="7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3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8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jc w:val="center"/>
              <w:ind w:left="2539"/>
              <w:spacing w:after="0"/>
              <w:rPr>
                <w:sz w:val="20"/>
                <w:szCs w:val="20"/>
                <w:color w:val="auto"/>
              </w:rPr>
            </w:pPr>
            <w:r>
              <w:rPr>
                <w:rFonts w:ascii="Arial" w:cs="Arial" w:eastAsia="Arial" w:hAnsi="Arial"/>
                <w:sz w:val="16"/>
                <w:szCs w:val="16"/>
                <w:color w:val="auto"/>
              </w:rPr>
              <w:t>(30)</w:t>
            </w:r>
          </w:p>
        </w:tc>
      </w:tr>
      <w:tr>
        <w:trPr>
          <w:trHeight w:val="20"/>
        </w:trPr>
        <w:tc>
          <w:tcPr>
            <w:tcW w:w="7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Net identifiable assets acquired</w:t>
            </w:r>
          </w:p>
        </w:tc>
        <w:tc>
          <w:tcPr>
            <w:tcW w:w="1780" w:type="dxa"/>
            <w:vAlign w:val="bottom"/>
          </w:tcPr>
          <w:p>
            <w:pPr>
              <w:jc w:val="right"/>
              <w:ind w:right="1579"/>
              <w:spacing w:after="0"/>
              <w:rPr>
                <w:sz w:val="20"/>
                <w:szCs w:val="20"/>
                <w:color w:val="auto"/>
              </w:rPr>
            </w:pPr>
            <w:r>
              <w:rPr>
                <w:rFonts w:ascii="Arial" w:cs="Arial" w:eastAsia="Arial" w:hAnsi="Arial"/>
                <w:sz w:val="16"/>
                <w:szCs w:val="16"/>
                <w:b w:val="1"/>
                <w:bCs w:val="1"/>
                <w:color w:val="auto"/>
              </w:rPr>
              <w:t>$</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279</w:t>
            </w:r>
          </w:p>
        </w:tc>
      </w:tr>
      <w:tr>
        <w:trPr>
          <w:trHeight w:val="21"/>
        </w:trPr>
        <w:tc>
          <w:tcPr>
            <w:tcW w:w="746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50"/>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Goodwill</w:t>
            </w:r>
            <w:r>
              <w:rPr>
                <w:rFonts w:ascii="Arial" w:cs="Arial" w:eastAsia="Arial" w:hAnsi="Arial"/>
                <w:sz w:val="21"/>
                <w:szCs w:val="21"/>
                <w:color w:val="auto"/>
                <w:vertAlign w:val="superscript"/>
              </w:rPr>
              <w:t>(1)</w:t>
            </w:r>
          </w:p>
        </w:tc>
        <w:tc>
          <w:tcPr>
            <w:tcW w:w="1780" w:type="dxa"/>
            <w:vAlign w:val="bottom"/>
            <w:tcBorders>
              <w:bottom w:val="single" w:sz="8" w:color="auto"/>
            </w:tcBorders>
            <w:shd w:val="clear" w:color="auto" w:fill="CCEEFF"/>
          </w:tcPr>
          <w:p>
            <w:pPr>
              <w:jc w:val="right"/>
              <w:ind w:right="157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29"/>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1780" w:type="dxa"/>
            <w:vAlign w:val="bottom"/>
          </w:tcPr>
          <w:p>
            <w:pPr>
              <w:jc w:val="right"/>
              <w:ind w:right="1579"/>
              <w:spacing w:after="0"/>
              <w:rPr>
                <w:sz w:val="20"/>
                <w:szCs w:val="20"/>
                <w:color w:val="auto"/>
              </w:rPr>
            </w:pPr>
            <w:r>
              <w:rPr>
                <w:rFonts w:ascii="Arial" w:cs="Arial" w:eastAsia="Arial" w:hAnsi="Arial"/>
                <w:sz w:val="16"/>
                <w:szCs w:val="16"/>
                <w:b w:val="1"/>
                <w:bCs w:val="1"/>
                <w:color w:val="auto"/>
              </w:rPr>
              <w:t>$</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453</w:t>
            </w:r>
          </w:p>
        </w:tc>
      </w:tr>
      <w:tr>
        <w:trPr>
          <w:trHeight w:val="21"/>
        </w:trPr>
        <w:tc>
          <w:tcPr>
            <w:tcW w:w="74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80" w:hanging="172"/>
        <w:spacing w:after="0" w:line="222" w:lineRule="auto"/>
        <w:tabs>
          <w:tab w:leader="none" w:pos="249"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Goodwill is mainly attributable to the workforce, synergies, and expected future growth potential from access to new markets. Goodwill recognized will not be deductible for income tax purposes.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indicated)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fair value of certain identifiable assets and liabilities relating to working capital adjustments and deferred tax liabilities have been determined provisionally and are subject to adjustments as we obtain additional information. Any adjustments to the purchase price allocation will be made as soon as practicable, but no later than one year from the acquisition date.</w:t>
      </w:r>
    </w:p>
    <w:p>
      <w:pPr>
        <w:spacing w:after="0" w:line="6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valuation of acquired intangible assets consisting of the developed technology, IPR&amp;D and customer relationships were determined based on management’s estimates and consultation with an independent appraiser. The fair value of developed technology and IPR&amp;D was estimated using the relief from royalty method, while the customer relationships were measured at fair value using the multiperiod excess earnings method. The valuation of the intangible assets required management to make significant estimates and assumptions, which included the future cash flows, expected revenue growth rates, royalty rates, technology migration curve and discount rate applied to future cash flows.</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 xml:space="preserve">Acquisition of MIPS Holdings Inc. – </w:t>
      </w:r>
      <w:r>
        <w:rPr>
          <w:rFonts w:ascii="Arial" w:cs="Arial" w:eastAsia="Arial" w:hAnsi="Arial"/>
          <w:sz w:val="16"/>
          <w:szCs w:val="16"/>
          <w:color w:val="auto"/>
        </w:rPr>
        <w:t>On August 13, 2025, the Company completed its acquisition of MIPS Holdings Inc. ("MIPS"). MIPS is a leading</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of computing subsystems for autonomous platforms serving the automotive, industrial, and embedded markets. The acquisition is expected to expand the Company’s portfolio of customizable intellectual property (“IP”) offerings and enhance the Company's ability to differentiate its process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20"/>
                <w:szCs w:val="20"/>
                <w:color w:val="auto"/>
              </w:rPr>
            </w:pPr>
            <w:r>
              <w:rPr>
                <w:rFonts w:ascii="Arial" w:cs="Arial" w:eastAsia="Arial" w:hAnsi="Arial"/>
                <w:sz w:val="16"/>
                <w:szCs w:val="16"/>
                <w:color w:val="auto"/>
              </w:rPr>
              <w:t>technologies through advanced IP and software capabilities.</w:t>
            </w:r>
          </w:p>
        </w:tc>
        <w:tc>
          <w:tcPr>
            <w:tcW w:w="8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85"/>
        </w:trPr>
        <w:tc>
          <w:tcPr>
            <w:tcW w:w="7460" w:type="dxa"/>
            <w:vAlign w:val="bottom"/>
          </w:tcPr>
          <w:p>
            <w:pPr>
              <w:spacing w:after="0"/>
              <w:rPr>
                <w:sz w:val="20"/>
                <w:szCs w:val="20"/>
                <w:color w:val="auto"/>
              </w:rPr>
            </w:pPr>
            <w:r>
              <w:rPr>
                <w:rFonts w:ascii="Arial" w:cs="Arial" w:eastAsia="Arial" w:hAnsi="Arial"/>
                <w:sz w:val="16"/>
                <w:szCs w:val="16"/>
                <w:color w:val="auto"/>
              </w:rPr>
              <w:t>Details of the purchase consideration:</w:t>
            </w:r>
          </w:p>
        </w:tc>
        <w:tc>
          <w:tcPr>
            <w:tcW w:w="8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59"/>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24"/>
                <w:szCs w:val="24"/>
                <w:color w:val="auto"/>
              </w:rPr>
            </w:pPr>
          </w:p>
        </w:tc>
        <w:tc>
          <w:tcPr>
            <w:tcW w:w="2920" w:type="dxa"/>
            <w:vAlign w:val="bottom"/>
          </w:tcPr>
          <w:p>
            <w:pPr>
              <w:jc w:val="right"/>
              <w:ind w:right="1499"/>
              <w:spacing w:after="0"/>
              <w:rPr>
                <w:sz w:val="20"/>
                <w:szCs w:val="20"/>
                <w:color w:val="auto"/>
              </w:rPr>
            </w:pPr>
            <w:r>
              <w:rPr>
                <w:rFonts w:ascii="Arial" w:cs="Arial" w:eastAsia="Arial" w:hAnsi="Arial"/>
                <w:sz w:val="16"/>
                <w:szCs w:val="16"/>
                <w:b w:val="1"/>
                <w:bCs w:val="1"/>
                <w:color w:val="auto"/>
              </w:rPr>
              <w:t>Amount</w:t>
            </w:r>
          </w:p>
        </w:tc>
      </w:tr>
      <w:tr>
        <w:trPr>
          <w:trHeight w:val="21"/>
        </w:trPr>
        <w:tc>
          <w:tcPr>
            <w:tcW w:w="7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r>
      <w:tr>
        <w:trPr>
          <w:trHeight w:val="23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Replacement share-based payment awards</w:t>
            </w:r>
          </w:p>
        </w:tc>
        <w:tc>
          <w:tcPr>
            <w:tcW w:w="860" w:type="dxa"/>
            <w:vAlign w:val="bottom"/>
          </w:tcPr>
          <w:p>
            <w:pPr>
              <w:spacing w:after="0"/>
              <w:rPr>
                <w:sz w:val="19"/>
                <w:szCs w:val="19"/>
                <w:color w:val="auto"/>
              </w:rPr>
            </w:pPr>
          </w:p>
        </w:tc>
        <w:tc>
          <w:tcPr>
            <w:tcW w:w="29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9"/>
        </w:trPr>
        <w:tc>
          <w:tcPr>
            <w:tcW w:w="7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3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purchase consideration</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0"/>
        </w:trPr>
        <w:tc>
          <w:tcPr>
            <w:tcW w:w="7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r>
    </w:tbl>
    <w:p>
      <w:pPr>
        <w:spacing w:after="0" w:line="175"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The fair value of consideration transferred was determined by the Company with the assistance of an independent appraiser as part of the purchase price allocation.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20"/>
                <w:szCs w:val="20"/>
                <w:color w:val="auto"/>
              </w:rPr>
            </w:pPr>
            <w:r>
              <w:rPr>
                <w:rFonts w:ascii="Arial" w:cs="Arial" w:eastAsia="Arial" w:hAnsi="Arial"/>
                <w:sz w:val="16"/>
                <w:szCs w:val="16"/>
                <w:color w:val="auto"/>
              </w:rPr>
              <w:t>Assets acquired and liabilities assumed at the date of acquisition are as follows:</w:t>
            </w:r>
          </w:p>
        </w:tc>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65"/>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23"/>
                <w:szCs w:val="23"/>
                <w:color w:val="auto"/>
              </w:rPr>
            </w:pPr>
          </w:p>
        </w:tc>
        <w:tc>
          <w:tcPr>
            <w:tcW w:w="2960" w:type="dxa"/>
            <w:vAlign w:val="bottom"/>
          </w:tcPr>
          <w:p>
            <w:pPr>
              <w:jc w:val="right"/>
              <w:ind w:right="1439"/>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7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r>
      <w:tr>
        <w:trPr>
          <w:trHeight w:val="21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20" w:type="dxa"/>
            <w:vAlign w:val="bottom"/>
            <w:tcBorders>
              <w:bottom w:val="single" w:sz="8" w:color="CCEEFF"/>
            </w:tcBorders>
            <w:shd w:val="clear" w:color="auto" w:fill="CCEEFF"/>
          </w:tcPr>
          <w:p>
            <w:pPr>
              <w:spacing w:after="0"/>
              <w:rPr>
                <w:sz w:val="18"/>
                <w:szCs w:val="18"/>
                <w:color w:val="auto"/>
              </w:rPr>
            </w:pPr>
          </w:p>
        </w:tc>
        <w:tc>
          <w:tcPr>
            <w:tcW w:w="2960" w:type="dxa"/>
            <w:vAlign w:val="bottom"/>
            <w:tcBorders>
              <w:bottom w:val="single" w:sz="8" w:color="CCEEFF"/>
            </w:tcBorders>
            <w:shd w:val="clear" w:color="auto" w:fill="CCEEFF"/>
          </w:tcPr>
          <w:p>
            <w:pPr>
              <w:spacing w:after="0"/>
              <w:rPr>
                <w:sz w:val="18"/>
                <w:szCs w:val="18"/>
                <w:color w:val="auto"/>
              </w:rPr>
            </w:pP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2960" w:type="dxa"/>
            <w:vAlign w:val="bottom"/>
          </w:tcPr>
          <w:p>
            <w:pPr>
              <w:jc w:val="center"/>
              <w:ind w:left="2539"/>
              <w:spacing w:after="0"/>
              <w:rPr>
                <w:sz w:val="20"/>
                <w:szCs w:val="20"/>
                <w:color w:val="auto"/>
              </w:rPr>
            </w:pPr>
            <w:r>
              <w:rPr>
                <w:rFonts w:ascii="Arial" w:cs="Arial" w:eastAsia="Arial" w:hAnsi="Arial"/>
                <w:sz w:val="16"/>
                <w:szCs w:val="16"/>
                <w:color w:val="auto"/>
              </w:rPr>
              <w:t>13</w:t>
            </w:r>
          </w:p>
        </w:tc>
      </w:tr>
      <w:tr>
        <w:trPr>
          <w:trHeight w:val="29"/>
        </w:trPr>
        <w:tc>
          <w:tcPr>
            <w:tcW w:w="7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3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8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jc w:val="center"/>
              <w:ind w:left="2539"/>
              <w:spacing w:after="0"/>
              <w:rPr>
                <w:sz w:val="20"/>
                <w:szCs w:val="20"/>
                <w:color w:val="auto"/>
              </w:rPr>
            </w:pPr>
            <w:r>
              <w:rPr>
                <w:rFonts w:ascii="Arial" w:cs="Arial" w:eastAsia="Arial" w:hAnsi="Arial"/>
                <w:sz w:val="16"/>
                <w:szCs w:val="16"/>
                <w:color w:val="auto"/>
              </w:rPr>
              <w:t>13</w:t>
            </w: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820" w:type="dxa"/>
            <w:vAlign w:val="bottom"/>
          </w:tcPr>
          <w:p>
            <w:pPr>
              <w:spacing w:after="0"/>
              <w:rPr>
                <w:sz w:val="19"/>
                <w:szCs w:val="19"/>
                <w:color w:val="auto"/>
              </w:rPr>
            </w:pPr>
          </w:p>
        </w:tc>
        <w:tc>
          <w:tcPr>
            <w:tcW w:w="2960" w:type="dxa"/>
            <w:vAlign w:val="bottom"/>
          </w:tcPr>
          <w:p>
            <w:pPr>
              <w:jc w:val="center"/>
              <w:ind w:left="2539"/>
              <w:spacing w:after="0"/>
              <w:rPr>
                <w:sz w:val="20"/>
                <w:szCs w:val="20"/>
                <w:color w:val="auto"/>
              </w:rPr>
            </w:pPr>
            <w:r>
              <w:rPr>
                <w:rFonts w:ascii="Arial" w:cs="Arial" w:eastAsia="Arial" w:hAnsi="Arial"/>
                <w:sz w:val="16"/>
                <w:szCs w:val="16"/>
                <w:color w:val="auto"/>
              </w:rPr>
              <w:t>39</w:t>
            </w:r>
          </w:p>
        </w:tc>
      </w:tr>
      <w:tr>
        <w:trPr>
          <w:trHeight w:val="29"/>
        </w:trPr>
        <w:tc>
          <w:tcPr>
            <w:tcW w:w="7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3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In-process research and development</w:t>
            </w:r>
          </w:p>
        </w:tc>
        <w:tc>
          <w:tcPr>
            <w:tcW w:w="8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jc w:val="center"/>
              <w:ind w:left="2539"/>
              <w:spacing w:after="0"/>
              <w:rPr>
                <w:sz w:val="20"/>
                <w:szCs w:val="20"/>
                <w:color w:val="auto"/>
              </w:rPr>
            </w:pPr>
            <w:r>
              <w:rPr>
                <w:rFonts w:ascii="Arial" w:cs="Arial" w:eastAsia="Arial" w:hAnsi="Arial"/>
                <w:sz w:val="16"/>
                <w:szCs w:val="16"/>
                <w:color w:val="auto"/>
              </w:rPr>
              <w:t>44</w:t>
            </w: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820" w:type="dxa"/>
            <w:vAlign w:val="bottom"/>
          </w:tcPr>
          <w:p>
            <w:pPr>
              <w:spacing w:after="0"/>
              <w:rPr>
                <w:sz w:val="19"/>
                <w:szCs w:val="19"/>
                <w:color w:val="auto"/>
              </w:rPr>
            </w:pPr>
          </w:p>
        </w:tc>
        <w:tc>
          <w:tcPr>
            <w:tcW w:w="2960" w:type="dxa"/>
            <w:vAlign w:val="bottom"/>
          </w:tcPr>
          <w:p>
            <w:pPr>
              <w:jc w:val="center"/>
              <w:ind w:left="2539"/>
              <w:spacing w:after="0"/>
              <w:rPr>
                <w:sz w:val="20"/>
                <w:szCs w:val="20"/>
                <w:color w:val="auto"/>
              </w:rPr>
            </w:pPr>
            <w:r>
              <w:rPr>
                <w:rFonts w:ascii="Arial" w:cs="Arial" w:eastAsia="Arial" w:hAnsi="Arial"/>
                <w:sz w:val="16"/>
                <w:szCs w:val="16"/>
                <w:color w:val="auto"/>
              </w:rPr>
              <w:t>49</w:t>
            </w:r>
          </w:p>
        </w:tc>
      </w:tr>
      <w:tr>
        <w:trPr>
          <w:trHeight w:val="29"/>
        </w:trPr>
        <w:tc>
          <w:tcPr>
            <w:tcW w:w="7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820" w:type="dxa"/>
            <w:vAlign w:val="bottom"/>
            <w:shd w:val="clear" w:color="auto" w:fill="CCEEFF"/>
          </w:tcPr>
          <w:p>
            <w:pPr>
              <w:spacing w:after="0"/>
              <w:rPr>
                <w:sz w:val="22"/>
                <w:szCs w:val="22"/>
                <w:color w:val="auto"/>
              </w:rPr>
            </w:pPr>
          </w:p>
        </w:tc>
        <w:tc>
          <w:tcPr>
            <w:tcW w:w="2960" w:type="dxa"/>
            <w:vAlign w:val="bottom"/>
            <w:shd w:val="clear" w:color="auto" w:fill="CCEEFF"/>
          </w:tcPr>
          <w:p>
            <w:pPr>
              <w:spacing w:after="0"/>
              <w:rPr>
                <w:sz w:val="22"/>
                <w:szCs w:val="22"/>
                <w:color w:val="auto"/>
              </w:rPr>
            </w:pP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82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9"/>
        </w:trPr>
        <w:tc>
          <w:tcPr>
            <w:tcW w:w="7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3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8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jc w:val="center"/>
              <w:ind w:left="2559"/>
              <w:spacing w:after="0"/>
              <w:rPr>
                <w:sz w:val="20"/>
                <w:szCs w:val="20"/>
                <w:color w:val="auto"/>
              </w:rPr>
            </w:pPr>
            <w:r>
              <w:rPr>
                <w:rFonts w:ascii="Arial" w:cs="Arial" w:eastAsia="Arial" w:hAnsi="Arial"/>
                <w:sz w:val="16"/>
                <w:szCs w:val="16"/>
                <w:color w:val="auto"/>
                <w:w w:val="98"/>
              </w:rPr>
              <w:t>(11)</w:t>
            </w:r>
          </w:p>
        </w:tc>
      </w:tr>
      <w:tr>
        <w:trPr>
          <w:trHeight w:val="20"/>
        </w:trPr>
        <w:tc>
          <w:tcPr>
            <w:tcW w:w="7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Net identifiable assets acquired</w:t>
            </w:r>
          </w:p>
        </w:tc>
        <w:tc>
          <w:tcPr>
            <w:tcW w:w="1780" w:type="dxa"/>
            <w:vAlign w:val="bottom"/>
          </w:tcPr>
          <w:p>
            <w:pPr>
              <w:jc w:val="right"/>
              <w:ind w:right="1579"/>
              <w:spacing w:after="0"/>
              <w:rPr>
                <w:sz w:val="20"/>
                <w:szCs w:val="20"/>
                <w:color w:val="auto"/>
              </w:rPr>
            </w:pPr>
            <w:r>
              <w:rPr>
                <w:rFonts w:ascii="Arial" w:cs="Arial" w:eastAsia="Arial" w:hAnsi="Arial"/>
                <w:sz w:val="16"/>
                <w:szCs w:val="16"/>
                <w:b w:val="1"/>
                <w:bCs w:val="1"/>
                <w:color w:val="auto"/>
              </w:rPr>
              <w:t>$</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127</w:t>
            </w:r>
          </w:p>
        </w:tc>
      </w:tr>
      <w:tr>
        <w:trPr>
          <w:trHeight w:val="21"/>
        </w:trPr>
        <w:tc>
          <w:tcPr>
            <w:tcW w:w="746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50"/>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Goodwill</w:t>
            </w:r>
            <w:r>
              <w:rPr>
                <w:rFonts w:ascii="Arial" w:cs="Arial" w:eastAsia="Arial" w:hAnsi="Arial"/>
                <w:sz w:val="21"/>
                <w:szCs w:val="21"/>
                <w:color w:val="auto"/>
                <w:vertAlign w:val="superscript"/>
              </w:rPr>
              <w:t>(1)</w:t>
            </w:r>
          </w:p>
        </w:tc>
        <w:tc>
          <w:tcPr>
            <w:tcW w:w="1780" w:type="dxa"/>
            <w:vAlign w:val="bottom"/>
            <w:tcBorders>
              <w:bottom w:val="single" w:sz="8" w:color="auto"/>
            </w:tcBorders>
            <w:shd w:val="clear" w:color="auto" w:fill="CCEEFF"/>
          </w:tcPr>
          <w:p>
            <w:pPr>
              <w:jc w:val="right"/>
              <w:ind w:right="157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29"/>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1780" w:type="dxa"/>
            <w:vAlign w:val="bottom"/>
          </w:tcPr>
          <w:p>
            <w:pPr>
              <w:jc w:val="right"/>
              <w:ind w:right="1579"/>
              <w:spacing w:after="0"/>
              <w:rPr>
                <w:sz w:val="20"/>
                <w:szCs w:val="20"/>
                <w:color w:val="auto"/>
              </w:rPr>
            </w:pPr>
            <w:r>
              <w:rPr>
                <w:rFonts w:ascii="Arial" w:cs="Arial" w:eastAsia="Arial" w:hAnsi="Arial"/>
                <w:sz w:val="16"/>
                <w:szCs w:val="16"/>
                <w:b w:val="1"/>
                <w:bCs w:val="1"/>
                <w:color w:val="auto"/>
              </w:rPr>
              <w:t>$</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226</w:t>
            </w:r>
          </w:p>
        </w:tc>
      </w:tr>
      <w:tr>
        <w:trPr>
          <w:trHeight w:val="21"/>
        </w:trPr>
        <w:tc>
          <w:tcPr>
            <w:tcW w:w="74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180" w:hanging="172"/>
        <w:spacing w:after="0" w:line="284" w:lineRule="auto"/>
        <w:tabs>
          <w:tab w:leader="none" w:pos="249" w:val="left"/>
        </w:tabs>
        <w:numPr>
          <w:ilvl w:val="0"/>
          <w:numId w:val="11"/>
        </w:numPr>
        <w:rPr>
          <w:rFonts w:ascii="Arial" w:cs="Arial" w:eastAsia="Arial" w:hAnsi="Arial"/>
          <w:sz w:val="9"/>
          <w:szCs w:val="9"/>
          <w:color w:val="auto"/>
        </w:rPr>
      </w:pPr>
      <w:r>
        <w:rPr>
          <w:rFonts w:ascii="Arial" w:cs="Arial" w:eastAsia="Arial" w:hAnsi="Arial"/>
          <w:sz w:val="14"/>
          <w:szCs w:val="14"/>
          <w:color w:val="auto"/>
        </w:rPr>
        <w:t>Goodwill is mainly attributable to the workforce, synergies, and expected future growth potential from access to new markets. Goodwill recognized will not be deductible for income tax purposes. The Company recorded tax remeasurement adjustments of $8 million against goodwill during the measurement period, which ended on August 13, 2026.</w:t>
      </w:r>
    </w:p>
    <w:p>
      <w:pPr>
        <w:spacing w:after="0" w:line="200" w:lineRule="exact"/>
        <w:rPr>
          <w:sz w:val="20"/>
          <w:szCs w:val="20"/>
          <w:color w:val="auto"/>
        </w:rPr>
      </w:pPr>
    </w:p>
    <w:p>
      <w:pPr>
        <w:spacing w:after="0" w:line="26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finalized the acquisition date fair values of the assets acquired and liabilities assumed. The final valuations were not materially different from the provisional amounts previously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indicated)</w:t>
      </w:r>
    </w:p>
    <w:p>
      <w:pPr>
        <w:spacing w:after="0" w:line="200" w:lineRule="exact"/>
        <w:rPr>
          <w:sz w:val="20"/>
          <w:szCs w:val="20"/>
          <w:color w:val="auto"/>
        </w:rPr>
      </w:pPr>
    </w:p>
    <w:p>
      <w:pPr>
        <w:spacing w:after="0" w:line="32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valuation of acquired intangible assets consisting of the developed technology, IPR&amp;D and customer relationships were determined based on management’s estimates and consultation with an independent appraiser. The fair value of the developed technology and the IPR&amp;D was estimated using the relief from royalty method, while the customer relationships were fair valued using the multiperiod excess earnings method. The valuation of the intangible assets required management to make significant estimates and assumptions, which included the future cash flows, expected revenue growth rates, royalty rates, technology migration curve and discount rate applied to future cash flows.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Other business combinations – </w:t>
      </w:r>
      <w:r>
        <w:rPr>
          <w:rFonts w:ascii="Arial" w:cs="Arial" w:eastAsia="Arial" w:hAnsi="Arial"/>
          <w:sz w:val="16"/>
          <w:szCs w:val="16"/>
          <w:color w:val="auto"/>
        </w:rPr>
        <w:t>Silicon Manufacturing Partners Pte Ltd (“SMP”) was a joint venture between Avago Technologies International Sales Pte.</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(“Avago Singapore”) and GLOBALFOUNDRIES Singapore Pte. Ltd. (“GlobalFoundries Singapore”). As of December 31, 2024, we held a 49% interest in SMP and managed all aspects of its manufacturing operations. On January 2, 2025, we acquired the remaining 51% of the shares in the share capital of SMP from Avago Singapore, thereby making SMP a wholly-owned subsidiary of GlobalFoundries. Total purchase price consideration of $64 million was allocated to the fair values of net assets acquired and resulted in the recognition of $37 million goodwill and the derecognition of the existing investment in the joint venture.</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November 14, 2025, the Company completed its acquisition of InfiniLink Inc. (“InfiniLink”) for $48 million. InfiniLink specializes in advanced optical data connectivity chips intended for hyper-scale data centers and enterprises. The acquisition is expected to enhance the Company’s in-house design capabilities and further strengthen competitiveness in optics. We recognized goodwill, other intangible assets and deferred tax liabilities of $29 million, $30 million and $11 million, respectively, based on the preliminary allocation of the purchase price to the estimated fair values of the assets acquired and liabilities assumed.</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Income taxes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For tax reporting purposes, the Company consolidates its entities under GLOBALFOUNDRIES Inc., a Cayman Islands entity. As a Cayman Islands entity, the Company’s domestic statutory income tax rate is 0.0%. The difference between the Company’s domestic statutory income tax rate and its effective income tax rate reflected in income tax benefit or income tax expense is primarily due to the effect of tax rates and permanent differences in other jurisdictions in which the Company operates. Applicable to tax years beginning in 2025, the Company's effective tax rate is not currently materially impacted by Pillar Two minimum top-up taxes but may be in the future.</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effective tax rate was (35.0)% and (12.7)% for the three months ended September 30, 2026 and 2025, respectively, and was 99.4% and (8.0)% for the nine months ended September 30, 2026 and 2025, respectively. The decrease in the effective tax rate for the three months ended September 30, 2026 compared with the prior-year period was primarily attributable to the equity issuance to the USG, which contributed to the pre-tax loss without a corresponding tax benefit, and tax expense related to exchange rate changes affecting the tax basis of certain non-monetary assets in Germany.</w:t>
      </w:r>
    </w:p>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increase in the effective tax rate for the nine months ended September 30, 2026 compared with the prior-year period primarily reflected the equity issuance to the USG, which reduced pre-tax income without a corresponding tax benefit, tax expense related to exchange rate changes affecting the tax basis of certain non-monetary assets in Germany, and the absence of a prior-year tax benefit related to the recognition of net deferred tax assets in Germany.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Earnings Per Share</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Basic earnings per share ("EPS") is based upon the weighted average number of ordinary shares outstanding during the period. Diluted earnings per share is based upon the weighted average number of ordinary shares outstanding during the period, assuming the issuance of ordinary shares for all potentially dilutive ordinary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indicated)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gridSpan w:val="2"/>
          </w:tcPr>
          <w:p>
            <w:pPr>
              <w:jc w:val="right"/>
              <w:ind w:right="259"/>
              <w:spacing w:after="0"/>
              <w:rPr>
                <w:sz w:val="20"/>
                <w:szCs w:val="20"/>
                <w:color w:val="auto"/>
              </w:rPr>
            </w:pPr>
            <w:r>
              <w:rPr>
                <w:rFonts w:ascii="Arial" w:cs="Arial" w:eastAsia="Arial" w:hAnsi="Arial"/>
                <w:sz w:val="16"/>
                <w:szCs w:val="16"/>
                <w:color w:val="auto"/>
              </w:rPr>
              <w:t>The following table sets forth the computation of basic and diluted EPS: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79"/>
        </w:trPr>
        <w:tc>
          <w:tcPr>
            <w:tcW w:w="4340" w:type="dxa"/>
            <w:vAlign w:val="bottom"/>
          </w:tcPr>
          <w:p>
            <w:pPr>
              <w:spacing w:after="0"/>
              <w:rPr>
                <w:sz w:val="24"/>
                <w:szCs w:val="24"/>
                <w:color w:val="auto"/>
              </w:rPr>
            </w:pPr>
          </w:p>
        </w:tc>
        <w:tc>
          <w:tcPr>
            <w:tcW w:w="3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3300" w:type="dxa"/>
            <w:vAlign w:val="bottom"/>
            <w:gridSpan w:val="2"/>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23"/>
        </w:trPr>
        <w:tc>
          <w:tcPr>
            <w:tcW w:w="4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80" w:type="dxa"/>
            <w:vAlign w:val="bottom"/>
            <w:gridSpan w:val="2"/>
          </w:tcPr>
          <w:p>
            <w:pPr>
              <w:jc w:val="center"/>
              <w:ind w:right="1220"/>
              <w:spacing w:after="0"/>
              <w:rPr>
                <w:sz w:val="20"/>
                <w:szCs w:val="20"/>
                <w:color w:val="auto"/>
              </w:rPr>
            </w:pPr>
            <w:r>
              <w:rPr>
                <w:rFonts w:ascii="Arial" w:cs="Arial" w:eastAsia="Arial" w:hAnsi="Arial"/>
                <w:sz w:val="16"/>
                <w:szCs w:val="16"/>
                <w:b w:val="1"/>
                <w:bCs w:val="1"/>
                <w:color w:val="auto"/>
              </w:rPr>
              <w:t>September 30</w:t>
            </w:r>
          </w:p>
        </w:tc>
        <w:tc>
          <w:tcPr>
            <w:tcW w:w="1060" w:type="dxa"/>
            <w:vAlign w:val="bottom"/>
          </w:tcPr>
          <w:p>
            <w:pPr>
              <w:spacing w:after="0"/>
              <w:rPr>
                <w:sz w:val="19"/>
                <w:szCs w:val="19"/>
                <w:color w:val="auto"/>
              </w:rPr>
            </w:pPr>
          </w:p>
        </w:tc>
        <w:tc>
          <w:tcPr>
            <w:tcW w:w="2240" w:type="dxa"/>
            <w:vAlign w:val="bottom"/>
          </w:tcPr>
          <w:p>
            <w:pPr>
              <w:jc w:val="center"/>
              <w:ind w:right="979"/>
              <w:spacing w:after="0"/>
              <w:rPr>
                <w:sz w:val="20"/>
                <w:szCs w:val="20"/>
                <w:color w:val="auto"/>
              </w:rPr>
            </w:pPr>
            <w:r>
              <w:rPr>
                <w:rFonts w:ascii="Arial" w:cs="Arial" w:eastAsia="Arial" w:hAnsi="Arial"/>
                <w:sz w:val="16"/>
                <w:szCs w:val="16"/>
                <w:b w:val="1"/>
                <w:bCs w:val="1"/>
                <w:color w:val="auto"/>
              </w:rPr>
              <w:t>September 30</w:t>
            </w:r>
          </w:p>
        </w:tc>
      </w:tr>
      <w:tr>
        <w:trPr>
          <w:trHeight w:val="21"/>
        </w:trPr>
        <w:tc>
          <w:tcPr>
            <w:tcW w:w="4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29"/>
        </w:trPr>
        <w:tc>
          <w:tcPr>
            <w:tcW w:w="54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2026</w:t>
            </w:r>
          </w:p>
        </w:tc>
        <w:tc>
          <w:tcPr>
            <w:tcW w:w="2400" w:type="dxa"/>
            <w:vAlign w:val="bottom"/>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2240" w:type="dxa"/>
            <w:vAlign w:val="bottom"/>
          </w:tcPr>
          <w:p>
            <w:pPr>
              <w:jc w:val="right"/>
              <w:ind w:right="539"/>
              <w:spacing w:after="0"/>
              <w:rPr>
                <w:sz w:val="20"/>
                <w:szCs w:val="20"/>
                <w:color w:val="auto"/>
              </w:rPr>
            </w:pPr>
            <w:r>
              <w:rPr>
                <w:rFonts w:ascii="Arial" w:cs="Arial" w:eastAsia="Arial" w:hAnsi="Arial"/>
                <w:sz w:val="16"/>
                <w:szCs w:val="16"/>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Numerator</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Net income (loss) attributable to equity shareholders</w:t>
      </w:r>
    </w:p>
    <w:p>
      <w:pPr>
        <w:spacing w:after="0" w:line="35" w:lineRule="exact"/>
        <w:rPr>
          <w:sz w:val="20"/>
          <w:szCs w:val="20"/>
          <w:color w:val="auto"/>
        </w:rPr>
      </w:pPr>
    </w:p>
    <w:p>
      <w:pPr>
        <w:ind w:left="140"/>
        <w:spacing w:after="0"/>
        <w:tabs>
          <w:tab w:leader="none" w:pos="4360" w:val="left"/>
        </w:tabs>
        <w:rPr>
          <w:sz w:val="20"/>
          <w:szCs w:val="20"/>
          <w:color w:val="auto"/>
        </w:rPr>
      </w:pPr>
      <w:r>
        <w:rPr>
          <w:rFonts w:ascii="Arial" w:cs="Arial" w:eastAsia="Arial" w:hAnsi="Arial"/>
          <w:sz w:val="16"/>
          <w:szCs w:val="16"/>
          <w:b w:val="1"/>
          <w:bCs w:val="1"/>
          <w:color w:val="auto"/>
        </w:rPr>
        <w:t>of the Company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83159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315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tabs>
          <w:tab w:leader="none" w:pos="500" w:val="left"/>
          <w:tab w:leader="none" w:pos="1840" w:val="left"/>
          <w:tab w:leader="none" w:pos="2320" w:val="left"/>
          <w:tab w:leader="none" w:pos="3660" w:val="left"/>
          <w:tab w:leader="none" w:pos="4000" w:val="left"/>
          <w:tab w:leader="none" w:pos="5240" w:val="left"/>
        </w:tabs>
        <w:rPr>
          <w:sz w:val="20"/>
          <w:szCs w:val="20"/>
          <w:color w:val="auto"/>
        </w:rPr>
      </w:pPr>
      <w:r>
        <w:rPr>
          <w:rFonts w:ascii="Arial" w:cs="Arial" w:eastAsia="Arial" w:hAnsi="Arial"/>
          <w:sz w:val="16"/>
          <w:szCs w:val="16"/>
          <w:color w:val="auto"/>
        </w:rPr>
        <w:t>(271)</w:t>
        <w:tab/>
        <w:t>$</w:t>
      </w:r>
      <w:r>
        <w:rPr>
          <w:sz w:val="20"/>
          <w:szCs w:val="20"/>
          <w:color w:val="auto"/>
        </w:rPr>
        <w:tab/>
      </w:r>
      <w:r>
        <w:rPr>
          <w:rFonts w:ascii="Arial" w:cs="Arial" w:eastAsia="Arial" w:hAnsi="Arial"/>
          <w:sz w:val="16"/>
          <w:szCs w:val="16"/>
          <w:color w:val="auto"/>
        </w:rPr>
        <w:t>248</w:t>
        <w:tab/>
        <w:t>$</w:t>
      </w:r>
      <w:r>
        <w:rPr>
          <w:sz w:val="20"/>
          <w:szCs w:val="20"/>
          <w:color w:val="auto"/>
        </w:rPr>
        <w:tab/>
      </w:r>
      <w:r>
        <w:rPr>
          <w:rFonts w:ascii="Arial" w:cs="Arial" w:eastAsia="Arial" w:hAnsi="Arial"/>
          <w:sz w:val="16"/>
          <w:szCs w:val="16"/>
          <w:color w:val="auto"/>
        </w:rPr>
        <w:t>(2)</w:t>
        <w:tab/>
        <w:t>$</w:t>
      </w:r>
      <w:r>
        <w:rPr>
          <w:sz w:val="20"/>
          <w:szCs w:val="20"/>
          <w:color w:val="auto"/>
        </w:rPr>
        <w:tab/>
      </w:r>
      <w:r>
        <w:rPr>
          <w:rFonts w:ascii="Arial" w:cs="Arial" w:eastAsia="Arial" w:hAnsi="Arial"/>
          <w:sz w:val="15"/>
          <w:szCs w:val="15"/>
          <w:color w:val="auto"/>
        </w:rPr>
        <w:t>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38100</wp:posOffset>
            </wp:positionV>
            <wp:extent cx="324040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40405" cy="13716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4920" w:space="720"/>
            <w:col w:w="5600"/>
          </w:cols>
          <w:pgMar w:left="320" w:top="98" w:right="339" w:bottom="1440" w:gutter="0" w:footer="0" w:header="0"/>
          <w:type w:val="continuous"/>
        </w:sectPr>
      </w:pP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9"/>
        </w:trPr>
        <w:tc>
          <w:tcPr>
            <w:tcW w:w="4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ordinary shares outstanding</w:t>
            </w:r>
          </w:p>
        </w:tc>
        <w:tc>
          <w:tcPr>
            <w:tcW w:w="6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80" w:type="dxa"/>
            <w:vAlign w:val="bottom"/>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r>
      <w:tr>
        <w:trPr>
          <w:trHeight w:val="215"/>
        </w:trPr>
        <w:tc>
          <w:tcPr>
            <w:tcW w:w="4340" w:type="dxa"/>
            <w:vAlign w:val="bottom"/>
          </w:tcPr>
          <w:p>
            <w:pPr>
              <w:ind w:left="140"/>
              <w:spacing w:after="0"/>
              <w:rPr>
                <w:sz w:val="20"/>
                <w:szCs w:val="20"/>
                <w:color w:val="auto"/>
              </w:rPr>
            </w:pPr>
            <w:r>
              <w:rPr>
                <w:rFonts w:ascii="Arial" w:cs="Arial" w:eastAsia="Arial" w:hAnsi="Arial"/>
                <w:sz w:val="16"/>
                <w:szCs w:val="16"/>
                <w:color w:val="auto"/>
              </w:rPr>
              <w:t>Effect of potentially dilutive shares from employee equity</w:t>
            </w: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5"/>
        </w:trPr>
        <w:tc>
          <w:tcPr>
            <w:tcW w:w="4340" w:type="dxa"/>
            <w:vAlign w:val="bottom"/>
          </w:tcPr>
          <w:p>
            <w:pPr>
              <w:ind w:left="140"/>
              <w:spacing w:after="0"/>
              <w:rPr>
                <w:sz w:val="20"/>
                <w:szCs w:val="20"/>
                <w:color w:val="auto"/>
              </w:rPr>
            </w:pPr>
            <w:r>
              <w:rPr>
                <w:rFonts w:ascii="Arial" w:cs="Arial" w:eastAsia="Arial" w:hAnsi="Arial"/>
                <w:sz w:val="16"/>
                <w:szCs w:val="16"/>
                <w:color w:val="auto"/>
              </w:rPr>
              <w:t>plans</w:t>
            </w: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43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ordinary shares outstanding</w:t>
            </w:r>
          </w:p>
        </w:tc>
        <w:tc>
          <w:tcPr>
            <w:tcW w:w="6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80" w:type="dxa"/>
            <w:vAlign w:val="bottom"/>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16"/>
        </w:trPr>
        <w:tc>
          <w:tcPr>
            <w:tcW w:w="4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5"/>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basic and diluted EPS attributable to equity</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w:t>
            </w:r>
          </w:p>
        </w:tc>
        <w:tc>
          <w:tcPr>
            <w:tcW w:w="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1"/>
        </w:trPr>
        <w:tc>
          <w:tcPr>
            <w:tcW w:w="4340" w:type="dxa"/>
            <w:vAlign w:val="bottom"/>
          </w:tcPr>
          <w:p>
            <w:pPr>
              <w:ind w:left="140"/>
              <w:spacing w:after="0"/>
              <w:rPr>
                <w:sz w:val="20"/>
                <w:szCs w:val="20"/>
                <w:color w:val="auto"/>
              </w:rPr>
            </w:pPr>
            <w:r>
              <w:rPr>
                <w:rFonts w:ascii="Arial" w:cs="Arial" w:eastAsia="Arial" w:hAnsi="Arial"/>
                <w:sz w:val="16"/>
                <w:szCs w:val="16"/>
                <w:color w:val="auto"/>
              </w:rPr>
              <w:t>Basic</w:t>
            </w:r>
          </w:p>
        </w:tc>
        <w:tc>
          <w:tcPr>
            <w:tcW w:w="68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80" w:type="dxa"/>
            <w:vAlign w:val="bottom"/>
          </w:tcPr>
          <w:p>
            <w:pPr>
              <w:spacing w:after="0"/>
              <w:rPr>
                <w:sz w:val="19"/>
                <w:szCs w:val="19"/>
                <w:color w:val="auto"/>
              </w:rPr>
            </w:pPr>
          </w:p>
        </w:tc>
        <w:tc>
          <w:tcPr>
            <w:tcW w:w="70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6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9"/>
        </w:trPr>
        <w:tc>
          <w:tcPr>
            <w:tcW w:w="4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4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680" w:type="dxa"/>
            <w:vAlign w:val="bottom"/>
            <w:tcBorders>
              <w:top w:val="single" w:sz="8" w:color="auto"/>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80" w:type="dxa"/>
            <w:vAlign w:val="bottom"/>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0"/>
        </w:trPr>
        <w:tc>
          <w:tcPr>
            <w:tcW w:w="4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three and nine months ended September 30, 2026, 7 million potentially dilutive shares from employee equity plans were excluded from the calculation of diluted EPS as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indicated)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60" w:type="dxa"/>
            <w:vAlign w:val="bottom"/>
            <w:gridSpan w:val="3"/>
          </w:tcPr>
          <w:p>
            <w:pPr>
              <w:spacing w:after="0"/>
              <w:rPr>
                <w:sz w:val="20"/>
                <w:szCs w:val="20"/>
                <w:color w:val="auto"/>
              </w:rPr>
            </w:pPr>
            <w:r>
              <w:rPr>
                <w:rFonts w:ascii="Arial" w:cs="Arial" w:eastAsia="Arial" w:hAnsi="Arial"/>
                <w:sz w:val="16"/>
                <w:szCs w:val="16"/>
                <w:b w:val="1"/>
                <w:bCs w:val="1"/>
                <w:color w:val="auto"/>
              </w:rPr>
              <w:t>Note 7. Property, Plant and Equipment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Land and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center"/>
              <w:ind w:right="99"/>
              <w:spacing w:after="0"/>
              <w:rPr>
                <w:sz w:val="20"/>
                <w:szCs w:val="20"/>
                <w:color w:val="auto"/>
              </w:rPr>
            </w:pPr>
            <w:r>
              <w:rPr>
                <w:rFonts w:ascii="Arial" w:cs="Arial" w:eastAsia="Arial" w:hAnsi="Arial"/>
                <w:sz w:val="16"/>
                <w:szCs w:val="16"/>
                <w:b w:val="1"/>
                <w:bCs w:val="1"/>
                <w:color w:val="auto"/>
              </w:rPr>
              <w:t>Buildings and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Land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rPr>
              <w:t>Leasehold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Construction</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7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Improvements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Improvements</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Equipment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Computers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in Progress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0"/>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As of December 31,</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7,797</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24,387</w:t>
            </w: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465</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480</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33,221</w:t>
            </w:r>
          </w:p>
        </w:tc>
        <w:tc>
          <w:tcPr>
            <w:tcW w:w="0" w:type="dxa"/>
            <w:vAlign w:val="bottom"/>
          </w:tcPr>
          <w:p>
            <w:pPr>
              <w:spacing w:after="0"/>
              <w:rPr>
                <w:sz w:val="1"/>
                <w:szCs w:val="1"/>
                <w:color w:val="auto"/>
              </w:rPr>
            </w:pPr>
          </w:p>
        </w:tc>
      </w:tr>
      <w:tr>
        <w:trPr>
          <w:trHeight w:val="21"/>
        </w:trPr>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28"/>
        </w:trPr>
        <w:tc>
          <w:tcPr>
            <w:tcW w:w="1760" w:type="dxa"/>
            <w:vAlign w:val="bottom"/>
          </w:tcPr>
          <w:p>
            <w:pPr>
              <w:ind w:left="20"/>
              <w:spacing w:after="0"/>
              <w:rPr>
                <w:sz w:val="20"/>
                <w:szCs w:val="20"/>
                <w:color w:val="auto"/>
              </w:rPr>
            </w:pPr>
            <w:r>
              <w:rPr>
                <w:rFonts w:ascii="Arial" w:cs="Arial" w:eastAsia="Arial" w:hAnsi="Arial"/>
                <w:sz w:val="16"/>
                <w:szCs w:val="16"/>
                <w:color w:val="auto"/>
              </w:rPr>
              <w:t>Acquisitions and other</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9"/>
        </w:trPr>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Transfers from</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progress</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1760" w:type="dxa"/>
            <w:vAlign w:val="bottom"/>
          </w:tcPr>
          <w:p>
            <w:pPr>
              <w:ind w:left="20"/>
              <w:spacing w:after="0"/>
              <w:rPr>
                <w:sz w:val="20"/>
                <w:szCs w:val="20"/>
                <w:color w:val="auto"/>
              </w:rPr>
            </w:pPr>
            <w:r>
              <w:rPr>
                <w:rFonts w:ascii="Arial" w:cs="Arial" w:eastAsia="Arial" w:hAnsi="Arial"/>
                <w:sz w:val="16"/>
                <w:szCs w:val="16"/>
                <w:color w:val="auto"/>
              </w:rPr>
              <w:t>Disposals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9"/>
        </w:trPr>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5"/>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As of September 30,</w:t>
            </w: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7,880</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24,355</w:t>
            </w: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466</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731</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33,524</w:t>
            </w:r>
          </w:p>
        </w:tc>
        <w:tc>
          <w:tcPr>
            <w:tcW w:w="0" w:type="dxa"/>
            <w:vAlign w:val="bottom"/>
          </w:tcPr>
          <w:p>
            <w:pPr>
              <w:spacing w:after="0"/>
              <w:rPr>
                <w:sz w:val="1"/>
                <w:szCs w:val="1"/>
                <w:color w:val="auto"/>
              </w:rPr>
            </w:pPr>
          </w:p>
        </w:tc>
      </w:tr>
      <w:tr>
        <w:trPr>
          <w:trHeight w:val="21"/>
        </w:trPr>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5,256</w:t>
            </w:r>
          </w:p>
        </w:tc>
        <w:tc>
          <w:tcPr>
            <w:tcW w:w="80" w:type="dxa"/>
            <w:vAlign w:val="bottom"/>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20,261</w:t>
            </w:r>
          </w:p>
        </w:tc>
        <w:tc>
          <w:tcPr>
            <w:tcW w:w="10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439</w:t>
            </w: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25,998</w:t>
            </w:r>
          </w:p>
        </w:tc>
        <w:tc>
          <w:tcPr>
            <w:tcW w:w="0" w:type="dxa"/>
            <w:vAlign w:val="bottom"/>
          </w:tcPr>
          <w:p>
            <w:pPr>
              <w:spacing w:after="0"/>
              <w:rPr>
                <w:sz w:val="1"/>
                <w:szCs w:val="1"/>
                <w:color w:val="auto"/>
              </w:rPr>
            </w:pPr>
          </w:p>
        </w:tc>
      </w:tr>
      <w:tr>
        <w:trPr>
          <w:trHeight w:val="228"/>
        </w:trPr>
        <w:tc>
          <w:tcPr>
            <w:tcW w:w="1760" w:type="dxa"/>
            <w:vAlign w:val="bottom"/>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29"/>
        </w:trPr>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Disposals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Effect of exchange rate</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changes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9"/>
        </w:trPr>
        <w:tc>
          <w:tcPr>
            <w:tcW w:w="1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5,428</w:t>
            </w:r>
          </w:p>
        </w:tc>
        <w:tc>
          <w:tcPr>
            <w:tcW w:w="80" w:type="dxa"/>
            <w:vAlign w:val="bottom"/>
          </w:tcPr>
          <w:p>
            <w:pPr>
              <w:spacing w:after="0"/>
              <w:rPr>
                <w:sz w:val="16"/>
                <w:szCs w:val="16"/>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20,619</w:t>
            </w:r>
          </w:p>
        </w:tc>
        <w:tc>
          <w:tcPr>
            <w:tcW w:w="100" w:type="dxa"/>
            <w:vAlign w:val="bottom"/>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447</w:t>
            </w:r>
          </w:p>
        </w:tc>
        <w:tc>
          <w:tcPr>
            <w:tcW w:w="100" w:type="dxa"/>
            <w:vAlign w:val="bottom"/>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16"/>
                <w:szCs w:val="16"/>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26,537</w:t>
            </w: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Net book value as of</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760" w:type="dxa"/>
            <w:vAlign w:val="bottom"/>
            <w:vMerge w:val="continue"/>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59</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2,452</w:t>
            </w:r>
          </w:p>
        </w:tc>
        <w:tc>
          <w:tcPr>
            <w:tcW w:w="3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3,736</w:t>
            </w:r>
          </w:p>
        </w:tc>
        <w:tc>
          <w:tcPr>
            <w:tcW w:w="3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721</w:t>
            </w:r>
          </w:p>
        </w:tc>
        <w:tc>
          <w:tcPr>
            <w:tcW w:w="420" w:type="dxa"/>
            <w:vAlign w:val="bottom"/>
            <w:gridSpan w:val="2"/>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6,987</w:t>
            </w:r>
          </w:p>
        </w:tc>
        <w:tc>
          <w:tcPr>
            <w:tcW w:w="0" w:type="dxa"/>
            <w:vAlign w:val="bottom"/>
          </w:tcPr>
          <w:p>
            <w:pPr>
              <w:spacing w:after="0"/>
              <w:rPr>
                <w:sz w:val="1"/>
                <w:szCs w:val="1"/>
                <w:color w:val="auto"/>
              </w:rPr>
            </w:pPr>
          </w:p>
        </w:tc>
      </w:tr>
      <w:tr>
        <w:trPr>
          <w:trHeight w:val="217"/>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September 30, 2026</w:t>
            </w:r>
          </w:p>
        </w:tc>
        <w:tc>
          <w:tcPr>
            <w:tcW w:w="18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three months ended September 30, 2026 and 2025, depreciation expense of property, plant and equipment was $269 million and $267 million, respectively. For the nine months ended September 30, 2026 and 2025, depreciation expense was $776 million and $869 million,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 associated with government grants receivable were $193 million for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indicated)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40" w:type="dxa"/>
            <w:vAlign w:val="bottom"/>
          </w:tcPr>
          <w:p>
            <w:pPr>
              <w:spacing w:after="0"/>
              <w:rPr>
                <w:sz w:val="20"/>
                <w:szCs w:val="20"/>
                <w:color w:val="auto"/>
              </w:rPr>
            </w:pPr>
            <w:r>
              <w:rPr>
                <w:rFonts w:ascii="Arial" w:cs="Arial" w:eastAsia="Arial" w:hAnsi="Arial"/>
                <w:sz w:val="16"/>
                <w:szCs w:val="16"/>
                <w:b w:val="1"/>
                <w:bCs w:val="1"/>
                <w:color w:val="auto"/>
              </w:rPr>
              <w:t>Note 8. Receivables, Prepayments and Other Assets</w:t>
            </w:r>
          </w:p>
        </w:tc>
        <w:tc>
          <w:tcPr>
            <w:tcW w:w="1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51"/>
        </w:trPr>
        <w:tc>
          <w:tcPr>
            <w:tcW w:w="68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September 30, 2026</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2025</w:t>
            </w:r>
          </w:p>
        </w:tc>
      </w:tr>
      <w:tr>
        <w:trPr>
          <w:trHeight w:val="21"/>
        </w:trPr>
        <w:tc>
          <w:tcPr>
            <w:tcW w:w="684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w:t>
            </w:r>
          </w:p>
        </w:tc>
        <w:tc>
          <w:tcPr>
            <w:tcW w:w="18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r>
      <w:tr>
        <w:trPr>
          <w:trHeight w:val="227"/>
        </w:trPr>
        <w:tc>
          <w:tcPr>
            <w:tcW w:w="6840" w:type="dxa"/>
            <w:vAlign w:val="bottom"/>
          </w:tcPr>
          <w:p>
            <w:pPr>
              <w:ind w:left="100"/>
              <w:spacing w:after="0"/>
              <w:rPr>
                <w:sz w:val="20"/>
                <w:szCs w:val="20"/>
                <w:color w:val="auto"/>
              </w:rPr>
            </w:pPr>
            <w:r>
              <w:rPr>
                <w:rFonts w:ascii="Arial" w:cs="Arial" w:eastAsia="Arial" w:hAnsi="Arial"/>
                <w:sz w:val="16"/>
                <w:szCs w:val="16"/>
                <w:color w:val="auto"/>
              </w:rPr>
              <w:t>Trade receivables, other than related parties</w:t>
            </w:r>
          </w:p>
        </w:tc>
        <w:tc>
          <w:tcPr>
            <w:tcW w:w="1860" w:type="dxa"/>
            <w:vAlign w:val="bottom"/>
          </w:tcPr>
          <w:p>
            <w:pPr>
              <w:jc w:val="right"/>
              <w:ind w:right="1659"/>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97"/>
              </w:rPr>
              <w:t>995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1,041</w:t>
            </w:r>
          </w:p>
        </w:tc>
      </w:tr>
      <w:tr>
        <w:trPr>
          <w:trHeight w:val="29"/>
        </w:trPr>
        <w:tc>
          <w:tcPr>
            <w:tcW w:w="68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7"/>
        </w:trPr>
        <w:tc>
          <w:tcPr>
            <w:tcW w:w="6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Unbilled accounts receivable</w:t>
            </w:r>
            <w:r>
              <w:rPr>
                <w:rFonts w:ascii="Arial" w:cs="Arial" w:eastAsia="Arial" w:hAnsi="Arial"/>
                <w:sz w:val="21"/>
                <w:szCs w:val="21"/>
                <w:color w:val="auto"/>
                <w:vertAlign w:val="superscript"/>
              </w:rPr>
              <w:t>(1)</w:t>
            </w:r>
          </w:p>
        </w:tc>
        <w:tc>
          <w:tcPr>
            <w:tcW w:w="186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124</w:t>
            </w:r>
          </w:p>
        </w:tc>
        <w:tc>
          <w:tcPr>
            <w:tcW w:w="80" w:type="dxa"/>
            <w:vAlign w:val="bottom"/>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28"/>
        </w:trPr>
        <w:tc>
          <w:tcPr>
            <w:tcW w:w="6840" w:type="dxa"/>
            <w:vAlign w:val="bottom"/>
          </w:tcPr>
          <w:p>
            <w:pPr>
              <w:ind w:left="100"/>
              <w:spacing w:after="0"/>
              <w:rPr>
                <w:sz w:val="20"/>
                <w:szCs w:val="20"/>
                <w:color w:val="auto"/>
              </w:rPr>
            </w:pPr>
            <w:r>
              <w:rPr>
                <w:rFonts w:ascii="Arial" w:cs="Arial" w:eastAsia="Arial" w:hAnsi="Arial"/>
                <w:sz w:val="16"/>
                <w:szCs w:val="16"/>
                <w:color w:val="auto"/>
              </w:rPr>
              <w:t>Receivables from government grants</w:t>
            </w:r>
          </w:p>
        </w:tc>
        <w:tc>
          <w:tcPr>
            <w:tcW w:w="1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7"/>
              </w:rPr>
              <w:t>350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9"/>
        </w:trPr>
        <w:tc>
          <w:tcPr>
            <w:tcW w:w="68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37"/>
        </w:trPr>
        <w:tc>
          <w:tcPr>
            <w:tcW w:w="6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8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453</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0"/>
        </w:trPr>
        <w:tc>
          <w:tcPr>
            <w:tcW w:w="68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2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1,922</w:t>
            </w:r>
          </w:p>
        </w:tc>
        <w:tc>
          <w:tcPr>
            <w:tcW w:w="960" w:type="dxa"/>
            <w:vAlign w:val="bottom"/>
            <w:gridSpan w:val="2"/>
          </w:tcPr>
          <w:p>
            <w:pPr>
              <w:jc w:val="right"/>
              <w:ind w:right="67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1,578</w:t>
            </w:r>
          </w:p>
        </w:tc>
      </w:tr>
      <w:tr>
        <w:trPr>
          <w:trHeight w:val="21"/>
        </w:trPr>
        <w:tc>
          <w:tcPr>
            <w:tcW w:w="68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6"/>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Non-current:</w:t>
            </w:r>
          </w:p>
        </w:tc>
        <w:tc>
          <w:tcPr>
            <w:tcW w:w="9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57"/>
        </w:trPr>
        <w:tc>
          <w:tcPr>
            <w:tcW w:w="6840" w:type="dxa"/>
            <w:vAlign w:val="bottom"/>
          </w:tcPr>
          <w:p>
            <w:pPr>
              <w:ind w:left="100"/>
              <w:spacing w:after="0"/>
              <w:rPr>
                <w:sz w:val="20"/>
                <w:szCs w:val="20"/>
                <w:color w:val="auto"/>
              </w:rPr>
            </w:pPr>
            <w:r>
              <w:rPr>
                <w:rFonts w:ascii="Arial" w:cs="Arial" w:eastAsia="Arial" w:hAnsi="Arial"/>
                <w:sz w:val="16"/>
                <w:szCs w:val="16"/>
                <w:color w:val="auto"/>
              </w:rPr>
              <w:t>Unbilled accounts receivable</w:t>
            </w:r>
            <w:r>
              <w:rPr>
                <w:rFonts w:ascii="Arial" w:cs="Arial" w:eastAsia="Arial" w:hAnsi="Arial"/>
                <w:sz w:val="21"/>
                <w:szCs w:val="21"/>
                <w:color w:val="auto"/>
                <w:vertAlign w:val="superscript"/>
              </w:rPr>
              <w:t>(1)</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w:t>
            </w:r>
          </w:p>
        </w:tc>
        <w:tc>
          <w:tcPr>
            <w:tcW w:w="96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6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Advances to suppliers</w:t>
            </w:r>
          </w:p>
        </w:tc>
        <w:tc>
          <w:tcPr>
            <w:tcW w:w="9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80" w:type="dxa"/>
            <w:vAlign w:val="bottom"/>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28"/>
        </w:trPr>
        <w:tc>
          <w:tcPr>
            <w:tcW w:w="6840" w:type="dxa"/>
            <w:vAlign w:val="bottom"/>
          </w:tcPr>
          <w:p>
            <w:pPr>
              <w:ind w:left="100"/>
              <w:spacing w:after="0"/>
              <w:rPr>
                <w:sz w:val="20"/>
                <w:szCs w:val="20"/>
                <w:color w:val="auto"/>
              </w:rPr>
            </w:pPr>
            <w:r>
              <w:rPr>
                <w:rFonts w:ascii="Arial" w:cs="Arial" w:eastAsia="Arial" w:hAnsi="Arial"/>
                <w:sz w:val="16"/>
                <w:szCs w:val="16"/>
                <w:color w:val="auto"/>
              </w:rPr>
              <w:t>Receivables from government grants</w:t>
            </w:r>
          </w:p>
        </w:tc>
        <w:tc>
          <w:tcPr>
            <w:tcW w:w="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183</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9"/>
        </w:trPr>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6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Equity investments</w:t>
            </w:r>
          </w:p>
        </w:tc>
        <w:tc>
          <w:tcPr>
            <w:tcW w:w="9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27"/>
        </w:trPr>
        <w:tc>
          <w:tcPr>
            <w:tcW w:w="6840" w:type="dxa"/>
            <w:vAlign w:val="bottom"/>
          </w:tcPr>
          <w:p>
            <w:pPr>
              <w:ind w:left="100"/>
              <w:spacing w:after="0"/>
              <w:rPr>
                <w:sz w:val="20"/>
                <w:szCs w:val="20"/>
                <w:color w:val="auto"/>
              </w:rPr>
            </w:pPr>
            <w:r>
              <w:rPr>
                <w:rFonts w:ascii="Arial" w:cs="Arial" w:eastAsia="Arial" w:hAnsi="Arial"/>
                <w:sz w:val="16"/>
                <w:szCs w:val="16"/>
                <w:color w:val="auto"/>
              </w:rPr>
              <w:t>Other</w:t>
            </w:r>
          </w:p>
        </w:tc>
        <w:tc>
          <w:tcPr>
            <w:tcW w:w="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9"/>
        </w:trPr>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6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920" w:type="dxa"/>
            <w:vAlign w:val="bottom"/>
            <w:tcBorders>
              <w:top w:val="single" w:sz="8" w:color="auto"/>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501</w:t>
            </w:r>
          </w:p>
        </w:tc>
        <w:tc>
          <w:tcPr>
            <w:tcW w:w="80" w:type="dxa"/>
            <w:vAlign w:val="bottom"/>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498</w:t>
            </w:r>
          </w:p>
        </w:tc>
      </w:tr>
      <w:tr>
        <w:trPr>
          <w:trHeight w:val="20"/>
        </w:trPr>
        <w:tc>
          <w:tcPr>
            <w:tcW w:w="68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34" w:lineRule="exact"/>
        <w:rPr>
          <w:sz w:val="20"/>
          <w:szCs w:val="20"/>
          <w:color w:val="auto"/>
        </w:rPr>
      </w:pPr>
    </w:p>
    <w:p>
      <w:pPr>
        <w:ind w:left="180" w:hanging="172"/>
        <w:spacing w:after="0" w:line="231" w:lineRule="auto"/>
        <w:tabs>
          <w:tab w:leader="none" w:pos="185"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Unbilled accounts receivable represents amounts recognized on revenue contracts less associated advances and progress billings. These amounts will be billed in accordance with the agreed-upon contractual terms or rendering services.</w:t>
      </w:r>
    </w:p>
    <w:p>
      <w:pPr>
        <w:spacing w:after="0" w:line="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summarizes the activity in the Company’s unbilled accounts receivable for the nine months ended September 30, 2026 and for the twelve months ended December 31, 2025, respectively:</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ind w:right="279"/>
              <w:spacing w:after="0"/>
              <w:rPr>
                <w:sz w:val="20"/>
                <w:szCs w:val="20"/>
                <w:color w:val="auto"/>
              </w:rPr>
            </w:pPr>
            <w:r>
              <w:rPr>
                <w:rFonts w:ascii="Arial" w:cs="Arial" w:eastAsia="Arial" w:hAnsi="Arial"/>
                <w:sz w:val="16"/>
                <w:szCs w:val="16"/>
                <w:b w:val="1"/>
                <w:bCs w:val="1"/>
                <w:color w:val="auto"/>
              </w:rPr>
              <w:t>September 30, 2026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21"/>
        </w:trPr>
        <w:tc>
          <w:tcPr>
            <w:tcW w:w="6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Balance, beginning of period</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8"/>
        </w:trPr>
        <w:tc>
          <w:tcPr>
            <w:tcW w:w="6840" w:type="dxa"/>
            <w:vAlign w:val="bottom"/>
          </w:tcPr>
          <w:p>
            <w:pPr>
              <w:ind w:left="80"/>
              <w:spacing w:after="0"/>
              <w:rPr>
                <w:sz w:val="20"/>
                <w:szCs w:val="20"/>
                <w:color w:val="auto"/>
              </w:rPr>
            </w:pPr>
            <w:r>
              <w:rPr>
                <w:rFonts w:ascii="Arial" w:cs="Arial" w:eastAsia="Arial" w:hAnsi="Arial"/>
                <w:sz w:val="16"/>
                <w:szCs w:val="16"/>
                <w:color w:val="auto"/>
              </w:rPr>
              <w:t>Revenue recognized during the period</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Amounts invoiced</w:t>
            </w:r>
          </w:p>
        </w:tc>
        <w:tc>
          <w:tcPr>
            <w:tcW w:w="2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28"/>
        </w:trPr>
        <w:tc>
          <w:tcPr>
            <w:tcW w:w="6840" w:type="dxa"/>
            <w:vAlign w:val="bottom"/>
          </w:tcPr>
          <w:p>
            <w:pPr>
              <w:ind w:left="8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84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Balance, end of period</w:t>
            </w: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w:t>
            </w:r>
          </w:p>
        </w:tc>
        <w:tc>
          <w:tcPr>
            <w:tcW w:w="80" w:type="dxa"/>
            <w:vAlign w:val="bottom"/>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Note 9. Inventories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84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jc w:val="right"/>
              <w:ind w:right="279"/>
              <w:spacing w:after="0"/>
              <w:rPr>
                <w:sz w:val="20"/>
                <w:szCs w:val="20"/>
                <w:color w:val="auto"/>
              </w:rPr>
            </w:pPr>
            <w:r>
              <w:rPr>
                <w:rFonts w:ascii="Arial" w:cs="Arial" w:eastAsia="Arial" w:hAnsi="Arial"/>
                <w:sz w:val="16"/>
                <w:szCs w:val="16"/>
                <w:b w:val="1"/>
                <w:bCs w:val="1"/>
                <w:color w:val="auto"/>
              </w:rPr>
              <w:t>September 30, 2026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84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Work in progress and others</w:t>
            </w: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80" w:type="dxa"/>
            <w:vAlign w:val="bottom"/>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28"/>
        </w:trPr>
        <w:tc>
          <w:tcPr>
            <w:tcW w:w="6840" w:type="dxa"/>
            <w:vAlign w:val="bottom"/>
          </w:tcPr>
          <w:p>
            <w:pPr>
              <w:ind w:left="80"/>
              <w:spacing w:after="0"/>
              <w:rPr>
                <w:sz w:val="20"/>
                <w:szCs w:val="20"/>
                <w:color w:val="auto"/>
              </w:rPr>
            </w:pPr>
            <w:r>
              <w:rPr>
                <w:rFonts w:ascii="Arial" w:cs="Arial" w:eastAsia="Arial" w:hAnsi="Arial"/>
                <w:sz w:val="16"/>
                <w:szCs w:val="16"/>
                <w:color w:val="auto"/>
              </w:rPr>
              <w:t>Raw materials and supplies</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592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Inventory reserves</w:t>
            </w:r>
          </w:p>
        </w:tc>
        <w:tc>
          <w:tcPr>
            <w:tcW w:w="24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50"/>
        </w:trPr>
        <w:tc>
          <w:tcPr>
            <w:tcW w:w="6840" w:type="dxa"/>
            <w:vAlign w:val="bottom"/>
          </w:tcPr>
          <w:p>
            <w:pPr>
              <w:ind w:left="8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1,581</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1,577</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For the three months ended September 30, 2026 and 2025, the Company recognized $24 million and $19 million, respectively, within cost of revenue to write down certain inventories to their estimated net realizable value.</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nine months ended September 30, 2026 and 2025, the Company recognized $98 million and $41 million, respectively, within cost of revenue to write down certain inventories to their estimated net realizable value.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significant reversals of any write-down of inventories.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Leases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has various lease agreements for certain of its offices, facilities and equipment, with a weighted average remaining lease term of 13.2 years and weighted average discount rate of 4.4% as of September 30, 2026. Leases may include one or more options to renew. Renewal terms are not included in the determination of the lease term unless the renewals are deemed to be reasonably certain at the time of lease commencement. The Company’s lease agreements do not contain any material residual value guarantees or material restrictive covenants. All leases were measured under a single criterion with the exception of those with terms not exceeding 12 months and low-value leases.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indicated)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carrying amounts of right-of-use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6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rPr>
              <w:t>September 30, 2026</w:t>
            </w:r>
          </w:p>
        </w:tc>
        <w:tc>
          <w:tcPr>
            <w:tcW w:w="216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21"/>
        </w:trPr>
        <w:tc>
          <w:tcPr>
            <w:tcW w:w="48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Land and improvements</w:t>
            </w:r>
          </w:p>
        </w:tc>
        <w:tc>
          <w:tcPr>
            <w:tcW w:w="1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27"/>
        </w:trPr>
        <w:tc>
          <w:tcPr>
            <w:tcW w:w="4820" w:type="dxa"/>
            <w:vAlign w:val="bottom"/>
          </w:tcPr>
          <w:p>
            <w:pPr>
              <w:ind w:left="80"/>
              <w:spacing w:after="0"/>
              <w:rPr>
                <w:sz w:val="20"/>
                <w:szCs w:val="20"/>
                <w:color w:val="auto"/>
              </w:rPr>
            </w:pPr>
            <w:r>
              <w:rPr>
                <w:rFonts w:ascii="Arial" w:cs="Arial" w:eastAsia="Arial" w:hAnsi="Arial"/>
                <w:sz w:val="16"/>
                <w:szCs w:val="16"/>
                <w:color w:val="auto"/>
              </w:rPr>
              <w:t>Buildings, leasehold improvements and equipment</w:t>
            </w: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9"/>
        </w:trPr>
        <w:tc>
          <w:tcPr>
            <w:tcW w:w="48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1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601</w:t>
            </w:r>
          </w:p>
        </w:tc>
        <w:tc>
          <w:tcPr>
            <w:tcW w:w="100" w:type="dxa"/>
            <w:vAlign w:val="bottom"/>
          </w:tcPr>
          <w:p>
            <w:pPr>
              <w:spacing w:after="0"/>
              <w:rPr>
                <w:sz w:val="23"/>
                <w:szCs w:val="23"/>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569</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The following table summarizes the depreciation of right-of-use assets:</w:t>
            </w: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59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820" w:type="dxa"/>
            <w:vAlign w:val="bottom"/>
          </w:tcPr>
          <w:p>
            <w:pPr>
              <w:spacing w:after="0"/>
              <w:rPr>
                <w:sz w:val="24"/>
                <w:szCs w:val="24"/>
                <w:color w:val="auto"/>
              </w:rPr>
            </w:pPr>
          </w:p>
        </w:tc>
        <w:tc>
          <w:tcPr>
            <w:tcW w:w="3160" w:type="dxa"/>
            <w:vAlign w:val="bottom"/>
            <w:gridSpan w:val="5"/>
          </w:tcPr>
          <w:p>
            <w:pPr>
              <w:jc w:val="right"/>
              <w:ind w:right="159"/>
              <w:spacing w:after="0"/>
              <w:rPr>
                <w:sz w:val="20"/>
                <w:szCs w:val="20"/>
                <w:color w:val="auto"/>
              </w:rPr>
            </w:pPr>
            <w:r>
              <w:rPr>
                <w:rFonts w:ascii="Arial" w:cs="Arial" w:eastAsia="Arial" w:hAnsi="Arial"/>
                <w:sz w:val="16"/>
                <w:szCs w:val="16"/>
                <w:b w:val="1"/>
                <w:bCs w:val="1"/>
                <w:color w:val="auto"/>
              </w:rPr>
              <w:t>Three Months Ended September 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6"/>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482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2026</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2026</w:t>
            </w: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
        </w:trPr>
        <w:tc>
          <w:tcPr>
            <w:tcW w:w="48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Land and improvements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8"/>
        </w:trPr>
        <w:tc>
          <w:tcPr>
            <w:tcW w:w="4820" w:type="dxa"/>
            <w:vAlign w:val="bottom"/>
          </w:tcPr>
          <w:p>
            <w:pPr>
              <w:ind w:left="80"/>
              <w:spacing w:after="0"/>
              <w:rPr>
                <w:sz w:val="20"/>
                <w:szCs w:val="20"/>
                <w:color w:val="auto"/>
              </w:rPr>
            </w:pPr>
            <w:r>
              <w:rPr>
                <w:rFonts w:ascii="Arial" w:cs="Arial" w:eastAsia="Arial" w:hAnsi="Arial"/>
                <w:sz w:val="16"/>
                <w:szCs w:val="16"/>
                <w:color w:val="auto"/>
              </w:rPr>
              <w:t>Buildings, leasehold improvements and equipment</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9"/>
        </w:trPr>
        <w:tc>
          <w:tcPr>
            <w:tcW w:w="4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82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110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w:t>
            </w:r>
          </w:p>
        </w:tc>
        <w:tc>
          <w:tcPr>
            <w:tcW w:w="100" w:type="dxa"/>
            <w:vAlign w:val="bottom"/>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three months ended September 30, 2026 and 2025, additions to right-of-use assets were $41 million and $5 million, respectively. For the nine months ended September 30, 2026 and 2025, additions to right-of-use assets were $78 million and $27 million, respectively.</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three months ended September 30, 2026 and 2025, interest expense was $7 million and $6 million, respectively. For the nine months ended September 30, 2026 and 2025, interest expense was $20 million and $17 million,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2026 and 2025, cash outflow for leases was $52 million and $80 million, respectively.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40" w:type="dxa"/>
            <w:vAlign w:val="bottom"/>
          </w:tcPr>
          <w:p>
            <w:pPr>
              <w:spacing w:after="0"/>
              <w:rPr>
                <w:sz w:val="20"/>
                <w:szCs w:val="20"/>
                <w:color w:val="auto"/>
              </w:rPr>
            </w:pPr>
            <w:r>
              <w:rPr>
                <w:rFonts w:ascii="Arial" w:cs="Arial" w:eastAsia="Arial" w:hAnsi="Arial"/>
                <w:sz w:val="16"/>
                <w:szCs w:val="16"/>
                <w:b w:val="1"/>
                <w:bCs w:val="1"/>
                <w:color w:val="auto"/>
              </w:rPr>
              <w:t>Note 11. Trade Payables and Other Liabilities</w:t>
            </w:r>
          </w:p>
        </w:tc>
        <w:tc>
          <w:tcPr>
            <w:tcW w:w="1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5"/>
        </w:trPr>
        <w:tc>
          <w:tcPr>
            <w:tcW w:w="68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September 30, 2026</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2025</w:t>
            </w:r>
          </w:p>
        </w:tc>
      </w:tr>
      <w:tr>
        <w:trPr>
          <w:trHeight w:val="21"/>
        </w:trPr>
        <w:tc>
          <w:tcPr>
            <w:tcW w:w="684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8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r>
      <w:tr>
        <w:trPr>
          <w:trHeight w:val="228"/>
        </w:trPr>
        <w:tc>
          <w:tcPr>
            <w:tcW w:w="6840" w:type="dxa"/>
            <w:vAlign w:val="bottom"/>
          </w:tcPr>
          <w:p>
            <w:pPr>
              <w:ind w:left="140"/>
              <w:spacing w:after="0"/>
              <w:rPr>
                <w:sz w:val="20"/>
                <w:szCs w:val="20"/>
                <w:color w:val="auto"/>
              </w:rPr>
            </w:pPr>
            <w:r>
              <w:rPr>
                <w:rFonts w:ascii="Arial" w:cs="Arial" w:eastAsia="Arial" w:hAnsi="Arial"/>
                <w:sz w:val="16"/>
                <w:szCs w:val="16"/>
                <w:color w:val="auto"/>
              </w:rPr>
              <w:t>Trade payables</w:t>
            </w:r>
          </w:p>
        </w:tc>
        <w:tc>
          <w:tcPr>
            <w:tcW w:w="1860" w:type="dxa"/>
            <w:vAlign w:val="bottom"/>
          </w:tcPr>
          <w:p>
            <w:pPr>
              <w:jc w:val="right"/>
              <w:ind w:right="1659"/>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97"/>
              </w:rPr>
              <w:t>386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491</w:t>
            </w:r>
          </w:p>
        </w:tc>
      </w:tr>
      <w:tr>
        <w:trPr>
          <w:trHeight w:val="29"/>
        </w:trPr>
        <w:tc>
          <w:tcPr>
            <w:tcW w:w="68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36"/>
        </w:trPr>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18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579</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w:t>
            </w:r>
          </w:p>
        </w:tc>
      </w:tr>
      <w:tr>
        <w:trPr>
          <w:trHeight w:val="257"/>
        </w:trPr>
        <w:tc>
          <w:tcPr>
            <w:tcW w:w="6840" w:type="dxa"/>
            <w:vAlign w:val="bottom"/>
          </w:tcPr>
          <w:p>
            <w:pPr>
              <w:ind w:left="140"/>
              <w:spacing w:after="0"/>
              <w:rPr>
                <w:sz w:val="20"/>
                <w:szCs w:val="20"/>
                <w:color w:val="auto"/>
              </w:rPr>
            </w:pPr>
            <w:r>
              <w:rPr>
                <w:rFonts w:ascii="Arial" w:cs="Arial" w:eastAsia="Arial" w:hAnsi="Arial"/>
                <w:sz w:val="16"/>
                <w:szCs w:val="16"/>
                <w:color w:val="auto"/>
              </w:rPr>
              <w:t>Contract liabilities</w:t>
            </w:r>
            <w:r>
              <w:rPr>
                <w:rFonts w:ascii="Arial" w:cs="Arial" w:eastAsia="Arial" w:hAnsi="Arial"/>
                <w:sz w:val="21"/>
                <w:szCs w:val="21"/>
                <w:color w:val="auto"/>
                <w:vertAlign w:val="superscript"/>
              </w:rPr>
              <w:t>(1)</w:t>
            </w:r>
          </w:p>
        </w:tc>
        <w:tc>
          <w:tcPr>
            <w:tcW w:w="18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7"/>
              </w:rPr>
              <w:t>467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718</w:t>
            </w:r>
          </w:p>
        </w:tc>
      </w:tr>
      <w:tr>
        <w:trPr>
          <w:trHeight w:val="236"/>
        </w:trPr>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Advances and deposits</w:t>
            </w:r>
          </w:p>
        </w:tc>
        <w:tc>
          <w:tcPr>
            <w:tcW w:w="18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157</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28"/>
        </w:trPr>
        <w:tc>
          <w:tcPr>
            <w:tcW w:w="6840" w:type="dxa"/>
            <w:vAlign w:val="bottom"/>
          </w:tcPr>
          <w:p>
            <w:pPr>
              <w:ind w:left="140"/>
              <w:spacing w:after="0"/>
              <w:rPr>
                <w:sz w:val="20"/>
                <w:szCs w:val="20"/>
                <w:color w:val="auto"/>
              </w:rPr>
            </w:pPr>
            <w:r>
              <w:rPr>
                <w:rFonts w:ascii="Arial" w:cs="Arial" w:eastAsia="Arial" w:hAnsi="Arial"/>
                <w:sz w:val="16"/>
                <w:szCs w:val="16"/>
                <w:color w:val="auto"/>
              </w:rPr>
              <w:t>Payables for property, plant and equipment and intangible assets</w:t>
            </w:r>
          </w:p>
        </w:tc>
        <w:tc>
          <w:tcPr>
            <w:tcW w:w="1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7"/>
              </w:rPr>
              <w:t>271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335</w:t>
            </w:r>
          </w:p>
        </w:tc>
      </w:tr>
      <w:tr>
        <w:trPr>
          <w:trHeight w:val="29"/>
        </w:trPr>
        <w:tc>
          <w:tcPr>
            <w:tcW w:w="68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6"/>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186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221</w:t>
            </w:r>
          </w:p>
        </w:tc>
        <w:tc>
          <w:tcPr>
            <w:tcW w:w="80" w:type="dxa"/>
            <w:vAlign w:val="bottom"/>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2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2,081</w:t>
            </w:r>
          </w:p>
        </w:tc>
        <w:tc>
          <w:tcPr>
            <w:tcW w:w="96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2,213</w:t>
            </w:r>
          </w:p>
        </w:tc>
      </w:tr>
      <w:tr>
        <w:trPr>
          <w:trHeight w:val="21"/>
        </w:trPr>
        <w:tc>
          <w:tcPr>
            <w:tcW w:w="68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w:t>
            </w:r>
          </w:p>
        </w:tc>
        <w:tc>
          <w:tcPr>
            <w:tcW w:w="9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8"/>
        </w:trPr>
        <w:tc>
          <w:tcPr>
            <w:tcW w:w="6840" w:type="dxa"/>
            <w:vAlign w:val="bottom"/>
          </w:tcPr>
          <w:p>
            <w:pPr>
              <w:ind w:left="140"/>
              <w:spacing w:after="0"/>
              <w:rPr>
                <w:sz w:val="20"/>
                <w:szCs w:val="20"/>
                <w:color w:val="auto"/>
              </w:rPr>
            </w:pPr>
            <w:r>
              <w:rPr>
                <w:rFonts w:ascii="Arial" w:cs="Arial" w:eastAsia="Arial" w:hAnsi="Arial"/>
                <w:sz w:val="16"/>
                <w:szCs w:val="16"/>
                <w:color w:val="auto"/>
              </w:rPr>
              <w:t>Payables for intangible assets</w:t>
            </w:r>
          </w:p>
        </w:tc>
        <w:tc>
          <w:tcPr>
            <w:tcW w:w="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9"/>
        </w:trPr>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liabilities</w:t>
            </w:r>
            <w:r>
              <w:rPr>
                <w:rFonts w:ascii="Arial" w:cs="Arial" w:eastAsia="Arial" w:hAnsi="Arial"/>
                <w:sz w:val="21"/>
                <w:szCs w:val="21"/>
                <w:color w:val="auto"/>
                <w:vertAlign w:val="superscript"/>
              </w:rPr>
              <w:t>(1)</w:t>
            </w:r>
          </w:p>
        </w:tc>
        <w:tc>
          <w:tcPr>
            <w:tcW w:w="9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80" w:type="dxa"/>
            <w:vAlign w:val="bottom"/>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r>
      <w:tr>
        <w:trPr>
          <w:trHeight w:val="228"/>
        </w:trPr>
        <w:tc>
          <w:tcPr>
            <w:tcW w:w="6840" w:type="dxa"/>
            <w:vAlign w:val="bottom"/>
          </w:tcPr>
          <w:p>
            <w:pPr>
              <w:ind w:left="140"/>
              <w:spacing w:after="0"/>
              <w:rPr>
                <w:sz w:val="20"/>
                <w:szCs w:val="20"/>
                <w:color w:val="auto"/>
              </w:rPr>
            </w:pPr>
            <w:r>
              <w:rPr>
                <w:rFonts w:ascii="Arial" w:cs="Arial" w:eastAsia="Arial" w:hAnsi="Arial"/>
                <w:sz w:val="16"/>
                <w:szCs w:val="16"/>
                <w:color w:val="auto"/>
              </w:rPr>
              <w:t>Deferred tax liabilities</w:t>
            </w:r>
          </w:p>
        </w:tc>
        <w:tc>
          <w:tcPr>
            <w:tcW w:w="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9"/>
        </w:trPr>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6"/>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9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29"/>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2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896</w:t>
            </w:r>
          </w:p>
        </w:tc>
        <w:tc>
          <w:tcPr>
            <w:tcW w:w="96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862</w:t>
            </w:r>
          </w:p>
        </w:tc>
      </w:tr>
      <w:tr>
        <w:trPr>
          <w:trHeight w:val="21"/>
        </w:trPr>
        <w:tc>
          <w:tcPr>
            <w:tcW w:w="6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9"/>
          <w:szCs w:val="9"/>
          <w:color w:val="auto"/>
        </w:rPr>
      </w:pPr>
      <w:r>
        <w:rPr>
          <w:rFonts w:ascii="Arial" w:cs="Arial" w:eastAsia="Arial" w:hAnsi="Arial"/>
          <w:sz w:val="14"/>
          <w:szCs w:val="14"/>
          <w:color w:val="auto"/>
        </w:rPr>
        <w:t>Contract liabilities comprise contractual obligations for payments received in advance of the satisfaction of performance obligations for wafers, as well as NRE services.</w:t>
      </w:r>
    </w:p>
    <w:p>
      <w:pPr>
        <w:spacing w:after="0" w:line="105" w:lineRule="exact"/>
        <w:rPr>
          <w:rFonts w:ascii="Arial" w:cs="Arial" w:eastAsia="Arial" w:hAnsi="Arial"/>
          <w:sz w:val="9"/>
          <w:szCs w:val="9"/>
          <w:color w:val="auto"/>
        </w:rPr>
      </w:pPr>
    </w:p>
    <w:p>
      <w:pPr>
        <w:ind w:left="160" w:hanging="152"/>
        <w:spacing w:after="0"/>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Other includes other financial liabilities, current portion of deferred income from government grants and non-current advances and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indicated)</w:t>
      </w:r>
    </w:p>
    <w:p>
      <w:pPr>
        <w:spacing w:after="0" w:line="200" w:lineRule="exact"/>
        <w:rPr>
          <w:sz w:val="20"/>
          <w:szCs w:val="20"/>
          <w:color w:val="auto"/>
        </w:rPr>
      </w:pPr>
    </w:p>
    <w:p>
      <w:pPr>
        <w:spacing w:after="0" w:line="3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summarizes the activities in contract liabilities for the nine months ended September 30, 2026 and for the twelve months ended December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20" w:type="dxa"/>
            <w:vAlign w:val="bottom"/>
            <w:gridSpan w:val="4"/>
          </w:tcPr>
          <w:p>
            <w:pPr>
              <w:jc w:val="right"/>
              <w:ind w:right="297"/>
              <w:spacing w:after="0"/>
              <w:rPr>
                <w:sz w:val="20"/>
                <w:szCs w:val="20"/>
                <w:color w:val="auto"/>
              </w:rPr>
            </w:pPr>
            <w:r>
              <w:rPr>
                <w:rFonts w:ascii="Arial" w:cs="Arial" w:eastAsia="Arial" w:hAnsi="Arial"/>
                <w:sz w:val="16"/>
                <w:szCs w:val="16"/>
                <w:b w:val="1"/>
                <w:bCs w:val="1"/>
                <w:color w:val="auto"/>
              </w:rPr>
              <w:t>September 30, 2026</w:t>
            </w:r>
          </w:p>
        </w:tc>
        <w:tc>
          <w:tcPr>
            <w:tcW w:w="80" w:type="dxa"/>
            <w:vAlign w:val="bottom"/>
          </w:tcPr>
          <w:p>
            <w:pPr>
              <w:spacing w:after="0"/>
              <w:rPr>
                <w:sz w:val="19"/>
                <w:szCs w:val="19"/>
                <w:color w:val="auto"/>
              </w:rPr>
            </w:pPr>
          </w:p>
        </w:tc>
        <w:tc>
          <w:tcPr>
            <w:tcW w:w="210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21"/>
        </w:trPr>
        <w:tc>
          <w:tcPr>
            <w:tcW w:w="3240" w:type="dxa"/>
            <w:vAlign w:val="bottom"/>
            <w:tcBorders>
              <w:bottom w:val="single" w:sz="8" w:color="CCEEFF"/>
            </w:tcBorders>
            <w:gridSpan w:val="2"/>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Beginning contract liabilities balance</w:t>
            </w:r>
          </w:p>
        </w:tc>
        <w:tc>
          <w:tcPr>
            <w:tcW w:w="16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6"/>
                <w:szCs w:val="16"/>
                <w:color w:val="auto"/>
              </w:rPr>
              <w:t>1,230</w:t>
            </w:r>
          </w:p>
        </w:tc>
        <w:tc>
          <w:tcPr>
            <w:tcW w:w="8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900" w:type="dxa"/>
            <w:vAlign w:val="bottom"/>
            <w:gridSpan w:val="3"/>
          </w:tcPr>
          <w:p>
            <w:pPr>
              <w:ind w:left="20"/>
              <w:spacing w:after="0"/>
              <w:rPr>
                <w:sz w:val="20"/>
                <w:szCs w:val="20"/>
                <w:color w:val="auto"/>
              </w:rPr>
            </w:pPr>
            <w:r>
              <w:rPr>
                <w:rFonts w:ascii="Arial" w:cs="Arial" w:eastAsia="Arial" w:hAnsi="Arial"/>
                <w:sz w:val="16"/>
                <w:szCs w:val="16"/>
                <w:color w:val="auto"/>
              </w:rPr>
              <w:t>Cash receipts in advance of satisfaction of performance obligations</w:t>
            </w: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gridSpan w:val="2"/>
          </w:tcPr>
          <w:p>
            <w:pPr>
              <w:jc w:val="right"/>
              <w:ind w:right="17"/>
              <w:spacing w:after="0"/>
              <w:rPr>
                <w:sz w:val="20"/>
                <w:szCs w:val="20"/>
                <w:color w:val="auto"/>
              </w:rPr>
            </w:pPr>
            <w:r>
              <w:rPr>
                <w:rFonts w:ascii="Arial" w:cs="Arial" w:eastAsia="Arial" w:hAnsi="Arial"/>
                <w:sz w:val="16"/>
                <w:szCs w:val="16"/>
                <w:color w:val="auto"/>
              </w:rPr>
              <w:t>218</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4900" w:type="dxa"/>
            <w:vAlign w:val="bottom"/>
            <w:gridSpan w:val="3"/>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5"/>
        </w:trPr>
        <w:tc>
          <w:tcPr>
            <w:tcW w:w="49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Released to the consolidated statements of operations</w:t>
            </w:r>
          </w:p>
        </w:tc>
        <w:tc>
          <w:tcPr>
            <w:tcW w:w="1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80" w:type="dxa"/>
            <w:vAlign w:val="bottom"/>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(1,124)</w:t>
            </w:r>
          </w:p>
        </w:tc>
        <w:tc>
          <w:tcPr>
            <w:tcW w:w="0" w:type="dxa"/>
            <w:vAlign w:val="bottom"/>
          </w:tcPr>
          <w:p>
            <w:pPr>
              <w:spacing w:after="0"/>
              <w:rPr>
                <w:sz w:val="1"/>
                <w:szCs w:val="1"/>
                <w:color w:val="auto"/>
              </w:rPr>
            </w:pPr>
          </w:p>
        </w:tc>
      </w:tr>
      <w:tr>
        <w:trPr>
          <w:trHeight w:val="104"/>
        </w:trPr>
        <w:tc>
          <w:tcPr>
            <w:tcW w:w="246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660" w:type="dxa"/>
            <w:vAlign w:val="bottom"/>
            <w:tcBorders>
              <w:bottom w:val="single" w:sz="8" w:color="CCEEFF"/>
            </w:tcBorders>
            <w:shd w:val="clear" w:color="auto" w:fill="CCEEFF"/>
          </w:tcPr>
          <w:p>
            <w:pPr>
              <w:spacing w:after="0"/>
              <w:rPr>
                <w:sz w:val="9"/>
                <w:szCs w:val="9"/>
                <w:color w:val="auto"/>
              </w:rPr>
            </w:pPr>
          </w:p>
        </w:tc>
        <w:tc>
          <w:tcPr>
            <w:tcW w:w="128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520" w:type="dxa"/>
            <w:vAlign w:val="bottom"/>
            <w:tcBorders>
              <w:bottom w:val="single" w:sz="8" w:color="CCEEFF"/>
            </w:tcBorders>
            <w:gridSpan w:val="2"/>
            <w:vMerge w:val="continue"/>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100" w:type="dxa"/>
            <w:vAlign w:val="bottom"/>
            <w:tcBorders>
              <w:bottom w:val="single" w:sz="8" w:color="CCEEFF"/>
            </w:tcBorders>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460" w:type="dxa"/>
            <w:vAlign w:val="bottom"/>
          </w:tcPr>
          <w:p>
            <w:pPr>
              <w:ind w:left="20"/>
              <w:spacing w:after="0"/>
              <w:rPr>
                <w:sz w:val="20"/>
                <w:szCs w:val="20"/>
                <w:color w:val="auto"/>
              </w:rPr>
            </w:pPr>
            <w:r>
              <w:rPr>
                <w:rFonts w:ascii="Arial" w:cs="Arial" w:eastAsia="Arial" w:hAnsi="Arial"/>
                <w:sz w:val="16"/>
                <w:szCs w:val="16"/>
                <w:color w:val="auto"/>
              </w:rPr>
              <w:t>Other</w:t>
            </w:r>
          </w:p>
        </w:tc>
        <w:tc>
          <w:tcPr>
            <w:tcW w:w="7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gridSpan w:val="2"/>
          </w:tcPr>
          <w:p>
            <w:pPr>
              <w:jc w:val="right"/>
              <w:ind w:right="17"/>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9"/>
        </w:trPr>
        <w:tc>
          <w:tcPr>
            <w:tcW w:w="24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contract liabilities balance</w:t>
            </w:r>
          </w:p>
        </w:tc>
        <w:tc>
          <w:tcPr>
            <w:tcW w:w="7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886</w:t>
            </w:r>
          </w:p>
        </w:tc>
        <w:tc>
          <w:tcPr>
            <w:tcW w:w="80" w:type="dxa"/>
            <w:vAlign w:val="bottom"/>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7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6"/>
                <w:szCs w:val="16"/>
                <w:color w:val="auto"/>
              </w:rPr>
              <w:t>467</w:t>
            </w:r>
          </w:p>
        </w:tc>
        <w:tc>
          <w:tcPr>
            <w:tcW w:w="8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460" w:type="dxa"/>
            <w:vAlign w:val="bottom"/>
          </w:tcPr>
          <w:p>
            <w:pPr>
              <w:ind w:left="20"/>
              <w:spacing w:after="0"/>
              <w:rPr>
                <w:sz w:val="20"/>
                <w:szCs w:val="20"/>
                <w:color w:val="auto"/>
              </w:rPr>
            </w:pPr>
            <w:r>
              <w:rPr>
                <w:rFonts w:ascii="Arial" w:cs="Arial" w:eastAsia="Arial" w:hAnsi="Arial"/>
                <w:sz w:val="16"/>
                <w:szCs w:val="16"/>
                <w:color w:val="auto"/>
              </w:rPr>
              <w:t>Non-current</w:t>
            </w:r>
          </w:p>
        </w:tc>
        <w:tc>
          <w:tcPr>
            <w:tcW w:w="7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gridSpan w:val="2"/>
          </w:tcPr>
          <w:p>
            <w:pPr>
              <w:jc w:val="right"/>
              <w:ind w:right="17"/>
              <w:spacing w:after="0"/>
              <w:rPr>
                <w:sz w:val="20"/>
                <w:szCs w:val="20"/>
                <w:color w:val="auto"/>
              </w:rPr>
            </w:pPr>
            <w:r>
              <w:rPr>
                <w:rFonts w:ascii="Arial" w:cs="Arial" w:eastAsia="Arial" w:hAnsi="Arial"/>
                <w:sz w:val="16"/>
                <w:szCs w:val="16"/>
                <w:color w:val="auto"/>
              </w:rPr>
              <w:t>419</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4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7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886</w:t>
            </w:r>
          </w:p>
        </w:tc>
        <w:tc>
          <w:tcPr>
            <w:tcW w:w="80" w:type="dxa"/>
            <w:vAlign w:val="bottom"/>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50"/>
        </w:trPr>
        <w:tc>
          <w:tcPr>
            <w:tcW w:w="2460" w:type="dxa"/>
            <w:vAlign w:val="bottom"/>
          </w:tcPr>
          <w:p>
            <w:pPr>
              <w:spacing w:after="0"/>
              <w:rPr>
                <w:sz w:val="20"/>
                <w:szCs w:val="20"/>
                <w:color w:val="auto"/>
              </w:rPr>
            </w:pPr>
            <w:r>
              <w:rPr>
                <w:rFonts w:ascii="Arial" w:cs="Arial" w:eastAsia="Arial" w:hAnsi="Arial"/>
                <w:sz w:val="16"/>
                <w:szCs w:val="16"/>
                <w:b w:val="1"/>
                <w:bCs w:val="1"/>
                <w:color w:val="auto"/>
              </w:rPr>
              <w:t>Note 12. Long Term Debt</w:t>
            </w: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180" w:type="dxa"/>
            <w:vAlign w:val="bottom"/>
            <w:gridSpan w:val="4"/>
          </w:tcPr>
          <w:p>
            <w:pPr>
              <w:spacing w:after="0"/>
              <w:rPr>
                <w:sz w:val="20"/>
                <w:szCs w:val="20"/>
                <w:color w:val="auto"/>
              </w:rPr>
            </w:pPr>
            <w:r>
              <w:rPr>
                <w:rFonts w:ascii="Arial" w:cs="Arial" w:eastAsia="Arial" w:hAnsi="Arial"/>
                <w:sz w:val="16"/>
                <w:szCs w:val="16"/>
                <w:color w:val="auto"/>
              </w:rPr>
              <w:t>The following table outlines the terms and carrying amounts of the Company’s debt:</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8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Interest Payment</w:t>
            </w:r>
          </w:p>
        </w:tc>
        <w:tc>
          <w:tcPr>
            <w:tcW w:w="14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Principal Payment</w:t>
            </w:r>
          </w:p>
        </w:tc>
        <w:tc>
          <w:tcPr>
            <w:tcW w:w="880" w:type="dxa"/>
            <w:vAlign w:val="bottom"/>
          </w:tcPr>
          <w:p>
            <w:pPr>
              <w:jc w:val="center"/>
              <w:ind w:left="77"/>
              <w:spacing w:after="0"/>
              <w:rPr>
                <w:sz w:val="20"/>
                <w:szCs w:val="20"/>
                <w:color w:val="auto"/>
              </w:rPr>
            </w:pPr>
            <w:r>
              <w:rPr>
                <w:rFonts w:ascii="Arial" w:cs="Arial" w:eastAsia="Arial" w:hAnsi="Arial"/>
                <w:sz w:val="13"/>
                <w:szCs w:val="13"/>
                <w:b w:val="1"/>
                <w:bCs w:val="1"/>
                <w:color w:val="auto"/>
                <w:w w:val="92"/>
              </w:rPr>
              <w:t>Year</w:t>
            </w:r>
          </w:p>
        </w:tc>
        <w:tc>
          <w:tcPr>
            <w:tcW w:w="160" w:type="dxa"/>
            <w:vAlign w:val="bottom"/>
          </w:tcPr>
          <w:p>
            <w:pPr>
              <w:spacing w:after="0"/>
              <w:rPr>
                <w:sz w:val="23"/>
                <w:szCs w:val="23"/>
                <w:color w:val="auto"/>
              </w:rPr>
            </w:pPr>
          </w:p>
        </w:tc>
        <w:tc>
          <w:tcPr>
            <w:tcW w:w="118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2"/>
        </w:trPr>
        <w:tc>
          <w:tcPr>
            <w:tcW w:w="2460" w:type="dxa"/>
            <w:vAlign w:val="bottom"/>
          </w:tcPr>
          <w:p>
            <w:pPr>
              <w:ind w:left="20"/>
              <w:spacing w:after="0"/>
              <w:rPr>
                <w:sz w:val="20"/>
                <w:szCs w:val="20"/>
                <w:color w:val="auto"/>
              </w:rPr>
            </w:pPr>
            <w:r>
              <w:rPr>
                <w:rFonts w:ascii="Arial" w:cs="Arial" w:eastAsia="Arial" w:hAnsi="Arial"/>
                <w:sz w:val="13"/>
                <w:szCs w:val="13"/>
                <w:b w:val="1"/>
                <w:bCs w:val="1"/>
                <w:color w:val="auto"/>
              </w:rPr>
              <w:t>Description</w:t>
            </w:r>
          </w:p>
        </w:tc>
        <w:tc>
          <w:tcPr>
            <w:tcW w:w="780" w:type="dxa"/>
            <w:vAlign w:val="bottom"/>
          </w:tcPr>
          <w:p>
            <w:pPr>
              <w:jc w:val="center"/>
              <w:ind w:right="37"/>
              <w:spacing w:after="0"/>
              <w:rPr>
                <w:sz w:val="20"/>
                <w:szCs w:val="20"/>
                <w:color w:val="auto"/>
              </w:rPr>
            </w:pPr>
            <w:r>
              <w:rPr>
                <w:rFonts w:ascii="Arial" w:cs="Arial" w:eastAsia="Arial" w:hAnsi="Arial"/>
                <w:sz w:val="13"/>
                <w:szCs w:val="13"/>
                <w:b w:val="1"/>
                <w:bCs w:val="1"/>
                <w:color w:val="auto"/>
                <w:w w:val="98"/>
              </w:rPr>
              <w:t>Currency</w:t>
            </w:r>
          </w:p>
        </w:tc>
        <w:tc>
          <w:tcPr>
            <w:tcW w:w="1660" w:type="dxa"/>
            <w:vAlign w:val="bottom"/>
          </w:tcPr>
          <w:p>
            <w:pPr>
              <w:jc w:val="center"/>
              <w:ind w:right="17"/>
              <w:spacing w:after="0"/>
              <w:rPr>
                <w:sz w:val="20"/>
                <w:szCs w:val="20"/>
                <w:color w:val="auto"/>
              </w:rPr>
            </w:pPr>
            <w:r>
              <w:rPr>
                <w:rFonts w:ascii="Arial" w:cs="Arial" w:eastAsia="Arial" w:hAnsi="Arial"/>
                <w:sz w:val="13"/>
                <w:szCs w:val="13"/>
                <w:b w:val="1"/>
                <w:bCs w:val="1"/>
                <w:color w:val="auto"/>
                <w:w w:val="97"/>
              </w:rPr>
              <w:t>Nominal Interest Rate</w:t>
            </w:r>
          </w:p>
        </w:tc>
        <w:tc>
          <w:tcPr>
            <w:tcW w:w="128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Terms</w:t>
            </w:r>
          </w:p>
        </w:tc>
        <w:tc>
          <w:tcPr>
            <w:tcW w:w="14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Terms</w:t>
            </w:r>
          </w:p>
        </w:tc>
        <w:tc>
          <w:tcPr>
            <w:tcW w:w="880" w:type="dxa"/>
            <w:vAlign w:val="bottom"/>
          </w:tcPr>
          <w:p>
            <w:pPr>
              <w:jc w:val="center"/>
              <w:ind w:left="77"/>
              <w:spacing w:after="0"/>
              <w:rPr>
                <w:sz w:val="20"/>
                <w:szCs w:val="20"/>
                <w:color w:val="auto"/>
              </w:rPr>
            </w:pPr>
            <w:r>
              <w:rPr>
                <w:rFonts w:ascii="Arial" w:cs="Arial" w:eastAsia="Arial" w:hAnsi="Arial"/>
                <w:sz w:val="13"/>
                <w:szCs w:val="13"/>
                <w:b w:val="1"/>
                <w:bCs w:val="1"/>
                <w:color w:val="auto"/>
                <w:w w:val="99"/>
              </w:rPr>
              <w:t>of Maturity</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2"/>
          </w:tcPr>
          <w:p>
            <w:pPr>
              <w:jc w:val="right"/>
              <w:ind w:right="359"/>
              <w:spacing w:after="0"/>
              <w:rPr>
                <w:sz w:val="20"/>
                <w:szCs w:val="20"/>
                <w:color w:val="auto"/>
              </w:rPr>
            </w:pPr>
            <w:r>
              <w:rPr>
                <w:rFonts w:ascii="Arial" w:cs="Arial" w:eastAsia="Arial" w:hAnsi="Arial"/>
                <w:sz w:val="13"/>
                <w:szCs w:val="13"/>
                <w:b w:val="1"/>
                <w:bCs w:val="1"/>
                <w:color w:val="auto"/>
              </w:rPr>
              <w:t>2026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389"/>
              <w:spacing w:after="0"/>
              <w:rPr>
                <w:sz w:val="20"/>
                <w:szCs w:val="20"/>
                <w:color w:val="auto"/>
              </w:rPr>
            </w:pPr>
            <w:r>
              <w:rPr>
                <w:rFonts w:ascii="Arial" w:cs="Arial" w:eastAsia="Arial" w:hAnsi="Arial"/>
                <w:sz w:val="13"/>
                <w:szCs w:val="13"/>
                <w:b w:val="1"/>
                <w:bCs w:val="1"/>
                <w:color w:val="auto"/>
              </w:rPr>
              <w:t>2025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8"/>
        </w:trPr>
        <w:tc>
          <w:tcPr>
            <w:tcW w:w="2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2021 SGD EDB Loan</w:t>
            </w:r>
          </w:p>
        </w:tc>
        <w:tc>
          <w:tcPr>
            <w:tcW w:w="780" w:type="dxa"/>
            <w:vAlign w:val="bottom"/>
            <w:tcBorders>
              <w:bottom w:val="single" w:sz="8" w:color="CCEEFF"/>
            </w:tcBorders>
            <w:shd w:val="clear" w:color="auto" w:fill="CCEEFF"/>
          </w:tcPr>
          <w:p>
            <w:pPr>
              <w:jc w:val="center"/>
              <w:ind w:right="37"/>
              <w:spacing w:after="0"/>
              <w:rPr>
                <w:sz w:val="20"/>
                <w:szCs w:val="20"/>
                <w:color w:val="auto"/>
              </w:rPr>
            </w:pPr>
            <w:r>
              <w:rPr>
                <w:rFonts w:ascii="Arial" w:cs="Arial" w:eastAsia="Arial" w:hAnsi="Arial"/>
                <w:sz w:val="13"/>
                <w:szCs w:val="13"/>
                <w:color w:val="auto"/>
                <w:w w:val="99"/>
              </w:rPr>
              <w:t>SGD</w:t>
            </w:r>
          </w:p>
        </w:tc>
        <w:tc>
          <w:tcPr>
            <w:tcW w:w="1660" w:type="dxa"/>
            <w:vAlign w:val="bottom"/>
            <w:tcBorders>
              <w:bottom w:val="single" w:sz="8" w:color="CCEEFF"/>
            </w:tcBorders>
            <w:shd w:val="clear" w:color="auto" w:fill="CCEEFF"/>
          </w:tcPr>
          <w:p>
            <w:pPr>
              <w:jc w:val="center"/>
              <w:ind w:right="17"/>
              <w:spacing w:after="0"/>
              <w:rPr>
                <w:sz w:val="20"/>
                <w:szCs w:val="20"/>
                <w:color w:val="auto"/>
              </w:rPr>
            </w:pPr>
            <w:r>
              <w:rPr>
                <w:rFonts w:ascii="Arial" w:cs="Arial" w:eastAsia="Arial" w:hAnsi="Arial"/>
                <w:sz w:val="13"/>
                <w:szCs w:val="13"/>
                <w:color w:val="auto"/>
                <w:w w:val="92"/>
              </w:rPr>
              <w:t>1.40%</w:t>
            </w:r>
          </w:p>
        </w:tc>
        <w:tc>
          <w:tcPr>
            <w:tcW w:w="1280" w:type="dxa"/>
            <w:vAlign w:val="bottom"/>
            <w:tcBorders>
              <w:bottom w:val="single" w:sz="8" w:color="CCEEFF"/>
            </w:tcBorders>
            <w:shd w:val="clear" w:color="auto" w:fill="CCEEFF"/>
          </w:tcPr>
          <w:p>
            <w:pPr>
              <w:jc w:val="center"/>
              <w:ind w:right="97"/>
              <w:spacing w:after="0"/>
              <w:rPr>
                <w:sz w:val="20"/>
                <w:szCs w:val="20"/>
                <w:color w:val="auto"/>
              </w:rPr>
            </w:pPr>
            <w:r>
              <w:rPr>
                <w:rFonts w:ascii="Arial" w:cs="Arial" w:eastAsia="Arial" w:hAnsi="Arial"/>
                <w:sz w:val="13"/>
                <w:szCs w:val="13"/>
                <w:color w:val="auto"/>
                <w:w w:val="96"/>
              </w:rPr>
              <w:t>Semi-Annual</w:t>
            </w: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880" w:type="dxa"/>
            <w:vAlign w:val="bottom"/>
            <w:tcBorders>
              <w:bottom w:val="single" w:sz="8" w:color="CCEEFF"/>
            </w:tcBorders>
            <w:shd w:val="clear" w:color="auto" w:fill="CCEEFF"/>
          </w:tcPr>
          <w:p>
            <w:pPr>
              <w:jc w:val="center"/>
              <w:ind w:left="57"/>
              <w:spacing w:after="0"/>
              <w:rPr>
                <w:sz w:val="20"/>
                <w:szCs w:val="20"/>
                <w:color w:val="auto"/>
              </w:rPr>
            </w:pPr>
            <w:r>
              <w:rPr>
                <w:rFonts w:ascii="Arial" w:cs="Arial" w:eastAsia="Arial" w:hAnsi="Arial"/>
                <w:sz w:val="13"/>
                <w:szCs w:val="13"/>
                <w:color w:val="auto"/>
                <w:w w:val="96"/>
              </w:rPr>
              <w:t>2041</w:t>
            </w:r>
          </w:p>
        </w:tc>
        <w:tc>
          <w:tcPr>
            <w:tcW w:w="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rPr>
                <w:sz w:val="20"/>
                <w:szCs w:val="20"/>
                <w:color w:val="auto"/>
              </w:rPr>
            </w:pPr>
            <w:r>
              <w:rPr>
                <w:rFonts w:ascii="Arial" w:cs="Arial" w:eastAsia="Arial" w:hAnsi="Arial"/>
                <w:sz w:val="13"/>
                <w:szCs w:val="13"/>
                <w:color w:val="auto"/>
              </w:rPr>
              <w:t>Various</w:t>
            </w:r>
          </w:p>
        </w:tc>
        <w:tc>
          <w:tcPr>
            <w:tcW w:w="780" w:type="dxa"/>
            <w:vAlign w:val="bottom"/>
          </w:tcPr>
          <w:p>
            <w:pPr>
              <w:jc w:val="center"/>
              <w:ind w:right="37"/>
              <w:spacing w:after="0"/>
              <w:rPr>
                <w:sz w:val="20"/>
                <w:szCs w:val="20"/>
                <w:color w:val="auto"/>
              </w:rPr>
            </w:pPr>
            <w:r>
              <w:rPr>
                <w:rFonts w:ascii="Arial" w:cs="Arial" w:eastAsia="Arial" w:hAnsi="Arial"/>
                <w:sz w:val="13"/>
                <w:szCs w:val="13"/>
                <w:color w:val="auto"/>
                <w:w w:val="96"/>
              </w:rPr>
              <w:t>EUR, USD</w:t>
            </w:r>
          </w:p>
        </w:tc>
        <w:tc>
          <w:tcPr>
            <w:tcW w:w="1660" w:type="dxa"/>
            <w:vAlign w:val="bottom"/>
          </w:tcPr>
          <w:p>
            <w:pPr>
              <w:jc w:val="center"/>
              <w:ind w:right="17"/>
              <w:spacing w:after="0"/>
              <w:rPr>
                <w:sz w:val="20"/>
                <w:szCs w:val="20"/>
                <w:color w:val="auto"/>
              </w:rPr>
            </w:pPr>
            <w:r>
              <w:rPr>
                <w:rFonts w:ascii="Arial" w:cs="Arial" w:eastAsia="Arial" w:hAnsi="Arial"/>
                <w:sz w:val="13"/>
                <w:szCs w:val="13"/>
                <w:color w:val="auto"/>
                <w:w w:val="95"/>
              </w:rPr>
              <w:t>Various</w:t>
            </w:r>
          </w:p>
        </w:tc>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jc w:val="center"/>
              <w:ind w:left="77"/>
              <w:spacing w:after="0"/>
              <w:rPr>
                <w:sz w:val="20"/>
                <w:szCs w:val="20"/>
                <w:color w:val="auto"/>
              </w:rPr>
            </w:pPr>
            <w:r>
              <w:rPr>
                <w:rFonts w:ascii="Arial" w:cs="Arial" w:eastAsia="Arial" w:hAnsi="Arial"/>
                <w:sz w:val="13"/>
                <w:szCs w:val="13"/>
                <w:color w:val="auto"/>
                <w:w w:val="99"/>
              </w:rPr>
              <w:t>2026-2032</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46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Current total</w:t>
            </w:r>
          </w:p>
        </w:tc>
        <w:tc>
          <w:tcPr>
            <w:tcW w:w="7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77"/>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99</w:t>
            </w:r>
          </w:p>
        </w:tc>
        <w:tc>
          <w:tcPr>
            <w:tcW w:w="10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2021 SGD EDB Loan</w:t>
            </w:r>
          </w:p>
        </w:tc>
        <w:tc>
          <w:tcPr>
            <w:tcW w:w="780" w:type="dxa"/>
            <w:vAlign w:val="bottom"/>
            <w:tcBorders>
              <w:bottom w:val="single" w:sz="8" w:color="CCEEFF"/>
            </w:tcBorders>
            <w:shd w:val="clear" w:color="auto" w:fill="CCEEFF"/>
          </w:tcPr>
          <w:p>
            <w:pPr>
              <w:jc w:val="center"/>
              <w:ind w:right="37"/>
              <w:spacing w:after="0"/>
              <w:rPr>
                <w:sz w:val="20"/>
                <w:szCs w:val="20"/>
                <w:color w:val="auto"/>
              </w:rPr>
            </w:pPr>
            <w:r>
              <w:rPr>
                <w:rFonts w:ascii="Arial" w:cs="Arial" w:eastAsia="Arial" w:hAnsi="Arial"/>
                <w:sz w:val="13"/>
                <w:szCs w:val="13"/>
                <w:color w:val="auto"/>
                <w:w w:val="99"/>
              </w:rPr>
              <w:t>SGD</w:t>
            </w:r>
          </w:p>
        </w:tc>
        <w:tc>
          <w:tcPr>
            <w:tcW w:w="1660" w:type="dxa"/>
            <w:vAlign w:val="bottom"/>
            <w:tcBorders>
              <w:bottom w:val="single" w:sz="8" w:color="CCEEFF"/>
            </w:tcBorders>
            <w:shd w:val="clear" w:color="auto" w:fill="CCEEFF"/>
          </w:tcPr>
          <w:p>
            <w:pPr>
              <w:jc w:val="center"/>
              <w:ind w:right="17"/>
              <w:spacing w:after="0"/>
              <w:rPr>
                <w:sz w:val="20"/>
                <w:szCs w:val="20"/>
                <w:color w:val="auto"/>
              </w:rPr>
            </w:pPr>
            <w:r>
              <w:rPr>
                <w:rFonts w:ascii="Arial" w:cs="Arial" w:eastAsia="Arial" w:hAnsi="Arial"/>
                <w:sz w:val="13"/>
                <w:szCs w:val="13"/>
                <w:color w:val="auto"/>
                <w:w w:val="92"/>
              </w:rPr>
              <w:t>1.40%</w:t>
            </w:r>
          </w:p>
        </w:tc>
        <w:tc>
          <w:tcPr>
            <w:tcW w:w="1280" w:type="dxa"/>
            <w:vAlign w:val="bottom"/>
            <w:tcBorders>
              <w:bottom w:val="single" w:sz="8" w:color="CCEEFF"/>
            </w:tcBorders>
            <w:shd w:val="clear" w:color="auto" w:fill="CCEEFF"/>
          </w:tcPr>
          <w:p>
            <w:pPr>
              <w:jc w:val="center"/>
              <w:ind w:right="97"/>
              <w:spacing w:after="0"/>
              <w:rPr>
                <w:sz w:val="20"/>
                <w:szCs w:val="20"/>
                <w:color w:val="auto"/>
              </w:rPr>
            </w:pPr>
            <w:r>
              <w:rPr>
                <w:rFonts w:ascii="Arial" w:cs="Arial" w:eastAsia="Arial" w:hAnsi="Arial"/>
                <w:sz w:val="13"/>
                <w:szCs w:val="13"/>
                <w:color w:val="auto"/>
                <w:w w:val="96"/>
              </w:rPr>
              <w:t>Semi-Annual</w:t>
            </w: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880" w:type="dxa"/>
            <w:vAlign w:val="bottom"/>
            <w:tcBorders>
              <w:bottom w:val="single" w:sz="8" w:color="CCEEFF"/>
            </w:tcBorders>
            <w:shd w:val="clear" w:color="auto" w:fill="CCEEFF"/>
          </w:tcPr>
          <w:p>
            <w:pPr>
              <w:jc w:val="center"/>
              <w:ind w:left="57"/>
              <w:spacing w:after="0"/>
              <w:rPr>
                <w:sz w:val="20"/>
                <w:szCs w:val="20"/>
                <w:color w:val="auto"/>
              </w:rPr>
            </w:pPr>
            <w:r>
              <w:rPr>
                <w:rFonts w:ascii="Arial" w:cs="Arial" w:eastAsia="Arial" w:hAnsi="Arial"/>
                <w:sz w:val="13"/>
                <w:szCs w:val="13"/>
                <w:color w:val="auto"/>
                <w:w w:val="96"/>
              </w:rPr>
              <w:t>2041</w:t>
            </w:r>
          </w:p>
        </w:tc>
        <w:tc>
          <w:tcPr>
            <w:tcW w:w="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1,002</w:t>
            </w:r>
          </w:p>
        </w:tc>
        <w:tc>
          <w:tcPr>
            <w:tcW w:w="10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rPr>
                <w:sz w:val="20"/>
                <w:szCs w:val="20"/>
                <w:color w:val="auto"/>
              </w:rPr>
            </w:pPr>
            <w:r>
              <w:rPr>
                <w:rFonts w:ascii="Arial" w:cs="Arial" w:eastAsia="Arial" w:hAnsi="Arial"/>
                <w:sz w:val="13"/>
                <w:szCs w:val="13"/>
                <w:color w:val="auto"/>
              </w:rPr>
              <w:t>Various</w:t>
            </w:r>
          </w:p>
        </w:tc>
        <w:tc>
          <w:tcPr>
            <w:tcW w:w="780" w:type="dxa"/>
            <w:vAlign w:val="bottom"/>
          </w:tcPr>
          <w:p>
            <w:pPr>
              <w:jc w:val="center"/>
              <w:ind w:right="37"/>
              <w:spacing w:after="0"/>
              <w:rPr>
                <w:sz w:val="20"/>
                <w:szCs w:val="20"/>
                <w:color w:val="auto"/>
              </w:rPr>
            </w:pPr>
            <w:r>
              <w:rPr>
                <w:rFonts w:ascii="Arial" w:cs="Arial" w:eastAsia="Arial" w:hAnsi="Arial"/>
                <w:sz w:val="13"/>
                <w:szCs w:val="13"/>
                <w:color w:val="auto"/>
                <w:w w:val="96"/>
              </w:rPr>
              <w:t>EUR, USD</w:t>
            </w:r>
          </w:p>
        </w:tc>
        <w:tc>
          <w:tcPr>
            <w:tcW w:w="1660" w:type="dxa"/>
            <w:vAlign w:val="bottom"/>
          </w:tcPr>
          <w:p>
            <w:pPr>
              <w:jc w:val="center"/>
              <w:ind w:right="17"/>
              <w:spacing w:after="0"/>
              <w:rPr>
                <w:sz w:val="20"/>
                <w:szCs w:val="20"/>
                <w:color w:val="auto"/>
              </w:rPr>
            </w:pPr>
            <w:r>
              <w:rPr>
                <w:rFonts w:ascii="Arial" w:cs="Arial" w:eastAsia="Arial" w:hAnsi="Arial"/>
                <w:sz w:val="13"/>
                <w:szCs w:val="13"/>
                <w:color w:val="auto"/>
                <w:w w:val="95"/>
              </w:rPr>
              <w:t>Various</w:t>
            </w:r>
          </w:p>
        </w:tc>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jc w:val="center"/>
              <w:ind w:left="57"/>
              <w:spacing w:after="0"/>
              <w:rPr>
                <w:sz w:val="20"/>
                <w:szCs w:val="20"/>
                <w:color w:val="auto"/>
              </w:rPr>
            </w:pPr>
            <w:r>
              <w:rPr>
                <w:rFonts w:ascii="Arial" w:cs="Arial" w:eastAsia="Arial" w:hAnsi="Arial"/>
                <w:sz w:val="13"/>
                <w:szCs w:val="13"/>
                <w:color w:val="auto"/>
                <w:w w:val="96"/>
              </w:rPr>
              <w:t>2032</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46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total</w:t>
            </w:r>
          </w:p>
        </w:tc>
        <w:tc>
          <w:tcPr>
            <w:tcW w:w="7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1,037</w:t>
            </w:r>
          </w:p>
        </w:tc>
        <w:tc>
          <w:tcPr>
            <w:tcW w:w="10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6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1,136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auto"/>
        </w:rPr>
        <w:t xml:space="preserve">Revolving and Letter of Credit Facilities Agreement </w:t>
      </w:r>
      <w:r>
        <w:rPr>
          <w:rFonts w:ascii="Arial" w:cs="Arial" w:eastAsia="Arial" w:hAnsi="Arial"/>
          <w:sz w:val="16"/>
          <w:szCs w:val="16"/>
          <w:color w:val="auto"/>
        </w:rPr>
        <w:t>– On August 21, 2026, the Company entered into a five-year senior unsecured revolving credit</w:t>
      </w:r>
      <w:r>
        <w:rPr>
          <w:rFonts w:ascii="Arial" w:cs="Arial" w:eastAsia="Arial" w:hAnsi="Arial"/>
          <w:sz w:val="16"/>
          <w:szCs w:val="16"/>
          <w:b w:val="1"/>
          <w:bCs w:val="1"/>
          <w:color w:val="auto"/>
        </w:rPr>
        <w:t xml:space="preserve"> </w:t>
      </w:r>
      <w:r>
        <w:rPr>
          <w:rFonts w:ascii="Arial" w:cs="Arial" w:eastAsia="Arial" w:hAnsi="Arial"/>
          <w:sz w:val="16"/>
          <w:szCs w:val="16"/>
          <w:color w:val="auto"/>
        </w:rPr>
        <w:t>facility in an aggregate commitment amount of $1.5 billion and terminated its previous revolving credit facility of $1.0 billion.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unutilized credit facilities available to the Company to maintain liquidity to fund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ind w:right="279"/>
              <w:spacing w:after="0"/>
              <w:rPr>
                <w:sz w:val="20"/>
                <w:szCs w:val="20"/>
                <w:color w:val="auto"/>
              </w:rPr>
            </w:pPr>
            <w:r>
              <w:rPr>
                <w:rFonts w:ascii="Arial" w:cs="Arial" w:eastAsia="Arial" w:hAnsi="Arial"/>
                <w:sz w:val="16"/>
                <w:szCs w:val="16"/>
                <w:b w:val="1"/>
                <w:bCs w:val="1"/>
                <w:color w:val="auto"/>
              </w:rPr>
              <w:t>September 30, 2026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2025</w:t>
            </w:r>
          </w:p>
        </w:tc>
      </w:tr>
      <w:tr>
        <w:trPr>
          <w:trHeight w:val="21"/>
        </w:trPr>
        <w:tc>
          <w:tcPr>
            <w:tcW w:w="6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96"/>
        </w:trPr>
        <w:tc>
          <w:tcPr>
            <w:tcW w:w="6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Committed Credit Facilities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1,511</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r>
      <w:tr>
        <w:trPr>
          <w:trHeight w:val="257"/>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Uncommitted Credit Facilities</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75"/>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1,616</w:t>
            </w:r>
          </w:p>
        </w:tc>
        <w:tc>
          <w:tcPr>
            <w:tcW w:w="80" w:type="dxa"/>
            <w:vAlign w:val="bottom"/>
          </w:tcPr>
          <w:p>
            <w:pPr>
              <w:spacing w:after="0"/>
              <w:rPr>
                <w:sz w:val="23"/>
                <w:szCs w:val="23"/>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1,116</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Credit facility made available to the Company, but the lender is not obligated to loan funds.</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auto"/>
        </w:rPr>
        <w:t xml:space="preserve">Assets pledged as security </w:t>
      </w:r>
      <w:r>
        <w:rPr>
          <w:rFonts w:ascii="Arial" w:cs="Arial" w:eastAsia="Arial" w:hAnsi="Arial"/>
          <w:sz w:val="16"/>
          <w:szCs w:val="16"/>
          <w:color w:val="auto"/>
        </w:rPr>
        <w:t>– Certain property, plant and equipment with a carrying amount of $2.2 billion have been pledged to secure borrowings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pledged agreements for the Company. The Company is not allowed to pledge these assets as security for other borrowings or to sell them outside normal course of business.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Commitments and Contingencies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 xml:space="preserve">Commitments </w:t>
      </w:r>
      <w:r>
        <w:rPr>
          <w:rFonts w:ascii="Arial" w:cs="Arial" w:eastAsia="Arial" w:hAnsi="Arial"/>
          <w:sz w:val="16"/>
          <w:szCs w:val="16"/>
          <w:color w:val="auto"/>
        </w:rPr>
        <w:t>– The Company enters into several purchase agreements and supplementary agreements with its third-party manufacturers and suppliers for</w:t>
      </w:r>
      <w:r>
        <w:rPr>
          <w:rFonts w:ascii="Arial" w:cs="Arial" w:eastAsia="Arial" w:hAnsi="Arial"/>
          <w:sz w:val="16"/>
          <w:szCs w:val="16"/>
          <w:b w:val="1"/>
          <w:bCs w:val="1"/>
          <w:color w:val="auto"/>
        </w:rPr>
        <w:t xml:space="preserve"> </w:t>
      </w:r>
      <w:r>
        <w:rPr>
          <w:rFonts w:ascii="Arial" w:cs="Arial" w:eastAsia="Arial" w:hAnsi="Arial"/>
          <w:sz w:val="16"/>
          <w:szCs w:val="16"/>
          <w:color w:val="auto"/>
        </w:rPr>
        <w:t>future deliveries of equipment and components. In addition, the Company enters into intellectual property and licensing agreements with third parties. The total future payments under these agreements amounted to $1,922 million as of September 30, 2026. Purchase commitments of $1,718 million are due within the next 12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for per share amount and otherwise stated)</w:t>
      </w:r>
    </w:p>
    <w:p>
      <w:pPr>
        <w:spacing w:after="0" w:line="200" w:lineRule="exact"/>
        <w:rPr>
          <w:sz w:val="20"/>
          <w:szCs w:val="20"/>
          <w:color w:val="auto"/>
        </w:rPr>
      </w:pPr>
    </w:p>
    <w:p>
      <w:pPr>
        <w:spacing w:after="0" w:line="3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Additionally, the Company obtained letters of credit and bank guarantees to guarantee payments for utility suppliers, foreign statutory payroll related charges, and other purposes. The Company has obtained total facilities of $133 million and $132 million as of September 30, 2026 and December 31, 2025, respectively.</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color w:val="auto"/>
        </w:rPr>
        <w:t>– From time to time, the Company is a party to claims that arise in the normal course of business. These claims include allegations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infringement of intellectual property rights of others as well as other claims of liability. In addition, the Company, on a case by case basis, includes intellectual property indemnification provisions in the terms of sale and technology licenses with third parties. The Company is also subject to various taxes in the different jurisdictions in which it operates. These include property, goods and services, and other non-income taxes. The Company accrues costs associated with these matters when they become probable and reasonably estimable. The Company does not believe it is probable that losses associated with these matters beyond those already recognized will be incurred in amounts that would be material to the interim financial statements.</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has determined that due to the complexity of calculation of the Advanced Manufacturing Investment Tax Credit ("AMITC") under the Internal Revenue Code Section 48D, and uncertainties regarding compliance with program conditions, it is probable that a portion of AMITC computed and claimed in the United States may be repayable. Management recorded its best estimate of the amount of the AMITC that may be repayable totaling $68 million as of September 30, 2026 which is included in other non-current liabilities on the Company's consolidated statements of financial position. The amount of the reserve may change depending on future assessments by tax authorities.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Fair Value Measurements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Company uses the following hierarchy for determining and disclosing the fair value of financial instruments by valuation technique:</w:t>
      </w:r>
    </w:p>
    <w:p>
      <w:pPr>
        <w:spacing w:after="0" w:line="56"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26" w:lineRule="exact"/>
        <w:rPr>
          <w:rFonts w:ascii="Arial" w:cs="Arial" w:eastAsia="Arial" w:hAnsi="Arial"/>
          <w:sz w:val="16"/>
          <w:szCs w:val="16"/>
          <w:color w:val="auto"/>
        </w:rPr>
      </w:pPr>
    </w:p>
    <w:p>
      <w:pPr>
        <w:jc w:val="both"/>
        <w:ind w:left="660" w:right="20" w:hanging="328"/>
        <w:spacing w:after="0" w:line="27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Level 2: Inputs other than quoted prices in active markets in Level 1, such as quoted prices for similar assets or liabilities in active markets, quoted prices for similar assets or liabilities that are not active, or other inputs that are observable or can be corroborated by observable market data for substantially the full term of the asset or liability.</w:t>
      </w:r>
    </w:p>
    <w:p>
      <w:pPr>
        <w:spacing w:after="0" w:line="5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Level 3: Unobservable inputs for which little or no market data exists, therefore requiring management judgment to develop the Company’s own models with estimates and assumptions.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Cash Equivalents </w:t>
      </w:r>
      <w:r>
        <w:rPr>
          <w:rFonts w:ascii="Arial" w:cs="Arial" w:eastAsia="Arial" w:hAnsi="Arial"/>
          <w:sz w:val="16"/>
          <w:szCs w:val="16"/>
          <w:color w:val="auto"/>
        </w:rPr>
        <w:t>– Cash equivalents include investments in government obligation-based money market funds, other money market instruments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interest-bearing deposits with initial or remaining terms of three months or less. The fair value of cash equivalents approximates its carrying value due to the short-term nature of these instruments.</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 Marketable securities utilizing Level 1 and Level 2 inputs include U.S. Treasury Securities, U.S. Government Sponsored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Enterprises, floating rate securities, money market mutual funds, corporate debt instruments and other notes, bonds or debt securities issued by non-U.S. sovereign or multilateral entities, as these securities all have quoted prices in active markets.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 xml:space="preserve">Derivatives </w:t>
      </w:r>
      <w:r>
        <w:rPr>
          <w:rFonts w:ascii="Arial" w:cs="Arial" w:eastAsia="Arial" w:hAnsi="Arial"/>
          <w:sz w:val="16"/>
          <w:szCs w:val="16"/>
          <w:color w:val="auto"/>
        </w:rPr>
        <w:t>– Derivative contracts are classified within Level 2. The fair values of these contracts are determined using observable market inputs,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rates, interest rates, commodity prices and maturity dates to generate pricing curves, which are used to value the positions. The market inputs are generally actively quoted and can be validated through external sources. For derivative positions with maturity dates which fall between the dates of quoted prices, interpolation of rate or maturity scenarios are used in determining fair values.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 xml:space="preserve">Equity Securities </w:t>
      </w:r>
      <w:r>
        <w:rPr>
          <w:rFonts w:ascii="Arial" w:cs="Arial" w:eastAsia="Arial" w:hAnsi="Arial"/>
          <w:sz w:val="16"/>
          <w:szCs w:val="16"/>
          <w:color w:val="auto"/>
        </w:rPr>
        <w:t>– Equity securities consist of non-marketable investments in private companies. As quoted market prices are not available, the fair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these investments is determined using valuation techniques that incorporate significant unobservable inputs and accordingly, they are classified within Level 3 of the fair value hierarchy. These equity securities are measured through profit or loss, with changes in fair value recognized in earnings in the period in which they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for per share amount and otherwise stated)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assets and liabilities measured at fair value on a recurring basis: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rPr>
              <w:t>Quoted Prices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rPr>
              <w:t>Identical Assets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 Other</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center"/>
              <w:ind w:right="219"/>
              <w:spacing w:after="0"/>
              <w:rPr>
                <w:sz w:val="20"/>
                <w:szCs w:val="20"/>
                <w:color w:val="auto"/>
              </w:rPr>
            </w:pPr>
            <w:r>
              <w:rPr>
                <w:rFonts w:ascii="Arial" w:cs="Arial" w:eastAsia="Arial" w:hAnsi="Arial"/>
                <w:sz w:val="16"/>
                <w:szCs w:val="16"/>
                <w:b w:val="1"/>
                <w:bCs w:val="1"/>
                <w:color w:val="auto"/>
              </w:rPr>
              <w:t>Significant</w:t>
            </w:r>
          </w:p>
        </w:tc>
      </w:tr>
      <w:tr>
        <w:trPr>
          <w:trHeight w:val="223"/>
        </w:trPr>
        <w:tc>
          <w:tcPr>
            <w:tcW w:w="4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rPr>
              <w:t>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Inputs</w:t>
            </w:r>
          </w:p>
        </w:tc>
        <w:tc>
          <w:tcPr>
            <w:tcW w:w="80" w:type="dxa"/>
            <w:vAlign w:val="bottom"/>
          </w:tcPr>
          <w:p>
            <w:pPr>
              <w:spacing w:after="0"/>
              <w:rPr>
                <w:sz w:val="19"/>
                <w:szCs w:val="19"/>
                <w:color w:val="auto"/>
              </w:rPr>
            </w:pP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Unobservable Inputs</w:t>
            </w:r>
          </w:p>
        </w:tc>
      </w:tr>
      <w:tr>
        <w:trPr>
          <w:trHeight w:val="257"/>
        </w:trPr>
        <w:tc>
          <w:tcPr>
            <w:tcW w:w="4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center"/>
              <w:ind w:right="199"/>
              <w:spacing w:after="0"/>
              <w:rPr>
                <w:sz w:val="20"/>
                <w:szCs w:val="20"/>
                <w:color w:val="auto"/>
              </w:rPr>
            </w:pPr>
            <w:r>
              <w:rPr>
                <w:rFonts w:ascii="Arial" w:cs="Arial" w:eastAsia="Arial" w:hAnsi="Arial"/>
                <w:sz w:val="16"/>
                <w:szCs w:val="16"/>
                <w:b w:val="1"/>
                <w:bCs w:val="1"/>
                <w:color w:val="auto"/>
              </w:rPr>
              <w:t>(Level 3)</w:t>
            </w:r>
          </w:p>
        </w:tc>
      </w:tr>
      <w:tr>
        <w:trPr>
          <w:trHeight w:val="21"/>
        </w:trPr>
        <w:tc>
          <w:tcPr>
            <w:tcW w:w="40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2025</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 xml:space="preserve">Investments in marketable securities </w:t>
            </w:r>
            <w:r>
              <w:rPr>
                <w:rFonts w:ascii="Arial" w:cs="Arial" w:eastAsia="Arial" w:hAnsi="Arial"/>
                <w:sz w:val="21"/>
                <w:szCs w:val="21"/>
                <w:color w:val="auto"/>
                <w:vertAlign w:val="superscript"/>
              </w:rPr>
              <w:t>(2)</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2,180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565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1,615</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91"/>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equity securities</w:t>
            </w:r>
            <w:r>
              <w:rPr>
                <w:rFonts w:ascii="Arial" w:cs="Arial" w:eastAsia="Arial" w:hAnsi="Arial"/>
                <w:sz w:val="21"/>
                <w:szCs w:val="21"/>
                <w:color w:val="auto"/>
                <w:vertAlign w:val="superscript"/>
              </w:rPr>
              <w:t>(4)</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35"/>
        </w:trPr>
        <w:tc>
          <w:tcPr>
            <w:tcW w:w="404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Borders>
              <w:top w:val="single" w:sz="8" w:color="CCEEFF"/>
            </w:tcBorders>
          </w:tcPr>
          <w:p>
            <w:pPr>
              <w:spacing w:after="0"/>
              <w:rPr>
                <w:sz w:val="20"/>
                <w:szCs w:val="20"/>
                <w:color w:val="auto"/>
              </w:rPr>
            </w:pPr>
          </w:p>
        </w:tc>
        <w:tc>
          <w:tcPr>
            <w:tcW w:w="1340" w:type="dxa"/>
            <w:vAlign w:val="bottom"/>
            <w:tcBorders>
              <w:top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540" w:type="dxa"/>
            <w:vAlign w:val="bottom"/>
            <w:tcBorders>
              <w:top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560" w:type="dxa"/>
            <w:vAlign w:val="bottom"/>
            <w:tcBorders>
              <w:top w:val="single" w:sz="8" w:color="CCEEFF"/>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0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2026</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marketable securities</w:t>
            </w:r>
            <w:r>
              <w:rPr>
                <w:rFonts w:ascii="Arial" w:cs="Arial" w:eastAsia="Arial" w:hAnsi="Arial"/>
                <w:sz w:val="21"/>
                <w:szCs w:val="21"/>
                <w:color w:val="auto"/>
                <w:vertAlign w:val="superscript"/>
              </w:rPr>
              <w:t>(2)</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2,215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557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1,658</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equity securities</w:t>
            </w:r>
            <w:r>
              <w:rPr>
                <w:rFonts w:ascii="Arial" w:cs="Arial" w:eastAsia="Arial" w:hAnsi="Arial"/>
                <w:sz w:val="21"/>
                <w:szCs w:val="21"/>
                <w:color w:val="auto"/>
                <w:vertAlign w:val="superscript"/>
              </w:rPr>
              <w:t>(4)</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70"/>
        </w:trPr>
        <w:tc>
          <w:tcPr>
            <w:tcW w:w="40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85"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Included in cash and cash equivalents on the Company’s interim condensed consolidated statements of financial position.</w:t>
      </w:r>
    </w:p>
    <w:p>
      <w:pPr>
        <w:spacing w:after="0" w:line="140" w:lineRule="exact"/>
        <w:rPr>
          <w:rFonts w:ascii="Arial" w:cs="Arial" w:eastAsia="Arial" w:hAnsi="Arial"/>
          <w:sz w:val="16"/>
          <w:szCs w:val="16"/>
          <w:color w:val="auto"/>
          <w:vertAlign w:val="superscript"/>
        </w:rPr>
      </w:pPr>
    </w:p>
    <w:p>
      <w:pPr>
        <w:ind w:left="180" w:hanging="172"/>
        <w:spacing w:after="0" w:line="222" w:lineRule="auto"/>
        <w:tabs>
          <w:tab w:leader="none" w:pos="263"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Consists of investments in marketable debt securities such as government, agency, and corporate bonds. Included in current and non-current marketable securities on the Company's interim condensed consolidated statements of financial position.</w:t>
      </w:r>
    </w:p>
    <w:p>
      <w:pPr>
        <w:spacing w:after="0" w:line="66" w:lineRule="exact"/>
        <w:rPr>
          <w:rFonts w:ascii="Arial" w:cs="Arial" w:eastAsia="Arial" w:hAnsi="Arial"/>
          <w:sz w:val="19"/>
          <w:szCs w:val="19"/>
          <w:color w:val="auto"/>
          <w:vertAlign w:val="superscript"/>
        </w:rPr>
      </w:pPr>
    </w:p>
    <w:p>
      <w:pPr>
        <w:ind w:left="220" w:hanging="212"/>
        <w:spacing w:after="0"/>
        <w:tabs>
          <w:tab w:leader="none" w:pos="22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Consists of foreign currency forward contracts, interest rate swaps, cross currency swaps and commodity swaps.</w:t>
      </w:r>
    </w:p>
    <w:p>
      <w:pPr>
        <w:spacing w:after="0" w:line="65" w:lineRule="exact"/>
        <w:rPr>
          <w:rFonts w:ascii="Arial" w:cs="Arial" w:eastAsia="Arial" w:hAnsi="Arial"/>
          <w:sz w:val="19"/>
          <w:szCs w:val="19"/>
          <w:color w:val="auto"/>
          <w:vertAlign w:val="superscript"/>
        </w:rPr>
      </w:pPr>
    </w:p>
    <w:p>
      <w:pPr>
        <w:ind w:left="220" w:hanging="212"/>
        <w:spacing w:after="0"/>
        <w:tabs>
          <w:tab w:leader="none" w:pos="22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Included in current and non-current receivables, prepayments and other assets on the Company’s interim condensed consolidated statements of financial position</w:t>
      </w:r>
    </w:p>
    <w:p>
      <w:pPr>
        <w:spacing w:after="0" w:line="88" w:lineRule="exact"/>
        <w:rPr>
          <w:sz w:val="20"/>
          <w:szCs w:val="20"/>
          <w:color w:val="auto"/>
        </w:rPr>
      </w:pPr>
    </w:p>
    <w:p>
      <w:pPr>
        <w:ind w:right="620"/>
        <w:spacing w:after="0" w:line="387" w:lineRule="auto"/>
        <w:rPr>
          <w:sz w:val="20"/>
          <w:szCs w:val="20"/>
          <w:color w:val="auto"/>
        </w:rPr>
      </w:pPr>
      <w:r>
        <w:rPr>
          <w:rFonts w:ascii="Arial" w:cs="Arial" w:eastAsia="Arial" w:hAnsi="Arial"/>
          <w:sz w:val="16"/>
          <w:szCs w:val="16"/>
          <w:color w:val="auto"/>
        </w:rPr>
        <w:t xml:space="preserve">During the nine months ended September 30, 2026 and 2025, there were no transfers between Level 1, Level 2 or Level 3 fair value measurements. </w:t>
      </w:r>
      <w:r>
        <w:rPr>
          <w:rFonts w:ascii="Arial" w:cs="Arial" w:eastAsia="Arial" w:hAnsi="Arial"/>
          <w:sz w:val="16"/>
          <w:szCs w:val="16"/>
          <w:b w:val="1"/>
          <w:bCs w:val="1"/>
          <w:color w:val="auto"/>
        </w:rPr>
        <w:t>Assets Measured and Recorded at Fair Value on a Non-Recurring Basis</w:t>
      </w:r>
    </w:p>
    <w:p>
      <w:pPr>
        <w:spacing w:after="0" w:line="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Certain assets such as intangible assets and property, plant and equipment, and other non-financial assets, are recorded at fair value only if an impairment or observable price adjustment is recognized in the current period.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Not Recorded at Fair Value on a Recurring Basis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Financial instruments not recorded at fair value on a recurring basis include grants receivable, loans receivable, lease obligations and the current and non-current portions of the Company’s long-term debt which are measured at amortized cost.</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following shows the carrying amounts and fair values of the Company’s financial liabilities at amortized cost ("FLAC") not recorded at fair value on a recurring basis. It does not include fair value information for financial assets and financial liabilities not measured at fair value if the carrying amount is a reasonable approximation of fair value.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328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September 30, 2026</w:t>
            </w:r>
          </w:p>
        </w:tc>
        <w:tc>
          <w:tcPr>
            <w:tcW w:w="100" w:type="dxa"/>
            <w:vAlign w:val="bottom"/>
          </w:tcPr>
          <w:p>
            <w:pPr>
              <w:spacing w:after="0"/>
              <w:rPr>
                <w:sz w:val="19"/>
                <w:szCs w:val="19"/>
                <w:color w:val="auto"/>
              </w:rPr>
            </w:pPr>
          </w:p>
        </w:tc>
        <w:tc>
          <w:tcPr>
            <w:tcW w:w="32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December 31, 2025</w:t>
            </w:r>
          </w:p>
        </w:tc>
      </w:tr>
      <w:tr>
        <w:trPr>
          <w:trHeight w:val="21"/>
        </w:trPr>
        <w:tc>
          <w:tcPr>
            <w:tcW w:w="45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5"/>
        </w:trPr>
        <w:tc>
          <w:tcPr>
            <w:tcW w:w="4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Financial Liabilities</w:t>
            </w:r>
          </w:p>
        </w:tc>
        <w:tc>
          <w:tcPr>
            <w:tcW w:w="18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Carrying Amount</w:t>
            </w:r>
          </w:p>
        </w:tc>
        <w:tc>
          <w:tcPr>
            <w:tcW w:w="80" w:type="dxa"/>
            <w:vAlign w:val="bottom"/>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Carrying Amount</w:t>
            </w:r>
          </w:p>
        </w:tc>
        <w:tc>
          <w:tcPr>
            <w:tcW w:w="100" w:type="dxa"/>
            <w:vAlign w:val="bottom"/>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Fair Value</w:t>
            </w:r>
          </w:p>
        </w:tc>
      </w:tr>
      <w:tr>
        <w:trPr>
          <w:trHeight w:val="221"/>
        </w:trPr>
        <w:tc>
          <w:tcPr>
            <w:tcW w:w="45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Other long-term debt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1,136</w:t>
            </w:r>
          </w:p>
        </w:tc>
        <w:tc>
          <w:tcPr>
            <w:tcW w:w="8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1,156</w:t>
            </w:r>
          </w:p>
        </w:tc>
      </w:tr>
    </w:tbl>
    <w:p>
      <w:pPr>
        <w:spacing w:after="0" w:line="200" w:lineRule="exact"/>
        <w:rPr>
          <w:sz w:val="20"/>
          <w:szCs w:val="20"/>
          <w:color w:val="auto"/>
        </w:rPr>
      </w:pP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for per share amount and otherwise stated)</w:t>
      </w:r>
    </w:p>
    <w:p>
      <w:pPr>
        <w:spacing w:after="0" w:line="200" w:lineRule="exact"/>
        <w:rPr>
          <w:sz w:val="20"/>
          <w:szCs w:val="20"/>
          <w:color w:val="auto"/>
        </w:rPr>
      </w:pPr>
    </w:p>
    <w:p>
      <w:pPr>
        <w:spacing w:after="0" w:line="3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Estimated fair values of long-term debt are based on quoted prices for similar liabilities for which significant inputs are observable and represent a Level 2 valuation. The fair values are estimated based on the type of loan and maturity. The Company estimates the fair value using market interest rates for debts with similar maturities.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Equity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 Authorization</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February 11, 2026, the Company announced that its Board of Directors approved a share repurchase authorization of up to $500 million of its ordinary shares. Under the repurchase authorization, GF may purchase its ordinary shares on a discretionary basis from time to time through open market repurchases, in privately negotiated transactions, through purchases made in compliance with Rule 10b-18 and/or Rule 10b5-1 under the Securities Exchange Act of 1934, as amended, or other means. The actual timing and amount of any share repurchases remains subject to a variety of factors, including share price, trading volume, market conditions, compliance with applicable legal requirements, and other general business considerations. The authorization does not require GF to repurchase any specific number of ordinary shares. The authorization is valid for an initial period of 12 months and may be modified, suspended or terminated at any time.</w:t>
      </w:r>
    </w:p>
    <w:p>
      <w:pPr>
        <w:spacing w:after="0" w:line="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On March 13, 2026 the Company repurchased 7.3 million ordinary shares from Mubadala Technology Investment Company ("MTIC"), a majority shareholder, at the price of $40.85 per share, for an aggregate purchase amount of $300 million under our share repurchase authorization.</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the three and nine months ended September 30, 2026, the Company repurchased an additional 1.9 million ordinary shares for $100 million for a weighted average price of $52.07 and 4.2 million ordinary shares for $200 million for a weighted average price of $47.62, respectively, in open market transactions. In total, during the nine months ended September 30, 2026, the Company repurchased 11.5 million ordinary shares for an aggregate purchase price of $500 million, at a weighted average price of $43.31 per share.</w:t>
      </w:r>
    </w:p>
    <w:p>
      <w:pPr>
        <w:spacing w:after="0" w:line="78" w:lineRule="exact"/>
        <w:rPr>
          <w:sz w:val="20"/>
          <w:szCs w:val="20"/>
          <w:color w:val="auto"/>
        </w:rPr>
      </w:pPr>
    </w:p>
    <w:p>
      <w:pPr>
        <w:ind w:right="1620"/>
        <w:spacing w:after="0" w:line="387" w:lineRule="auto"/>
        <w:rPr>
          <w:sz w:val="20"/>
          <w:szCs w:val="20"/>
          <w:color w:val="auto"/>
        </w:rPr>
      </w:pPr>
      <w:r>
        <w:rPr>
          <w:rFonts w:ascii="Arial" w:cs="Arial" w:eastAsia="Arial" w:hAnsi="Arial"/>
          <w:sz w:val="16"/>
          <w:szCs w:val="16"/>
          <w:color w:val="auto"/>
        </w:rPr>
        <w:t xml:space="preserve">As of September 30, 2026, there was no remaining amount available for share repurchases under our share repurchase authorization. </w:t>
      </w:r>
      <w:r>
        <w:rPr>
          <w:rFonts w:ascii="Arial" w:cs="Arial" w:eastAsia="Arial" w:hAnsi="Arial"/>
          <w:sz w:val="16"/>
          <w:szCs w:val="16"/>
          <w:i w:val="1"/>
          <w:iCs w:val="1"/>
          <w:color w:val="auto"/>
        </w:rPr>
        <w:t>Securities Issuance Agreement</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September 3, 2026, the Company entered into a Securities Issuance Agreement (the “Agreement”) with the USG. Pursuant to the Agreement, the Company agreed to issue to the USG 9.9 million ordinary shares (the "Shares"), par value of $0.02 per share. The Shares are subject to certain transfer and voting restrictions.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The Shares were measured at fair value on the issuance date in accordance with </w:t>
      </w:r>
      <w:r>
        <w:rPr>
          <w:rFonts w:ascii="Arial" w:cs="Arial" w:eastAsia="Arial" w:hAnsi="Arial"/>
          <w:sz w:val="16"/>
          <w:szCs w:val="16"/>
          <w:i w:val="1"/>
          <w:iCs w:val="1"/>
          <w:color w:val="auto"/>
        </w:rPr>
        <w:t>IFRS 2, Share-based Payment.</w:t>
      </w:r>
      <w:r>
        <w:rPr>
          <w:rFonts w:ascii="Arial" w:cs="Arial" w:eastAsia="Arial" w:hAnsi="Arial"/>
          <w:sz w:val="16"/>
          <w:szCs w:val="16"/>
          <w:color w:val="auto"/>
        </w:rPr>
        <w:t xml:space="preserve"> The fair value was determined using the Company’s closing stock price of $44.53 per share on September 3, 2026. Accordingly, $441 million was recognized as expense within the “Other income/expense” line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900"/>
        <w:spacing w:after="0" w:line="396" w:lineRule="auto"/>
        <w:rPr>
          <w:sz w:val="20"/>
          <w:szCs w:val="20"/>
          <w:color w:val="auto"/>
        </w:rPr>
      </w:pPr>
      <w:r>
        <w:rPr>
          <w:rFonts w:ascii="Arial" w:cs="Arial" w:eastAsia="Arial" w:hAnsi="Arial"/>
          <w:sz w:val="16"/>
          <w:szCs w:val="16"/>
          <w:b w:val="1"/>
          <w:bCs w:val="1"/>
          <w:color w:val="auto"/>
        </w:rPr>
        <w:t xml:space="preserve">MANAGEMENT’S DISCUSSION AND ANALYSIS OF FINANCIAL CONDITION AND RESULTS OF OPERATIONS </w:t>
      </w:r>
      <w:r>
        <w:rPr>
          <w:rFonts w:ascii="Arial" w:cs="Arial" w:eastAsia="Arial" w:hAnsi="Arial"/>
          <w:sz w:val="16"/>
          <w:szCs w:val="16"/>
          <w:b w:val="1"/>
          <w:bCs w:val="1"/>
          <w:u w:val="single" w:color="auto"/>
          <w:color w:val="auto"/>
        </w:rPr>
        <w:t>Forward-looking Statements</w:t>
      </w:r>
    </w:p>
    <w:p>
      <w:pPr>
        <w:jc w:val="both"/>
        <w:spacing w:after="0" w:line="254" w:lineRule="auto"/>
        <w:rPr>
          <w:sz w:val="20"/>
          <w:szCs w:val="20"/>
          <w:color w:val="auto"/>
        </w:rPr>
      </w:pPr>
      <w:r>
        <w:rPr>
          <w:rFonts w:ascii="Arial" w:cs="Arial" w:eastAsia="Arial" w:hAnsi="Arial"/>
          <w:sz w:val="16"/>
          <w:szCs w:val="16"/>
          <w:color w:val="auto"/>
        </w:rPr>
        <w:t>This document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geopolitical conditions such as the ongoing political and trade tensions with China and the continuation of conflicts in the Middle East and Ukraine; ongoing political developments in the United States, and in particular, any political and policy-related changes that may impact our industry and the market generally, such as the imposition of trade controls, tariffs and counter-tariffs between the United States and its trade partners and new legislation; the market for our products may develop or recover more slowly than expected or than it has in the past; we may fail to achieve the full benefits of our strategic optimization efforts;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result in a system disruption, loss of data or damage our reputation; we could experience interruptions or performance problems associated with our technology, including a service outage; global economic conditions could deteriorate, including due to rising inflation and any potential recession; the expected benefits of our announced partnerships may fail to materialize; and we may fail to achieve the anticipated results or benefits from funding received (including awards under the U.S.-Japan Trade Deal, U.S. CHIPS and Science Act and New York State Green CHIPS) and our expected results and planned or further expansions and operations may not proceed as planned if funding we expect to receive is delayed or withheld for any reason.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29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our 2025 Annual Report on Form 20-F, current reports on Form 6-K and other reports filed with the Securities and Exchange Commission (SEC). Copies of our SEC filings are available on our Investor Relations website, investors.gf.com, or from the SEC website,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AND FINANCIAL REVIEWS AND PROSPECTS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GLOBALFOUNDRIES Inc. (“we,” “GF,” or the “Company”) is one of the world’s leading manufacturers of semiconductors the world relies on to live, work and connect, enabling the scaling of Artificial Intelligence ("AI") in the cloud, and the transition of AI into the physical world. We manufacture differentiated, essential integrated circuits (“ICs”) that are used in billions of electronic devices across various industries. Our specialized manufacturing processes, extensive library of qualified circuit-building block designs (known as IP titles or IP blocks), and advanced transistor and device technology allow us to serve a wide range of customers, including the global leaders in IC design. We deliver optimized solutions for critical applications that drive key secular growth end markets, ensuring that our products meet stringent requirements for functionality, performance and power efficiency.</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technology portfolio spans differentiated, essential chip technologies including digital, analog, mixed-signal, RF, ultra-low power and embedded memory enabling the connected, secure and intelligent systems that power the digital world. To address the varied needs of our customers, we invest in a broad portfolio, including ultra-low power and feature-rich CMOS, RF, power, optical networking, advanced packaging, software and IP. Our core technologies such as FinFET, FD-SOI (“FDX™”), RF-SOI, Silicon germanium ("SiGe"), RF GaN, BCD and high-voltage BCD, power GaN and silicon photonics ("SiPh") deliver the performance, efficiency and integration needed to support next-generation applications in connectivity, power management and high-speed data processing.</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Sources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principal source of our revenue is derived from Manufacturing Services primarily through volume production and sales of finished semiconductor products. This accounted for approximately 88% of our net revenue for the three and nine months ended September 30, 2026 and 2025. The remaining portion of net revenue is generated from Technology Services, including non-recurring engineering services, mask production, process qualification, post-fabrication services such as bump, test and packaging and revenue from software, intellectual property licenses, related royalties and other items.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Dynamics and Strategic Focus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industry remained subject to volatility due to uncertainties in global trade policy, geopolitical events and the macroeconomic environment. These factors led to incremental caution and uncertainty in the demand outlook, particularly for consumer-centric end markets. In addition, recent global events highlighted the semiconductor industry's vulnerability to materials available and energy supply. GlobalFoundries' diverse supply chain and resilient sourcing largely insulated it from these impacts. The Company continues to monitor and adapt to changes in key macroeconomic indicators, including inflation, interest rates, and GDP growth. The Company remains focused on executing its strategic priorities, including but not limited to: 1) deepening customer and ecosystem relationships, 2) achieving operational scale and efficiencies across our manufacturing footprint, 3) pursuing continuous improvement in cost optimization and 4) investing in a diversified and differentiated technology portfolio.</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October 2026, the Company was selected as the technology provider and operator for two proposed semiconductor manufacturing facilities at its Malta, New York site under a U.S.-Japan initiative. The initiative contemplates approximately $10 billion of investment in an initial facility expected to become operational in 2029 and an additional approximately $10 billion investment in a second facility, with Japan providing up to $21 billion in funding. The Company will contribute its technologies, manufacturing expertise and operational capabilities. The initiative is expected to support the expansion of our U.S. manufacturing capabilities and our long-term technology and capacity strategy. In addition, we agreed with the USG to amend our existing CHIPS and Science Act award to reallocate $955 million toward certain investments at our Malta, New York and Burlington, Vermont facilities.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Revenue</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Effective January 1, 2026, the Company updated the terminology used to describe revenue categories. Revenue previously presented as "Wafer revenue" and "Non-wafer revenue" is now presented as "Manufacturing Services" and "Technology Services," respectively. Manufacturing Services include volume production and sales of finished semiconductor products. Technology Services include non-recurring engineering services, mask production, process qualification, post-fabrication services such as bump, test and packaging, and revenue from intellectual property licenses, related royalties and other items. We believe these categories better reflect the depth and breadth of our business model today.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This change in presentation does not impact the composition of revenue, total revenue reported or revenue recognition policies. Prior period amounts presented have been conformed to the current period presentation.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Cost of revenue consists primarily of material expenses, depreciation and amortization, employee-related expenses, restructuring expenses, facility costs and costs of fixed assets, including maintenance and spare parts. Material expenses primarily include the costs of raw wafers, test wafers, photomasks, resists, process gases, process chemicals, other operating supplies and external service costs for wafer manufacturing. Costs related to NRE services are also included within the cost of revenue. As it pertains to inflation and inflationary headwinds we are facing within our business, we have experienced an increase in costs for materials and energy, and we expect these increases to continue to have an adverse impact on our financial results of operations while these economic conditions persist.</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Depreciation and amortization charges primarily include the depreciation of clean room production equipment. Commencement of depreciation related to construction in progress and property, plant and equipment involves determining when the assets are available for their intended use. Employee-related expenses primarily include employee wages and salaries, social security contributions and benefit costs for operators, maintenance technicians, process engineers, supply chain, IT production, yield improvement and health and safety roles. Facility costs primarily consist of the costs of electricity, water and other utilities and services.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5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operating expenses consist of research and development ("R&amp;D"), selling, general and administrative expenses and other (“SG&amp;A”). Personnel costs are the most significant component of our operating expenses, and consist of salaries, benefits, bonuses, share-based compensation and commissions.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R&amp;D efforts are focused on developing highly differentiated process technologies and solutions. Our R&amp;D expenses include personnel costs, material costs, software license and intellectual property expenses, facility costs, supplies, professional and consulting fees, and depreciation on equipment used in R&amp;D activities. Our development roadmap includes new platform investments, platform features and extensions, and investments in emerging technology capabilities and solutions. We expense R&amp;D costs as incurred. We believe that continued investment in our technology portfolio is important for our future growth and acquisition of new customers. Based on our current business activities, we expect our R&amp;D as a percentage of revenue to increase as we integrate the acquisition of MIPS and Synopsys' ARC Processor IP Solutions business.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and other</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SG&amp;A and other expenses consist primarily of personnel-related costs, including sales commissions to independent sales representatives and professional fees, including costs of accounting, audit, legal, regulatory and tax compliance. Additionally, costs related to advertising, trade shows, corporate marketing, certain contract cancellation fees, gains and losses on tool sales, withholding taxes and allocated overhead costs are also included in SG&amp;A and other expenses. We expect our SG&amp;A and other as a percentage of revenue to be relatively stable over time as expenses grow in line with increased revenue.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Operating Charges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Income (expense) net</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Finance income (expense), net consists of interest earned on our cash and cash equivalents and marketable securities, net of any interest expense on borrowings, amortization of debt issuance costs under our term loans, revolving credit facility, finance leases and other credit facilities we maintain with various financial institutions.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income (expense), net consists of our share of profit of our joint venture, one-time gains and losses, issuance of shares to the USG and other miscellaneous income and expense items unrelated to our core operations. Included are gains and losses relating to hedging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 (Benefit)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consists primarily of income taxes in jurisdictions in which we conduct business, which mainly include Germany, Singapore and the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federal and state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06" w:right="35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Comparison of Three and Nine months ended September 30, 2026 and 2025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gridSpan w:val="5"/>
          </w:tcPr>
          <w:p>
            <w:pPr>
              <w:spacing w:after="0"/>
              <w:rPr>
                <w:sz w:val="20"/>
                <w:szCs w:val="20"/>
                <w:color w:val="auto"/>
              </w:rPr>
            </w:pPr>
            <w:r>
              <w:rPr>
                <w:rFonts w:ascii="Arial" w:cs="Arial" w:eastAsia="Arial" w:hAnsi="Arial"/>
                <w:sz w:val="16"/>
                <w:szCs w:val="16"/>
                <w:color w:val="auto"/>
              </w:rPr>
              <w:t>The following table sets forth our consolidated statements of operations data for the periods indicated: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52"/>
        </w:trPr>
        <w:tc>
          <w:tcPr>
            <w:tcW w:w="4420" w:type="dxa"/>
            <w:vAlign w:val="bottom"/>
          </w:tcPr>
          <w:p>
            <w:pPr>
              <w:spacing w:after="0"/>
              <w:rPr>
                <w:sz w:val="24"/>
                <w:szCs w:val="24"/>
                <w:color w:val="auto"/>
              </w:rPr>
            </w:pPr>
          </w:p>
        </w:tc>
        <w:tc>
          <w:tcPr>
            <w:tcW w:w="296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Nine Months Ended</w:t>
            </w:r>
          </w:p>
        </w:tc>
      </w:tr>
      <w:tr>
        <w:trPr>
          <w:trHeight w:val="226"/>
        </w:trPr>
        <w:tc>
          <w:tcPr>
            <w:tcW w:w="44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Borders>
              <w:bottom w:val="single" w:sz="8" w:color="auto"/>
            </w:tcBorders>
          </w:tcPr>
          <w:p>
            <w:pPr>
              <w:spacing w:after="0"/>
              <w:rPr>
                <w:sz w:val="19"/>
                <w:szCs w:val="19"/>
                <w:color w:val="auto"/>
              </w:rPr>
            </w:pPr>
          </w:p>
        </w:tc>
      </w:tr>
      <w:tr>
        <w:trPr>
          <w:trHeight w:val="233"/>
        </w:trPr>
        <w:tc>
          <w:tcPr>
            <w:tcW w:w="44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2026</w:t>
            </w:r>
          </w:p>
        </w:tc>
        <w:tc>
          <w:tcPr>
            <w:tcW w:w="580" w:type="dxa"/>
            <w:vAlign w:val="bottom"/>
          </w:tcPr>
          <w:p>
            <w:pPr>
              <w:spacing w:after="0"/>
              <w:rPr>
                <w:sz w:val="20"/>
                <w:szCs w:val="20"/>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2025</w:t>
            </w:r>
          </w:p>
        </w:tc>
      </w:tr>
      <w:tr>
        <w:trPr>
          <w:trHeight w:val="21"/>
        </w:trPr>
        <w:tc>
          <w:tcPr>
            <w:tcW w:w="4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1,899</w:t>
            </w:r>
          </w:p>
        </w:tc>
        <w:tc>
          <w:tcPr>
            <w:tcW w:w="100" w:type="dxa"/>
            <w:vAlign w:val="bottom"/>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5,319</w:t>
            </w:r>
          </w:p>
        </w:tc>
        <w:tc>
          <w:tcPr>
            <w:tcW w:w="8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4,961</w:t>
            </w:r>
          </w:p>
        </w:tc>
      </w:tr>
      <w:tr>
        <w:trPr>
          <w:trHeight w:val="228"/>
        </w:trPr>
        <w:tc>
          <w:tcPr>
            <w:tcW w:w="442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3,792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3,779</w:t>
            </w:r>
          </w:p>
        </w:tc>
      </w:tr>
      <w:tr>
        <w:trPr>
          <w:trHeight w:val="29"/>
        </w:trPr>
        <w:tc>
          <w:tcPr>
            <w:tcW w:w="44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571</w:t>
            </w:r>
          </w:p>
        </w:tc>
        <w:tc>
          <w:tcPr>
            <w:tcW w:w="100" w:type="dxa"/>
            <w:vAlign w:val="bottom"/>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419</w:t>
            </w:r>
          </w:p>
        </w:tc>
        <w:tc>
          <w:tcPr>
            <w:tcW w:w="10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1,527</w:t>
            </w:r>
          </w:p>
        </w:tc>
        <w:tc>
          <w:tcPr>
            <w:tcW w:w="80" w:type="dxa"/>
            <w:vAlign w:val="bottom"/>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1,182</w:t>
            </w:r>
          </w:p>
        </w:tc>
      </w:tr>
      <w:tr>
        <w:trPr>
          <w:trHeight w:val="221"/>
        </w:trPr>
        <w:tc>
          <w:tcPr>
            <w:tcW w:w="442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385</w:t>
            </w:r>
          </w:p>
        </w:tc>
      </w:tr>
      <w:tr>
        <w:trPr>
          <w:trHeight w:val="29"/>
        </w:trPr>
        <w:tc>
          <w:tcPr>
            <w:tcW w:w="4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 and other</w:t>
            </w:r>
          </w:p>
        </w:tc>
        <w:tc>
          <w:tcPr>
            <w:tcW w:w="1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80" w:type="dxa"/>
            <w:vAlign w:val="bottom"/>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29"/>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341</w:t>
            </w: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943</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640</w:t>
            </w:r>
          </w:p>
        </w:tc>
      </w:tr>
      <w:tr>
        <w:trPr>
          <w:trHeight w:val="21"/>
        </w:trPr>
        <w:tc>
          <w:tcPr>
            <w:tcW w:w="4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230</w:t>
            </w:r>
          </w:p>
        </w:tc>
        <w:tc>
          <w:tcPr>
            <w:tcW w:w="100" w:type="dxa"/>
            <w:vAlign w:val="bottom"/>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584</w:t>
            </w:r>
          </w:p>
        </w:tc>
        <w:tc>
          <w:tcPr>
            <w:tcW w:w="8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542</w:t>
            </w:r>
          </w:p>
        </w:tc>
      </w:tr>
      <w:tr>
        <w:trPr>
          <w:trHeight w:val="227"/>
        </w:trPr>
        <w:tc>
          <w:tcPr>
            <w:tcW w:w="4420" w:type="dxa"/>
            <w:vAlign w:val="bottom"/>
          </w:tcPr>
          <w:p>
            <w:pPr>
              <w:ind w:left="20"/>
              <w:spacing w:after="0"/>
              <w:rPr>
                <w:sz w:val="20"/>
                <w:szCs w:val="20"/>
                <w:color w:val="auto"/>
              </w:rPr>
            </w:pPr>
            <w:r>
              <w:rPr>
                <w:rFonts w:ascii="Arial" w:cs="Arial" w:eastAsia="Arial" w:hAnsi="Arial"/>
                <w:sz w:val="16"/>
                <w:szCs w:val="16"/>
                <w:color w:val="auto"/>
              </w:rPr>
              <w:t>Finance income (expense), net</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9"/>
        </w:trPr>
        <w:tc>
          <w:tcPr>
            <w:tcW w:w="4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80" w:type="dxa"/>
            <w:vAlign w:val="bottom"/>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29"/>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w:t>
            </w: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181</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637</w:t>
            </w:r>
          </w:p>
        </w:tc>
      </w:tr>
      <w:tr>
        <w:trPr>
          <w:trHeight w:val="21"/>
        </w:trPr>
        <w:tc>
          <w:tcPr>
            <w:tcW w:w="4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29"/>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(270)</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249</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688</w:t>
            </w:r>
          </w:p>
        </w:tc>
      </w:tr>
      <w:tr>
        <w:trPr>
          <w:trHeight w:val="21"/>
        </w:trPr>
        <w:tc>
          <w:tcPr>
            <w:tcW w:w="4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60" w:type="dxa"/>
            <w:vAlign w:val="bottom"/>
          </w:tcPr>
          <w:p>
            <w:pPr>
              <w:spacing w:after="0"/>
              <w:rPr>
                <w:sz w:val="20"/>
                <w:szCs w:val="20"/>
                <w:color w:val="auto"/>
              </w:rPr>
            </w:pPr>
            <w:r>
              <w:rPr>
                <w:rFonts w:ascii="Arial" w:cs="Arial" w:eastAsia="Arial" w:hAnsi="Arial"/>
                <w:sz w:val="16"/>
                <w:szCs w:val="16"/>
                <w:b w:val="1"/>
                <w:bCs w:val="1"/>
                <w:i w:val="1"/>
                <w:iCs w:val="1"/>
                <w:color w:val="auto"/>
              </w:rPr>
              <w:t>Net Revenue</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11"/>
          </w:tcPr>
          <w:p>
            <w:pPr>
              <w:jc w:val="right"/>
              <w:ind w:right="1159"/>
              <w:spacing w:after="0"/>
              <w:rPr>
                <w:sz w:val="20"/>
                <w:szCs w:val="20"/>
                <w:color w:val="auto"/>
              </w:rPr>
            </w:pPr>
            <w:r>
              <w:rPr>
                <w:rFonts w:ascii="Arial" w:cs="Arial" w:eastAsia="Arial" w:hAnsi="Arial"/>
                <w:sz w:val="16"/>
                <w:szCs w:val="16"/>
                <w:b w:val="1"/>
                <w:bCs w:val="1"/>
                <w:color w:val="auto"/>
              </w:rPr>
              <w:t>Three Months Ended September 30</w:t>
            </w:r>
          </w:p>
        </w:tc>
        <w:tc>
          <w:tcPr>
            <w:tcW w:w="800" w:type="dxa"/>
            <w:vAlign w:val="bottom"/>
          </w:tcPr>
          <w:p>
            <w:pPr>
              <w:spacing w:after="0"/>
              <w:rPr>
                <w:sz w:val="24"/>
                <w:szCs w:val="24"/>
                <w:color w:val="auto"/>
              </w:rPr>
            </w:pPr>
          </w:p>
        </w:tc>
        <w:tc>
          <w:tcPr>
            <w:tcW w:w="3520" w:type="dxa"/>
            <w:vAlign w:val="bottom"/>
            <w:gridSpan w:val="8"/>
          </w:tcPr>
          <w:p>
            <w:pPr>
              <w:jc w:val="right"/>
              <w:ind w:right="879"/>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w:t>
            </w:r>
          </w:p>
        </w:tc>
        <w:tc>
          <w:tcPr>
            <w:tcW w:w="100" w:type="dxa"/>
            <w:vAlign w:val="bottom"/>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100" w:type="dxa"/>
            <w:vAlign w:val="bottom"/>
            <w:vMerge w:val="continue"/>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vMerge w:val="continue"/>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100" w:type="dxa"/>
            <w:vAlign w:val="bottom"/>
            <w:vMerge w:val="continue"/>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5,319</w:t>
            </w:r>
          </w:p>
        </w:tc>
        <w:tc>
          <w:tcPr>
            <w:tcW w:w="100" w:type="dxa"/>
            <w:vAlign w:val="bottom"/>
            <w:vMerge w:val="continue"/>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4,961</w:t>
            </w:r>
          </w:p>
        </w:tc>
        <w:tc>
          <w:tcPr>
            <w:tcW w:w="80" w:type="dxa"/>
            <w:vAlign w:val="bottom"/>
            <w:vMerge w:val="continue"/>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vMerge w:val="continue"/>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0" w:type="dxa"/>
            <w:vAlign w:val="bottom"/>
          </w:tcPr>
          <w:p>
            <w:pPr>
              <w:spacing w:after="0"/>
              <w:rPr>
                <w:sz w:val="1"/>
                <w:szCs w:val="1"/>
                <w:color w:val="auto"/>
              </w:rPr>
            </w:pPr>
          </w:p>
        </w:tc>
      </w:tr>
      <w:tr>
        <w:trPr>
          <w:trHeight w:val="29"/>
        </w:trPr>
        <w:tc>
          <w:tcPr>
            <w:tcW w:w="2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Net revenue increased by $211 million, or 12.5%, for the three months ended September 30, 2026, compared to the three months ended September 30, 2025. The increase was primarily attributable to a 7.5% increase in wafer shipment volumes to 647 thousand 300mm-equivalent wafers, a 4.8% increase in average selling prices ("ASPs") driven by favorable product mix, and an 11.7% increase in Technology Services revenue, primarily due to higher IP licensing revenue.</w:t>
      </w:r>
    </w:p>
    <w:p>
      <w:pPr>
        <w:spacing w:after="0" w:line="2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revenue increased by $358 million, or 7.2%, for the nine months ended September 30, 2026, compared to the nine months ended September 30, 2025. The increase was primarily attributable to a 7.2% increase in wafer shipment volumes to 1,851 thousand (300mm-equivalent) wafers and a 14.3% increase in Technology Services revenue, primarily due to higher engineering services revenue, reticle revenue, and IP licensing revenue.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End Markets:</w:t>
            </w:r>
          </w:p>
        </w:tc>
        <w:tc>
          <w:tcPr>
            <w:tcW w:w="220" w:type="dxa"/>
            <w:vAlign w:val="bottom"/>
          </w:tcPr>
          <w:p>
            <w:pPr>
              <w:spacing w:after="0"/>
              <w:rPr>
                <w:sz w:val="19"/>
                <w:szCs w:val="19"/>
                <w:color w:val="auto"/>
              </w:rPr>
            </w:pPr>
          </w:p>
        </w:tc>
        <w:tc>
          <w:tcPr>
            <w:tcW w:w="4260" w:type="dxa"/>
            <w:vAlign w:val="bottom"/>
            <w:gridSpan w:val="9"/>
          </w:tcPr>
          <w:p>
            <w:pPr>
              <w:jc w:val="right"/>
              <w:ind w:right="799"/>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00" w:type="dxa"/>
            <w:vAlign w:val="bottom"/>
            <w:gridSpan w:val="9"/>
          </w:tcPr>
          <w:p>
            <w:pPr>
              <w:jc w:val="right"/>
              <w:ind w:right="879"/>
              <w:spacing w:after="0"/>
              <w:rPr>
                <w:sz w:val="20"/>
                <w:szCs w:val="20"/>
                <w:color w:val="auto"/>
              </w:rPr>
            </w:pPr>
            <w:r>
              <w:rPr>
                <w:rFonts w:ascii="Arial" w:cs="Arial" w:eastAsia="Arial" w:hAnsi="Arial"/>
                <w:sz w:val="16"/>
                <w:szCs w:val="16"/>
                <w:b w:val="1"/>
                <w:bCs w:val="1"/>
                <w:color w:val="auto"/>
              </w:rPr>
              <w:t>Nine Months Ended September 30</w:t>
            </w:r>
          </w:p>
        </w:tc>
      </w:tr>
      <w:tr>
        <w:trPr>
          <w:trHeight w:val="21"/>
        </w:trPr>
        <w:tc>
          <w:tcPr>
            <w:tcW w:w="2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6"/>
        </w:trPr>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0"/>
        </w:trPr>
        <w:tc>
          <w:tcPr>
            <w:tcW w:w="2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4"/>
        </w:trPr>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Smart Mobile Devices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8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10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175"/>
        </w:trPr>
        <w:tc>
          <w:tcPr>
            <w:tcW w:w="2120" w:type="dxa"/>
            <w:vAlign w:val="bottom"/>
          </w:tcPr>
          <w:p>
            <w:pPr>
              <w:ind w:left="20"/>
              <w:spacing w:after="0" w:line="175" w:lineRule="exact"/>
              <w:rPr>
                <w:sz w:val="20"/>
                <w:szCs w:val="20"/>
                <w:color w:val="auto"/>
              </w:rPr>
            </w:pPr>
            <w:r>
              <w:rPr>
                <w:rFonts w:ascii="Arial" w:cs="Arial" w:eastAsia="Arial" w:hAnsi="Arial"/>
                <w:sz w:val="16"/>
                <w:szCs w:val="16"/>
                <w:color w:val="auto"/>
              </w:rPr>
              <w:t>Communications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2120" w:type="dxa"/>
            <w:vAlign w:val="bottom"/>
          </w:tcPr>
          <w:p>
            <w:pPr>
              <w:ind w:left="20"/>
              <w:spacing w:after="0" w:line="175" w:lineRule="exact"/>
              <w:rPr>
                <w:sz w:val="20"/>
                <w:szCs w:val="20"/>
                <w:color w:val="auto"/>
              </w:rPr>
            </w:pPr>
            <w:r>
              <w:rPr>
                <w:rFonts w:ascii="Arial" w:cs="Arial" w:eastAsia="Arial" w:hAnsi="Arial"/>
                <w:sz w:val="16"/>
                <w:szCs w:val="16"/>
                <w:color w:val="auto"/>
              </w:rPr>
              <w:t>Infrastructure &amp; Data</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5"/>
        </w:trPr>
        <w:tc>
          <w:tcPr>
            <w:tcW w:w="2120" w:type="dxa"/>
            <w:vAlign w:val="bottom"/>
          </w:tcPr>
          <w:p>
            <w:pPr>
              <w:ind w:left="20"/>
              <w:spacing w:after="0"/>
              <w:rPr>
                <w:sz w:val="20"/>
                <w:szCs w:val="20"/>
                <w:color w:val="auto"/>
              </w:rPr>
            </w:pPr>
            <w:r>
              <w:rPr>
                <w:rFonts w:ascii="Arial" w:cs="Arial" w:eastAsia="Arial" w:hAnsi="Arial"/>
                <w:sz w:val="16"/>
                <w:szCs w:val="16"/>
                <w:color w:val="auto"/>
              </w:rPr>
              <w:t>Center</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80.6 %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58.0 %</w:t>
            </w:r>
          </w:p>
        </w:tc>
      </w:tr>
      <w:tr>
        <w:trPr>
          <w:trHeight w:val="29"/>
        </w:trPr>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37"/>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Home and Industrial IoT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8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48.8 %</w:t>
            </w:r>
          </w:p>
        </w:tc>
        <w:tc>
          <w:tcPr>
            <w:tcW w:w="10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8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9.6 %</w:t>
            </w:r>
          </w:p>
        </w:tc>
      </w:tr>
      <w:tr>
        <w:trPr>
          <w:trHeight w:val="228"/>
        </w:trPr>
        <w:tc>
          <w:tcPr>
            <w:tcW w:w="212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20.3 %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10.2 %</w:t>
            </w:r>
          </w:p>
        </w:tc>
      </w:tr>
      <w:tr>
        <w:trPr>
          <w:trHeight w:val="29"/>
        </w:trPr>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57"/>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 Services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80" w:type="dxa"/>
            <w:vAlign w:val="bottom"/>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00" w:type="dxa"/>
            <w:vAlign w:val="bottom"/>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80" w:type="dxa"/>
            <w:vAlign w:val="bottom"/>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14.3 %</w:t>
            </w:r>
          </w:p>
        </w:tc>
      </w:tr>
      <w:tr>
        <w:trPr>
          <w:trHeight w:val="229"/>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1,899</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1,688</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211</w:t>
            </w:r>
          </w:p>
        </w:tc>
        <w:tc>
          <w:tcPr>
            <w:tcW w:w="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12.5 %</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5,319</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4,961</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358</w:t>
            </w: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7.2 %</w:t>
            </w:r>
          </w:p>
        </w:tc>
      </w:tr>
    </w:tbl>
    <w:p>
      <w:pPr>
        <w:spacing w:after="0" w:line="200" w:lineRule="exact"/>
        <w:rPr>
          <w:sz w:val="20"/>
          <w:szCs w:val="20"/>
          <w:color w:val="auto"/>
        </w:rPr>
      </w:pPr>
    </w:p>
    <w:p>
      <w:pPr>
        <w:sectPr>
          <w:pgSz w:w="11900" w:h="16838" w:orient="portrait"/>
          <w:cols w:equalWidth="0" w:num="1">
            <w:col w:w="11240"/>
          </w:cols>
          <w:pgMar w:left="320" w:top="2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Manufacturing Services revenue increased in three of our four end markets for the three months ended September 30, 2026, compared to the three months ended September 30, 2025. Communications, Infrastructure &amp; Data Center revenue increased 80.6%, primarily driven by growth in data center networking applications utilizing SiPh and SiGe technologies. Home and Industrial IoT revenue increased 48.8%, reflecting growth across multiple product categories, including sensing and display and connectivity and tracking. Automotive end market revenue increased 20.3%, continuing share gains and content expansion across automotive processing and networking.</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Smart Mobile Devices revenue declined 18.8%, primarily reflecting memory price-driven demand weakness in the smartphone market.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Technology Services revenue increased 11.7% for the three months ended September 30, 2026 compared to the three months ended September 30, 2025.</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increase was driven by stronger IP license and royalty revenue.</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Manufacturing Services revenue increased in three of our four end markets for the nine months ended September 30, 2026, compared to the nine months ended September 30, 2025. Communications, Infrastructure &amp; Data Center revenue increased 58.0% year-over-year, primarily driven by growth in data center networking applications utilizing SiPh and SiGe technologies. Automotive revenue increased by 10.2%, reflecting continued share gains and content expansion across several applications. Home and Industrial IoT revenue increased 9.6% reflecting growth across multiple product categories, including sensing and display and connectivity and tracking.</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Smart Mobile Devices revenue decreased 10.3%, primarily reflecting memory price-driven demand weakness in the smartphone market.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Technology Services revenue increased 14.3% year-over-year, driven by stronger IP license, royalty and engineering services revenue.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90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40" w:type="dxa"/>
            <w:vAlign w:val="bottom"/>
            <w:gridSpan w:val="9"/>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8"/>
          </w:tcPr>
          <w:p>
            <w:pPr>
              <w:ind w:left="980"/>
              <w:spacing w:after="0"/>
              <w:rPr>
                <w:sz w:val="20"/>
                <w:szCs w:val="20"/>
                <w:color w:val="auto"/>
              </w:rPr>
            </w:pPr>
            <w:r>
              <w:rPr>
                <w:rFonts w:ascii="Arial" w:cs="Arial" w:eastAsia="Arial" w:hAnsi="Arial"/>
                <w:sz w:val="16"/>
                <w:szCs w:val="16"/>
                <w:b w:val="1"/>
                <w:bCs w:val="1"/>
                <w:color w:val="auto"/>
              </w:rPr>
              <w:t>Nine Months Ended September 30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2026</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8"/>
              </w:rPr>
              <w:t>% Change</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1200" w:type="dxa"/>
            <w:vAlign w:val="bottom"/>
            <w:tcBorders>
              <w:top w:val="single" w:sz="8" w:color="auto"/>
            </w:tcBorders>
            <w:gridSpan w:val="2"/>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19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1,269</w:t>
            </w:r>
          </w:p>
        </w:tc>
        <w:tc>
          <w:tcPr>
            <w:tcW w:w="100" w:type="dxa"/>
            <w:vAlign w:val="bottom"/>
            <w:vMerge w:val="continue"/>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59</w:t>
            </w:r>
          </w:p>
        </w:tc>
        <w:tc>
          <w:tcPr>
            <w:tcW w:w="80" w:type="dxa"/>
            <w:vAlign w:val="bottom"/>
            <w:vMerge w:val="continue"/>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3,792</w:t>
            </w:r>
          </w:p>
        </w:tc>
        <w:tc>
          <w:tcPr>
            <w:tcW w:w="100" w:type="dxa"/>
            <w:vAlign w:val="bottom"/>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3,779</w:t>
            </w:r>
          </w:p>
        </w:tc>
        <w:tc>
          <w:tcPr>
            <w:tcW w:w="100" w:type="dxa"/>
            <w:vAlign w:val="bottom"/>
            <w:vMerge w:val="continue"/>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13</w:t>
            </w:r>
          </w:p>
        </w:tc>
        <w:tc>
          <w:tcPr>
            <w:tcW w:w="80" w:type="dxa"/>
            <w:vAlign w:val="bottom"/>
            <w:vMerge w:val="continue"/>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4"/>
        </w:trPr>
        <w:tc>
          <w:tcPr>
            <w:tcW w:w="1900" w:type="dxa"/>
            <w:vAlign w:val="bottom"/>
          </w:tcPr>
          <w:p>
            <w:pPr>
              <w:ind w:left="20"/>
              <w:spacing w:after="0"/>
              <w:rPr>
                <w:sz w:val="20"/>
                <w:szCs w:val="20"/>
                <w:color w:val="auto"/>
              </w:rPr>
            </w:pPr>
            <w:r>
              <w:rPr>
                <w:rFonts w:ascii="Arial" w:cs="Arial" w:eastAsia="Arial" w:hAnsi="Arial"/>
                <w:sz w:val="16"/>
                <w:szCs w:val="16"/>
                <w:i w:val="1"/>
                <w:iCs w:val="1"/>
                <w:color w:val="auto"/>
              </w:rPr>
              <w:t>Gross margin</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i w:val="1"/>
                <w:iCs w:val="1"/>
                <w:color w:val="auto"/>
              </w:rPr>
              <w:t>30.1 %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24.8 %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ind w:left="260"/>
              <w:spacing w:after="0"/>
              <w:rPr>
                <w:sz w:val="20"/>
                <w:szCs w:val="20"/>
                <w:color w:val="auto"/>
              </w:rPr>
            </w:pPr>
            <w:r>
              <w:rPr>
                <w:rFonts w:ascii="Arial" w:cs="Arial" w:eastAsia="Arial" w:hAnsi="Arial"/>
                <w:sz w:val="14"/>
                <w:szCs w:val="14"/>
                <w:i w:val="1"/>
                <w:iCs w:val="1"/>
                <w:color w:val="auto"/>
              </w:rPr>
              <w:t>+530bps</w:t>
            </w:r>
          </w:p>
        </w:tc>
        <w:tc>
          <w:tcPr>
            <w:tcW w:w="9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i w:val="1"/>
                <w:iCs w:val="1"/>
                <w:color w:val="auto"/>
              </w:rPr>
              <w:t>28.7 %</w:t>
            </w:r>
          </w:p>
        </w:tc>
        <w:tc>
          <w:tcPr>
            <w:tcW w:w="1200" w:type="dxa"/>
            <w:vAlign w:val="bottom"/>
            <w:gridSpan w:val="2"/>
          </w:tcPr>
          <w:p>
            <w:pPr>
              <w:jc w:val="right"/>
              <w:spacing w:after="0"/>
              <w:rPr>
                <w:sz w:val="20"/>
                <w:szCs w:val="20"/>
                <w:color w:val="auto"/>
              </w:rPr>
            </w:pPr>
            <w:r>
              <w:rPr>
                <w:rFonts w:ascii="Arial" w:cs="Arial" w:eastAsia="Arial" w:hAnsi="Arial"/>
                <w:sz w:val="16"/>
                <w:szCs w:val="16"/>
                <w:i w:val="1"/>
                <w:iCs w:val="1"/>
                <w:color w:val="auto"/>
              </w:rPr>
              <w:t>23.8 %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ind w:left="260"/>
              <w:spacing w:after="0"/>
              <w:rPr>
                <w:sz w:val="20"/>
                <w:szCs w:val="20"/>
                <w:color w:val="auto"/>
              </w:rPr>
            </w:pPr>
            <w:r>
              <w:rPr>
                <w:rFonts w:ascii="Arial" w:cs="Arial" w:eastAsia="Arial" w:hAnsi="Arial"/>
                <w:sz w:val="14"/>
                <w:szCs w:val="14"/>
                <w:i w:val="1"/>
                <w:iCs w:val="1"/>
                <w:color w:val="auto"/>
              </w:rPr>
              <w:t>+490bps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Cost of revenue increased $59 million, or 4.6%, for the three months ended September 30, 2026 compared to the three months ended September 30, 2025. The 7.5% increase in shipments was partially offset by a more favorable fixed-cost absorption, manufacturing productivity improvements, and cost savings initiatives.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Gross margin increased to 30.1% for the three months ended September 30, 2026 from 24.8% for the three months ended September 30, 2025. The 530 basis point year-over-year increase was primarily driven by more favorable product mix, lower depreciation and amortization expense, improved fixed-cost absorption, manufacturing productivity improvements and cost savings initiatives.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Cost of revenue increased by $13 million, or 0.3%, for the nine months ended September 30, 2026 compared to the nine months ended September 30, 2025. The 7.2% increase in shipments was partially offset by more favorable fixed-cost absorption, manufacturing productivity improvements, and cost savings initiatives.</w:t>
      </w:r>
    </w:p>
    <w:p>
      <w:pPr>
        <w:spacing w:after="0" w:line="5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Gross margin increased to 28.7% for the nine months ended September 30, 2026 from 23.8% for the nine months ended September 30, 2025. The 490 basis point year-over-year increase was primarily driven by more favorable product mix, lower depreciation and amortization expense and improved fixed-cost absorption, partially offset by lower customer underutilization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40" w:type="dxa"/>
            <w:vAlign w:val="bottom"/>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98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Research and Development Expenses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760" w:type="dxa"/>
            <w:vAlign w:val="bottom"/>
            <w:gridSpan w:val="9"/>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20" w:type="dxa"/>
            <w:vAlign w:val="bottom"/>
            <w:gridSpan w:val="9"/>
          </w:tcPr>
          <w:p>
            <w:pPr>
              <w:jc w:val="center"/>
              <w:ind w:right="11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
        </w:trPr>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Research and</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8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48.4 %</w:t>
            </w:r>
          </w:p>
        </w:tc>
        <w:tc>
          <w:tcPr>
            <w:tcW w:w="100" w:type="dxa"/>
            <w:vAlign w:val="bottom"/>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27.3 %</w:t>
            </w:r>
          </w:p>
        </w:tc>
        <w:tc>
          <w:tcPr>
            <w:tcW w:w="0" w:type="dxa"/>
            <w:vAlign w:val="bottom"/>
          </w:tcPr>
          <w:p>
            <w:pPr>
              <w:spacing w:after="0"/>
              <w:rPr>
                <w:sz w:val="1"/>
                <w:szCs w:val="1"/>
                <w:color w:val="auto"/>
              </w:rPr>
            </w:pPr>
          </w:p>
        </w:tc>
      </w:tr>
      <w:tr>
        <w:trPr>
          <w:trHeight w:val="134"/>
        </w:trPr>
        <w:tc>
          <w:tcPr>
            <w:tcW w:w="20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development expenses</w:t>
            </w:r>
          </w:p>
        </w:tc>
        <w:tc>
          <w:tcPr>
            <w:tcW w:w="26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40" w:type="dxa"/>
            <w:vAlign w:val="bottom"/>
            <w:tcBorders>
              <w:bottom w:val="single" w:sz="8" w:color="CCEEFF"/>
            </w:tcBorders>
            <w:vMerge w:val="continue"/>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68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860" w:type="dxa"/>
            <w:vAlign w:val="bottom"/>
            <w:tcBorders>
              <w:bottom w:val="single" w:sz="8" w:color="CCEEFF"/>
            </w:tcBorders>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860" w:type="dxa"/>
            <w:vAlign w:val="bottom"/>
            <w:tcBorders>
              <w:bottom w:val="single" w:sz="8" w:color="CCEEFF"/>
            </w:tcBorders>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980" w:type="dxa"/>
            <w:vAlign w:val="bottom"/>
            <w:tcBorders>
              <w:bottom w:val="single" w:sz="8" w:color="CCEEFF"/>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CCEEFF"/>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CCEEFF"/>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860" w:type="dxa"/>
            <w:vAlign w:val="bottom"/>
            <w:tcBorders>
              <w:bottom w:val="single" w:sz="8" w:color="CCEEFF"/>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40" w:type="dxa"/>
            <w:vAlign w:val="bottom"/>
          </w:tcPr>
          <w:p>
            <w:pPr>
              <w:ind w:left="20"/>
              <w:spacing w:after="0"/>
              <w:rPr>
                <w:sz w:val="20"/>
                <w:szCs w:val="20"/>
                <w:color w:val="auto"/>
              </w:rPr>
            </w:pPr>
            <w:r>
              <w:rPr>
                <w:rFonts w:ascii="Arial" w:cs="Arial" w:eastAsia="Arial" w:hAnsi="Arial"/>
                <w:sz w:val="16"/>
                <w:szCs w:val="16"/>
                <w:i w:val="1"/>
                <w:iCs w:val="1"/>
                <w:color w:val="auto"/>
              </w:rPr>
              <w:t>As a % of revenue</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i w:val="1"/>
                <w:iCs w:val="1"/>
                <w:color w:val="auto"/>
              </w:rPr>
              <w:t>9.7 %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7.3 %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i w:val="1"/>
                <w:iCs w:val="1"/>
                <w:color w:val="auto"/>
              </w:rPr>
              <w:t>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i w:val="1"/>
                <w:iCs w:val="1"/>
                <w:color w:val="auto"/>
              </w:rPr>
              <w:t>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R&amp;D expense increased by $60 million, or 48.4%, for the three months ended September 30, 2026 compared to the three months ended September 30, 2025. The increase was primarily attributable to the acquisitions of MIPS and Synopsys' ARC Processor IP Solutions business, to expand our RISC-V design capabilities, which added more R&amp;D capabilities and expanded the Company's R&amp;D workforce. As a result, employee-related expenses increased by $35 million and non-labor expenses increased by $27 million.</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R&amp;D expense increased by $105 million, or 27.3%, for the nine months ended September 30, 2026 compared to the nine months ended September 30, 2025. The increase was primarily attributable to the acquisitions of MIPS and Synopsys' ARC Processor IP Solutions business, to expend our RISC-V design capabilities, which added more R&amp;D capabilities and expanded the Company's R&amp;D workforce. As a result, employee-related expenses increased by $73 million. Additionally, share-based compensation increased by $23 million, due to higher expense associated with new awards granted during the period.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60" w:type="dxa"/>
            <w:vAlign w:val="bottom"/>
            <w:gridSpan w:val="8"/>
          </w:tcPr>
          <w:p>
            <w:pPr>
              <w:spacing w:after="0"/>
              <w:rPr>
                <w:sz w:val="20"/>
                <w:szCs w:val="20"/>
                <w:color w:val="auto"/>
              </w:rPr>
            </w:pPr>
            <w:r>
              <w:rPr>
                <w:rFonts w:ascii="Arial" w:cs="Arial" w:eastAsia="Arial" w:hAnsi="Arial"/>
                <w:sz w:val="16"/>
                <w:szCs w:val="16"/>
                <w:b w:val="1"/>
                <w:bCs w:val="1"/>
                <w:i w:val="1"/>
                <w:iCs w:val="1"/>
                <w:color w:val="auto"/>
              </w:rPr>
              <w:t>Selling, General and Administrative Expenses and Other</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0" w:type="dxa"/>
            <w:vAlign w:val="bottom"/>
            <w:gridSpan w:val="11"/>
          </w:tcPr>
          <w:p>
            <w:pPr>
              <w:jc w:val="right"/>
              <w:ind w:right="1179"/>
              <w:spacing w:after="0"/>
              <w:rPr>
                <w:sz w:val="20"/>
                <w:szCs w:val="20"/>
                <w:color w:val="auto"/>
              </w:rPr>
            </w:pPr>
            <w:r>
              <w:rPr>
                <w:rFonts w:ascii="Arial" w:cs="Arial" w:eastAsia="Arial" w:hAnsi="Arial"/>
                <w:sz w:val="16"/>
                <w:szCs w:val="16"/>
                <w:b w:val="1"/>
                <w:bCs w:val="1"/>
                <w:color w:val="auto"/>
              </w:rPr>
              <w:t>Three Months Ended September 30</w:t>
            </w:r>
          </w:p>
        </w:tc>
        <w:tc>
          <w:tcPr>
            <w:tcW w:w="700" w:type="dxa"/>
            <w:vAlign w:val="bottom"/>
          </w:tcPr>
          <w:p>
            <w:pPr>
              <w:spacing w:after="0"/>
              <w:rPr>
                <w:sz w:val="22"/>
                <w:szCs w:val="22"/>
                <w:color w:val="auto"/>
              </w:rPr>
            </w:pPr>
          </w:p>
        </w:tc>
        <w:tc>
          <w:tcPr>
            <w:tcW w:w="2680" w:type="dxa"/>
            <w:vAlign w:val="bottom"/>
            <w:gridSpan w:val="9"/>
          </w:tcPr>
          <w:p>
            <w:pPr>
              <w:ind w:left="40"/>
              <w:spacing w:after="0"/>
              <w:rPr>
                <w:sz w:val="20"/>
                <w:szCs w:val="20"/>
                <w:color w:val="auto"/>
              </w:rPr>
            </w:pPr>
            <w:r>
              <w:rPr>
                <w:rFonts w:ascii="Arial" w:cs="Arial" w:eastAsia="Arial" w:hAnsi="Arial"/>
                <w:sz w:val="16"/>
                <w:szCs w:val="16"/>
                <w:b w:val="1"/>
                <w:bCs w:val="1"/>
                <w:color w:val="auto"/>
              </w:rPr>
              <w:t>Nine Months Ended September 30</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98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Selling, general and</w:t>
            </w: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80" w:type="dxa"/>
            <w:vAlign w:val="bottom"/>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100</w:t>
            </w:r>
          </w:p>
        </w:tc>
        <w:tc>
          <w:tcPr>
            <w:tcW w:w="120" w:type="dxa"/>
            <w:vAlign w:val="bottom"/>
            <w:tcBorders>
              <w:right w:val="single" w:sz="8" w:color="CCEEFF"/>
            </w:tcBorders>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57.0 %</w:t>
            </w:r>
          </w:p>
        </w:tc>
        <w:tc>
          <w:tcPr>
            <w:tcW w:w="100" w:type="dxa"/>
            <w:vAlign w:val="bottom"/>
          </w:tcPr>
          <w:p>
            <w:pPr>
              <w:spacing w:after="0"/>
              <w:rPr>
                <w:sz w:val="13"/>
                <w:szCs w:val="13"/>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40" w:type="dxa"/>
            <w:vAlign w:val="bottom"/>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80" w:type="dxa"/>
            <w:vAlign w:val="bottom"/>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77.6 %</w:t>
            </w:r>
          </w:p>
        </w:tc>
        <w:tc>
          <w:tcPr>
            <w:tcW w:w="0" w:type="dxa"/>
            <w:vAlign w:val="bottom"/>
          </w:tcPr>
          <w:p>
            <w:pPr>
              <w:spacing w:after="0"/>
              <w:rPr>
                <w:sz w:val="1"/>
                <w:szCs w:val="1"/>
                <w:color w:val="auto"/>
              </w:rPr>
            </w:pPr>
          </w:p>
        </w:tc>
      </w:tr>
      <w:tr>
        <w:trPr>
          <w:trHeight w:val="134"/>
        </w:trPr>
        <w:tc>
          <w:tcPr>
            <w:tcW w:w="19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administrative expenses</w:t>
            </w:r>
          </w:p>
        </w:tc>
        <w:tc>
          <w:tcPr>
            <w:tcW w:w="240" w:type="dxa"/>
            <w:vAlign w:val="bottom"/>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98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shd w:val="clear" w:color="auto" w:fill="CCEEFF"/>
          </w:tcPr>
          <w:p>
            <w:pPr>
              <w:spacing w:after="0"/>
              <w:rPr>
                <w:sz w:val="7"/>
                <w:szCs w:val="7"/>
                <w:color w:val="auto"/>
              </w:rPr>
            </w:pPr>
          </w:p>
        </w:tc>
        <w:tc>
          <w:tcPr>
            <w:tcW w:w="120" w:type="dxa"/>
            <w:vAlign w:val="bottom"/>
            <w:tcBorders>
              <w:right w:val="single" w:sz="8" w:color="CCEEFF"/>
            </w:tcBorders>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bottom w:val="single" w:sz="8" w:color="CCEEFF"/>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70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60" w:type="dxa"/>
            <w:vAlign w:val="bottom"/>
            <w:tcBorders>
              <w:bottom w:val="single" w:sz="8" w:color="CCEEFF"/>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98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1980" w:type="dxa"/>
            <w:vAlign w:val="bottom"/>
          </w:tcPr>
          <w:p>
            <w:pPr>
              <w:ind w:left="20"/>
              <w:spacing w:after="0"/>
              <w:rPr>
                <w:sz w:val="20"/>
                <w:szCs w:val="20"/>
                <w:color w:val="auto"/>
              </w:rPr>
            </w:pPr>
            <w:r>
              <w:rPr>
                <w:rFonts w:ascii="Arial" w:cs="Arial" w:eastAsia="Arial" w:hAnsi="Arial"/>
                <w:sz w:val="16"/>
                <w:szCs w:val="16"/>
                <w:i w:val="1"/>
                <w:iCs w:val="1"/>
                <w:color w:val="auto"/>
              </w:rPr>
              <w:t>As a % of revenue</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i w:val="1"/>
                <w:iCs w:val="1"/>
                <w:color w:val="auto"/>
              </w:rPr>
              <w:t>8.3 %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5.9 %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i w:val="1"/>
                <w:iCs w:val="1"/>
                <w:color w:val="auto"/>
              </w:rPr>
              <w:t>8.5 %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5.1 %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SG&amp;A expenses increased by $57 million, or 57.0%, for the three months ended September 30, 2026 compared to the three months ended September 30, 2025. The increase included a $23 million year-over-year reduction in gains recognized from tool sales as well as costs associated with the acquisitions of MIPS and Synopsys' ARC Processor IP Solutions business and $28 million of higher employee-related expenses.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SG&amp;A expenses increased by $198 million, or 77.6%, for the nine months ended September 30, 2026 compared to the nine months ended September 30, 2025. The increase included a $75 million year-over-year reduction in gains recognized from tool sales as well as costs associated with the acquisitions of MIPS and Synopsys' ARC Processor IP Solutions business, $67 million higher employee-related expense and $24 million higher professional services. The increase was also attributable to $19 million of higher share-based compensation, primarily reflecting higher employer social charges associated with employee equity awards and the impact of new awards granted during the period.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Finance income (expense), net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60" w:type="dxa"/>
            <w:vAlign w:val="bottom"/>
            <w:gridSpan w:val="11"/>
          </w:tcPr>
          <w:p>
            <w:pPr>
              <w:jc w:val="right"/>
              <w:ind w:right="1139"/>
              <w:spacing w:after="0"/>
              <w:rPr>
                <w:sz w:val="20"/>
                <w:szCs w:val="20"/>
                <w:color w:val="auto"/>
              </w:rPr>
            </w:pPr>
            <w:r>
              <w:rPr>
                <w:rFonts w:ascii="Arial" w:cs="Arial" w:eastAsia="Arial" w:hAnsi="Arial"/>
                <w:sz w:val="16"/>
                <w:szCs w:val="16"/>
                <w:b w:val="1"/>
                <w:bCs w:val="1"/>
                <w:color w:val="auto"/>
              </w:rPr>
              <w:t>Three Months Ended September 30</w:t>
            </w:r>
          </w:p>
        </w:tc>
        <w:tc>
          <w:tcPr>
            <w:tcW w:w="800" w:type="dxa"/>
            <w:vAlign w:val="bottom"/>
          </w:tcPr>
          <w:p>
            <w:pPr>
              <w:spacing w:after="0"/>
              <w:rPr>
                <w:sz w:val="21"/>
                <w:szCs w:val="21"/>
                <w:color w:val="auto"/>
              </w:rPr>
            </w:pPr>
          </w:p>
        </w:tc>
        <w:tc>
          <w:tcPr>
            <w:tcW w:w="3520" w:type="dxa"/>
            <w:vAlign w:val="bottom"/>
            <w:gridSpan w:val="8"/>
          </w:tcPr>
          <w:p>
            <w:pPr>
              <w:jc w:val="right"/>
              <w:ind w:right="879"/>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income</w:t>
            </w:r>
          </w:p>
        </w:tc>
        <w:tc>
          <w:tcPr>
            <w:tcW w:w="780" w:type="dxa"/>
            <w:vAlign w:val="bottom"/>
            <w:vMerge w:val="restart"/>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6"/>
                <w:szCs w:val="16"/>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6"/>
                <w:szCs w:val="16"/>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6"/>
                <w:szCs w:val="16"/>
                <w:color w:val="auto"/>
              </w:rPr>
            </w:pPr>
          </w:p>
        </w:tc>
        <w:tc>
          <w:tcPr>
            <w:tcW w:w="720" w:type="dxa"/>
            <w:vAlign w:val="bottom"/>
            <w:vMerge w:val="restart"/>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120"/>
        </w:trPr>
        <w:tc>
          <w:tcPr>
            <w:tcW w:w="20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(expense), net</w:t>
            </w:r>
          </w:p>
        </w:tc>
        <w:tc>
          <w:tcPr>
            <w:tcW w:w="780" w:type="dxa"/>
            <w:vAlign w:val="bottom"/>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800" w:type="dxa"/>
            <w:vAlign w:val="bottom"/>
            <w:tcBorders>
              <w:right w:val="single" w:sz="8" w:color="CCEEFF"/>
            </w:tcBorders>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80" w:type="dxa"/>
            <w:vAlign w:val="bottom"/>
            <w:vMerge w:val="continue"/>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tcBorders>
              <w:right w:val="single" w:sz="8" w:color="CCEEFF"/>
            </w:tcBorders>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Finance income (expense), net decreased by $9 million, or 50.0%, for the three months ended September 30, 2026 compared to the three months ended September 30, 2025. The decrease was primarily due to reduced interest income driven by lower cash balances and lower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Finance income (expense), net decreased by $16 million, or (32.7)%, for the nine months ended September 30, 2026 compared to the nine months ended September 30, 2025. The decrease was primarily due to $19 million of reduced interest income mainly driven by lower cash balances and lower interest rates, partially offset by a $3 million decrease in interest expense related to lower debt balances.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3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Other income (expense), net</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gridSpan w:val="11"/>
          </w:tcPr>
          <w:p>
            <w:pPr>
              <w:jc w:val="right"/>
              <w:ind w:right="1119"/>
              <w:spacing w:after="0"/>
              <w:rPr>
                <w:sz w:val="20"/>
                <w:szCs w:val="20"/>
                <w:color w:val="auto"/>
              </w:rPr>
            </w:pPr>
            <w:r>
              <w:rPr>
                <w:rFonts w:ascii="Arial" w:cs="Arial" w:eastAsia="Arial" w:hAnsi="Arial"/>
                <w:sz w:val="16"/>
                <w:szCs w:val="16"/>
                <w:b w:val="1"/>
                <w:bCs w:val="1"/>
                <w:color w:val="auto"/>
              </w:rPr>
              <w:t>Three Months Ended September 30</w:t>
            </w:r>
          </w:p>
        </w:tc>
        <w:tc>
          <w:tcPr>
            <w:tcW w:w="3340" w:type="dxa"/>
            <w:vAlign w:val="bottom"/>
            <w:gridSpan w:val="9"/>
          </w:tcPr>
          <w:p>
            <w:pPr>
              <w:ind w:left="720"/>
              <w:spacing w:after="0"/>
              <w:rPr>
                <w:sz w:val="20"/>
                <w:szCs w:val="20"/>
                <w:color w:val="auto"/>
              </w:rPr>
            </w:pPr>
            <w:r>
              <w:rPr>
                <w:rFonts w:ascii="Arial" w:cs="Arial" w:eastAsia="Arial" w:hAnsi="Arial"/>
                <w:sz w:val="16"/>
                <w:szCs w:val="16"/>
                <w:b w:val="1"/>
                <w:bCs w:val="1"/>
                <w:color w:val="auto"/>
              </w:rPr>
              <w:t>Nine Months Ended September 30</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Other income (expense),</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80" w:type="dxa"/>
            <w:vAlign w:val="bottom"/>
          </w:tcPr>
          <w:p>
            <w:pPr>
              <w:spacing w:after="0"/>
              <w:rPr>
                <w:sz w:val="15"/>
                <w:szCs w:val="15"/>
                <w:color w:val="auto"/>
              </w:rPr>
            </w:pPr>
          </w:p>
        </w:tc>
        <w:tc>
          <w:tcPr>
            <w:tcW w:w="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5"/>
                <w:szCs w:val="15"/>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5"/>
                <w:szCs w:val="15"/>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8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ind w:left="680"/>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r>
        <w:trPr>
          <w:trHeight w:val="134"/>
        </w:trPr>
        <w:tc>
          <w:tcPr>
            <w:tcW w:w="2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net</w:t>
            </w:r>
          </w:p>
        </w:tc>
        <w:tc>
          <w:tcPr>
            <w:tcW w:w="22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Other income (expense), net decreased by $447 million, for the three months ended September 30, 2026 compared to the three months ended September 30, 2025. The decrease was primarily driven by a non-cash charge of $441 million associated with the issuance of ordinary shares to the USG.</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income (expense), net decreased by $482 million, for the nine months ended September 30, 2026 compared to the nine months ended September 30, 2025. The decrease was primarily driven by a non-cash charge of $441 million associated with the issuance of ordinary shares to the USG.</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 Benefit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100" w:type="dxa"/>
            <w:vAlign w:val="bottom"/>
            <w:gridSpan w:val="11"/>
          </w:tcPr>
          <w:p>
            <w:pPr>
              <w:jc w:val="right"/>
              <w:ind w:right="1119"/>
              <w:spacing w:after="0"/>
              <w:rPr>
                <w:sz w:val="20"/>
                <w:szCs w:val="20"/>
                <w:color w:val="auto"/>
              </w:rPr>
            </w:pPr>
            <w:r>
              <w:rPr>
                <w:rFonts w:ascii="Arial" w:cs="Arial" w:eastAsia="Arial" w:hAnsi="Arial"/>
                <w:sz w:val="16"/>
                <w:szCs w:val="16"/>
                <w:b w:val="1"/>
                <w:bCs w:val="1"/>
                <w:color w:val="auto"/>
              </w:rPr>
              <w:t>Three Months Ended September 30</w:t>
            </w:r>
          </w:p>
        </w:tc>
        <w:tc>
          <w:tcPr>
            <w:tcW w:w="3340" w:type="dxa"/>
            <w:vAlign w:val="bottom"/>
            <w:gridSpan w:val="9"/>
          </w:tcPr>
          <w:p>
            <w:pPr>
              <w:ind w:left="720"/>
              <w:spacing w:after="0"/>
              <w:rPr>
                <w:sz w:val="20"/>
                <w:szCs w:val="20"/>
                <w:color w:val="auto"/>
              </w:rPr>
            </w:pPr>
            <w:r>
              <w:rPr>
                <w:rFonts w:ascii="Arial" w:cs="Arial" w:eastAsia="Arial" w:hAnsi="Arial"/>
                <w:sz w:val="16"/>
                <w:szCs w:val="16"/>
                <w:b w:val="1"/>
                <w:bCs w:val="1"/>
                <w:color w:val="auto"/>
              </w:rPr>
              <w:t>Nine Months Ended September 30</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Income tax (expense)</w:t>
            </w:r>
          </w:p>
        </w:tc>
        <w:tc>
          <w:tcPr>
            <w:tcW w:w="700" w:type="dxa"/>
            <w:vAlign w:val="bottom"/>
            <w:vMerge w:val="restart"/>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(70)</w:t>
            </w:r>
          </w:p>
        </w:tc>
        <w:tc>
          <w:tcPr>
            <w:tcW w:w="80" w:type="dxa"/>
            <w:vAlign w:val="bottom"/>
          </w:tcPr>
          <w:p>
            <w:pPr>
              <w:spacing w:after="0"/>
              <w:rPr>
                <w:sz w:val="13"/>
                <w:szCs w:val="13"/>
                <w:color w:val="auto"/>
              </w:rPr>
            </w:pPr>
          </w:p>
        </w:tc>
        <w:tc>
          <w:tcPr>
            <w:tcW w:w="760" w:type="dxa"/>
            <w:vAlign w:val="bottom"/>
            <w:vMerge w:val="restart"/>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3"/>
                <w:szCs w:val="13"/>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3"/>
                <w:szCs w:val="13"/>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ind w:left="680"/>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r>
        <w:trPr>
          <w:trHeight w:val="134"/>
        </w:trPr>
        <w:tc>
          <w:tcPr>
            <w:tcW w:w="2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benefit</w:t>
            </w:r>
          </w:p>
        </w:tc>
        <w:tc>
          <w:tcPr>
            <w:tcW w:w="700" w:type="dxa"/>
            <w:vAlign w:val="bottom"/>
            <w:vMerge w:val="continue"/>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Income tax expense increased by $98 million for the three months ended September 30, 2026 compared to the three months ended September 30, 2025, primarily due to $184 million of tax benefit related to German deferred tax assets that were no longer contingent partially offset by $86 million of tax expense related to Singapore rate revaluation in the prior-year period.</w:t>
      </w:r>
    </w:p>
    <w:p>
      <w:pPr>
        <w:spacing w:after="0" w:line="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Income tax expense increased by $231 million for the nine months ended September 30, 2026 compared to the nine months ended September 30, 2025, primarily due to $193 million of tax benefit related to German deferred tax assets that were no longer contingent and a net increase of $106 million in tax expense related to Germany foreign exchange revaluation compared to the prior-year period partially offset by $86 million of tax expense related to Singapore rate revaluation in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Liquidity and Capital Resources</w:t>
      </w:r>
    </w:p>
    <w:p>
      <w:pPr>
        <w:spacing w:after="0" w:line="11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historically financed operations primarily through cash and cash equivalents and marketable securities, as well as cash generated from our business operations, including prepayments under long term agreements ("LTAs"), debt, government grants and advanced manufacturing investment tax credits.</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August 21, 2026, we entered into a senior unsecured revolving credit facility in an aggregate commitment amount of $1.5 billion and terminated our previous revolving credit facility of $1.0 billion. As of September 30, 2026 and December 31, 2025, we had an undrawn revolving credit facility of $1.5 billion and $1.0 billion, respectively. In addition to our available revolver, we had $1.1 billion of debt outstanding as of September 30, 2026 and December 31, 2025, which was primarily comprised of a term loan.</w:t>
      </w:r>
    </w:p>
    <w:p>
      <w:pPr>
        <w:spacing w:after="0" w:line="6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As of September 30, 2026, our cash, cash equivalents and marketable securities balances of approximately $3.2 billion included $1.0 billion cash and cash equivalents and approximately $2.2 billion of marketable securities.</w:t>
      </w:r>
    </w:p>
    <w:p>
      <w:pPr>
        <w:spacing w:after="0" w:line="3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future capital requirements will depend on many factors, including our revenue growth rate, the timing and amount of payments we receive from customers pursuant to our LTAs and other business arrangements, the timing and extent of spending to support development efforts, the timing and amount of reimbursements we receive under government grants, the introduction of new and enhanced products and solutions, the continuing market adoption of our platform, strategic transactions and our obligations to repay our indebtedness from time to time. We may from time to time seek to raise additional capital to support our growth. As of September 30, 2026, we believe that our existing cash, cash equivalents, marketable securities, credit under our revolving credit facility and expected cash generated from operations are sufficient to meet our capital requirements for at least the next 12 months and beyond.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Pr>
          <w:p>
            <w:pPr>
              <w:spacing w:after="0"/>
              <w:rPr>
                <w:sz w:val="20"/>
                <w:szCs w:val="20"/>
                <w:color w:val="auto"/>
              </w:rPr>
            </w:pPr>
            <w:r>
              <w:rPr>
                <w:rFonts w:ascii="Arial" w:cs="Arial" w:eastAsia="Arial" w:hAnsi="Arial"/>
                <w:sz w:val="16"/>
                <w:szCs w:val="16"/>
                <w:b w:val="1"/>
                <w:bCs w:val="1"/>
                <w:color w:val="auto"/>
              </w:rPr>
              <w:t>Cash Flows</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03"/>
        </w:trPr>
        <w:tc>
          <w:tcPr>
            <w:tcW w:w="7680" w:type="dxa"/>
            <w:vAlign w:val="bottom"/>
          </w:tcPr>
          <w:p>
            <w:pPr>
              <w:spacing w:after="0"/>
              <w:rPr>
                <w:sz w:val="20"/>
                <w:szCs w:val="20"/>
                <w:color w:val="auto"/>
              </w:rPr>
            </w:pPr>
            <w:r>
              <w:rPr>
                <w:rFonts w:ascii="Arial" w:cs="Arial" w:eastAsia="Arial" w:hAnsi="Arial"/>
                <w:sz w:val="16"/>
                <w:szCs w:val="16"/>
                <w:color w:val="auto"/>
              </w:rPr>
              <w:t>The following table shows a summary of our cash flows for the periods presented:</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4"/>
        </w:trPr>
        <w:tc>
          <w:tcPr>
            <w:tcW w:w="7680" w:type="dxa"/>
            <w:vAlign w:val="bottom"/>
          </w:tcPr>
          <w:p>
            <w:pPr>
              <w:spacing w:after="0"/>
              <w:rPr>
                <w:sz w:val="23"/>
                <w:szCs w:val="23"/>
                <w:color w:val="auto"/>
              </w:rPr>
            </w:pPr>
          </w:p>
        </w:tc>
        <w:tc>
          <w:tcPr>
            <w:tcW w:w="3560" w:type="dxa"/>
            <w:vAlign w:val="bottom"/>
            <w:gridSpan w:val="5"/>
          </w:tcPr>
          <w:p>
            <w:pPr>
              <w:jc w:val="right"/>
              <w:ind w:right="379"/>
              <w:spacing w:after="0"/>
              <w:rPr>
                <w:sz w:val="20"/>
                <w:szCs w:val="20"/>
                <w:color w:val="auto"/>
              </w:rPr>
            </w:pPr>
            <w:r>
              <w:rPr>
                <w:rFonts w:ascii="Arial" w:cs="Arial" w:eastAsia="Arial" w:hAnsi="Arial"/>
                <w:sz w:val="16"/>
                <w:szCs w:val="16"/>
                <w:b w:val="1"/>
                <w:bCs w:val="1"/>
                <w:color w:val="auto"/>
              </w:rPr>
              <w:t>Nine Months Ended September 30</w:t>
            </w:r>
          </w:p>
        </w:tc>
      </w:tr>
      <w:tr>
        <w:trPr>
          <w:trHeight w:val="21"/>
        </w:trPr>
        <w:tc>
          <w:tcPr>
            <w:tcW w:w="7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9"/>
        </w:trPr>
        <w:tc>
          <w:tcPr>
            <w:tcW w:w="7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2025</w:t>
            </w: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12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1,288</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1,357</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(747)</w:t>
            </w:r>
          </w:p>
        </w:tc>
      </w:tr>
      <w:tr>
        <w:trPr>
          <w:trHeight w:val="29"/>
        </w:trPr>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w:t>
            </w:r>
          </w:p>
        </w:tc>
      </w:tr>
      <w:tr>
        <w:trPr>
          <w:trHeight w:val="221"/>
        </w:trPr>
        <w:tc>
          <w:tcPr>
            <w:tcW w:w="7680" w:type="dxa"/>
            <w:vAlign w:val="bottom"/>
          </w:tcPr>
          <w:p>
            <w:pPr>
              <w:ind w:left="240"/>
              <w:spacing w:after="0"/>
              <w:rPr>
                <w:sz w:val="20"/>
                <w:szCs w:val="20"/>
                <w:color w:val="auto"/>
              </w:rPr>
            </w:pPr>
            <w:r>
              <w:rPr>
                <w:rFonts w:ascii="Arial" w:cs="Arial" w:eastAsia="Arial" w:hAnsi="Arial"/>
                <w:sz w:val="16"/>
                <w:szCs w:val="16"/>
                <w:color w:val="auto"/>
              </w:rPr>
              <w:t>Effect of exchange rate changes on cash and cash equivalents</w:t>
            </w:r>
          </w:p>
        </w:tc>
        <w:tc>
          <w:tcPr>
            <w:tcW w:w="1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9"/>
        </w:trPr>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230"/>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120" w:type="dxa"/>
            <w:vAlign w:val="bottom"/>
            <w:tcBorders>
              <w:top w:val="single" w:sz="8" w:color="auto"/>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(812)</w:t>
            </w:r>
          </w:p>
        </w:tc>
        <w:tc>
          <w:tcPr>
            <w:tcW w:w="100" w:type="dxa"/>
            <w:vAlign w:val="bottom"/>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w:t>
            </w:r>
          </w:p>
        </w:tc>
      </w:tr>
      <w:tr>
        <w:trPr>
          <w:trHeight w:val="20"/>
        </w:trPr>
        <w:tc>
          <w:tcPr>
            <w:tcW w:w="76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Cash provided by operating activities of $1,288 million decreased $69 million for the nine months ended September 30, 2026, compared to $1,357 million for the nine months ended September 30, 2025. The decrease was primarily attributable to $687 million lower net income and $119 million unfavorable movement in working capital, partially offset by $737 million favorable cash and non-cash adjustments.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net income was primarily driven by the $441 million share issuance to the USG.</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movement in working capital was primarily driven by $181 million unfavorable changes in receivables due to increases in receivables from government grants offset by $57 million favorable change in payables, primarily due to the timing of payments to suppliers and vendors.</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favorable cash and non-cash adjustments were primarily driven by $441 million increase in share issuance to the USG, $263 million increase in deferred income taxes, largely due to changes in income tax expense and the recognition of German net deferred tax assets, $81 million decrease in gains on dispositions of property, plant and equipment, primarily related to tool sales, $42 million increase in share-based payments, and $31 million favorable movement from the gain on acquisition of a joint venture. These were partially offset by $74 million unfavorable changes in other operating activities and $48 million lower depreciation and amortization.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Cash used in investing activities for the nine months ended September 30, 2026 of $1,425 million increased $678 million compared to the cash used in investing activities of $747 million for the nine months ended September 30, 2025. The increase was driven by higher capital expenditures of $510 million, primarily related to investment in manufacturing facilities, $255 million increase in acquisition costs, $115 million increase in purchases of marketable securities and lower proceeds from sales of property, plant and equipment of $84 million primarily related to tool sales. These increases were offset by higher proceeds from sales and maturities of marketable securities of $168 million, higher proceeds from government grants of $52 million, lower investments in equity securities of $45 and $21 million increase related to the sale of equity investments.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Cash used in financing activities for the nine months ended September 30, 2026 of $676 million decreased $116 million compared to the cash used of $792 million for the nine months ended September 30, 2025. The year-over-year change was primarily attributable to $722 million lower debt and lease repayments, offset by a $500 million increase in share repurchases, $66 million cash dividend, $21 million lower proceeds from the issuance of equity instruments, net of taxes paid, and $19 million decrease in proceeds from borrowings.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sectPr>
      <w:pgSz w:w="11900" w:h="16838" w:orient="portrait"/>
      <w:cols w:equalWidth="0" w:num="1">
        <w:col w:w="11240"/>
      </w:cols>
      <w:pgMar w:left="320" w:top="2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2026-11-04T06:19:25Z</dcterms:created>
  <dcterms:modified xsi:type="dcterms:W3CDTF">2026-11-04T06:19:25Z</dcterms:modified>
</cp:coreProperties>
</file>