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September 14, 2026</w:t>
      </w:r>
    </w:p>
    <w:p>
      <w:pPr>
        <w:pStyle w:val="TextBody"/>
        <w:bidi w:val="0"/>
        <w:spacing w:lineRule="auto" w:line="288" w:before="0" w:after="120"/>
        <w:jc w:val="right"/>
        <w:rPr>
          <w:rFonts w:ascii="Times New Roman;serif" w:hAnsi="Times New Roman;serif"/>
          <w:b/>
          <w:color w:val="000000"/>
          <w:sz w:val="16"/>
        </w:rPr>
      </w:pPr>
      <w:r>
        <w:rPr>
          <w:rFonts w:ascii="Times New Roman;serif" w:hAnsi="Times New Roman;serif"/>
          <w:b/>
          <w:color w:val="000000"/>
          <w:sz w:val="16"/>
        </w:rPr>
        <w:t>Registration No. 333-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28"/>
        </w:rPr>
      </w:pPr>
      <w:r>
        <w:rPr>
          <w:rFonts w:ascii="Times New Roman;serif" w:hAnsi="Times New Roman;serif"/>
          <w:b/>
          <w:color w:val="000000"/>
          <w:sz w:val="28"/>
        </w:rPr>
        <w:t>Form F-3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REGISTRATION STATEMENT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GLOBALFOUNDRIES Inc.</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N/A</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(Translation of Registrant’s name into English)</w:t>
      </w:r>
    </w:p>
    <w:tbl>
      <w:tblPr>
        <w:tblW w:w="6404" w:type="dxa"/>
        <w:jc w:val="center"/>
        <w:tblInd w:w="0" w:type="dxa"/>
        <w:tblLayout w:type="fixed"/>
        <w:tblCellMar>
          <w:top w:w="28" w:type="dxa"/>
          <w:left w:w="28" w:type="dxa"/>
          <w:bottom w:w="28" w:type="dxa"/>
          <w:right w:w="28" w:type="dxa"/>
        </w:tblCellMar>
      </w:tblPr>
      <w:tblGrid>
        <w:gridCol w:w="1236"/>
        <w:gridCol w:w="1086"/>
        <w:gridCol w:w="1097"/>
        <w:gridCol w:w="870"/>
        <w:gridCol w:w="870"/>
        <w:gridCol w:w="1245"/>
      </w:tblGrid>
      <w:tr>
        <w:trPr/>
        <w:tc>
          <w:tcPr>
            <w:tcW w:w="123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Cayman Islands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98-0604079</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Incorporation or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Organization)</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400 Stonebreak Road Extension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Malta, NY 12020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(518) 305-9013</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(Address and Telephone Number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Corporation Service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251 Little Falls Drive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Wilmington, DE 19808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(800) 927-9801</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(Name, Address and Telephone Number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center"/>
        <w:rPr>
          <w:rFonts w:ascii="Times New Roman;serif" w:hAnsi="Times New Roman;serif"/>
          <w:b/>
          <w:i/>
          <w:color w:val="000000"/>
          <w:sz w:val="20"/>
        </w:rPr>
      </w:pPr>
      <w:r>
        <w:rPr>
          <w:rFonts w:ascii="Times New Roman;serif" w:hAnsi="Times New Roman;serif"/>
          <w:b/>
          <w:i/>
          <w:color w:val="000000"/>
          <w:sz w:val="20"/>
        </w:rPr>
        <w:t>Copies to:</w:t>
      </w:r>
    </w:p>
    <w:tbl>
      <w:tblPr>
        <w:tblW w:w="5984" w:type="dxa"/>
        <w:jc w:val="left"/>
        <w:tblInd w:w="0" w:type="dxa"/>
        <w:tblLayout w:type="fixed"/>
        <w:tblCellMar>
          <w:top w:w="28" w:type="dxa"/>
          <w:left w:w="28" w:type="dxa"/>
          <w:bottom w:w="28" w:type="dxa"/>
          <w:right w:w="28" w:type="dxa"/>
        </w:tblCellMar>
      </w:tblPr>
      <w:tblGrid>
        <w:gridCol w:w="1243"/>
        <w:gridCol w:w="1093"/>
        <w:gridCol w:w="1099"/>
        <w:gridCol w:w="746"/>
        <w:gridCol w:w="746"/>
        <w:gridCol w:w="1057"/>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Adam Fleisher, Esq.</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Shuangjun Wang, Esq.</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Cleary Gottlieb Steen &amp; Hamilton LLP</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One Liberty Plaza</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 10006</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(212) 225-2000</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Mayme Donohue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Benjamin Cooper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Hunton Andrews Kurth LLP</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951 East Byrd Street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Richmond, VA 23219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(804) 787-8021</w:t>
            </w:r>
          </w:p>
        </w:tc>
      </w:tr>
    </w:tbl>
    <w:p>
      <w:pPr>
        <w:pStyle w:val="TextBody"/>
        <w:bidi w:val="0"/>
        <w:spacing w:lineRule="auto" w:line="288" w:before="0" w:after="60"/>
        <w:jc w:val="both"/>
        <w:rPr/>
      </w:pPr>
      <w:r>
        <w:rPr>
          <w:rFonts w:ascii="Times New Roman;serif" w:hAnsi="Times New Roman;serif"/>
          <w:b/>
          <w:color w:val="000000"/>
          <w:sz w:val="20"/>
        </w:rPr>
        <w:t>Approximate date of commencement of proposed sale to the public:</w:t>
      </w:r>
      <w:r>
        <w:rPr>
          <w:color w:val="000000"/>
        </w:rPr>
        <w:t xml:space="preserve"> </w:t>
      </w:r>
      <w:r>
        <w:rPr>
          <w:rFonts w:ascii="Times New Roman;serif" w:hAnsi="Times New Roman;serif"/>
          <w:b w:val="false"/>
          <w:color w:val="000000"/>
          <w:sz w:val="20"/>
        </w:rPr>
        <w:t>From time to time after the effective date of this Registration Statement.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If the only securities being registered on this Form are being offered pursuant to dividend or interest reinvestment plans, please check the following box. ☐</w:t>
      </w:r>
    </w:p>
    <w:p>
      <w:pPr>
        <w:pStyle w:val="TextBody"/>
        <w:bidi w:val="0"/>
        <w:spacing w:lineRule="auto" w:line="288" w:before="0" w:after="6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rFonts w:ascii="Wingdings;sans-serif" w:hAnsi="Wingdings;sans-serif"/>
          <w:b w:val="false"/>
          <w:color w:val="000000"/>
          <w:sz w:val="20"/>
        </w:rPr>
        <w:t>x</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both"/>
        <w:rPr/>
      </w:pPr>
      <w:r>
        <w:rPr>
          <w:rFonts w:ascii="Times New Roman;serif" w:hAnsi="Times New Roman;serif"/>
          <w:b w:val="false"/>
          <w:color w:val="000000"/>
          <w:sz w:val="20"/>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Wingdings;sans-serif" w:hAnsi="Wingdings;sans-serif"/>
          <w:b w:val="false"/>
          <w:color w:val="000000"/>
          <w:sz w:val="20"/>
        </w:rPr>
        <w:t>x</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w:t>
      </w:r>
    </w:p>
    <w:tbl>
      <w:tblPr>
        <w:tblW w:w="3099" w:type="dxa"/>
        <w:jc w:val="left"/>
        <w:tblInd w:w="0" w:type="dxa"/>
        <w:tblLayout w:type="fixed"/>
        <w:tblCellMar>
          <w:top w:w="28" w:type="dxa"/>
          <w:left w:w="28" w:type="dxa"/>
          <w:bottom w:w="28" w:type="dxa"/>
          <w:right w:w="28" w:type="dxa"/>
        </w:tblCellMar>
      </w:tblPr>
      <w:tblGrid>
        <w:gridCol w:w="870"/>
        <w:gridCol w:w="762"/>
        <w:gridCol w:w="768"/>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180"/>
        <w:jc w:val="both"/>
        <w:rPr>
          <w:color w:val="000000"/>
        </w:rPr>
      </w:pPr>
      <w:r>
        <w:rPr>
          <w:color w:val="000000"/>
        </w:rPr>
        <w:t xml:space="preserve">† </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jc w:val="center"/>
        <w:rPr/>
      </w:pPr>
      <w:r>
        <w:rPr/>
        <w:drawing>
          <wp:inline distT="0" distB="0" distL="0" distR="0">
            <wp:extent cx="4257675" cy="9334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257675" cy="9334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9,907,399 Ordinary Shares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GLOBALFOUNDRIES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The United States Department of Commerce (the “Selling Shareholder”) may from time to time offer up to 9,907,399 aggregate ordinary shares (the “Shares”) of GLOBALFOUNDRIES Inc. (the “Company”). The Selling Shareholder may transfer or assign some or all of the Shares to certain third parties, who may then also become selling shareholders under this registration statement (any such third parties together with the Selling Shareholder, the “Selling Shareholders”). See “</w:t>
      </w:r>
      <w:hyperlink w:anchor="ie99c0a64feb6440ebdbb9a3a61701348_456">
        <w:r>
          <w:rPr>
            <w:rStyle w:val="InternetLink"/>
            <w:rFonts w:ascii="Times New Roman;serif" w:hAnsi="Times New Roman;serif"/>
            <w:b w:val="false"/>
            <w:color w:val="0000FF"/>
            <w:sz w:val="20"/>
            <w:u w:val="single"/>
          </w:rPr>
          <w:t>Principal and Selling Shareholders</w:t>
        </w:r>
      </w:hyperlink>
      <w:r>
        <w:rPr>
          <w:color w:val="000000"/>
        </w:rPr>
        <w:t xml:space="preserve">” </w:t>
      </w:r>
      <w:r>
        <w:rPr>
          <w:rFonts w:ascii="Times New Roman;serif" w:hAnsi="Times New Roman;serif"/>
          <w:b w:val="false"/>
          <w:color w:val="000000"/>
          <w:sz w:val="20"/>
        </w:rPr>
        <w:t xml:space="preserve">beginning on page </w:t>
      </w:r>
      <w:hyperlink w:anchor="ie99c0a64feb6440ebdbb9a3a61701348_456">
        <w:r>
          <w:rPr>
            <w:rStyle w:val="InternetLink"/>
            <w:rFonts w:ascii="Times New Roman;serif" w:hAnsi="Times New Roman;serif"/>
            <w:b w:val="false"/>
            <w:color w:val="0000FF"/>
            <w:sz w:val="20"/>
            <w:u w:val="single"/>
          </w:rPr>
          <w:t>8</w:t>
        </w:r>
      </w:hyperlink>
      <w:r>
        <w:rPr>
          <w:color w:val="000000"/>
        </w:rPr>
        <w:t xml:space="preserve"> </w:t>
      </w:r>
      <w:r>
        <w:rPr>
          <w:rFonts w:ascii="Times New Roman;serif" w:hAnsi="Times New Roman;serif"/>
          <w:b w:val="false"/>
          <w:color w:val="000000"/>
          <w:sz w:val="20"/>
        </w:rPr>
        <w:t xml:space="preserve">for more information. This prospectus describes some of the general terms that may apply to an offering of the Shares and the general manner in which they may be offered. When the Selling Shareholders offer the Shares, the specific terms of an offering of the Shares, including the offering price, the specific number of the Shares to be offered and the specific manner in which they may be offered, will be described in the supplements to this prospectus. Any applicable prospectus supplements may also supplement, update or amend information contained in this prospectus, including information about the Selling Shareholder and information about the Company and our ordinary shares. You should read this prospectus and any applicable prospectus supplement, together with the documents we incorporate by reference, before you invest. </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Shares registered pursuant to the registration statement of which this prospectus forms a part may be offered or sold to or through underwriters, agents or dealers. More information about how the Shares may be offered and sold is set forth in the section entitled “</w:t>
      </w:r>
      <w:hyperlink w:anchor="ie99c0a64feb6440ebdbb9a3a61701348_444">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beginning on page </w:t>
      </w:r>
      <w:hyperlink w:anchor="ie99c0a64feb6440ebdbb9a3a61701348_444">
        <w:r>
          <w:rPr>
            <w:rStyle w:val="InternetLink"/>
            <w:rFonts w:ascii="Times New Roman;serif" w:hAnsi="Times New Roman;serif"/>
            <w:b w:val="false"/>
            <w:color w:val="0000FF"/>
            <w:sz w:val="20"/>
            <w:u w:val="single"/>
          </w:rPr>
          <w:t>24</w:t>
        </w:r>
      </w:hyperlink>
      <w:r>
        <w:rPr>
          <w:rFonts w:ascii="Times New Roman;serif" w:hAnsi="Times New Roman;serif"/>
          <w:b w:val="false"/>
          <w:color w:val="000000"/>
          <w:sz w:val="20"/>
        </w:rPr>
        <w:t>. To the extent applicable, any applicable prospectus supplement may describe additional details with respect to the plan of distribution for that offering.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Selling Shareholder acquired the Shares pursuant to a Securities Issuance Agreement, dated September 3, 2026 by and between the Company and the Selling Shareholder (the “SIA”), and we are registering the Shares pursuant to certain registration rights provisions set forth in the SIA. We are not selling any ordinary shares under this prospectus and will not receive any proceeds from the sale of the Shares by the Selling Shareholders. Our ordinary shares are listed and traded on the Nasdaq Global Select Market (“Nasdaq”) under the symbol “GFS.” The last reported sale price of our ordinary shares on Nasdaq on September 11, 2026 was $46.95 per share.</w:t>
      </w:r>
    </w:p>
    <w:p>
      <w:pPr>
        <w:pStyle w:val="TextBody"/>
        <w:bidi w:val="0"/>
        <w:spacing w:lineRule="auto" w:line="288" w:before="0" w:after="180"/>
        <w:ind w:left="0" w:right="0" w:firstLine="360"/>
        <w:jc w:val="both"/>
        <w:rPr/>
      </w:pPr>
      <w:r>
        <w:rPr>
          <w:rFonts w:ascii="Times New Roman;serif" w:hAnsi="Times New Roman;serif"/>
          <w:b/>
          <w:color w:val="000000"/>
          <w:sz w:val="20"/>
        </w:rPr>
        <w:t>Investing in our ordinary shares involves risks. See “</w:t>
      </w:r>
      <w:hyperlink w:anchor="ie99c0a64feb6440ebdbb9a3a61701348_16">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e99c0a64feb6440ebdbb9a3a61701348_16">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of this prospectus, any risk factors included in any applicable prospectus supplement, and in the documents incorporated by reference in this prospectus before investing in our ordinary shares.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Neither the U.S. Securities and Exchange Commission (the “SEC”) nor any state securities commission has approved or disapproved of these Shares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PROSPECTUS DATED September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560" w:type="dxa"/>
        <w:jc w:val="left"/>
        <w:tblInd w:w="0" w:type="dxa"/>
        <w:tblLayout w:type="fixed"/>
        <w:tblCellMar>
          <w:top w:w="28" w:type="dxa"/>
          <w:left w:w="28" w:type="dxa"/>
          <w:bottom w:w="28" w:type="dxa"/>
          <w:right w:w="28" w:type="dxa"/>
        </w:tblCellMar>
      </w:tblPr>
      <w:tblGrid>
        <w:gridCol w:w="2552"/>
        <w:gridCol w:w="2246"/>
        <w:gridCol w:w="2251"/>
        <w:gridCol w:w="149"/>
        <w:gridCol w:w="149"/>
        <w:gridCol w:w="213"/>
      </w:tblGrid>
      <w:tr>
        <w:trPr/>
        <w:tc>
          <w:tcPr>
            <w:tcW w:w="255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566">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99c0a64feb6440ebdbb9a3a61701348_566">
              <w:r>
                <w:rPr>
                  <w:rStyle w:val="InternetLink"/>
                  <w:rFonts w:ascii="Times New Roman;serif" w:hAnsi="Times New Roman;serif"/>
                  <w:b w:val="false"/>
                  <w:color w:val="0000FF"/>
                  <w:sz w:val="20"/>
                  <w:u w:val="single"/>
                </w:rPr>
                <w:t>1</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554">
              <w:r>
                <w:rPr>
                  <w:rStyle w:val="InternetLink"/>
                  <w:rFonts w:ascii="Times New Roman;serif" w:hAnsi="Times New Roman;serif"/>
                  <w:b w:val="false"/>
                  <w:color w:val="0000FF"/>
                  <w:sz w:val="20"/>
                  <w:u w:val="single"/>
                </w:rPr>
                <w:t>PRESENTATION OF FINANCIAL AND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554">
              <w:r>
                <w:rPr>
                  <w:rStyle w:val="InternetLink"/>
                  <w:rFonts w:ascii="Times New Roman;serif" w:hAnsi="Times New Roman;serif"/>
                  <w:b w:val="false"/>
                  <w:color w:val="0000FF"/>
                  <w:sz w:val="20"/>
                  <w:u w:val="single"/>
                </w:rPr>
                <w:t>2</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542">
              <w:r>
                <w:rPr>
                  <w:rStyle w:val="InternetLink"/>
                  <w:rFonts w:ascii="Times New Roman;serif" w:hAnsi="Times New Roman;serif"/>
                  <w:b w:val="false"/>
                  <w:color w:val="0000FF"/>
                  <w:sz w:val="20"/>
                  <w:u w:val="single"/>
                </w:rPr>
                <w:t>CAUTIONARY STATEMENT REGARDING FORWARD-LOOKING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542">
              <w:r>
                <w:rPr>
                  <w:rStyle w:val="InternetLink"/>
                  <w:rFonts w:ascii="Times New Roman;serif" w:hAnsi="Times New Roman;serif"/>
                  <w:b w:val="false"/>
                  <w:color w:val="0000FF"/>
                  <w:sz w:val="20"/>
                  <w:u w:val="single"/>
                </w:rPr>
                <w:t>3</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523">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523">
              <w:r>
                <w:rPr>
                  <w:rStyle w:val="InternetLink"/>
                  <w:rFonts w:ascii="Times New Roman;serif" w:hAnsi="Times New Roman;serif"/>
                  <w:b w:val="false"/>
                  <w:color w:val="0000FF"/>
                  <w:sz w:val="20"/>
                  <w:u w:val="single"/>
                </w:rPr>
                <w:t>5</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504">
              <w:r>
                <w:rPr>
                  <w:rStyle w:val="InternetLink"/>
                  <w:rFonts w:ascii="Times New Roman;serif" w:hAnsi="Times New Roman;serif"/>
                  <w:b w:val="false"/>
                  <w:color w:val="0000FF"/>
                  <w:sz w:val="20"/>
                  <w:u w:val="single"/>
                </w:rPr>
                <w:t>GLOBALFOUNDRIES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504">
              <w:r>
                <w:rPr>
                  <w:rStyle w:val="InternetLink"/>
                  <w:rFonts w:ascii="Times New Roman;serif" w:hAnsi="Times New Roman;serif"/>
                  <w:b w:val="false"/>
                  <w:color w:val="0000FF"/>
                  <w:sz w:val="20"/>
                  <w:u w:val="single"/>
                </w:rPr>
                <w:t>5</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1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16">
              <w:r>
                <w:rPr>
                  <w:rStyle w:val="InternetLink"/>
                  <w:rFonts w:ascii="Times New Roman;serif" w:hAnsi="Times New Roman;serif"/>
                  <w:b w:val="false"/>
                  <w:color w:val="0000FF"/>
                  <w:sz w:val="20"/>
                  <w:u w:val="single"/>
                </w:rPr>
                <w:t>6</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92">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92">
              <w:r>
                <w:rPr>
                  <w:rStyle w:val="InternetLink"/>
                  <w:rFonts w:ascii="Times New Roman;serif" w:hAnsi="Times New Roman;serif"/>
                  <w:b w:val="false"/>
                  <w:color w:val="0000FF"/>
                  <w:sz w:val="20"/>
                  <w:u w:val="single"/>
                </w:rPr>
                <w:t>7</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56">
              <w:r>
                <w:rPr>
                  <w:rStyle w:val="InternetLink"/>
                  <w:rFonts w:ascii="Times New Roman;serif" w:hAnsi="Times New Roman;serif"/>
                  <w:b w:val="false"/>
                  <w:color w:val="0000FF"/>
                  <w:sz w:val="20"/>
                  <w:u w:val="single"/>
                </w:rPr>
                <w:t>PRINCIPAL AND SELLING SHAREHOLDERS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56">
              <w:r>
                <w:rPr>
                  <w:rStyle w:val="InternetLink"/>
                  <w:rFonts w:ascii="Times New Roman;serif" w:hAnsi="Times New Roman;serif"/>
                  <w:b w:val="false"/>
                  <w:color w:val="0000FF"/>
                  <w:sz w:val="20"/>
                  <w:u w:val="single"/>
                </w:rPr>
                <w:t>8</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68">
              <w:r>
                <w:rPr>
                  <w:rStyle w:val="InternetLink"/>
                  <w:rFonts w:ascii="Times New Roman;serif" w:hAnsi="Times New Roman;serif"/>
                  <w:b w:val="false"/>
                  <w:color w:val="0000FF"/>
                  <w:sz w:val="20"/>
                  <w:u w:val="single"/>
                </w:rPr>
                <w:t>DESCRIPTION OF THE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68">
              <w:r>
                <w:rPr>
                  <w:rStyle w:val="InternetLink"/>
                  <w:rFonts w:ascii="Times New Roman;serif" w:hAnsi="Times New Roman;serif"/>
                  <w:b w:val="false"/>
                  <w:color w:val="0000FF"/>
                  <w:sz w:val="20"/>
                  <w:u w:val="single"/>
                </w:rPr>
                <w:t>8</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80">
              <w:r>
                <w:rPr>
                  <w:rStyle w:val="InternetLink"/>
                  <w:rFonts w:ascii="Times New Roman;serif" w:hAnsi="Times New Roman;serif"/>
                  <w:b w:val="false"/>
                  <w:color w:val="0000FF"/>
                  <w:sz w:val="20"/>
                  <w:u w:val="single"/>
                </w:rPr>
                <w:t>DESCRIPTION OF SHARE CAPITAL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80">
              <w:r>
                <w:rPr>
                  <w:rStyle w:val="InternetLink"/>
                  <w:rFonts w:ascii="Times New Roman;serif" w:hAnsi="Times New Roman;serif"/>
                  <w:b w:val="false"/>
                  <w:color w:val="0000FF"/>
                  <w:sz w:val="20"/>
                  <w:u w:val="single"/>
                </w:rPr>
                <w:t>8</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44">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44">
              <w:r>
                <w:rPr>
                  <w:rStyle w:val="InternetLink"/>
                  <w:rFonts w:ascii="Times New Roman;serif" w:hAnsi="Times New Roman;serif"/>
                  <w:b w:val="false"/>
                  <w:color w:val="0000FF"/>
                  <w:sz w:val="20"/>
                  <w:u w:val="single"/>
                </w:rPr>
                <w:t>24</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32">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32">
              <w:r>
                <w:rPr>
                  <w:rStyle w:val="InternetLink"/>
                  <w:rFonts w:ascii="Times New Roman;serif" w:hAnsi="Times New Roman;serif"/>
                  <w:b w:val="false"/>
                  <w:color w:val="0000FF"/>
                  <w:sz w:val="20"/>
                  <w:u w:val="single"/>
                </w:rPr>
                <w:t>25</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20">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20">
              <w:r>
                <w:rPr>
                  <w:rStyle w:val="InternetLink"/>
                  <w:rFonts w:ascii="Times New Roman;serif" w:hAnsi="Times New Roman;serif"/>
                  <w:b w:val="false"/>
                  <w:color w:val="0000FF"/>
                  <w:sz w:val="20"/>
                  <w:u w:val="single"/>
                </w:rPr>
                <w:t>26</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408">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408">
              <w:r>
                <w:rPr>
                  <w:rStyle w:val="InternetLink"/>
                  <w:rFonts w:ascii="Times New Roman;serif" w:hAnsi="Times New Roman;serif"/>
                  <w:b w:val="false"/>
                  <w:color w:val="0000FF"/>
                  <w:sz w:val="20"/>
                  <w:u w:val="single"/>
                </w:rPr>
                <w:t>27</w:t>
              </w:r>
            </w:hyperlink>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396">
              <w:r>
                <w:rPr>
                  <w:rStyle w:val="InternetLink"/>
                  <w:rFonts w:ascii="Times New Roman;serif" w:hAnsi="Times New Roman;serif"/>
                  <w:b w:val="false"/>
                  <w:color w:val="0000FF"/>
                  <w:sz w:val="20"/>
                  <w:u w:val="singl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c0a64feb6440ebdbb9a3a61701348_396">
              <w:r>
                <w:rPr>
                  <w:rStyle w:val="InternetLink"/>
                  <w:rFonts w:ascii="Times New Roman;serif" w:hAnsi="Times New Roman;serif"/>
                  <w:b w:val="false"/>
                  <w:color w:val="0000FF"/>
                  <w:sz w:val="20"/>
                  <w:u w:val="single"/>
                </w:rPr>
                <w:t>28</w:t>
              </w:r>
            </w:hyperlink>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the information contained or incorporated by reference in this prospectus, in any related prospectus supplement or contained in any free writing prospectus prepared by or on behalf of us or to which we have referred you. We and the Selling Shareholder have not, and the underwriters have not, authorized anyone to provide any information or make any representations other than those contained in this prospectus or in any prospectus supplement or free writing prospectus prepared by or on behalf of us or to which we have referred you. We and the Selling Shareholder take no responsibility for, and can provide no assurance as to the reliability of, any other information that others may give you. The Selling Shareholders are offering to sell, and seeking offers to buy, the Shares only in jurisdictions where offers and sales are permitted. The information contained in this prospectus is accurate only as of the date of this prospectus, regardless of the time of delivery of this prospectus or of any sale of the Shares. Our results of operations, financial condition, business and prospects may have changed since such date.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investors outside of the United States: neither we, nor the Selling Shareholder, nor any of the underwriters have done anything that would permit offerings under this prospectus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and the distribution of this prospectus outside of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prospectus, unless the context otherwise requires, the terms “GF,” “the Company,” “we,” “us” and “our” in this prospectus refer to GLOBALFOUNDRIES Inc. and its consolidated subsidiaries.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 as a “well-known seasoned issuer” as defined in Rule 405 under the Securities Act of 1933 (the “Securities Act”), utilizing a “shelf” registration process. By using an automatic shelf registration statement, the Selling Shareholders may, at any time and from time to time, offer and sell the Shares described in this prospectus in one or more offerings.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only provides a general description of the securities that the Selling Shareholders may offer. Each time the Selling Shareholders offer securities, we will prepare a prospectus supplement containing specific information about the particular offering and the terms of those securities. We may also add, update or change other information contained in this prospectus by means of a prospectus supplement or by incorporating by reference information we file with the SEC. If there is any inconsistency between the information in this prospectus and any applicable prospectus supplement, you should rely on the information in the applicable prospectus supplement. The registration statement that we filed with the SEC includes exhibits that provide more detail on the matters discussed in this prospectus. Before you invest in any securities offered by this prospectus, you should read this prospectus, any related prospectus supplement and the related exhibits filed with the SEC, together with the additional information described under the headings “Where You Can Find Additional Information” and “Incorporation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PRESENTATION OF FINANCIAL AND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under International Financial Reporting Standards (“IFRS”), as issued by the International Accounting Standards Board (“IASB”). Our consolidated financial statements were not prepared in accordance with generally accepted accounting principles in the United States. We present our consolidated financial statements in U.S. dollars. References in this prospectus to “US$” or “$” refer to U.S. dollars, the official currency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and certain documents incorporated by reference herein contain certain statements that are, or may be deemed to be, “forward-looking statements” within the meaning of U.S. securities laws. These forward-looking statements are based on current expectations, estimates, forecasts and projections. These forward-looking statements appear in a number of places in this prospectus including, but not limited to, the sections titled “Prospectus Summary” and “Risk Factors.” Words such as “expect,” “anticipate,” “should,” “believe,” “hope,” “target,” “project,” “goals,” “estimate,” “potential,” “predict,” “may,” “will,” “might,” “could,” “intend,” “shall,” “outlook,” “on track,”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prospectus and certain documents incorporated by reference herein. Important factors that could cause those differences include, but are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global economic and geopolitical conditions, including impacts and uncertainty from trade disputes and tariffs on goods imported to the United States (“U.S.”) and goods exported to other countries;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manage reduced demand and average selling prices in a prolonged inflationary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cyclical nature, volatility and seasonality of the semiconductor and microelectronics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secure and maintain design wins, particularly single-source design wins, and manage our long-term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reliance on a small number of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and operating strategies and plans for the development of existing and new businesses, ability to implement such strategies and plans and expected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the anticipated benefits of our acquisitions and our ability to successfully integrate acquired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funding we have received or plan to receive, including awards under the U.S. CHIPS and Science Act and New York State Green CHIPS;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future business development,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expected changes in our revenue, costs or expenditures;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assumptions and estimates regarding design wins;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demand for and market acceptance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our relationships with customers, contract manufacturers, component suppliers, third-party service providers, strategic partners and other stakeholders;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our capacity to develop, manufacture and deliver semiconductor products in fulfillment of our contractual commitments;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conduct our manufacturing operations without disruptions;</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manage our capacity and production facilities effectively, including through technology transfers between our facilities;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develop new technologies successfully and remain a technological leader;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control over expansion and facility modifications;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generate growth or profitable growth;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and protect our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hire and maintain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effective tax rate or tax liability;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dividend policy;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acquire required equipment and supplies necessary to meet customer demand;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increased competition from other companies and our ability to retain and increase our market share;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in, or changes to, laws, regulations, governmental policies (including foreign governmental policies in response to changes to the U.S. government’s foreign policy positions), incentives and taxation affecting our operations relating to our industry;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assumptions underlying or related to any of the foregoing.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does not contain all of the forward-looking statements made in this prospectus. </w:t>
      </w:r>
    </w:p>
    <w:p>
      <w:pPr>
        <w:pStyle w:val="TextBody"/>
        <w:bidi w:val="0"/>
        <w:spacing w:lineRule="auto" w:line="288" w:before="0" w:after="180"/>
        <w:ind w:left="0" w:right="0" w:firstLine="360"/>
        <w:jc w:val="both"/>
        <w:rPr/>
      </w:pPr>
      <w:r>
        <w:rPr>
          <w:rFonts w:ascii="Times New Roman;serif" w:hAnsi="Times New Roman;serif"/>
          <w:b w:val="false"/>
          <w:color w:val="000000"/>
          <w:sz w:val="20"/>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w:t>
      </w:r>
      <w:hyperlink w:anchor="ie99c0a64feb6440ebdbb9a3a61701348_16">
        <w:r>
          <w:rPr>
            <w:rStyle w:val="InternetLink"/>
            <w:rFonts w:ascii="Times New Roman;serif" w:hAnsi="Times New Roman;serif"/>
            <w:b w:val="false"/>
            <w:color w:val="000080"/>
            <w:sz w:val="20"/>
            <w:u w:val="single"/>
          </w:rPr>
          <w:t>Risk</w:t>
        </w:r>
      </w:hyperlink>
      <w:hyperlink w:anchor="ie99c0a64feb6440ebdbb9a3a61701348_16">
        <w:r>
          <w:rPr>
            <w:rStyle w:val="InternetLink"/>
            <w:rFonts w:ascii="Times New Roman;serif" w:hAnsi="Times New Roman;serif"/>
            <w:b w:val="false"/>
            <w:color w:val="000080"/>
            <w:sz w:val="20"/>
            <w:u w:val="single"/>
          </w:rPr>
          <w:t> </w:t>
        </w:r>
      </w:hyperlink>
      <w:hyperlink w:anchor="ie99c0a64feb6440ebdbb9a3a61701348_16">
        <w:r>
          <w:rPr>
            <w:rStyle w:val="InternetLink"/>
            <w:rFonts w:ascii="Times New Roman;serif" w:hAnsi="Times New Roman;serif"/>
            <w:b w:val="false"/>
            <w:color w:val="000080"/>
            <w:sz w:val="20"/>
            <w:u w:val="single"/>
          </w:rPr>
          <w:t>Factors</w:t>
        </w:r>
      </w:hyperlink>
      <w:r>
        <w:rPr>
          <w:color w:val="000000"/>
        </w:rPr>
        <w:t xml:space="preserve">” </w:t>
      </w:r>
      <w:r>
        <w:rPr>
          <w:rFonts w:ascii="Times New Roman;serif" w:hAnsi="Times New Roman;serif"/>
          <w:b w:val="false"/>
          <w:color w:val="000000"/>
          <w:sz w:val="20"/>
        </w:rPr>
        <w:t>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below, as they may be amended or supplemented by subsequent filings with the SEC, and subsequent public statements, or reports filed with or furnished to the SEC, including our then most recent Annual Report on Form 20-F, and in any updates to those risks and uncertainties in our reports on Form 6-K, which are incorporated herein by reference,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ind w:left="0" w:right="0" w:firstLine="360"/>
        <w:jc w:val="both"/>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selected information that is presented in greater detail elsewhere in this prospectus or incorporated by reference herein from our filings with the SEC listed under “Incorporation by Reference.” This summary does not contain all of the information you should consider before investing in the Shares pursuant to this prospectus. You should read this entire prospectus carefully, including the section titled “Risk Factors” and our financial statements and the related notes and the information incorporated herein by reference, before making an investment decision.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GLOBALFOUNDRIES INC.</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leading manufacturer of essential semiconductors, enabling AI at scale from the cloud to the physical world. Through deep partnerships with customers, we deliver differentiated, power</w:t>
        <w:noBreakHyphen/>
        <w:t>efficient and high</w:t>
        <w:noBreakHyphen/>
        <w:t>performance solutions for automotive, aerospace and defense, data center, smart mobile devices, internet of things and other high</w:t>
        <w:noBreakHyphen/>
        <w:t>growth markets. With global manufacturing operations across the U.S., Europe and Asia, we are a trusted and holistic technology partner for customers around the world.</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are an exempted company with limited liability that was incorporated under the laws of the Cayman Islands in October 2008. Our principal executive offices are located at 400 Stonebreak Road Extension, Malta, New York 12020, United States, and our telephone number is (518) 305-9013. Our website address is www.gf.com. Information contained on, or that can be accessed through, our website is not incorporated by reference into this prospectus, and you should not consider information on our website to be part of this prospectus. </w:t>
      </w:r>
    </w:p>
    <w:p>
      <w:pPr>
        <w:pStyle w:val="TextBody"/>
        <w:bidi w:val="0"/>
        <w:spacing w:lineRule="auto" w:line="288" w:before="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GF design logo, “GF” and our other registered or common law trademarks, service marks, or trade names appearing in this prospectus are the property of GLOBALFOUNDRIES Inc. Other trade names, trademarks and service marks used in this prospectus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carefully consider the risks and uncertainties associated with our business and ownership of our ordinary shares described in the applicable prospectus supplement and in our then most recent Annual Report on Form 20-F, and in any updates to those risks and uncertainties in our reports on Form 6-K incorporated herein, together with all of the other information in this prospectus or incorporated by reference in this prospectus, before making a decision to invest in our ordinary shares. Our results of operations, financial condition, business and prospects could also be harmed by risks and uncertainties that are not presently known to us or that we currently believe are not material. If any of the risks actually occur, our results of operations, financial condition, business and prospects could be materially and adversely affected. In that event, the market price of our ordinary shares could decline and you could lose all or part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filing the registration statement of which this prospectus is a part to permit holders of the Shares included in the section entitled “Principal and Selling Shareholders” to resell the Shares. The Selling Shareholders will receive all of the net proceeds from any sale of the Shares under this prospectus. We are not selling any ordinary shares under this prospectus and will not receive any proceeds from the Shares by the Selling Shareholders. As set forth in the SIA, the Selling Shareholder (or its transferee or assignee Selling Shareholders, respectively) will bear all underwriting discounts attributable to their sale of the Shares, selling commissions and stock transfer taxes applicable to the sale of the Shares, and each such transferee or assignee of the Selling Shareholders will pay the fees and disbursements for their respective counsel, and we will bear all fees and expenses in connection with the registration and offering of the Shares, including all registration, filing and listing fees, printing expenses, fees and disbursements of counsel for the Company, blue sky fees and expenses, expenses incurred in connection with any “road show,” the reasonable fees and disbursements of one counsel to the Selling Shareholder, and expenses of the Company’s independent accountants in connection with any regular or special reviews or audits incident to or required by any such registration.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PRINCIPAL AND SELLING SHAREHOLDERS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potential resale by the Selling Shareholder of up to 9,907,399 aggregate amount of the Shares from time to time. The Selling Shareholder may from time to time offer any or all of the Shares pursuant to this prospectus. The Selling Shareholder acquired the Shares pursuant to the Securities Issuance Agreement (“SIA”), dated September 3, 2026 by and between the Company and the Selling Shareholder. Pursuant to the SIA, the Selling Shareholder may transfer or assign some or all of the Shares to certain third parties. If such a transfer or assignment includes at least 15% of the total number of Registrable Securities then outstanding, and is otherwise made in accordance with the terms of the SIA, the Selling Shareholder's registration rights with respect to the transferred Shares may also be assigned to the transferee or assignee, and such transferee or assignee of the Selling Shareholders may also offer their portion of the Shares from time to time pursuant to this prospectus. We cannot advise you as to whether the Selling Shareholder or any potential future other Selling Shareholders will in fact sell any or all of such securities. For so long as the Selling Shareholder is (or remains) a U.S. governmental entity, the Selling Shareholder has agreed not to vote the Shares or act by written consent with respect to them, subject to limited exceptions set forth in the SIA.</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information about the Selling Shareholder or any potential future other Selling Shareholders will be set forth in a prospectus supplement, in a post-effective amendment or in filings we make with the SEC under the Exchange Act which are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THE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Shareholders may from time to time offer under this prospectus the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SHARE CAPITAL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with limited liability that was incorporated under the laws of the Cayman Islands in October 2008.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purposes are unrestricted and we have the authority to carry out any object not prohibited by any law as provided by Section 7(4) of the Cayman Companies Act.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affairs are governed principally by: (1) our Amended and Restated Memorandum and Articles of Association (the “Memorandum and Articles of Association”); (2) the Cayman Companies Act; and (3) the common law of the Cayman Islands. As provided in our Memorandum and Articles of Association, subject to Cayman Islands law, we have full capacity to carry on or undertake any business or activity, do any act or enter into any transaction, and, for such purposes, full rights, powers and privileges. Our registered office is c/o Maples Corporate Services Limited, PO Box 309, Ugland House, Grand Cayman, KY1-1104, Cayman Islands.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are summaries of material provisions of our Memorandum and Articles of Association and the Cayman Companies Act insofar as they relate to the material terms of our ordinary shares.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summaries do not purport to be complete and are subject to the Memorandum and Articles of Association.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Throughout the following description of our share capital, we summarized the material terms of our ordinary shares as set forth in the Memorandum and Articles of Association. We have filed a copy of our complete Memorandum and Articles of Association as an exhibit to this registration statement on Form F-3.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Authorized Share Capital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1,300,000,000 ordinary shares with a par value of US$0.02 per share and 200,000,000 preferred shares with a par value of US$0.02 per share of such class or classes (however designated) as the board of directors may determine in accordance with our Memorandum and Articles of Association.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Ordinary Shares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11, 2026, there were 557,418,603 ordinary shares issued, fully paid and outstanding.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ordinary share is entitled to one vote on all matters upon which the ordinary shares are entitled to vote. Voting at any meeting of shareholders is by show of hands unless a poll is demanded. A poll may be demanded by the chairman of the meeting, or by shareholders present in person or by proxy holding at least 10% of the shares giving the right to attend and vote at the meeting before or on the declaration of the result of the show of hands.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 As a Cayman Islands exempted company, we are not obliged by the Cayman Companies Act to call annual general meetings. Only the board of directors may call an annual general meeting or any extraordinary general meeting. 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regulatory requirements, the annual general meeting and any extraordinary general meetings must be called by not less than ten calendar days’ notice prior to the relevant shareholders meeting and convened by a notice discussed below. Alternatively, upon the prior consent of all holders entitled to attend and vote, with regards to the annual general meeting, or the holders of 95% in par value of the shares entitled to attend and vote at an extraordinary general meeting, that meeting may be convened by a shorter notice and in a manner deemed appropriate by those 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speaking, an ordinary resolution to be passed by the shareholders at a general meeting requires the affirmative vote of a simple majority of the votes cast by, or on behalf of, the shareholders entitled to vote, present in person or by proxy and voting at the meeting and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of our shareholders, as permitted by the Cayman Companies Act and our Memorandum and Articles of Association.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special resolution will be required for certain matters such as a change of name, amendments to our Memorandum and Articles of Association, and a reduction in our share capital or any capital redemption reserve fund. Our shareholders may effect certain changes by ordinary resolution, including increasing the amount of our authorized share capital, consolidating and dividing all or any of our share capital into shares of larger amounts than our existing shares, converting all or any of our paid-up shares into stocks and reconverting that stock into paid-up shares of any denomination, subdividing existing shares or dividing the whole or any part of our share capital into shares of smaller amounts or into shares without par value, and cancelling any authorized but unissued shares.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holders of our ordinary shares are entitled to such dividends as may be declared by our board of directors. Under the Cayman Companies Act, a Cayman Islands company may pay a dividend out of either profit or distributable reserves, including our share premium account, provided that in no circumstances may a dividend be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paid if this would result in the company being unable to pay its debts as they fall due in the ordinary course of business. On July 14, 2026, we paid a quarterly cash dividend of $0.12 per share. In addition, the Board of Directors has approved a dividend of $0.12 per share payable on October 9, 2026 to shareholders of record as of September 23, 2026. There can be no assurance that we will continue to pay dividends in the future, and any future dividend, if declared, will require the approval of our board of directors.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 winding up of our company, if the assets available for distribution among the holders of our ordinary shares shall be more than sufficient to repay the whole of the share capital at the commencement of the winding up, the surplus will be distributed among the holders of our ordinary shares in proportion to the par value of the ordinary shares held by them at the commencement of the winding up subject to a deduction from those ordinary shares in respect of which there are monies due, of all monies payable to the us for unpaid calls or otherwise.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assets available for distribution are insufficient to repay the whole of the issued share capital, such assets will be distributed so that the losses are borne by the holders of our ordinary shares in proportion to the par value of the ordinary shares held by them.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liquidator may, with the sanction of a special resolution of our shareholders and any other sanction required by the Cayman Companies Act, divide among the shareholders in kind the whole or any part of the assets of our company, and may for that purpose value any assets and determine how the division shall be carried out as among our shareholders or different classes of shareholders. The liquidator may, with the same sanction, vest the whole or any part of such assets in trustees upon such trusts for the benefit of the shareholder as the liquidator, with the same sanction, shall think fit, but so that no shareholder shall be compelled to accept any asset upon which there is a liability.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Share Repurchase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Cayman Companies Act and our Memorandum and Articles of Association permit us to purchase our own shares, subject to certain restrictions. The board of directors may only exercise this power on behalf of us, subject to the Cayman Companies Act, our Memorandum and Articles of Association and to any applicable requirements imposed from time to time by the SEC or the applicable stock exchange on which our securities are listed. We have in the past engaged in repurchases of our shares, and we may continue to do so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Share Options and Restricted Share Unit Awards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August 31, 2026, options to purchase 135,041 ordinary shares and no restricted share unit awards were outstanding under the 2018 Equity Plan. Further, under our 2021 Equity Plan, there were 12,883,478 restricted share unit awards outstanding. An additional 20,197,550 ordinary shares were available for future grant under the 2021 Equity Plan and 3,642,325 ordinary shares were available for future grant under the 2018 Equity Plan.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management of our company is vested in a board of directors. Our Memorandum and Articles of Association provide that the number of directors will be determined by our board of directors. However, for so long as MTIC is entitled to nominate at least one director to the board of directors, the board of directors will not, without MTIC’s prior written consent, include more than twelve directors and until such time as Mubadala Technology Investment Company (“MTIC”), MTI International Investment Company LLC (“MTIIIC”) and certain of their affiliates (the “Mubadala Entities”) no longer beneficially own in the aggregate at least 30% of our outstanding ordinary shares, the number of directors may not be changed without the prior written consent of MTIC.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Memorandum and Articles of Association, our board of directors is divided into three classes of directors, with the directors in each class serving staggered three-year terms. The quorum necessary for any meeting of our board of directors shall consist of a simple majority of the members provided that, for so long as the Mubadala Entities are entitled to nominate one designee to our board of directors (“Mubadala Designee”), the presence of at least one Mubadala Designee shall be required on first call to a meeting of the board of directors.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also include certain veto rights in favor of the Mubadala Entities providing that until such time as the Mubadala Entities no longer beneficially own at least 30% of our outstanding ordinary shares, the board of directors will require the prior written consent of MTIC to take, or to permit our subsidiaries to take, the following 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issuances of equity securities, subject to customary exceptions;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acquisitions or dispositions in an amount exceeding $300 million in any single transaction or $500 million in any calendar year, other than in the ordinary course of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mergers, consolidations, or other transactions that would involve a change of control of our company;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incurring financial indebtedness in an amount exceeding $200 million, subject to certain exceptions;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hiring or terminating our Chief Executive Officer, Chief Financial Officer or Chief Legal Officer or designating any replacement thereto;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material change in the nature of the business of our company and our subsidiaries, taken as a whole.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Corporate Opportunity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we renounce our interest in any corporate opportunity offered to any of our directors or officers. Additionally, any such director or officer shall be permitted to pursue competing opportunities without any liability to us.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Redemption of Shares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shares on terms that are subject to redemption, at our option or at the option of the holders, on such terms and in such manner as may be determined by our board of directors.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Register of Shareholders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ordinary shares held through DTC, and DTC or Cede &amp; Co., as nominee for DTC, will be recorded in the shareholders’ register as the holder of the ordinary shares.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Cayman Islands law, we must keep a register of shareholders that includes: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names and addresses of the shareholders, a statement of the shares held by each member, and of the amount paid or agreed to be considered as paid, on the shares of each member;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whether voting rights attach to the shares in issue;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date on which the name of any person was entered on the register as a member;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date on which any person ceased to be a member.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Under Cayman Islands law, our register of shareholders is </w:t>
      </w:r>
      <w:r>
        <w:rPr>
          <w:rFonts w:ascii="Times New Roman;serif" w:hAnsi="Times New Roman;serif"/>
          <w:b w:val="false"/>
          <w:i/>
          <w:color w:val="000000"/>
          <w:sz w:val="20"/>
        </w:rPr>
        <w:t>prima facie</w:t>
      </w:r>
      <w:r>
        <w:rPr>
          <w:color w:val="000000"/>
        </w:rPr>
        <w:t xml:space="preserve"> </w:t>
      </w:r>
      <w:r>
        <w:rPr>
          <w:rFonts w:ascii="Times New Roman;serif" w:hAnsi="Times New Roman;serif"/>
          <w:b w:val="false"/>
          <w:color w:val="000000"/>
          <w:sz w:val="20"/>
        </w:rPr>
        <w:t>evidence of the matters set out therein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 xml:space="preserve">the register of shareholders will raise a rebuttable presumption) and a shareholder registered in the register of shareholders is deemed as a matter of Cayman Islands law to have </w:t>
      </w:r>
      <w:r>
        <w:rPr>
          <w:rFonts w:ascii="Times New Roman;serif" w:hAnsi="Times New Roman;serif"/>
          <w:b w:val="false"/>
          <w:i/>
          <w:color w:val="000000"/>
          <w:sz w:val="20"/>
        </w:rPr>
        <w:t>prima facie</w:t>
      </w:r>
      <w:r>
        <w:rPr>
          <w:color w:val="000000"/>
        </w:rPr>
        <w:t xml:space="preserve"> </w:t>
      </w:r>
      <w:r>
        <w:rPr>
          <w:rFonts w:ascii="Times New Roman;serif" w:hAnsi="Times New Roman;serif"/>
          <w:b w:val="false"/>
          <w:color w:val="000000"/>
          <w:sz w:val="20"/>
        </w:rPr>
        <w:t xml:space="preserve">legal title to the shares as set against that person’s name in the register of shareholders.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Exempted Company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with limited liability under the Cayman Companies Act. The Cayman Companies Act distinguishes between ordinary resident companies and exempted companies. Where the proposed activities of a company are to be carried out mainly outside of the Cayman Islands, the registrant can apply for registration as an exempted company. The requirements for an exempted company are essentially the same as for an ordinary company except for the exemptions and privileges listed below: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exempted company does not have to file an annual return of its shareholders with the Registrar of Companies of the Cayman Islands;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exempted company’s register of shareholders is not open to inspection;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exempted company may obtain an undertaking against the imposition of any future taxation (such undertakings are usually given for 20 years in the first instance);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exempted company may register by way of continuation in another jurisdiction and be deregistered in the Cayman Islands;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exempted company may register as a limited duration company;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 exempted company may register as a segregated portfolio company. </w:t>
      </w:r>
    </w:p>
    <w:p>
      <w:pPr>
        <w:pStyle w:val="TextBody"/>
        <w:bidi w:val="0"/>
        <w:spacing w:lineRule="auto" w:line="288" w:before="0" w:after="180"/>
        <w:ind w:left="0" w:right="0" w:firstLine="360"/>
        <w:jc w:val="both"/>
        <w:rPr>
          <w:color w:val="000000"/>
        </w:rPr>
      </w:pPr>
      <w:r>
        <w:rPr>
          <w:color w:val="000000"/>
        </w:rPr>
        <w:t>“</w:t>
      </w:r>
      <w:r>
        <w:rPr>
          <w:rFonts w:ascii="Times New Roman;serif" w:hAnsi="Times New Roman;serif"/>
          <w:b w:val="false"/>
          <w:color w:val="000000"/>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Differences in Corporate Law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Mergers and Similar Arrangements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Cayman Companies Act, subject to the articles of association of the company, permits mergers or consolidations between two Cayman Islands companies, or between a Cayman Islands company and a company incorporated in another jurisdiction (provided that is facilitated by the laws of that other jurisdiction).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w:t>
      </w:r>
    </w:p>
    <w:p>
      <w:pPr>
        <w:pStyle w:val="TextBody"/>
        <w:bidi w:val="0"/>
        <w:spacing w:lineRule="auto" w:line="288" w:before="0" w:after="180"/>
        <w:ind w:left="0" w:right="0" w:firstLine="360"/>
        <w:jc w:val="both"/>
        <w:rPr/>
      </w:pPr>
      <w:r>
        <w:rPr>
          <w:rFonts w:ascii="Times New Roman;serif" w:hAnsi="Times New Roman;serif"/>
          <w:b w:val="false"/>
          <w:color w:val="000000"/>
          <w:sz w:val="20"/>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 xml:space="preserve">a company that owns at least 90% of the issued shares of each class in a subsidiary company) and its subsidiary company if a copy of the plan of merger is given to every shareholder of that Cayman subsidiary to be merged unless that shareholder agrees otherwise.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foreign company, the director of the Cayman Islands company is required to make a declaration to the effect that, having made due enquiry,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(b)within 20 days following the date on which the merger or consolidation is approved by the shareholders, the constituent company must give written notice to each shareholder who made a written objection;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(c)a shareholder must within 20 days following receipt of such notice from the constituent company, give the constituent company a written notice of the shareholder’s intention to dissent including, among other details, a demand for payment of the fair value of his shares;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we are not proposing to act illegally or beyond the scope of our corporate authority and the statutory provisions as to majority vote have been complied with;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shareholders have been fairly represented at the meeting in question;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arrangement is such as a businessman would reasonably approve;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arrangement is not one that would more properly be sanctioned under some other provision of the Cayman Companies Act or that would amount to a “fraud on the minority.”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Squeeze-out Provisions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a takeover offer is made and accepted by holders of 90% of the shares to whom the offer is made within four months, the offeror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Shareholders’ Suits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company is acting or proposing to act illegally or beyond the scope of its authority (and is therefore incapable of ratification by the shareholders);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act complained of, although not beyond the scope of the authority, could be effected if duly authorized by more than the number of votes which have actually been obtained;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those who control the company are perpetrating a “fraud on the minority.”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shareholder may have a direct right of action against us where the individual rights of that shareholder have been infringed or are about to be infringed.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Directors’ Fiduciary Duties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matter of Cayman Islands law, a director of a Cayman Islands company is in the position of a fiduciary with respect to the company. Accordingly, directors and officers owe the following fiduciary duties: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duty to act in good faith in what the director or officer believes to be in the best interests of the company as a whole;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duty to exercise powers for the purposes for which those powers were conferred and not for a collateral purpose;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directors should not improperly fetter the exercise of future discretion;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duty to exercise powers fairly as between different sections of shareholders;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duty to exercise independent judgment;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duty not to put themselves in a position in which there is a conflict between their duty to the company and their personal interests.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general notice may be given to the board of directors to the effect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director is a member or officer of a specified company or firm and is to be regarded as interested in any contract or arrangement which may after the date of the notice be made with that company or firm;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director is to be regarded as interested in any contract or arrangement which may after the date of the notice to the board of directors be made with a specified person who is connected with the director, will be deemed sufficient declaration of interest.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Shareholder Action by Written Consent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Shareholder Proposals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Cumulative Voting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Removal of Directors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 Mubadala Entities beneficially own in the aggregate at least 50% of the outstanding shares, directors other than the Mubadala Designees may be removed with or without cause by a majority of shareholders.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notice of general meeting must contain a statement of the intention to remove the director and must be served on the director not less than ten calendar days before the meeting. The director is entitled to attend the meeting and be heard on the motion for his removal.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office of a director will be vacated automatically if the director: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becomes prohibited by law from being a director;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becomes bankrupt or makes an arrangement or composition with the director’s creditors;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dies or is in the opinion of all the director’s co-directors, incapable by reason of mental disorder of discharging his duties as director;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resigns the director’s office by notice to us;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has for more than six months been absent without permission of the directors from meetings of the board of directors held during that period, and the remaining directors resolve that the director’s office be vacated.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any vacancy on the board of directors in respect of a Mubadala Designee may only be filled by a decision of majority of the Mubadala Designees then in office, or if there are none, by MTIC.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Proceedings of the Board of Directors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our Memorandum and Articles of Association, the board of directors may regulate its proceedings as they determine is appropriate.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Transactions with Interested Shareholders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owes duties to ensure that these transactions are entered into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in the best interests of the company and for a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proper corporate purpose and, as noted above, a transaction may be subject to challenge if it has the effect of constituting a fraud on the minority shareholders.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Dissolution; Winding Up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Cayman Companies Act, we may be dissolved, liquidated or wound up by an order of the Cayman Islands Courts, a special resolution of shareholders (requiring a two-thirds majority vote of those shareholders attending and voting at a quorate meeting), or, if the company is unable to pay its debts as they fall due, by an ordinary resolution (requiring at least a majority vote of those shareholders attending and voting at a quorate meeting). Our Memorandum and Articles of Association also give our board of directors the authority to petition the Cayman Islands Court for our wind up. The Cayman Islands Courts have authority to order winding up in a number of specified circumstances, including where it is, in the opinion of the court, just and equitable to do so.</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Variation of Rights of Shares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Amendment of Governing Documents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Indemnification of Directors and Executive Officers and Limitation of Liability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Memorandum and Articles of Association provide that we shall indemnify and hold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Enforcement of Civil Liabilities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appointed Corporation Service Company as our agent to receive service of process with respect to any action brought against us in the United States under the federal securities laws of the United States or of any state in the United States arising out of any offering under this prospectus. The address of Corporation Service Company is 251 Little Falls Drive, Wilmington, DE 19808.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Anti-Takeover Provisions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provisions of our Memorandum and Articles of Association may discourage, delay or prevent a change in control of our company or management that shareholders may consider favorable, including provisions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board of directors will be divided into three separate classes, with each class serving for staggered terms, with successors to the class of directors whose term expires at subsequent annual meetings of shareholders following the date of such introduction, being elected for a further fixed term;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provide that our Memorandum and Articles of Association may be amended only by the affirmative vote of two-thirds of the votes permitted to be cast by persons present and voting in a general meeting at which a quorum is present;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provide that directors nominated by Mubadala may only be removed with or without cause by MTIC;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provide that any merger to which we are a party will require the approval of a special resolution and, until such time as the Mubadala Entities no longer beneficially own at least 30% of our outstanding ordinary shares, the prior written approval of MTIC;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authorize our board of directors to issue preferred shares and to designate the rights, preferences, privileges and restrictions of such preferred shares without any further vote or action by our shareholders;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the ability of shareholders to requisition and convene general meetings of shareholders and prevent our shareholders from putting any proposals before annual general meetings or extraordinary general meetings not called by such shareholders.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are expected to discourage coercive takeover practices and inadequate takeover bids. These provisions are also designed to encourage persons seeking to acquire control of the company to first negotiate with the board of directors. It is possible that these provisions could make it more difficult to accomplish transactions that shareholders may otherwise deem to be in their best interests.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Exclusive Forum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or Exchange Act, including all causes of action asserted against any defendant named in such complaint. 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Rights of Non-Resident or Foreign Shareholders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limitations imposed by our Memorandum and Articles of Association on the rights of non-resident or foreign shareholders to hold or exercise voting rights of our shares. In addition, there are no provisions in our Memorandum and Articles of Association governing the ownership threshold above which shareholder ownership must be disclosed.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Inspection of Books and Records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our shares have no general right under Cayman Islands law to inspect or obtain copies of the list of shareholders or our corporate records. However, our board of directors may determine from time to time whether and to what extent our accounting records and books shall be open to inspection by shareholders.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Handling of Mail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Mail addressed to us and received at our registered office will be forwarded unopened to the forwarding address, which will be supplied by us. None of us, our directors, officers, advisors or service providers (including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which provides registered office services in the Cayman Islands) will bear any responsibility for any delay howsoever caused in mail reaching the forwarding address.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Cayman Islands Data Protection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certain duties under the Data Protection Act (as amended) of the Cayman Islands (“DPA”), based on internationally accepted principles of data privacy.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Privacy Notice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privacy notice puts our shareholders on notice that through your investment in us you will provide us with certain personal information which constitutes personal data within the meaning of the DPA, or personal data.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Investor Data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Who this Affects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How We May Use a Shareholder’s Personal Data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Should we wish to use personal data for other specific purposes (including, if applicable, any purpose that requires your consent), we will contact you. </w:t>
      </w: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Why We May Transfer Your Personal Data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of the Cayman Islands. They, in turn, may exchange this information with foreign authorities, including tax authorities.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disclosing personal data to persons who provide services to us and their respective affiliates (which may include certain entities located outside the US, the Cayman Islands or the European Economic Area), who will process your personal data on our behalf.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The Data Protection Measures We Take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transfer of personal data by us or our duly authorized affiliates and/or delegates outside of the Cayman Islands shall be in accordance with the requirements of the DPA.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shall notify you of any personal data breach that is reasonably likely to result in a risk to your interests, fundamental rights or freedoms or those data subjects to whom the relevant personal data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Selling Shareholders, from time to time, may sell the securities to or through underwriters, agents or dealers by means of a variety of transactions or any method permitted pursuant to applicable law.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distribution of the securities may be effected from time to time in one or more transactions at a fixed price or prices, which may be changed, at market prices prevailing at the time of sale, or at prices related to such prevailing market prices to be negotiated with purchasers.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each series of the securities will also set forth the terms of the offering of the securities, including to the extent applicable, the initial offering price, the proceeds to the Company or the Selling Shareholders, the underwriting concessions or commissions, and any other discounts or concessions to be allowed or re-allowed to dealers. Underwriters or agents with respect to securities sold to or through underwriters or agents will be named in the prospectus supplement relating to such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securities, underwriters may receive compensation from the Selling Shareholders, or purchasers of the securities for whom they may act as agents, in the form of discounts, concessions or commissions. Any such commissions will be paid either using a portion of the funds received in connection with the sale of the securities or out of the general funds of the Company or the Selling Shareholders.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agreements which may be entered into by the Company, the Selling Shareholders, underwriters, dealers and agents who participate in the distribution of the securities may be entitled to indemnification by the Company against certain liabilities, including liabilities under securities legislation, or to contribution with respect to payments which such underwriters, dealers or agents may be required to make in respect thereof.</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any offering of securities, the underwriters, agents or dealers may over-allot or effect transactions which stabilize or maintain the market price of the securities offered at levels above those which might otherwise prevail in the open market. Such transactions, if commenced,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otherwise set forth in the applicable prospectus supplement, certain matters of U.S. federal and New York State law will be passed upon for us by Cleary Gottlieb Steen &amp; Hamilton LLP, for any underwriters or agents, by counsel named in the applicable prospectus supplement, and the validity of the ordinary shares and other legal matters as to Cayman Islands law will be passed upon for us by Maples and Calder (Cayman) LLP.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2025 and 2024 and for the years then ended and management’s assessment of the effectiveness of internal control over financial reporting (which is included in Management’s Annual Report on Internal Control over Financial Reporting) as of December 31, 2025 incorporated in the prospectus by reference to the Annual Report on Form 20-F for the year ended December 31, 2025 have been so incorporated in reliance on the report of PricewaterhouseCoopers LLP (which contains an adverse opinion on the effectiveness of the Company’s internal control over financial reporting and which contains a paragraph relating to the effectiveness of internal control over financial reporting due to the exclusion of Silicon Manufacturing Partners Pte Ltd. (“SMP”), MIPS Holding, Inc. (“MIPS”), Advanced Micro Foundry Pte. Ltd (“AMF”), and InfiniLink Inc. (“InfiniLink”) because they were acquired by the Company in purchase business combinations during 2025), an independent registered public accounting firm, given on the authority of said firm as experts in auditing and accounting.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the Company for the year ended December 31, 2023, have been incorporated by reference herein in reliance upon the report of KPMG LLP, independent registered public accounting firm, incorporated by reference herein, and upon the authority of said firm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filed with the SEC a registration statement on Form F-3 under the Securities Act with respect to the sale of the Shares under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ordinary shares, we refer you to the registration statement, including the exhibits filed as a part of the registration statement. Statements contained in this prospectus concerning the contents of any contract or any other document are not necessarily complete descriptions of all terms of such documents.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file periodic reports with the SEC. These periodic reports and other information, including the filings that are incorporated by reference into this prospectus are available to the public at the website of the SEC referred to above. We also maintain a website at www.gf.com. Information contained on our website is not a part of this prospectus and the inclusion of our website address in this prospectus is an inactive textual reference only. As a foreign private issuer, we are exempt under the Exchange Act from, among other things, the rules prescribing the furnishing and content of proxy statements, and our executive officers, directors and shareholders are exempt from the short-swing profit recovery provisions contained in Section 16 of the Exchange Act (executive officers and directors of foreign private issuers are subject to the reporting requirements of Section 16 of the Exchange Act). In addition, we are not required under the Exchange Act to file periodic reports and financial statements with the SEC as frequently or as promptly as U.S. companies whose securities are registered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20-F</w:t>
        </w:r>
      </w:hyperlink>
      <w:r>
        <w:rPr>
          <w:color w:val="000000"/>
        </w:rPr>
        <w:t xml:space="preserve"> </w:t>
      </w:r>
      <w:r>
        <w:rPr>
          <w:rFonts w:ascii="Times New Roman;serif" w:hAnsi="Times New Roman;serif"/>
          <w:b w:val="false"/>
          <w:color w:val="000000"/>
          <w:sz w:val="20"/>
        </w:rPr>
        <w:t xml:space="preserve">for fiscal year ended December 31, 2025, filed on February 27, 2026 (“2025 Form 20-F”);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Current Reports on Form 6-K filing our Unaudited Interim Condensed Consolidated Financial Statements and Management’s Discussion and Analysis of Financial Condition for the fiscal quarter ended March 31, 2026, furnished on </w:t>
      </w:r>
      <w:hyperlink r:id="rId4">
        <w:r>
          <w:rPr>
            <w:rStyle w:val="InternetLink"/>
            <w:rFonts w:ascii="Times New Roman;serif" w:hAnsi="Times New Roman;serif"/>
            <w:b w:val="false"/>
            <w:color w:val="0000FF"/>
            <w:sz w:val="20"/>
            <w:u w:val="single"/>
          </w:rPr>
          <w:t>May 5, 2026</w:t>
        </w:r>
      </w:hyperlink>
      <w:r>
        <w:rPr>
          <w:rFonts w:ascii="Times New Roman;serif" w:hAnsi="Times New Roman;serif"/>
          <w:b w:val="false"/>
          <w:color w:val="000000"/>
          <w:sz w:val="20"/>
        </w:rPr>
        <w:t xml:space="preserve">, and for the fiscal quarter ended June 30, 2026, furnished on </w:t>
      </w:r>
      <w:hyperlink r:id="rId5">
        <w:r>
          <w:rPr>
            <w:rStyle w:val="InternetLink"/>
            <w:rFonts w:ascii="Times New Roman;serif" w:hAnsi="Times New Roman;serif"/>
            <w:b w:val="false"/>
            <w:color w:val="0000FF"/>
            <w:sz w:val="20"/>
            <w:u w:val="single"/>
          </w:rPr>
          <w:t>August 5,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future Current Reports on Form 6-K furnished to the SEC that are identified in those forms as being incorporated by reference into this prospectus;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description of our ordinary shares contained in our Registration Statement on </w:t>
      </w:r>
      <w:hyperlink r:id="rId6">
        <w:r>
          <w:rPr>
            <w:rStyle w:val="InternetLink"/>
            <w:rFonts w:ascii="Times New Roman;serif" w:hAnsi="Times New Roman;serif"/>
            <w:b w:val="false"/>
            <w:color w:val="0000FF"/>
            <w:sz w:val="20"/>
            <w:u w:val="single"/>
          </w:rPr>
          <w:t>Form 8-A12B</w:t>
        </w:r>
      </w:hyperlink>
      <w:r>
        <w:rPr>
          <w:color w:val="000000"/>
        </w:rPr>
        <w:t xml:space="preserve"> </w:t>
      </w:r>
      <w:r>
        <w:rPr>
          <w:rFonts w:ascii="Times New Roman;serif" w:hAnsi="Times New Roman;serif"/>
          <w:b w:val="false"/>
          <w:color w:val="000000"/>
          <w:sz w:val="20"/>
        </w:rPr>
        <w:t xml:space="preserve">filed with the SEC on October 27, 2021, as updated by the description of our ordinary shares filed as </w:t>
      </w:r>
      <w:hyperlink r:id="rId7">
        <w:r>
          <w:rPr>
            <w:rStyle w:val="InternetLink"/>
            <w:rFonts w:ascii="Times New Roman;serif" w:hAnsi="Times New Roman;serif"/>
            <w:b w:val="false"/>
            <w:color w:val="0000FF"/>
            <w:sz w:val="20"/>
            <w:u w:val="single"/>
          </w:rPr>
          <w:t>Exhibit 2.3</w:t>
        </w:r>
      </w:hyperlink>
      <w:r>
        <w:rPr>
          <w:color w:val="000000"/>
        </w:rPr>
        <w:t xml:space="preserve"> </w:t>
      </w:r>
      <w:r>
        <w:rPr>
          <w:rFonts w:ascii="Times New Roman;serif" w:hAnsi="Times New Roman;serif"/>
          <w:b w:val="false"/>
          <w:color w:val="000000"/>
          <w:sz w:val="20"/>
        </w:rPr>
        <w:t>to our Annual Report on Form 20-F for the fiscal year ended December 31, 2021 filed with the SEC on March 31, 2022, including any amendment or report filed for the purpose of updating such description.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GLOBALFOUNDRIES Inc., 400 Stonebreak Road Extension, Malta, New York, United States 12020.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300"/>
        <w:jc w:val="center"/>
        <w:rPr/>
      </w:pPr>
      <w:r>
        <w:rPr/>
      </w:r>
    </w:p>
    <w:p>
      <w:pPr>
        <w:pStyle w:val="TextBody"/>
        <w:bidi w:val="0"/>
        <w:spacing w:before="0" w:after="1500"/>
        <w:jc w:val="center"/>
        <w:rPr/>
      </w:pPr>
      <w:r>
        <w:rPr/>
        <w:drawing>
          <wp:inline distT="0" distB="0" distL="0" distR="0">
            <wp:extent cx="3924300" cy="85725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8"/>
                    <a:stretch>
                      <a:fillRect/>
                    </a:stretch>
                  </pic:blipFill>
                  <pic:spPr bwMode="auto">
                    <a:xfrm>
                      <a:off x="0" y="0"/>
                      <a:ext cx="3924300" cy="857250"/>
                    </a:xfrm>
                    <a:prstGeom prst="rect">
                      <a:avLst/>
                    </a:prstGeom>
                  </pic:spPr>
                </pic:pic>
              </a:graphicData>
            </a:graphic>
          </wp:inline>
        </w:drawing>
      </w:r>
    </w:p>
    <w:p>
      <w:pPr>
        <w:pStyle w:val="TextBody"/>
        <w:bidi w:val="0"/>
        <w:spacing w:lineRule="auto" w:line="288" w:before="0" w:after="2640"/>
        <w:jc w:val="center"/>
        <w:rPr>
          <w:rFonts w:ascii="Times New Roman;serif" w:hAnsi="Times New Roman;serif"/>
          <w:b/>
          <w:color w:val="000000"/>
          <w:sz w:val="28"/>
        </w:rPr>
      </w:pPr>
      <w:r>
        <w:rPr>
          <w:rFonts w:ascii="Times New Roman;serif" w:hAnsi="Times New Roman;serif"/>
          <w:b/>
          <w:color w:val="000000"/>
          <w:sz w:val="28"/>
        </w:rPr>
        <w:t>9,907,399 Ordinary Shares</w:t>
      </w:r>
    </w:p>
    <w:p>
      <w:pPr>
        <w:pStyle w:val="TextBody"/>
        <w:bidi w:val="0"/>
        <w:spacing w:lineRule="auto" w:line="288" w:before="0" w:after="1680"/>
        <w:jc w:val="center"/>
        <w:rPr>
          <w:rFonts w:ascii="Times New Roman;serif" w:hAnsi="Times New Roman;serif"/>
          <w:b w:val="false"/>
          <w:i/>
          <w:color w:val="000000"/>
          <w:sz w:val="20"/>
        </w:rPr>
      </w:pPr>
      <w:r>
        <w:rPr>
          <w:rFonts w:ascii="Times New Roman;serif" w:hAnsi="Times New Roman;serif"/>
          <w:b w:val="false"/>
          <w:i/>
          <w:color w:val="000000"/>
          <w:sz w:val="20"/>
        </w:rPr>
        <w:t>Prospectus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September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8. Indemnification of Directors, Officers and Employees.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memorandum and articles of association, to the fullest extent permissible under Cayman Islands law every director and officer of our company shall be indemnified against all actions, proceedings, costs, charges, losses, damages and expenses incurred or sustained by him by reason of any act done or omitted in or about the execution of their duty in their respective offices or trusts.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form of indemnification agreements filed as Exhibit 10.1 to this registration statement, we have agreed to indemnify our directors and executive officers against certain liabilities and expenses that they incur in connection with claims made by reason of their being a director or officer of our company.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Exhibits and Financial Statement Schedules.</w:t>
      </w:r>
    </w:p>
    <w:p>
      <w:pPr>
        <w:pStyle w:val="TextBody"/>
        <w:bidi w:val="0"/>
        <w:spacing w:lineRule="auto" w:line="288" w:before="0" w:after="180"/>
        <w:ind w:left="0" w:right="0" w:hanging="360"/>
        <w:jc w:val="both"/>
        <w:rPr>
          <w:rFonts w:ascii="Times New Roman;serif" w:hAnsi="Times New Roman;serif"/>
          <w:b/>
          <w:i/>
          <w:color w:val="000000"/>
          <w:sz w:val="20"/>
        </w:rPr>
      </w:pPr>
      <w:r>
        <w:rPr>
          <w:rFonts w:ascii="Times New Roman;serif" w:hAnsi="Times New Roman;serif"/>
          <w:b/>
          <w:i/>
          <w:color w:val="000000"/>
          <w:sz w:val="20"/>
        </w:rPr>
        <w:t>(a)Exhibits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of the registration statement are listed in the Exhibit Index to this registration statement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10. Undertakings.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registrant hereby undertakes: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(1)To file, during any period in which offers or sales are being made, a post-effective amendment to this registration statement: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(a)To include any prospectus required by section 10(a)(3) of the Securities Act;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w:t>
      </w: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price represent no more than 20%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(4)To file a post-effective amendment to the registration statement to include any financial statements required by “8.A. of Form 20-F (17 CFR 249.220f)”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this registration statement,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this registration statement.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(5)That for purposes of determining any liability under the Securities Act of 1933 to any purchaser: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(i)Exhibits. The following exhibits are included herein or incorporated herein by reference: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filed as part of this registration statement: </w:t>
      </w:r>
    </w:p>
    <w:tbl>
      <w:tblPr>
        <w:tblW w:w="10205" w:type="dxa"/>
        <w:jc w:val="left"/>
        <w:tblInd w:w="0" w:type="dxa"/>
        <w:tblLayout w:type="fixed"/>
        <w:tblCellMar>
          <w:top w:w="28" w:type="dxa"/>
          <w:left w:w="28" w:type="dxa"/>
          <w:bottom w:w="28" w:type="dxa"/>
          <w:right w:w="28" w:type="dxa"/>
        </w:tblCellMar>
      </w:tblPr>
      <w:tblGrid>
        <w:gridCol w:w="249"/>
        <w:gridCol w:w="218"/>
        <w:gridCol w:w="220"/>
        <w:gridCol w:w="109"/>
        <w:gridCol w:w="109"/>
        <w:gridCol w:w="109"/>
        <w:gridCol w:w="3162"/>
        <w:gridCol w:w="2495"/>
        <w:gridCol w:w="3534"/>
      </w:tblGrid>
      <w:tr>
        <w:trP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Amended and Restated Memorandum and Articles of Association of the Registrant (incorporated by reference to Exhibit 4.1 of the Registrant’s Registration Statement on Form S-8 (File No. 333-260674) filed with the SEC on November 2, 2021)</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Shareholder’s Agreement among the Registrant and other parties thereto</w:t>
              </w:r>
            </w:hyperlink>
            <w:r>
              <w:rPr>
                <w:color w:val="000000"/>
              </w:rPr>
              <w:t xml:space="preserve"> </w:t>
            </w:r>
            <w:hyperlink r:id="rId11">
              <w:r>
                <w:rPr>
                  <w:rStyle w:val="InternetLink"/>
                  <w:rFonts w:ascii="Times New Roman;serif" w:hAnsi="Times New Roman;serif"/>
                  <w:b w:val="false"/>
                  <w:color w:val="0000FF"/>
                  <w:sz w:val="20"/>
                  <w:u w:val="single"/>
                </w:rPr>
                <w:t>(incorporated by reference to Exhibit 2.1 of the Registrant’s Annual Report on Form 20-F (File No. 001-40974) filed with the SEC on March 31, 2022)</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Registration Rights Agreement among the Registrant and other parties thereto</w:t>
              </w:r>
            </w:hyperlink>
            <w:r>
              <w:rPr>
                <w:color w:val="000000"/>
              </w:rPr>
              <w:t xml:space="preserve"> </w:t>
            </w:r>
            <w:hyperlink r:id="rId13">
              <w:r>
                <w:rPr>
                  <w:rStyle w:val="InternetLink"/>
                  <w:rFonts w:ascii="Times New Roman;serif" w:hAnsi="Times New Roman;serif"/>
                  <w:b w:val="false"/>
                  <w:color w:val="0000FF"/>
                  <w:sz w:val="20"/>
                  <w:u w:val="single"/>
                </w:rPr>
                <w:t>(incorporated by reference to Exhibit 2.2 of the Registrant’s Annual Report on Form 20-F (File No. 001-40974) filed with the SEC on March 31, 2022)</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4-fx3asr.htm">
              <w:r>
                <w:rPr>
                  <w:rStyle w:val="InternetLink"/>
                  <w:rFonts w:ascii="Times New Roman;serif" w:hAnsi="Times New Roman;serif"/>
                  <w:b w:val="false"/>
                  <w:color w:val="0000FF"/>
                  <w:sz w:val="20"/>
                  <w:u w:val="single"/>
                </w:rPr>
                <w:t>Securities Issuance Agreement between the Registrant and the Selling Shareholder</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fx3asr.htm">
              <w:r>
                <w:rPr>
                  <w:rStyle w:val="InternetLink"/>
                  <w:rFonts w:ascii="Times New Roman;serif" w:hAnsi="Times New Roman;serif"/>
                  <w:b w:val="false"/>
                  <w:color w:val="0000FF"/>
                  <w:sz w:val="20"/>
                  <w:u w:val="single"/>
                </w:rPr>
                <w:t>Opinion of Maples and Calder (Cayman) LLP regarding the validity of the ordinary shares being registered</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Director and Officer Indemnification Agreement (incorporated by reference to Exhibit 10.2 of the Registrant’s Registration Statement on Form F-1 (File No. 333-260003) filed with the SEC on October 4, 2021)</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List of subsidiaries of the Registrant (as of December 31, 2025) (incorporated by reference to Exhibit 8 of the Registrant’s Annual Report on Form 20-F (File No. 001-40974) filed with the SEC on February 27, 2026)</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x3asr.htm">
              <w:r>
                <w:rPr>
                  <w:rStyle w:val="InternetLink"/>
                  <w:rFonts w:ascii="Times New Roman;serif" w:hAnsi="Times New Roman;serif"/>
                  <w:b w:val="false"/>
                  <w:color w:val="0000FF"/>
                  <w:sz w:val="20"/>
                  <w:u w:val="single"/>
                </w:rPr>
                <w:t>Consent of KPMG LLP, independent registered public accounting firm</w:t>
              </w:r>
            </w:hyperlink>
            <w:r>
              <w:rPr>
                <w:color w:val="000000"/>
              </w:rPr>
              <w:t xml:space="preserve"> </w:t>
            </w:r>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fx3asr.htm">
              <w:r>
                <w:rPr>
                  <w:rStyle w:val="InternetLink"/>
                  <w:rFonts w:ascii="Times New Roman;serif" w:hAnsi="Times New Roman;serif"/>
                  <w:b w:val="false"/>
                  <w:color w:val="0000FF"/>
                  <w:sz w:val="20"/>
                  <w:u w:val="single"/>
                </w:rPr>
                <w:t>Consent of PricewaterhouseCoopers LLP, independent registered public accounting firm</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fx3asr.htm">
              <w:r>
                <w:rPr>
                  <w:rStyle w:val="InternetLink"/>
                  <w:rFonts w:ascii="Times New Roman;serif" w:hAnsi="Times New Roman;serif"/>
                  <w:b w:val="false"/>
                  <w:color w:val="0000FF"/>
                  <w:sz w:val="20"/>
                  <w:u w:val="single"/>
                </w:rPr>
                <w:t>Consent of Maples and Calder (Cayman) LLP (included in Exhibit 5.1)</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c0a64feb6440ebdbb9a3a61701348_318">
              <w:r>
                <w:rPr>
                  <w:rStyle w:val="InternetLink"/>
                  <w:rFonts w:ascii="Times New Roman;serif" w:hAnsi="Times New Roman;serif"/>
                  <w:b w:val="false"/>
                  <w:color w:val="000080"/>
                  <w:sz w:val="20"/>
                  <w:u w:val="single"/>
                </w:rPr>
                <w:t>Powers of Attorney</w:t>
              </w:r>
            </w:hyperlink>
            <w:hyperlink w:anchor="ie99c0a64feb6440ebdbb9a3a61701348_318">
              <w:r>
                <w:rPr>
                  <w:rStyle w:val="InternetLink"/>
                  <w:rFonts w:ascii="Times New Roman;serif" w:hAnsi="Times New Roman;serif"/>
                  <w:b w:val="false"/>
                  <w:color w:val="000080"/>
                  <w:sz w:val="20"/>
                  <w:u w:val="single"/>
                </w:rPr>
                <w:t xml:space="preserve"> (included on signature page)</w:t>
              </w:r>
            </w:hyperlink>
          </w:p>
        </w:tc>
      </w:tr>
      <w:tr>
        <w:trPr/>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obalfoundriesincsf3asr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*To be filed as an exhibit to a post-effective amendment to this registration statement or as an exhibit to a report filed or furnished under the Exchange Act and incorporated by reference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Schedules and/or exhibits have been omitted pursuant to Item 601(a)(5) of Regulation S-K. The Company agrees to furnish supplementally a copy of any omitted schedules and/or exhibits to the SEC on a confidential basis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Malta, New York, on September 14, 2026. </w:t>
      </w:r>
    </w:p>
    <w:tbl>
      <w:tblPr>
        <w:tblW w:w="4948" w:type="dxa"/>
        <w:jc w:val="left"/>
        <w:tblInd w:w="0" w:type="dxa"/>
        <w:tblLayout w:type="fixed"/>
        <w:tblCellMar>
          <w:top w:w="28" w:type="dxa"/>
          <w:left w:w="28" w:type="dxa"/>
          <w:bottom w:w="28" w:type="dxa"/>
          <w:right w:w="28" w:type="dxa"/>
        </w:tblCellMar>
      </w:tblPr>
      <w:tblGrid>
        <w:gridCol w:w="886"/>
        <w:gridCol w:w="778"/>
        <w:gridCol w:w="780"/>
        <w:gridCol w:w="732"/>
        <w:gridCol w:w="732"/>
        <w:gridCol w:w="1040"/>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GLOBALFOUNDRIES Inc.</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Sam Franklin</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person whose signature appears below hereby constitutes and appoints Mr. Tim Breen and Mr. Sam Franklin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any and all amendments or supplements to this Registration Statement on Form F-3 or other applicable form,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 </w:t>
      </w: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set forth below on September 14, 2026.</w:t>
      </w:r>
    </w:p>
    <w:tbl>
      <w:tblPr>
        <w:tblW w:w="10205" w:type="dxa"/>
        <w:jc w:val="left"/>
        <w:tblInd w:w="0" w:type="dxa"/>
        <w:tblLayout w:type="fixed"/>
        <w:tblCellMar>
          <w:top w:w="28" w:type="dxa"/>
          <w:left w:w="28" w:type="dxa"/>
          <w:bottom w:w="28" w:type="dxa"/>
          <w:right w:w="28" w:type="dxa"/>
        </w:tblCellMar>
      </w:tblPr>
      <w:tblGrid>
        <w:gridCol w:w="997"/>
        <w:gridCol w:w="837"/>
        <w:gridCol w:w="840"/>
        <w:gridCol w:w="109"/>
        <w:gridCol w:w="109"/>
        <w:gridCol w:w="109"/>
        <w:gridCol w:w="2109"/>
        <w:gridCol w:w="2109"/>
        <w:gridCol w:w="2986"/>
      </w:tblGrid>
      <w:tr>
        <w:trPr/>
        <w:tc>
          <w:tcPr>
            <w:tcW w:w="99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 Breen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(director, and principal executive officer and authorized representative in the United States)</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Tim Breen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Sam Franklin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 Pedersen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Greg Pedersen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Antaki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Marc Antaki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Dr. Thomas Caulfield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Glenda Dorchak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Glenda Dorchak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Samer Halawa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Samer Halawa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Kerko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Kerko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Camilla Languille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Camilla Languille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Jack Lazar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Ganesh Moorthy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Ganesh Moorthy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Obeid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Carlos Obeid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Bobby Yerramilli-Rao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Dr. Bobby Yerramilli-Rao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 OF AUTHORIZED REPRESENTATIVE IN THE UNITED STATES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Registrant’s duly authorized representative has signed this registration statement on Form F-3 in the city of Malta, New York, on September 14, 2026. </w:t>
      </w:r>
    </w:p>
    <w:tbl>
      <w:tblPr>
        <w:tblW w:w="5201"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02"/>
        <w:gridCol w:w="1302"/>
        <w:gridCol w:w="185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Sam Franklin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Authorized Representative in the United States</w:t>
            </w:r>
          </w:p>
        </w:tc>
      </w:tr>
    </w:tbl>
    <w:p>
      <w:pPr>
        <w:pStyle w:val="Normal"/>
        <w:bidi w:val="0"/>
        <w:spacing w:before="0" w:after="0"/>
        <w:jc w:val="left"/>
        <w:rPr>
          <w:sz w:val="4"/>
          <w:szCs w:val="4"/>
        </w:rPr>
      </w:pPr>
      <w:r>
        <w:rPr>
          <w:sz w:val="4"/>
          <w:szCs w:val="4"/>
        </w:rPr>
      </w:r>
      <w:bookmarkStart w:id="0" w:name="globalfoundriesincsf3asrfees.htm"/>
      <w:bookmarkStart w:id="1" w:name="ksglobalfoundriesincsf3asrfees"/>
      <w:bookmarkStart w:id="2" w:name="globalfoundriesincsf3asrfees.htm"/>
      <w:bookmarkStart w:id="3" w:name="ksglobalfoundriesincsf3asrfees"/>
      <w:bookmarkEnd w:id="2"/>
      <w:bookmarkEnd w:id="3"/>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GLOBALFOUNDRIES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89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89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par value US$0.02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89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An indeterminate aggregate number of securities is being registered as may from time to time be sold at indeterminate prices. Separate consideration may or may not be received for securities that are issuable on exercise, conversion or exchange of other securities or that are issued in units or represented by depositary shares. In addition, securities registered hereunder may be sold either separately or as units comprised of one or more types of securities registered hereunder. An unspecified amount of these securities is also being registered as may from time to time be offered hereunder by selling security holders at indeterminate prices. B. In accordance with Rules 456(b) and 457(r), the Registrant is deferring payment of all of the registration fee.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ISSUANCE AGREEMENT</w:t>
      </w:r>
    </w:p>
    <w:p>
      <w:pPr>
        <w:pStyle w:val="TextBody"/>
        <w:bidi w:val="0"/>
        <w:spacing w:lineRule="auto" w:line="288" w:before="0" w:after="240"/>
        <w:jc w:val="left"/>
        <w:rPr/>
      </w:pPr>
      <w:r>
        <w:rPr>
          <w:rFonts w:ascii="Times New Roman;serif" w:hAnsi="Times New Roman;serif"/>
          <w:b w:val="false"/>
          <w:color w:val="000000"/>
          <w:sz w:val="24"/>
        </w:rPr>
        <w:t>THIS SECURITIES ISSUANCE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September 3, 2026, by and between GLOBALFOUNDRIES Inc., an exempted company with limited liability incorporated under the laws of the Cayman Islands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United States Department of Commerce (the “</w:t>
      </w:r>
      <w:r>
        <w:rPr>
          <w:rFonts w:ascii="Times New Roman;serif" w:hAnsi="Times New Roman;serif"/>
          <w:b w:val="false"/>
          <w:color w:val="000000"/>
          <w:sz w:val="24"/>
          <w:u w:val="single"/>
        </w:rPr>
        <w:t>Department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the Company has agreed, subject to the terms and conditions set forth herein, to issue to the Department such number of Shares (as defined below) set forth in Item 1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jc w:val="left"/>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premises, and of the representations, warranties, covenants and agreements set forth herein, the parties agree as follows:</w:t>
      </w:r>
    </w:p>
    <w:p>
      <w:pPr>
        <w:pStyle w:val="TextBody"/>
        <w:bidi w:val="0"/>
        <w:spacing w:lineRule="auto" w:line="240" w:before="0" w:after="240"/>
        <w:jc w:val="left"/>
        <w:rPr/>
      </w:pPr>
      <w:r>
        <w:rPr>
          <w:rFonts w:ascii="Times New Roman;serif" w:hAnsi="Times New Roman;serif"/>
          <w:b w:val="false"/>
          <w:color w:val="000000"/>
          <w:sz w:val="22"/>
        </w:rPr>
        <w:t>1.</w:t>
      </w:r>
      <w:r>
        <w:rPr>
          <w:rFonts w:ascii="Times New Roman;serif" w:hAnsi="Times New Roman;serif"/>
          <w:b w:val="false"/>
          <w:color w:val="000000"/>
          <w:sz w:val="24"/>
          <w:u w:val="single"/>
        </w:rPr>
        <w:t>Issuance</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1.1</w:t>
      </w:r>
      <w:r>
        <w:rPr>
          <w:rFonts w:ascii="Times New Roman;serif" w:hAnsi="Times New Roman;serif"/>
          <w:b w:val="false"/>
          <w:color w:val="000000"/>
          <w:sz w:val="24"/>
          <w:u w:val="single"/>
        </w:rPr>
        <w:t>Issuance of Shares</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4"/>
        </w:rPr>
        <w:t>Subject to the terms and conditions of this Agreement, the Company agrees to issue to the Department, and the Department agrees to accept such issuance, at the Closing (as defined below) that number of ordinary shares, $0.02 par value per share, of the Company (“</w:t>
      </w:r>
      <w:r>
        <w:rPr>
          <w:rFonts w:ascii="Times New Roman;serif" w:hAnsi="Times New Roman;serif"/>
          <w:b w:val="false"/>
          <w:color w:val="000000"/>
          <w:sz w:val="24"/>
          <w:u w:val="single"/>
        </w:rPr>
        <w:t>Ordinary Shares</w:t>
      </w:r>
      <w:r>
        <w:rPr>
          <w:color w:val="000000"/>
        </w:rPr>
        <w:t>”</w:t>
      </w:r>
      <w:r>
        <w:rPr>
          <w:rFonts w:ascii="Times New Roman;serif" w:hAnsi="Times New Roman;serif"/>
          <w:b w:val="false"/>
          <w:color w:val="000000"/>
          <w:sz w:val="24"/>
        </w:rPr>
        <w:t xml:space="preserve">), set forth in Item 1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 an issuance price of $37.8505 per share. The Ordinary Shares issued to the Department pursuant to this Agreement shall be referred to in this Agreement as the “</w:t>
      </w:r>
      <w:r>
        <w:rPr>
          <w:rFonts w:ascii="Times New Roman;serif" w:hAnsi="Times New Roman;serif"/>
          <w:b w:val="false"/>
          <w:color w:val="000000"/>
          <w:sz w:val="24"/>
          <w:u w:val="single"/>
        </w:rPr>
        <w:t>Shares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1.2</w:t>
      </w:r>
      <w:r>
        <w:rPr>
          <w:rFonts w:ascii="Times New Roman;serif" w:hAnsi="Times New Roman;serif"/>
          <w:b w:val="false"/>
          <w:color w:val="000000"/>
          <w:sz w:val="24"/>
          <w:u w:val="single"/>
        </w:rPr>
        <w:t>Closing; Delivery</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4"/>
          <w:u w:val="single"/>
        </w:rPr>
        <w:t>The Closing</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 xml:space="preserve">issuance contemplated by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shall take place remotely via the exchange of documents and signatures, on the date of this Agreement at such time as is mutually agreed upon, orally or in writing, by the Company and the Department (the consummation of such issuance being designated as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4"/>
          <w:u w:val="single"/>
        </w:rPr>
        <w:t>Company Closing Obligations</w:t>
      </w:r>
      <w:r>
        <w:rPr>
          <w:rFonts w:ascii="Times New Roman;serif" w:hAnsi="Times New Roman;serif"/>
          <w:b w:val="false"/>
          <w:color w:val="000000"/>
          <w:sz w:val="24"/>
        </w:rPr>
        <w:t>. At the Closing, the Company shall:</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4"/>
        </w:rPr>
        <w:t>issue to the Department (or its nominee) the Shares, free and clear of all Liens (other than restrictions on transfer under this Agreement, applicable federal and state securities laws and liens or encumbrances created by or imposed by the Department), and deliver to the Department, as promptly as practicable, and in any event within three (3) Business Days, evidence reasonably satisfactory to the Department of the issuance of such Shares in the name of the Department (or its nominee) in book-entry form on the register of members of the Company maintained by the Company’s transfer agent;</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4"/>
        </w:rPr>
        <w:t xml:space="preserve">deliver to the Department a duly executed legal opinion from Cleary Gottlieb Steen &amp; Hamilton LLP and Maples and Calder (Cayman) LLP, each as counsel for the Company, dated as of the date hereof, addressed to the Department and each in substantially the forms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4"/>
        </w:rPr>
        <w:t>deliver to the Department a certificate from the Secretary of the Company addressed to the Department, certifying (A) the certificate of incorporation and amended and restated memorandum and articles of association of the Company as in effect at the Closing; (B) a good standing certificate of the Company, as of a recent date prior to the Closing; (C) the incumbency of the officers authorized to act on behalf of the Company in connection with this Agreement; and (D) resolutions of the Board of Directors approving the issuance of the Shares, this Agreement and the transactions contemplated under this Agreement; and</w:t>
      </w: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1"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4"/>
        </w:rPr>
        <w:t xml:space="preserve">reimburse the Department, by wire transfer of immediately available funds, the reasonable and documented out-of-pocket expenses incurred by the Department at or prior to Closing in accordance with </w:t>
      </w:r>
      <w:r>
        <w:rPr>
          <w:rFonts w:ascii="Times New Roman;serif" w:hAnsi="Times New Roman;serif"/>
          <w:b w:val="false"/>
          <w:color w:val="000000"/>
          <w:sz w:val="24"/>
          <w:u w:val="single"/>
        </w:rPr>
        <w:t>Section 4.8</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1.3</w:t>
      </w:r>
      <w:r>
        <w:rPr>
          <w:rFonts w:ascii="Times New Roman;serif" w:hAnsi="Times New Roman;serif"/>
          <w:b w:val="false"/>
          <w:color w:val="000000"/>
          <w:sz w:val="24"/>
          <w:u w:val="single"/>
        </w:rPr>
        <w:t>Defined Terms Used in this Agreement</w:t>
      </w:r>
      <w:r>
        <w:rPr>
          <w:rFonts w:ascii="Times New Roman;serif" w:hAnsi="Times New Roman;serif"/>
          <w:b w:val="false"/>
          <w:color w:val="000000"/>
          <w:sz w:val="24"/>
        </w:rPr>
        <w:t>. In addition to the terms defined above, the following terms used in this Agreement shall be construed to have the meanings set forth or referenced below.</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Person directly or indirectly controlling, controlled by or under common control with, such other Person.  For purposes of this definition,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correlative meanings, the terms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under common control with</w:t>
      </w:r>
      <w:r>
        <w:rPr>
          <w:color w:val="000000"/>
        </w:rPr>
        <w:t>”</w:t>
      </w:r>
      <w:r>
        <w:rPr>
          <w:rFonts w:ascii="Times New Roman;serif" w:hAnsi="Times New Roman;serif"/>
          <w:b w:val="false"/>
          <w:color w:val="000000"/>
          <w:sz w:val="24"/>
        </w:rPr>
        <w:t>) when used with respect to any Person, means the possession, directly or indirectly, of the power to cause the direction of management or policies of such Person, whether through the ownership of voting securities, by contract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the Company’s Board of Directors.</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except Saturday, Sunday and any day on which banking institutions in the State of New York generally are authorized or required by law or other governmental actions to close;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banking institutions shall be deemed to be generally open for business in the event of a “shelter in place” or similar closure of physical branch locations at the direction of any Governmental Authority if such banks’ electronic funds transfer system (including wire transfers) are open for use by customers on such day. Unless otherwise specified herein, if any date on which action is required or any deadline set forth herein falls on a day that is not a Business Day, such date or deadline shall be extended to the next succeeding Business Day.</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4"/>
          <w:u w:val="single"/>
        </w:rPr>
        <w:t>CHIPS Act</w:t>
      </w:r>
      <w:r>
        <w:rPr>
          <w:color w:val="000000"/>
        </w:rPr>
        <w:t xml:space="preserve">” </w:t>
      </w:r>
      <w:r>
        <w:rPr>
          <w:rFonts w:ascii="Times New Roman;serif" w:hAnsi="Times New Roman;serif"/>
          <w:b w:val="false"/>
          <w:color w:val="000000"/>
          <w:sz w:val="24"/>
        </w:rPr>
        <w:t>means the Creating Helpful Incentives to Produce Semiconductors for America of the William M. (Mac) Thornberry National Defense Authorization Act for Fiscal Year 2021 (Pub. L. 116-283), as amended by the CHIPS Act of 2022 (Division A of Pub. L. 117-167).</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4"/>
          <w:u w:val="single"/>
        </w:rPr>
        <w:t>Competitor</w:t>
      </w:r>
      <w:r>
        <w:rPr>
          <w:color w:val="000000"/>
        </w:rPr>
        <w:t xml:space="preserve">” </w:t>
      </w:r>
      <w:r>
        <w:rPr>
          <w:rFonts w:ascii="Times New Roman;serif" w:hAnsi="Times New Roman;serif"/>
          <w:b w:val="false"/>
          <w:color w:val="000000"/>
          <w:sz w:val="24"/>
        </w:rPr>
        <w:t>means any current or prospective competitor of the Company that is reasonably identified in writing on the Company’s competitor list delivered to and approved by the Department; provided that if the Company delivers an updated competitor list to the Department and it fails to object within 30 days, then the update to the competitor list will be deemed approved by the Department.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or any successor statute, and the rules and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4"/>
          <w:u w:val="single"/>
        </w:rPr>
        <w:t>Governance Documents</w:t>
      </w:r>
      <w:r>
        <w:rPr>
          <w:color w:val="000000"/>
        </w:rPr>
        <w:t xml:space="preserve">” </w:t>
      </w:r>
      <w:r>
        <w:rPr>
          <w:rFonts w:ascii="Times New Roman;serif" w:hAnsi="Times New Roman;serif"/>
          <w:b w:val="false"/>
          <w:color w:val="000000"/>
          <w:sz w:val="24"/>
        </w:rPr>
        <w:t>means, with respect to any Person, all organizational documents and other documents relating to the governance, management or control of such Person (including any certificate of formation, certificate of incorporation, memorandum and articles of association, certificate of partnership, bylaws, charters, operating agreements, partnership agreements, side letters, limited liability company agreements, shareholder agreements, and all other governance documents).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 xml:space="preserve">means the Department and any other holder of Registrable Securities to whom the registration rights conferred by this Agreement have been transferred in compliance with </w:t>
      </w:r>
      <w:r>
        <w:rPr>
          <w:rFonts w:ascii="Times New Roman;serif" w:hAnsi="Times New Roman;serif"/>
          <w:b w:val="false"/>
          <w:color w:val="000000"/>
          <w:sz w:val="24"/>
          <w:u w:val="single"/>
        </w:rPr>
        <w:t>Section 3.8(h)</w:t>
      </w:r>
      <w:r>
        <w:rPr>
          <w:rFonts w:ascii="Times New Roman;serif" w:hAnsi="Times New Roman;serif"/>
          <w:b w:val="false"/>
          <w:color w:val="000000"/>
          <w:sz w:val="24"/>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8650"/>
                <wp:effectExtent l="0" t="0" r="0" b="0"/>
                <wp:wrapNone/>
                <wp:docPr id="42"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pledge, hypothecation, collateral assignment, deposit arrangement, transfer restriction,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40" w:before="0" w:after="240"/>
        <w:ind w:left="0" w:right="0" w:firstLine="1440"/>
        <w:jc w:val="left"/>
        <w:rPr/>
      </w:pPr>
      <w:r>
        <w:rPr>
          <w:rFonts w:ascii="Times New Roman;serif" w:hAnsi="Times New Roman;serif"/>
          <w:b w:val="false"/>
          <w:color w:val="000000"/>
          <w:sz w:val="22"/>
        </w:rPr>
        <w:t>(k)</w:t>
      </w: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 xml:space="preserve">means as of any date of determination by the Department, a material and adverse effect on: (a) any project pursuant to any existing agreement between the Company or its Subsidiaries and the Department; (b) the ability of the Company or its Subsidiaries to observe and perform its material obligations or enforce its rights in a timely manner under this Agreement or any then existing agreement with the Department to which the Company or any of its Subsidiaries is a party; (c) the business, operations, liabilities, condition (financial or otherwise) or property of the Company or its Subsidiaries; (d) the validity or enforceability of any material provision of this Agreement or any then existing agreement with the Department to which the Company or any of its Subsidiaries is a party; or (e) any material right or remedy of the Company, its Subsidiaries or the Department under this Agreement or any existing agreement among the Department and the Company and any of its Subsidiaries. </w:t>
      </w:r>
    </w:p>
    <w:p>
      <w:pPr>
        <w:pStyle w:val="TextBody"/>
        <w:bidi w:val="0"/>
        <w:spacing w:lineRule="auto" w:line="240" w:before="0" w:after="240"/>
        <w:ind w:left="0" w:right="0" w:firstLine="1440"/>
        <w:jc w:val="left"/>
        <w:rPr/>
      </w:pPr>
      <w:r>
        <w:rPr>
          <w:rFonts w:ascii="Times New Roman;serif" w:hAnsi="Times New Roman;serif"/>
          <w:b w:val="false"/>
          <w:color w:val="000000"/>
          <w:sz w:val="22"/>
        </w:rPr>
        <w:t>(l)</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partnership, trust, limited liability company, association or other entity.</w:t>
      </w:r>
    </w:p>
    <w:p>
      <w:pPr>
        <w:pStyle w:val="TextBody"/>
        <w:bidi w:val="0"/>
        <w:spacing w:lineRule="auto" w:line="240" w:before="0" w:after="240"/>
        <w:ind w:left="0" w:right="0" w:firstLine="1440"/>
        <w:jc w:val="left"/>
        <w:rPr/>
      </w:pPr>
      <w:r>
        <w:rPr>
          <w:rFonts w:ascii="Times New Roman;serif" w:hAnsi="Times New Roman;serif"/>
          <w:b w:val="false"/>
          <w:color w:val="000000"/>
          <w:sz w:val="22"/>
        </w:rPr>
        <w:t>(m)</w:t>
      </w:r>
      <w:r>
        <w:rPr>
          <w:color w:val="000000"/>
        </w:rPr>
        <w:t>“</w:t>
      </w:r>
      <w:r>
        <w:rPr>
          <w:rFonts w:ascii="Times New Roman;serif" w:hAnsi="Times New Roman;serif"/>
          <w:b w:val="false"/>
          <w:color w:val="000000"/>
          <w:sz w:val="24"/>
          <w:u w:val="single"/>
        </w:rPr>
        <w:t>Registrable Securities</w:t>
      </w:r>
      <w:r>
        <w:rPr>
          <w:color w:val="000000"/>
        </w:rPr>
        <w:t xml:space="preserve">” </w:t>
      </w:r>
      <w:r>
        <w:rPr>
          <w:rFonts w:ascii="Times New Roman;serif" w:hAnsi="Times New Roman;serif"/>
          <w:b w:val="false"/>
          <w:color w:val="000000"/>
          <w:sz w:val="24"/>
        </w:rPr>
        <w:t xml:space="preserve">means the Shares and any equity securities issued or issuable with respect to the Shares as a result of the conversion, exercise or exchange of the Shares or share dividend or share split or in connection with a combination of shares, recapitalization, reclassification, merger, amalgamation, arrangement, consolidation or other reorganization; </w:t>
      </w:r>
      <w:r>
        <w:rPr>
          <w:rFonts w:ascii="Times New Roman;serif" w:hAnsi="Times New Roman;serif"/>
          <w:b w:val="false"/>
          <w:i/>
          <w:color w:val="000000"/>
          <w:sz w:val="24"/>
        </w:rPr>
        <w:t>provided</w:t>
      </w:r>
      <w:r>
        <w:rPr>
          <w:rFonts w:ascii="Times New Roman;serif" w:hAnsi="Times New Roman;serif"/>
          <w:b w:val="false"/>
          <w:color w:val="000000"/>
          <w:sz w:val="24"/>
        </w:rPr>
        <w:t>, that once issued, such securities will cease to be Registrable Securities when (A) they are sold pursuant to an effective registration statement under the Securities Act, (B) they are eligible to be sold pursuant to Rule 144 without limitation thereunder on volume or manner of sale, and the restrictive legend on the certificate or book-entry notation representing such securities has been removed at the Department’s request (or, in the case of uncertificated securities, at the Department’s request, the Company has instructed its transfer agent in writing to remove any stop-transfer or similar notation), (C) they shall have ceased to be outstanding, or (D) they have been sold in a private transaction in which the transferor’s rights under this Agreement are not assigned to the transferee of the securities. No Registrable Securities may be registered under more than one registration statement at any one time.</w:t>
      </w:r>
    </w:p>
    <w:p>
      <w:pPr>
        <w:pStyle w:val="TextBody"/>
        <w:bidi w:val="0"/>
        <w:spacing w:lineRule="auto" w:line="240" w:before="0" w:after="240"/>
        <w:ind w:left="0" w:right="0" w:firstLine="1440"/>
        <w:jc w:val="left"/>
        <w:rPr/>
      </w:pPr>
      <w:r>
        <w:rPr>
          <w:rFonts w:ascii="Times New Roman;serif" w:hAnsi="Times New Roman;serif"/>
          <w:b w:val="false"/>
          <w:color w:val="000000"/>
          <w:sz w:val="22"/>
        </w:rPr>
        <w:t>(n)</w:t>
      </w:r>
      <w:r>
        <w:rPr>
          <w:color w:val="000000"/>
        </w:rPr>
        <w:t>“</w:t>
      </w:r>
      <w:r>
        <w:rPr>
          <w:rFonts w:ascii="Times New Roman;serif" w:hAnsi="Times New Roman;serif"/>
          <w:b w:val="false"/>
          <w:color w:val="000000"/>
          <w:sz w:val="24"/>
          <w:u w:val="single"/>
        </w:rPr>
        <w:t>Registration Expenses</w:t>
      </w:r>
      <w:r>
        <w:rPr>
          <w:color w:val="000000"/>
        </w:rPr>
        <w:t xml:space="preserve">” </w:t>
      </w:r>
      <w:r>
        <w:rPr>
          <w:rFonts w:ascii="Times New Roman;serif" w:hAnsi="Times New Roman;serif"/>
          <w:b w:val="false"/>
          <w:color w:val="000000"/>
          <w:sz w:val="24"/>
        </w:rPr>
        <w:t xml:space="preserve">means all expenses incurred by the Company in effecting any registration pursuant to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(whether or not any registration or prospectus becomes effective or final) or in otherwise complying with its obligations under </w:t>
      </w:r>
      <w:r>
        <w:rPr>
          <w:rFonts w:ascii="Times New Roman;serif" w:hAnsi="Times New Roman;serif"/>
          <w:b w:val="false"/>
          <w:color w:val="000000"/>
          <w:sz w:val="24"/>
          <w:u w:val="single"/>
        </w:rPr>
        <w:t>Section 3.8</w:t>
      </w:r>
      <w:r>
        <w:rPr>
          <w:rFonts w:ascii="Times New Roman;serif" w:hAnsi="Times New Roman;serif"/>
          <w:b w:val="false"/>
          <w:color w:val="000000"/>
          <w:sz w:val="24"/>
        </w:rPr>
        <w:t>, including all registration, filing and listing fees, printing expenses, fees and disbursements of counsel for the Company, blue sky fees and expenses, expenses incurred in connection with any “road show,” the reasonable fees and disbursements of one counsel to the Holders participating in such registration (which counsel shall be selected by the Holders of a majority of the Registrable Securities included in such registration), and expenses of the Company’s independent accountants in connection with any regular or special reviews or audits incident to or required by any such registration, but shall not include Selling Expenses.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(o)</w:t>
      </w: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(p)</w:t>
      </w:r>
      <w:r>
        <w:rPr>
          <w:color w:val="000000"/>
        </w:rPr>
        <w:t>“</w:t>
      </w:r>
      <w:r>
        <w:rPr>
          <w:rFonts w:ascii="Times New Roman;serif" w:hAnsi="Times New Roman;serif"/>
          <w:b w:val="false"/>
          <w:color w:val="000000"/>
          <w:sz w:val="24"/>
          <w:u w:val="single"/>
        </w:rPr>
        <w:t>Selling Expenses</w:t>
      </w:r>
      <w:r>
        <w:rPr>
          <w:color w:val="000000"/>
        </w:rPr>
        <w:t xml:space="preserve">” </w:t>
      </w:r>
      <w:r>
        <w:rPr>
          <w:rFonts w:ascii="Times New Roman;serif" w:hAnsi="Times New Roman;serif"/>
          <w:b w:val="false"/>
          <w:color w:val="000000"/>
          <w:sz w:val="24"/>
        </w:rPr>
        <w:t>means all underwriting discounts, selling commissions and stock transfer taxes applicable to the sale of Registrable Securities and fees and disbursements of counsel for any Holder (other than the fees and disbursements of the Department’s counsel included in Registration Expenses).</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8650"/>
                <wp:effectExtent l="0" t="0" r="0" b="0"/>
                <wp:wrapNone/>
                <wp:docPr id="43"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(q)</w:t>
      </w:r>
      <w:r>
        <w:rPr>
          <w:color w:val="000000"/>
        </w:rPr>
        <w:t>“</w:t>
      </w:r>
      <w:r>
        <w:rPr>
          <w:rFonts w:ascii="Times New Roman;serif" w:hAnsi="Times New Roman;serif"/>
          <w:b w:val="false"/>
          <w:color w:val="000000"/>
          <w:sz w:val="24"/>
          <w:u w:val="single"/>
        </w:rPr>
        <w:t>Shelf Registration Statement</w:t>
      </w:r>
      <w:r>
        <w:rPr>
          <w:color w:val="000000"/>
        </w:rPr>
        <w:t xml:space="preserve">” </w:t>
      </w:r>
      <w:r>
        <w:rPr>
          <w:rFonts w:ascii="Times New Roman;serif" w:hAnsi="Times New Roman;serif"/>
          <w:b w:val="false"/>
          <w:color w:val="000000"/>
          <w:sz w:val="24"/>
        </w:rPr>
        <w:t>means a registration statement on an appropriate form under Rule 415 under the Securities Act, or an amendment to, or a prospectus supplement filed under, any shelf registration statement that has previously been filed.</w:t>
      </w:r>
    </w:p>
    <w:p>
      <w:pPr>
        <w:pStyle w:val="TextBody"/>
        <w:bidi w:val="0"/>
        <w:spacing w:lineRule="auto" w:line="240" w:before="0" w:after="240"/>
        <w:ind w:left="0" w:right="0" w:firstLine="1440"/>
        <w:jc w:val="left"/>
        <w:rPr/>
      </w:pPr>
      <w:r>
        <w:rPr>
          <w:rFonts w:ascii="Times New Roman;serif" w:hAnsi="Times New Roman;serif"/>
          <w:b w:val="false"/>
          <w:color w:val="000000"/>
          <w:sz w:val="22"/>
        </w:rPr>
        <w:t>(r)</w:t>
      </w:r>
      <w:r>
        <w:rPr>
          <w:color w:val="000000"/>
        </w:rPr>
        <w:t>“</w:t>
      </w:r>
      <w:r>
        <w:rPr>
          <w:rFonts w:ascii="Times New Roman;serif" w:hAnsi="Times New Roman;serif"/>
          <w:b w:val="false"/>
          <w:color w:val="000000"/>
          <w:sz w:val="24"/>
          <w:u w:val="single"/>
        </w:rPr>
        <w:t>Special Registration</w:t>
      </w:r>
      <w:r>
        <w:rPr>
          <w:color w:val="000000"/>
        </w:rPr>
        <w:t xml:space="preserve">” </w:t>
      </w:r>
      <w:r>
        <w:rPr>
          <w:rFonts w:ascii="Times New Roman;serif" w:hAnsi="Times New Roman;serif"/>
          <w:b w:val="false"/>
          <w:color w:val="000000"/>
          <w:sz w:val="24"/>
        </w:rPr>
        <w:t>means the registration of (i) equity securities or options or other rights in respect thereof solely registered on Form F-4, Form S-4 or Form S-8 (or successor form) or (ii) shares of equity securities or options or other rights in respect thereof to be offered to directors, members of management, employees, consultants, customers, lenders or vendors of the Company or its Subsidiaries or in connection with dividend reinvestment plans.</w:t>
      </w:r>
    </w:p>
    <w:p>
      <w:pPr>
        <w:pStyle w:val="TextBody"/>
        <w:bidi w:val="0"/>
        <w:spacing w:lineRule="auto" w:line="240" w:before="0" w:after="240"/>
        <w:ind w:left="0" w:right="0" w:firstLine="1440"/>
        <w:jc w:val="left"/>
        <w:rPr/>
      </w:pPr>
      <w:r>
        <w:rPr>
          <w:rFonts w:ascii="Times New Roman;serif" w:hAnsi="Times New Roman;serif"/>
          <w:b w:val="false"/>
          <w:color w:val="000000"/>
          <w:sz w:val="22"/>
        </w:rPr>
        <w:t>(s)</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 corporation, partnership, trust, joint venture, limited liability company, association,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w:t>
      </w:r>
    </w:p>
    <w:p>
      <w:pPr>
        <w:pStyle w:val="TextBody"/>
        <w:bidi w:val="0"/>
        <w:spacing w:lineRule="auto" w:line="240" w:before="0" w:after="240"/>
        <w:jc w:val="left"/>
        <w:rPr/>
      </w:pPr>
      <w:r>
        <w:rPr>
          <w:rFonts w:ascii="Times New Roman;serif" w:hAnsi="Times New Roman;serif"/>
          <w:b w:val="false"/>
          <w:color w:val="000000"/>
          <w:sz w:val="22"/>
        </w:rPr>
        <w:t>2.</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xml:space="preserve">. The Company hereby represents and warrants to the Department that, except as set forth on the Disclosure Schedule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to this Agreement, which exceptions shall be deemed to be part of the representations and warranties made hereunder, the following representations are true and complete as of the date of the Closing, except as otherwise indicated. The Disclosure Schedule shall be arranged in sections corresponding to the numbered and lettered sections contained in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and the disclosures in any section of the Disclosure Schedule shall qualify other sections in this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only to the extent it is readily apparent from a reading of the disclosure that such disclosure is applicable to such other sections.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For purposes of these representations and warranties (other than those in </w:t>
      </w:r>
      <w:r>
        <w:rPr>
          <w:rFonts w:ascii="Times New Roman;serif" w:hAnsi="Times New Roman;serif"/>
          <w:b w:val="false"/>
          <w:color w:val="000000"/>
          <w:sz w:val="24"/>
          <w:u w:val="single"/>
        </w:rPr>
        <w:t>Sections 2.1, 2.2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2.7</w:t>
      </w:r>
      <w:r>
        <w:rPr>
          <w:rFonts w:ascii="Times New Roman;serif" w:hAnsi="Times New Roman;serif"/>
          <w:b w:val="false"/>
          <w:color w:val="000000"/>
          <w:sz w:val="24"/>
        </w:rPr>
        <w:t>), the term the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shall include the Subsidiaries of the Company, unless otherwise noted herein.</w:t>
      </w:r>
    </w:p>
    <w:p>
      <w:pPr>
        <w:pStyle w:val="TextBody"/>
        <w:bidi w:val="0"/>
        <w:spacing w:lineRule="auto" w:line="240" w:before="0" w:after="240"/>
        <w:ind w:left="0" w:right="0" w:firstLine="720"/>
        <w:jc w:val="left"/>
        <w:rPr/>
      </w:pPr>
      <w:r>
        <w:rPr>
          <w:rFonts w:ascii="Times New Roman;serif" w:hAnsi="Times New Roman;serif"/>
          <w:b w:val="false"/>
          <w:color w:val="000000"/>
          <w:sz w:val="22"/>
        </w:rPr>
        <w:t>2.1</w:t>
      </w:r>
      <w:r>
        <w:rPr>
          <w:rFonts w:ascii="Times New Roman;serif" w:hAnsi="Times New Roman;serif"/>
          <w:b w:val="false"/>
          <w:color w:val="000000"/>
          <w:sz w:val="24"/>
          <w:u w:val="single"/>
        </w:rPr>
        <w:t>Organization, Good Standing, Corporate Power and Qualification</w:t>
      </w:r>
      <w:r>
        <w:rPr>
          <w:rFonts w:ascii="Times New Roman;serif" w:hAnsi="Times New Roman;serif"/>
          <w:b w:val="false"/>
          <w:color w:val="000000"/>
          <w:sz w:val="24"/>
        </w:rPr>
        <w:t>. The Company (a) is an exempted company with limited liability incorporated, validly existing and in good standing under the laws of the Cayman Islands; (b) is duly qualified to do business in each jurisdiction where the failure to so qualify could reasonably be expected to have a Material Adverse Effect; and (c) has all requisite power and authority to (i) own or hold under lease and operate the property it purports to own or hold under lease; (ii) carry on its business as now being conducted; and (iii) execute, deliver, perform and observe the terms and conditions of this Agreement. The Company has made available to the Department true, accurate and complete copies of each of the Governance Documents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2"/>
        </w:rPr>
        <w:t>2.2</w:t>
      </w:r>
      <w:r>
        <w:rPr>
          <w:rFonts w:ascii="Times New Roman;serif" w:hAnsi="Times New Roman;serif"/>
          <w:b w:val="false"/>
          <w:color w:val="000000"/>
          <w:sz w:val="24"/>
          <w:u w:val="single"/>
        </w:rPr>
        <w:t>Capitalization</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4"/>
        </w:rPr>
        <w:t>The authorized share capital of the Company consists, immediately prior to the Closing, of:</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4"/>
        </w:rPr>
        <w:t>1,300,000,000 Ordinary Shares, par value $0.02 per share, 547,426,037 shares of which are issued and outstanding as of September 2, 2026.</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4"/>
        </w:rPr>
        <w:t>200,000,000 Preferred Shares, par value $0.02 per share, 0 shares of which are issued and outstanding. The rights, privileges and preferences of the Preferred Shares are as stated in the amended and restated memorandum and articles of association of the Company and as provided under the laws of the Cayman Islands.</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4"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4"/>
        </w:rPr>
        <w:t>All of the issued and outstanding shares of the Company have been duly authorized, are fully paid and non-assessable and were issued in compliance with all applicable federal and state securities laws. No such shares are subject to any preemptive rights (nor were they issued in violation of any preemptive rights).</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4"/>
        </w:rPr>
        <w:t>As of the date hereof, the Company has reserved (i) 33,019,985 Ordinary Shares for issuance to officers, directors, employees and consultants of the Company pursuant to its 2021 Equity Compensation Plan duly adopted by the Board of Directors and approved by the Company shareholders (the “</w:t>
      </w:r>
      <w:r>
        <w:rPr>
          <w:rFonts w:ascii="Times New Roman;serif" w:hAnsi="Times New Roman;serif"/>
          <w:b w:val="false"/>
          <w:color w:val="000000"/>
          <w:sz w:val="24"/>
          <w:u w:val="single"/>
        </w:rPr>
        <w:t>2021 Share Plan</w:t>
      </w:r>
      <w:r>
        <w:rPr>
          <w:color w:val="000000"/>
        </w:rPr>
        <w:t>”</w:t>
      </w:r>
      <w:r>
        <w:rPr>
          <w:rFonts w:ascii="Times New Roman;serif" w:hAnsi="Times New Roman;serif"/>
          <w:b w:val="false"/>
          <w:color w:val="000000"/>
          <w:sz w:val="24"/>
        </w:rPr>
        <w:t>), (ii) 3,642,325 Ordinary Shares for issuance to officers, directors, employees and consultants of the Company pursuant to its 2018 Share Incentive Plan duly adopted by the Board of Directors and approved by the Company shareholders (the “</w:t>
      </w:r>
      <w:r>
        <w:rPr>
          <w:rFonts w:ascii="Times New Roman;serif" w:hAnsi="Times New Roman;serif"/>
          <w:b w:val="false"/>
          <w:color w:val="000000"/>
          <w:sz w:val="24"/>
          <w:u w:val="single"/>
        </w:rPr>
        <w:t>2018 Share Plan</w:t>
      </w:r>
      <w:r>
        <w:rPr>
          <w:color w:val="000000"/>
        </w:rPr>
        <w:t>”</w:t>
      </w:r>
      <w:r>
        <w:rPr>
          <w:rFonts w:ascii="Times New Roman;serif" w:hAnsi="Times New Roman;serif"/>
          <w:b w:val="false"/>
          <w:color w:val="000000"/>
          <w:sz w:val="24"/>
        </w:rPr>
        <w:t>), and (iii) 4 Ordinary Shares for issuance to officers, directors, employees and consultants of the Company pursuant to its 2017 Share Incentive Plan duly adopted by the Board of Directors and approved by the Company shareholders (the “</w:t>
      </w:r>
      <w:r>
        <w:rPr>
          <w:rFonts w:ascii="Times New Roman;serif" w:hAnsi="Times New Roman;serif"/>
          <w:b w:val="false"/>
          <w:color w:val="000000"/>
          <w:sz w:val="24"/>
          <w:u w:val="single"/>
        </w:rPr>
        <w:t>2017 Share Plan</w:t>
      </w:r>
      <w:r>
        <w:rPr>
          <w:color w:val="000000"/>
        </w:rPr>
        <w:t xml:space="preserve">” </w:t>
      </w:r>
      <w:r>
        <w:rPr>
          <w:rFonts w:ascii="Times New Roman;serif" w:hAnsi="Times New Roman;serif"/>
          <w:b w:val="false"/>
          <w:color w:val="000000"/>
          <w:sz w:val="24"/>
        </w:rPr>
        <w:t>and together with the 2021 Share Plan and the 2018 Share Plan, the “</w:t>
      </w:r>
      <w:r>
        <w:rPr>
          <w:rFonts w:ascii="Times New Roman;serif" w:hAnsi="Times New Roman;serif"/>
          <w:b w:val="false"/>
          <w:color w:val="000000"/>
          <w:sz w:val="24"/>
          <w:u w:val="single"/>
        </w:rPr>
        <w:t>Share Plan</w:t>
      </w:r>
      <w:r>
        <w:rPr>
          <w:color w:val="000000"/>
        </w:rPr>
        <w:t>”</w:t>
      </w:r>
      <w:r>
        <w:rPr>
          <w:rFonts w:ascii="Times New Roman;serif" w:hAnsi="Times New Roman;serif"/>
          <w:b w:val="false"/>
          <w:color w:val="000000"/>
          <w:sz w:val="24"/>
        </w:rPr>
        <w:t>). Of such reserved Ordinary Shares, (i) under the 2021 Share Plan, 12,676,144 shares have been issued pursuant to restricted share unit award agreements and are currently outstanding, and 20,343,841 shares remain available for issuance to officers, directors, employees and consultants pursuant to the Share Plan, all of which remain uncommitted and unallocated (except as set out in the last sentence of this paragraph), (ii) under the 2018 Share Plan, 135,041 shares have been issued pursuant to share option agreements and are currently outstanding and subject to exercise, and 3,642,325 shares remain available for issuance to officers, directors, employees and consultants pursuant to the Share Plan, all of which remain uncommitted and unallocated, (iii) under the 2017 Share Plan, 0 shares have been issued pursuant to share option agreements and are currently outstanding and subject to exercise, and 4 shares remain available for issuance to officers, directors, employees and consultants pursuant to the Share Plan, all of which remain uncommitted and unallocated. The Company has ceased to issue any share awards under the 2018 Share Plan and 2017 Share Plan. Under the 2021 Share Plan, 9,720 Ordinary Shares are expected to be issued pursuant to restricted share unit award agreements in connection with the Synopsys ARC acquisition and the Photeon Technologies acquisition. The Company has furnished to the Department complete and accurate copies of the Share Plan and forms of agreements used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4"/>
        </w:rPr>
        <w:t xml:space="preserve">Except as set forth in the Company Reports or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of the Disclosure Schedule, as of the date hereof, there are no outstanding options, warrants, convertible securities, rights (including conversion or preemptive rights, rights of first refusal or similar rights) or agreements to purchase or acquire from the Company any Ordinary Shares or Preferred Shares, or any securities convertible into or exercisable or exchangeable for Ordinary Shares or Preferred Shares.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4"/>
        </w:rPr>
        <w:t xml:space="preserve">The Company has obtained valid waivers of any rights by other parties to purchase, or participate in the issuance of, any of the Shares covered by this Agreement. </w:t>
      </w:r>
    </w:p>
    <w:p>
      <w:pPr>
        <w:pStyle w:val="TextBody"/>
        <w:bidi w:val="0"/>
        <w:spacing w:lineRule="auto" w:line="240" w:before="0" w:after="240"/>
        <w:ind w:left="0" w:right="0" w:firstLine="720"/>
        <w:jc w:val="left"/>
        <w:rPr/>
      </w:pPr>
      <w:r>
        <w:rPr>
          <w:rFonts w:ascii="Times New Roman;serif" w:hAnsi="Times New Roman;serif"/>
          <w:b w:val="false"/>
          <w:color w:val="000000"/>
          <w:sz w:val="22"/>
        </w:rPr>
        <w:t>2.3</w:t>
      </w:r>
      <w:r>
        <w:rPr>
          <w:rFonts w:ascii="Times New Roman;serif" w:hAnsi="Times New Roman;serif"/>
          <w:b w:val="false"/>
          <w:color w:val="000000"/>
          <w:sz w:val="24"/>
          <w:u w:val="single"/>
        </w:rPr>
        <w:t>Subsidiaries</w:t>
      </w:r>
      <w:r>
        <w:rPr>
          <w:rFonts w:ascii="Times New Roman;serif" w:hAnsi="Times New Roman;serif"/>
          <w:b w:val="false"/>
          <w:color w:val="000000"/>
          <w:sz w:val="24"/>
        </w:rPr>
        <w:t xml:space="preserve">. In each case as of the date hereof: (1)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of the Disclosure Schedule sets forth each material Subsidiary of the Company and the percentage of the equity interests thereof owned, directly or indirectly, by the Company; (2) other than the Subsidiaries set forth on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 xml:space="preserve">of the Disclosure Schedule, the Company does not currently own or control, directly or indirectly, any interest in any other corporation, partnership, trust, joint venture, limited liability company, association, or other business entity; and (3) the Company is not a participant in any joint venture, partnership, or similar arrangement except as set forth on the Disclosure Schedule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to this Agreement. </w:t>
      </w:r>
    </w:p>
    <w:p>
      <w:pPr>
        <w:pStyle w:val="TextBody"/>
        <w:bidi w:val="0"/>
        <w:spacing w:lineRule="auto" w:line="240" w:before="0" w:after="240"/>
        <w:ind w:left="0" w:right="0" w:firstLine="720"/>
        <w:jc w:val="left"/>
        <w:rPr/>
      </w:pPr>
      <w:r>
        <w:rPr>
          <w:rFonts w:ascii="Times New Roman;serif" w:hAnsi="Times New Roman;serif"/>
          <w:b w:val="false"/>
          <w:color w:val="000000"/>
          <w:sz w:val="22"/>
        </w:rPr>
        <w:t>2.4</w:t>
      </w:r>
      <w:r>
        <w:rPr>
          <w:rFonts w:ascii="Times New Roman;serif" w:hAnsi="Times New Roman;serif"/>
          <w:b w:val="false"/>
          <w:color w:val="000000"/>
          <w:sz w:val="24"/>
          <w:u w:val="single"/>
        </w:rPr>
        <w:t>Authorization; No Conflict</w:t>
      </w:r>
      <w:r>
        <w:rPr>
          <w:rFonts w:ascii="Times New Roman;serif" w:hAnsi="Times New Roman;serif"/>
          <w:b w:val="false"/>
          <w:color w:val="000000"/>
          <w:sz w:val="24"/>
        </w:rPr>
        <w:t xml:space="preserve">. All corporate action required to be taken by the Board of Directors and the Company’s shareholders in order to authorize the Company to enter into this Agreement and issue the Shares, has been taken. All action on the part of the officers of the Company necessary for the execution and delivery of this Agreement, the performance of all obligations of the Company under this Agreement to be performed as of </w:t>
      </w: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5"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Closing, and the issuance and delivery of the Shares has been taken or will be taken. Neither the Company’s execution and delivery thereof, nor its consummation of the transactions contemplated by this Agreement, nor its compliance with the terms of this Agreement (a) contravenes its organizational documents or any applicable laws in any material respects; (b) contravenes or results in any breach or constitutes any default under any material governmental judgment; (c) contravenes or result in any breach or constitutes any default under any material agreement or instrument to which it is a party; or (d) requires the consent or approval of any person other than any consents or approvals that have been obtained and are in full force and effect.</w:t>
      </w:r>
    </w:p>
    <w:p>
      <w:pPr>
        <w:pStyle w:val="TextBody"/>
        <w:bidi w:val="0"/>
        <w:spacing w:lineRule="auto" w:line="240" w:before="0" w:after="240"/>
        <w:ind w:left="0" w:right="0" w:firstLine="720"/>
        <w:jc w:val="left"/>
        <w:rPr/>
      </w:pPr>
      <w:r>
        <w:rPr>
          <w:rFonts w:ascii="Times New Roman;serif" w:hAnsi="Times New Roman;serif"/>
          <w:b w:val="false"/>
          <w:color w:val="000000"/>
          <w:sz w:val="22"/>
        </w:rPr>
        <w:t>2.5</w:t>
      </w:r>
      <w:r>
        <w:rPr>
          <w:rFonts w:ascii="Times New Roman;serif" w:hAnsi="Times New Roman;serif"/>
          <w:b w:val="false"/>
          <w:color w:val="000000"/>
          <w:sz w:val="24"/>
          <w:u w:val="single"/>
        </w:rPr>
        <w:t>Legality; Validity; Enforceability</w:t>
      </w:r>
      <w:r>
        <w:rPr>
          <w:rFonts w:ascii="Times New Roman;serif" w:hAnsi="Times New Roman;serif"/>
          <w:b w:val="false"/>
          <w:color w:val="000000"/>
          <w:sz w:val="24"/>
        </w:rPr>
        <w:t>. This Agreement to which the Company is (or will be when executed) a party constitutes a legal, valid and binding obligation of the Company, enforceable against the Company in accordance with its terms, except as such enforceability may be limited by bankruptcy, insolvency, reorganization, receivership, moratorium or other applicable laws affecting creditors’ rights generally and by general principles of equity.</w:t>
      </w:r>
    </w:p>
    <w:p>
      <w:pPr>
        <w:pStyle w:val="TextBody"/>
        <w:bidi w:val="0"/>
        <w:spacing w:lineRule="auto" w:line="240" w:before="0" w:after="240"/>
        <w:ind w:left="0" w:right="0" w:firstLine="720"/>
        <w:jc w:val="left"/>
        <w:rPr/>
      </w:pPr>
      <w:r>
        <w:rPr>
          <w:rFonts w:ascii="Times New Roman;serif" w:hAnsi="Times New Roman;serif"/>
          <w:b w:val="false"/>
          <w:color w:val="000000"/>
          <w:sz w:val="22"/>
        </w:rPr>
        <w:t>2.6</w:t>
      </w:r>
      <w:r>
        <w:rPr>
          <w:rFonts w:ascii="Times New Roman;serif" w:hAnsi="Times New Roman;serif"/>
          <w:b w:val="false"/>
          <w:color w:val="000000"/>
          <w:sz w:val="24"/>
          <w:u w:val="single"/>
        </w:rPr>
        <w:t>Valid Issuance of Shares</w:t>
      </w:r>
      <w:r>
        <w:rPr>
          <w:rFonts w:ascii="Times New Roman;serif" w:hAnsi="Times New Roman;serif"/>
          <w:b w:val="false"/>
          <w:color w:val="000000"/>
          <w:sz w:val="24"/>
        </w:rPr>
        <w:t xml:space="preserve">. The Shares, when issued, sold and delivered in accordance with the terms set forth in this Agreement, will be validly issued, fully paid and nonassessable and free of all Liens (other than restrictions on transfer under this Agreement, applicable federal and state securities laws and liens or encumbrances created by or imposed by the Department). Subject to the filings described in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 xml:space="preserve">below, the Shares will be issued in compliance with all applicable federal and state securities laws. The Shares have been duly reserved for issuance out of the Company’s existing authorised share capital, and will be issued in accordance with the terms of the amended and restated memorandum and articles of association of the Company. </w:t>
      </w:r>
    </w:p>
    <w:p>
      <w:pPr>
        <w:pStyle w:val="TextBody"/>
        <w:bidi w:val="0"/>
        <w:spacing w:lineRule="auto" w:line="240" w:before="0" w:after="240"/>
        <w:ind w:left="0" w:right="0" w:firstLine="720"/>
        <w:jc w:val="left"/>
        <w:rPr/>
      </w:pPr>
      <w:r>
        <w:rPr>
          <w:rFonts w:ascii="Times New Roman;serif" w:hAnsi="Times New Roman;serif"/>
          <w:b w:val="false"/>
          <w:color w:val="000000"/>
          <w:sz w:val="22"/>
        </w:rPr>
        <w:t>2.7</w:t>
      </w:r>
      <w:r>
        <w:rPr>
          <w:rFonts w:ascii="Times New Roman;serif" w:hAnsi="Times New Roman;serif"/>
          <w:b w:val="false"/>
          <w:color w:val="000000"/>
          <w:sz w:val="24"/>
          <w:u w:val="single"/>
        </w:rPr>
        <w:t>Governmental Consents and Filings</w:t>
      </w:r>
      <w:r>
        <w:rPr>
          <w:rFonts w:ascii="Times New Roman;serif" w:hAnsi="Times New Roman;serif"/>
          <w:b w:val="false"/>
          <w:color w:val="000000"/>
          <w:sz w:val="24"/>
        </w:rPr>
        <w:t xml:space="preserve">. No consent, approval, order or authorization of, or registration, qualification, designation, declaration or filing with, any Governmental Authority is required on the part of the Company in connection with the consummation of the transactions contemplated by this Agreement, except for (a) the filing of a Current Report on Form 6-K required to be filed with the SEC, (b) such filings or approvals as are required pursuant to applicable state securities or blue sky laws, (c) such filings as required by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and (d) the filing of a listing of additional shares notification form with the Exchange, each of which has been made or will be made within the required deadlines for each, as applicable. </w:t>
      </w:r>
    </w:p>
    <w:p>
      <w:pPr>
        <w:pStyle w:val="TextBody"/>
        <w:bidi w:val="0"/>
        <w:spacing w:lineRule="auto" w:line="240" w:before="0" w:after="240"/>
        <w:ind w:left="0" w:right="0" w:firstLine="720"/>
        <w:jc w:val="left"/>
        <w:rPr/>
      </w:pPr>
      <w:r>
        <w:rPr>
          <w:rFonts w:ascii="Times New Roman;serif" w:hAnsi="Times New Roman;serif"/>
          <w:b w:val="false"/>
          <w:color w:val="000000"/>
          <w:sz w:val="22"/>
        </w:rPr>
        <w:t>2.8</w:t>
      </w:r>
      <w:r>
        <w:rPr>
          <w:rFonts w:ascii="Times New Roman;serif" w:hAnsi="Times New Roman;serif"/>
          <w:b w:val="false"/>
          <w:color w:val="000000"/>
          <w:sz w:val="24"/>
          <w:u w:val="single"/>
        </w:rPr>
        <w:t>Reports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4"/>
        </w:rPr>
        <w:t>Since December 31, 2022, the Company has timely filed all reports, registrations, documents, filings, statements and submissions, together with any amendments thereto, that it was required to file with any Governmental Authority (the foregoing, collectively, the “</w:t>
      </w:r>
      <w:r>
        <w:rPr>
          <w:rFonts w:ascii="Times New Roman;serif" w:hAnsi="Times New Roman;serif"/>
          <w:b w:val="false"/>
          <w:color w:val="000000"/>
          <w:sz w:val="24"/>
          <w:u w:val="single"/>
        </w:rPr>
        <w:t>Company Reports</w:t>
      </w:r>
      <w:r>
        <w:rPr>
          <w:color w:val="000000"/>
        </w:rPr>
        <w:t>”</w:t>
      </w:r>
      <w:r>
        <w:rPr>
          <w:rFonts w:ascii="Times New Roman;serif" w:hAnsi="Times New Roman;serif"/>
          <w:b w:val="false"/>
          <w:color w:val="000000"/>
          <w:sz w:val="24"/>
        </w:rPr>
        <w:t>) and has paid all fees and assessments due and payable in connection therewith, except, in each case, as would not, individually or in the aggregate, reasonably be expected to be material to the Company. As of their respective dates of filing, the Company Reports complied in all material respects with all statutes and applicable rules and regulations of the applicable Governmental Authority. In the case of each such Company Report filed with or furnished to the SEC, such Company Report (i) did not, as of its date or if amended prior to the date hereof, as of the date of such amendment, contain an untrue statement of a material fact or omit to state a material fact necessary in order to make the statements made therein, in light of the circumstances under which they were made, not misleading, and (ii) complied as to form in all material respects with the applicable requirements of the Securities Act and the Exchange Act. With respect to all other Company Reports, the Company Reports were complete and accurate in all material respects as of their respective dates. No executive officer of the Company or any Subsidiary has failed in any respect to make the certifications required of him or her under Section 302 or 906 of the Sarbanes-Oxley Act of 2002.</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8650"/>
                <wp:effectExtent l="0" t="0" r="0" b="0"/>
                <wp:wrapNone/>
                <wp:docPr id="46"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4"/>
        </w:rPr>
        <w:t>The Company (i) has implemented and maintains disclosure controls and procedures (as defined in Rule 13a-15(e) of the Exchange Act) to ensure that material information relating to the Company, including its Subsidiaries, is made known to the chief executive officer and the chief financial officer of the Company by others within those entities, and (ii) has disclosed, based on its most recent evaluation prior to the date hereof, to the Company’s outside auditors and the audit committee of the Board of Directors (x) any significant deficiencies and material weaknesses in the design or operation of internal controls over financial reporting (as defined in Rule 13a-15(f) of the Exchange Act) that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4"/>
        </w:rPr>
        <w:t>The financial statements of the Company and its consolidated Subsidiaries included or incorporated by reference in the Company Reports filed with the SEC since December 31, 2022 (the “</w:t>
      </w:r>
      <w:r>
        <w:rPr>
          <w:rFonts w:ascii="Times New Roman;serif" w:hAnsi="Times New Roman;serif"/>
          <w:b w:val="false"/>
          <w:color w:val="000000"/>
          <w:sz w:val="24"/>
          <w:u w:val="single"/>
        </w:rPr>
        <w:t>Company Financial Statements</w:t>
      </w:r>
      <w:r>
        <w:rPr>
          <w:color w:val="000000"/>
        </w:rPr>
        <w:t>”</w:t>
      </w:r>
      <w:r>
        <w:rPr>
          <w:rFonts w:ascii="Times New Roman;serif" w:hAnsi="Times New Roman;serif"/>
          <w:b w:val="false"/>
          <w:color w:val="000000"/>
          <w:sz w:val="24"/>
        </w:rPr>
        <w:t>), present fairly in all material respects the consolidated financial position of the Company and its consolidated Subsidiaries as of the dates indicated therein and the consolidated results of their operations for the periods specified therein. Such financial statements (i) were prepared in conformity with International Financial Reporting Standards (“</w:t>
      </w:r>
      <w:r>
        <w:rPr>
          <w:rFonts w:ascii="Times New Roman;serif" w:hAnsi="Times New Roman;serif"/>
          <w:b w:val="false"/>
          <w:color w:val="000000"/>
          <w:sz w:val="24"/>
          <w:u w:val="single"/>
        </w:rPr>
        <w:t>IFRS</w:t>
      </w:r>
      <w:r>
        <w:rPr>
          <w:color w:val="000000"/>
        </w:rPr>
        <w:t>”</w:t>
      </w:r>
      <w:r>
        <w:rPr>
          <w:rFonts w:ascii="Times New Roman;serif" w:hAnsi="Times New Roman;serif"/>
          <w:b w:val="false"/>
          <w:color w:val="000000"/>
          <w:sz w:val="24"/>
        </w:rPr>
        <w:t>) applied on a consistent basis (except as may be noted therein); (ii) have been prepared from, and are in accordance with, the books and records of the Company and its Subsidiaries; and (iii) complied as to form, as of their respective dates of filing with the SEC, in all material respects with the applicable accounting requirements and with the published rules and regulations of the SEC with respect thereto.</w:t>
      </w:r>
    </w:p>
    <w:p>
      <w:pPr>
        <w:pStyle w:val="TextBody"/>
        <w:bidi w:val="0"/>
        <w:spacing w:lineRule="auto" w:line="240" w:before="0" w:after="240"/>
        <w:ind w:left="0" w:right="0" w:firstLine="720"/>
        <w:jc w:val="left"/>
        <w:rPr/>
      </w:pPr>
      <w:r>
        <w:rPr>
          <w:rFonts w:ascii="Times New Roman;serif" w:hAnsi="Times New Roman;serif"/>
          <w:b w:val="false"/>
          <w:color w:val="000000"/>
          <w:sz w:val="22"/>
        </w:rPr>
        <w:t>2.9</w:t>
      </w:r>
      <w:r>
        <w:rPr>
          <w:rFonts w:ascii="Times New Roman;serif" w:hAnsi="Times New Roman;serif"/>
          <w:b w:val="false"/>
          <w:color w:val="000000"/>
          <w:sz w:val="24"/>
          <w:u w:val="single"/>
        </w:rPr>
        <w:t>Offering of Securities</w:t>
      </w:r>
      <w:r>
        <w:rPr>
          <w:rFonts w:ascii="Times New Roman;serif" w:hAnsi="Times New Roman;serif"/>
          <w:b w:val="false"/>
          <w:color w:val="000000"/>
          <w:sz w:val="24"/>
        </w:rPr>
        <w:t>. Neither the Company nor any person acting on its behalf has taken any action (including any offering of any securities of the Company under circumstances which would require the integration of such offering with the offering of any of the Shares under the Securities Act, and the rules and regulations of the U.S. Securities and Exchange Commission promulgated thereunder), which might subject the issuance of any of the Shares to the Department pursuant to this Agreement to the registration requirements of the Securities Act.</w:t>
      </w:r>
    </w:p>
    <w:p>
      <w:pPr>
        <w:pStyle w:val="TextBody"/>
        <w:bidi w:val="0"/>
        <w:spacing w:lineRule="auto" w:line="240" w:before="0" w:after="240"/>
        <w:ind w:left="0" w:right="0" w:firstLine="720"/>
        <w:jc w:val="left"/>
        <w:rPr/>
      </w:pPr>
      <w:r>
        <w:rPr>
          <w:rFonts w:ascii="Times New Roman;serif" w:hAnsi="Times New Roman;serif"/>
          <w:b w:val="false"/>
          <w:color w:val="000000"/>
          <w:sz w:val="22"/>
        </w:rPr>
        <w:t>2.10</w:t>
      </w:r>
      <w:r>
        <w:rPr>
          <w:rFonts w:ascii="Times New Roman;serif" w:hAnsi="Times New Roman;serif"/>
          <w:b w:val="false"/>
          <w:color w:val="000000"/>
          <w:sz w:val="24"/>
          <w:u w:val="single"/>
        </w:rPr>
        <w:t>Anti-Takeover Provisions and Rights Plan</w:t>
      </w:r>
      <w:r>
        <w:rPr>
          <w:rFonts w:ascii="Times New Roman;serif" w:hAnsi="Times New Roman;serif"/>
          <w:b w:val="false"/>
          <w:color w:val="000000"/>
          <w:sz w:val="24"/>
        </w:rPr>
        <w:t>. The Company and the Board of Directors have taken all necessary action to ensure that the transactions contemplated by this Agreement, including the issuance of the Shares are exempt from any anti-takeover or similar provisions of the Company’s Governance Documents, and any other provisions of any applicable “moratorium”, “control share”, “fair price”, “interested shareholder” or other anti-takeover laws and regulations of any jurisdiction. The Company has taken all actions necessary, if any, to render any shareholders’ rights plan of the Company inapplicable to this Agreement and the consummation of the transactions contemplated hereby and thereby. The Company and the Board of Directors warrant that neither the Company nor the Board of Directors shall, at any time following the date hereof, take any action, adopt any resolution, amend or modify the Company’s Governance Documents, adopt or implement any stockholders’ rights plan, or take or permit any other action that would cause the issuance of the Shares or any of the transactions contemplated by this Agreement (or any other existing agreement between the Company or its Subsidiaries and the Department) to become subject to, or fail to be exempt from, any anti-takeover or similar provisions, including any “moratorium”, “control share”, “fair price”, “interested shareholder” or other anti-takeover laws or regulations of any jurisdiction, or any shareholders’ rights plan, in each case that was not applicable to such issuance or transactions as of the date hereof.</w:t>
      </w:r>
    </w:p>
    <w:p>
      <w:pPr>
        <w:pStyle w:val="TextBody"/>
        <w:bidi w:val="0"/>
        <w:spacing w:lineRule="auto" w:line="240" w:before="0" w:after="240"/>
        <w:ind w:left="0" w:right="0" w:firstLine="720"/>
        <w:jc w:val="left"/>
        <w:rPr/>
      </w:pPr>
      <w:r>
        <w:rPr>
          <w:rFonts w:ascii="Times New Roman;serif" w:hAnsi="Times New Roman;serif"/>
          <w:b w:val="false"/>
          <w:color w:val="000000"/>
          <w:sz w:val="22"/>
        </w:rPr>
        <w:t>2.11</w:t>
      </w:r>
      <w:r>
        <w:rPr>
          <w:rFonts w:ascii="Times New Roman;serif" w:hAnsi="Times New Roman;serif"/>
          <w:b w:val="false"/>
          <w:color w:val="000000"/>
          <w:sz w:val="24"/>
          <w:u w:val="single"/>
        </w:rPr>
        <w:t>Brokers and Finders</w:t>
      </w:r>
      <w:r>
        <w:rPr>
          <w:rFonts w:ascii="Times New Roman;serif" w:hAnsi="Times New Roman;serif"/>
          <w:b w:val="false"/>
          <w:color w:val="000000"/>
          <w:sz w:val="24"/>
        </w:rPr>
        <w:t>. No broker, finder or investment bank is entitled to any financial advisory, brokerage, finder’s or other fee or commission in connection with this Agreement or the Shares or the transactions contemplated hereby or thereby based upon arrangements made by or on behalf of the Company for which the Department could have any liability.</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8650"/>
                <wp:effectExtent l="0" t="0" r="0" b="0"/>
                <wp:wrapNone/>
                <wp:docPr id="47"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2"/>
        </w:rPr>
        <w:t>2.12</w:t>
      </w:r>
      <w:r>
        <w:rPr>
          <w:rFonts w:ascii="Times New Roman;serif" w:hAnsi="Times New Roman;serif"/>
          <w:b w:val="false"/>
          <w:color w:val="000000"/>
          <w:sz w:val="24"/>
          <w:u w:val="single"/>
        </w:rPr>
        <w:t>Listing</w:t>
      </w:r>
      <w:r>
        <w:rPr>
          <w:rFonts w:ascii="Times New Roman;serif" w:hAnsi="Times New Roman;serif"/>
          <w:b w:val="false"/>
          <w:color w:val="000000"/>
          <w:sz w:val="24"/>
        </w:rPr>
        <w:t>. The Ordinary Shares are registered pursuant to Section 12(b) of the Exchange Act and listed on The Nasdaq Global Select Market (the “</w:t>
      </w:r>
      <w:r>
        <w:rPr>
          <w:rFonts w:ascii="Times New Roman;serif" w:hAnsi="Times New Roman;serif"/>
          <w:b w:val="false"/>
          <w:color w:val="000000"/>
          <w:sz w:val="24"/>
          <w:u w:val="single"/>
        </w:rPr>
        <w:t>Exchange</w:t>
      </w:r>
      <w:r>
        <w:rPr>
          <w:color w:val="000000"/>
        </w:rPr>
        <w:t>”</w:t>
      </w:r>
      <w:r>
        <w:rPr>
          <w:rFonts w:ascii="Times New Roman;serif" w:hAnsi="Times New Roman;serif"/>
          <w:b w:val="false"/>
          <w:color w:val="000000"/>
          <w:sz w:val="24"/>
        </w:rPr>
        <w:t>), and the Company has taken no action designed to, or which is reasonably likely to have the effect of, terminating the registration of the Ordinary Shares under the Exchange Act or delisting the Ordinary Shares from the Exchange, nor has the Company received any written notification that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or the Exchange is contemplating terminating such registration or listing. The Company is in compliance with applicable continued listing requirements of the Exchange in all material respects.</w:t>
      </w:r>
    </w:p>
    <w:p>
      <w:pPr>
        <w:pStyle w:val="TextBody"/>
        <w:bidi w:val="0"/>
        <w:spacing w:lineRule="auto" w:line="240" w:before="0" w:after="240"/>
        <w:ind w:left="0" w:right="0" w:firstLine="720"/>
        <w:jc w:val="left"/>
        <w:rPr/>
      </w:pPr>
      <w:r>
        <w:rPr>
          <w:rFonts w:ascii="Times New Roman;serif" w:hAnsi="Times New Roman;serif"/>
          <w:b w:val="false"/>
          <w:color w:val="000000"/>
          <w:sz w:val="22"/>
        </w:rPr>
        <w:t>2.13</w:t>
      </w:r>
      <w:r>
        <w:rPr>
          <w:rFonts w:ascii="Times New Roman;serif" w:hAnsi="Times New Roman;serif"/>
          <w:b w:val="false"/>
          <w:color w:val="000000"/>
          <w:sz w:val="24"/>
          <w:u w:val="single"/>
        </w:rPr>
        <w:t>No Undisclosed Liabilities</w:t>
      </w:r>
      <w:r>
        <w:rPr>
          <w:rFonts w:ascii="Times New Roman;serif" w:hAnsi="Times New Roman;serif"/>
          <w:b w:val="false"/>
          <w:color w:val="000000"/>
          <w:sz w:val="24"/>
        </w:rPr>
        <w:t>.     Neither the Company nor any of its Subsidiaries has any liabilities or obligations of any nature (absolute, accrued, contingent or otherwise) which are not properly reflected or reserved against in the Company Financial Statements to the extent required to be so reflected or reserved against in accordance with IFRS, except for (A) liabilities that have arisen since the last fiscal year end in the ordinary course of business, (B) obligations expressly contemplated by, and fees and expenses payable to the Company’s external representatives for services rendered in connection with, this Agreement and the transactions contemplated hereby or thereby; and (C) liabilities that, individually or in the aggregate, have not had and would not reasonably be expected to have a Material Adverse Effect. The transactions contemplated by this Agreement will not, of themselves, give rise to any defaults or any rights of conversion or redemption under any of the Company’s outstanding debt instruments.</w:t>
      </w:r>
      <w:r>
        <w:rPr>
          <w:color w:val="000000"/>
          <w:u w:val="single"/>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2"/>
        </w:rPr>
        <w:t>2.14</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There is no pending or, to the Company’s knowledge, documented threatened action, suit, proceeding (whether administrative, judicial or otherwise), governmental investigation or arbitration at law or in equity, or before or by any Governmental Authority, domestic or foreign or other regulatory body or any arbitrator that relates to: (a) the legality, validity or enforceability of this Agreement or any transaction contemplated thereby; or (b) has caused, or could reasonably be expected to cause, a Material Adverse Effect.</w:t>
      </w:r>
    </w:p>
    <w:p>
      <w:pPr>
        <w:pStyle w:val="TextBody"/>
        <w:bidi w:val="0"/>
        <w:spacing w:lineRule="auto" w:line="240" w:before="0" w:after="240"/>
        <w:ind w:left="0" w:right="0" w:firstLine="720"/>
        <w:jc w:val="left"/>
        <w:rPr/>
      </w:pPr>
      <w:r>
        <w:rPr>
          <w:rFonts w:ascii="Times New Roman;serif" w:hAnsi="Times New Roman;serif"/>
          <w:b w:val="false"/>
          <w:color w:val="000000"/>
          <w:sz w:val="22"/>
        </w:rPr>
        <w:t>2.15</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The Company and each of its Subsidiaries are, and have been, in compliance with all applicable laws, statutes, rules, regulations, ordinances, judgments, orders and decrees of any governmental or regulatory authority applicable to the conduct of their respective businesses, and possess all licenses, permits, certificates and authorizations necessary to conduct their businesses as currently conducted, except, in each case, as would not, individually or in the aggregate, reasonably be expected to have a Material Adverse Effect.</w:t>
      </w:r>
    </w:p>
    <w:p>
      <w:pPr>
        <w:pStyle w:val="TextBody"/>
        <w:bidi w:val="0"/>
        <w:spacing w:lineRule="auto" w:line="240" w:before="0" w:after="240"/>
        <w:ind w:left="0" w:right="0" w:firstLine="720"/>
        <w:jc w:val="left"/>
        <w:rPr/>
      </w:pPr>
      <w:r>
        <w:rPr>
          <w:rFonts w:ascii="Times New Roman;serif" w:hAnsi="Times New Roman;serif"/>
          <w:b w:val="false"/>
          <w:color w:val="000000"/>
          <w:sz w:val="22"/>
        </w:rPr>
        <w:t>2.16</w:t>
      </w:r>
      <w:r>
        <w:rPr>
          <w:rFonts w:ascii="Times New Roman;serif" w:hAnsi="Times New Roman;serif"/>
          <w:b w:val="false"/>
          <w:color w:val="000000"/>
          <w:sz w:val="24"/>
          <w:u w:val="single"/>
        </w:rPr>
        <w:t>Disclosure</w:t>
      </w:r>
      <w:r>
        <w:rPr>
          <w:rFonts w:ascii="Times New Roman;serif" w:hAnsi="Times New Roman;serif"/>
          <w:b w:val="false"/>
          <w:color w:val="000000"/>
          <w:sz w:val="24"/>
        </w:rPr>
        <w:t>. The Company has made available to the Department all information in the Company’s possession or reasonably available to the Company that the Department has reasonably requested in writing for deciding whether to acquire the Shares. No representation or warranty of the Company contained in this Agreement, as qualified by the Disclosure Schedule, and, to the Company’s knowledge, no certificate furnished or to be furnished to the Department at the Closing contains any untrue statement of a material fact or omits to state a material fact necessary in order to make the statements contained herein or therein not misleading in light of the circumstances under which they were made. It is understood that this representation is qualified by the fact that the Company has not delivered to the Department, and has not been requested to deliver, a private placement or similar memorandum or any written disclosure of the types of information customarily furnished to purchasers of securities.</w:t>
      </w:r>
    </w:p>
    <w:p>
      <w:pPr>
        <w:pStyle w:val="TextBody"/>
        <w:bidi w:val="0"/>
        <w:spacing w:lineRule="auto" w:line="240" w:before="0" w:after="240"/>
        <w:jc w:val="left"/>
        <w:rPr/>
      </w:pPr>
      <w:r>
        <w:rPr>
          <w:rFonts w:ascii="Times New Roman;serif" w:hAnsi="Times New Roman;serif"/>
          <w:b w:val="false"/>
          <w:color w:val="000000"/>
          <w:sz w:val="22"/>
        </w:rPr>
        <w:t>3.</w:t>
      </w:r>
      <w:r>
        <w:rPr>
          <w:rFonts w:ascii="Times New Roman;serif" w:hAnsi="Times New Roman;serif"/>
          <w:b w:val="false"/>
          <w:color w:val="000000"/>
          <w:sz w:val="24"/>
          <w:u w:val="single"/>
        </w:rPr>
        <w:t>Additional Agreements.</w:t>
      </w:r>
    </w:p>
    <w:p>
      <w:pPr>
        <w:pStyle w:val="TextBody"/>
        <w:bidi w:val="0"/>
        <w:spacing w:lineRule="auto" w:line="240" w:before="0" w:after="240"/>
        <w:ind w:left="0" w:right="0" w:firstLine="720"/>
        <w:jc w:val="left"/>
        <w:rPr/>
      </w:pPr>
      <w:r>
        <w:rPr>
          <w:rFonts w:ascii="Times New Roman;serif" w:hAnsi="Times New Roman;serif"/>
          <w:b w:val="false"/>
          <w:color w:val="000000"/>
          <w:sz w:val="22"/>
        </w:rPr>
        <w:t>3.1</w:t>
      </w:r>
      <w:r>
        <w:rPr>
          <w:rFonts w:ascii="Times New Roman;serif" w:hAnsi="Times New Roman;serif"/>
          <w:b w:val="false"/>
          <w:color w:val="000000"/>
          <w:sz w:val="24"/>
          <w:u w:val="single"/>
        </w:rPr>
        <w:t>Investment Purposes</w:t>
      </w:r>
      <w:r>
        <w:rPr>
          <w:rFonts w:ascii="Times New Roman;serif" w:hAnsi="Times New Roman;serif"/>
          <w:b w:val="false"/>
          <w:color w:val="000000"/>
          <w:sz w:val="24"/>
        </w:rPr>
        <w:t xml:space="preserve">. The Department acknowledges that the Shares have not been registered under the Securities Act or under any state securities laws. The Department (a) is acquiring the Shares pursuant to an exemption from registration under the Securities Act solely for investment without a view to sell and with no present intention to distribute them to any person in violation of the Securities Act or any applicable U.S. state securities laws; (b) </w:t>
      </w: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8650"/>
                <wp:effectExtent l="0" t="0" r="0" b="0"/>
                <wp:wrapNone/>
                <wp:docPr id="48"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will not sell or otherwise dispose of any of the Shares, except in compliance with the registration requirements or exemption provisions of the Securities Act and any applicable U.S. state securities laws; and (c) has such knowledge and experience in financial and business matters and in investments of this type that it is capable of evaluating the merits and risks of the Shares and of making an informed investment decision.</w:t>
      </w:r>
    </w:p>
    <w:p>
      <w:pPr>
        <w:pStyle w:val="TextBody"/>
        <w:bidi w:val="0"/>
        <w:spacing w:lineRule="auto" w:line="240" w:before="0" w:after="240"/>
        <w:ind w:left="0" w:right="0" w:firstLine="720"/>
        <w:jc w:val="left"/>
        <w:rPr/>
      </w:pPr>
      <w:r>
        <w:rPr>
          <w:rFonts w:ascii="Times New Roman;serif" w:hAnsi="Times New Roman;serif"/>
          <w:b w:val="false"/>
          <w:color w:val="000000"/>
          <w:sz w:val="22"/>
        </w:rPr>
        <w:t>3.2</w:t>
      </w:r>
      <w:r>
        <w:rPr>
          <w:rFonts w:ascii="Times New Roman;serif" w:hAnsi="Times New Roman;serif"/>
          <w:b w:val="false"/>
          <w:color w:val="000000"/>
          <w:sz w:val="24"/>
          <w:u w:val="single"/>
        </w:rPr>
        <w:t>Legends</w:t>
      </w:r>
      <w:r>
        <w:rPr>
          <w:rFonts w:ascii="Times New Roman;serif" w:hAnsi="Times New Roman;serif"/>
          <w:b w:val="false"/>
          <w:color w:val="000000"/>
          <w:sz w:val="24"/>
        </w:rPr>
        <w:t>. The Department agrees that all certificates or other instruments representing the Shares will bear a legend substantially to the following effect:</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THE SECURITIES REPRESENTED HEREBY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pStyle w:val="TextBody"/>
        <w:bidi w:val="0"/>
        <w:spacing w:lineRule="auto" w:line="288" w:before="0" w:after="240"/>
        <w:jc w:val="left"/>
        <w:rPr/>
      </w:pPr>
      <w:r>
        <w:rPr>
          <w:rFonts w:ascii="Times New Roman;serif" w:hAnsi="Times New Roman;serif"/>
          <w:b w:val="false"/>
          <w:color w:val="000000"/>
          <w:sz w:val="24"/>
        </w:rPr>
        <w:t>In the event that any Shares (a) become registered under the Securities Act or (b) are eligible to be transferred pursuant to Rule 144 without limitation thereunder on volume or manner of sale or another exemption from registration under the Securities Act (other than Rule 144A), the Company, upon request of the Department and receipt of customary representations and documentation reasonably requested by the Company, its outside legal counsel or its transfer agent, shall issue or cause to be recorded new certificates or book-entry notations representing such Shares, which shall not contain the legend above; </w:t>
      </w:r>
      <w:r>
        <w:rPr>
          <w:rFonts w:ascii="Times New Roman;serif" w:hAnsi="Times New Roman;serif"/>
          <w:b w:val="false"/>
          <w:i/>
          <w:color w:val="000000"/>
          <w:sz w:val="24"/>
        </w:rPr>
        <w:t>provided, </w:t>
      </w:r>
      <w:r>
        <w:rPr>
          <w:rFonts w:ascii="Times New Roman;serif" w:hAnsi="Times New Roman;serif"/>
          <w:b w:val="false"/>
          <w:color w:val="000000"/>
          <w:sz w:val="24"/>
        </w:rPr>
        <w:t xml:space="preserve">that the Department surrenders to the Company any previously issued certificates or other instruments; and </w:t>
      </w:r>
      <w:r>
        <w:rPr>
          <w:rFonts w:ascii="Times New Roman;serif" w:hAnsi="Times New Roman;serif"/>
          <w:b w:val="false"/>
          <w:i/>
          <w:color w:val="000000"/>
          <w:sz w:val="24"/>
        </w:rPr>
        <w:t>provided</w:t>
      </w:r>
      <w:r>
        <w:rPr>
          <w:rFonts w:ascii="Times New Roman;serif" w:hAnsi="Times New Roman;serif"/>
          <w:b w:val="false"/>
          <w:color w:val="000000"/>
          <w:sz w:val="24"/>
        </w:rPr>
        <w:t>, further, that the Company shall not be required to remove or cause the removal of any legend if it reasonably believes that such removal could result in or facilitate transfers of securities in violation of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3.3</w:t>
      </w:r>
      <w:r>
        <w:rPr>
          <w:rFonts w:ascii="Times New Roman;serif" w:hAnsi="Times New Roman;serif"/>
          <w:b w:val="false"/>
          <w:color w:val="000000"/>
          <w:sz w:val="24"/>
          <w:u w:val="single"/>
        </w:rPr>
        <w:t>Certain Transactions</w:t>
      </w:r>
      <w:r>
        <w:rPr>
          <w:rFonts w:ascii="Times New Roman;serif" w:hAnsi="Times New Roman;serif"/>
          <w:b w:val="false"/>
          <w:color w:val="000000"/>
          <w:sz w:val="24"/>
        </w:rPr>
        <w:t>. The Company will not merge or consolidate with, or sell, transfer or lease all or substantially all of its property or assets to, any other party unless the successor, transferee or lessee party (or its ultimate parent entity), as the case may be (if not the Company), expressly assumes the due and punctual performance and observance of each and every covenant, agreement and condition of this Agreement to be performed and observed by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2"/>
        </w:rPr>
        <w:t>3.4</w:t>
      </w:r>
      <w:r>
        <w:rPr>
          <w:rFonts w:ascii="Times New Roman;serif" w:hAnsi="Times New Roman;serif"/>
          <w:b w:val="false"/>
          <w:color w:val="000000"/>
          <w:sz w:val="24"/>
          <w:u w:val="single"/>
        </w:rPr>
        <w:t>Transfers</w:t>
      </w:r>
      <w:r>
        <w:rPr>
          <w:rFonts w:ascii="Times New Roman;serif" w:hAnsi="Times New Roman;serif"/>
          <w:b w:val="false"/>
          <w:color w:val="000000"/>
          <w:sz w:val="24"/>
        </w:rPr>
        <w:t xml:space="preserve">. Subject to compliance with applicable securities laws and the remainder of this </w:t>
      </w:r>
      <w:r>
        <w:rPr>
          <w:rFonts w:ascii="Times New Roman;serif" w:hAnsi="Times New Roman;serif"/>
          <w:b w:val="false"/>
          <w:color w:val="000000"/>
          <w:sz w:val="24"/>
          <w:u w:val="single"/>
        </w:rPr>
        <w:t>Section 3.4</w:t>
      </w:r>
      <w:r>
        <w:rPr>
          <w:rFonts w:ascii="Times New Roman;serif" w:hAnsi="Times New Roman;serif"/>
          <w:b w:val="false"/>
          <w:color w:val="000000"/>
          <w:sz w:val="24"/>
        </w:rPr>
        <w:t>, the Department shall be permitted to transfer, sell, assign or otherwise dispose of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xml:space="preserve">) all or a portion of the Shares at any time, and the Company shall take all commercially reasonable steps as may be reasonably requested by the Department to facilitate the Transfer of the Shares;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Department shall not Transfer the Shares in a privately negotiated transaction, to (a) any Competitor or (b) any transferee whose ownership of the Shares would (or could reasonably be expected to) cause the Company to violate any provision under any other then existing agreements with the Department or any applicable law. As a condition precedent to any Transfer of the Shares by the Department in a privately negotiated transaction, any transferee receiving the Shares in accordance with the terms set forth above must agree to be bound by the terms of this Agreement by executing and delivering a joinder to this Agreement. Any Transfer or attempted Transfer in violation of this Section 3.4 shall be void </w:t>
      </w:r>
      <w:r>
        <w:rPr>
          <w:rFonts w:ascii="Times New Roman;serif" w:hAnsi="Times New Roman;serif"/>
          <w:b w:val="false"/>
          <w:i/>
          <w:color w:val="000000"/>
          <w:sz w:val="24"/>
        </w:rPr>
        <w:t>ab initio</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3.5</w:t>
      </w:r>
      <w:r>
        <w:rPr>
          <w:rFonts w:ascii="Times New Roman;serif" w:hAnsi="Times New Roman;serif"/>
          <w:b w:val="false"/>
          <w:color w:val="000000"/>
          <w:sz w:val="24"/>
          <w:u w:val="single"/>
        </w:rPr>
        <w:t>Voting Restrictions for U.S. Governmental Entities</w:t>
      </w:r>
      <w:r>
        <w:rPr>
          <w:rFonts w:ascii="Times New Roman;serif" w:hAnsi="Times New Roman;serif"/>
          <w:b w:val="false"/>
          <w:color w:val="000000"/>
          <w:sz w:val="24"/>
        </w:rPr>
        <w:t>. To the extent any Shares issued to the Department hereunder carry any voting rights (collectively, “</w:t>
      </w:r>
      <w:r>
        <w:rPr>
          <w:rFonts w:ascii="Times New Roman;serif" w:hAnsi="Times New Roman;serif"/>
          <w:b w:val="false"/>
          <w:color w:val="000000"/>
          <w:sz w:val="24"/>
          <w:u w:val="single"/>
        </w:rPr>
        <w:t>Voting Shares</w:t>
      </w:r>
      <w:r>
        <w:rPr>
          <w:color w:val="000000"/>
        </w:rPr>
        <w:t>”</w:t>
      </w:r>
      <w:r>
        <w:rPr>
          <w:rFonts w:ascii="Times New Roman;serif" w:hAnsi="Times New Roman;serif"/>
          <w:b w:val="false"/>
          <w:color w:val="000000"/>
          <w:sz w:val="24"/>
        </w:rPr>
        <w:t xml:space="preserve">), the Department agrees that, for so long as a U.S. governmental entity or instrumentality or department or agency thereof, or an entity in which the U.S. government has a majority and </w:t>
      </w: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8650"/>
                <wp:effectExtent l="0" t="0" r="0" b="0"/>
                <wp:wrapNone/>
                <wp:docPr id="49"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controlling ownership interest (collectively, “</w:t>
      </w:r>
      <w:r>
        <w:rPr>
          <w:rFonts w:ascii="Times New Roman;serif" w:hAnsi="Times New Roman;serif"/>
          <w:b w:val="false"/>
          <w:color w:val="000000"/>
          <w:sz w:val="24"/>
          <w:u w:val="single"/>
        </w:rPr>
        <w:t>U.S. Governmental Entities</w:t>
      </w:r>
      <w:r>
        <w:rPr>
          <w:color w:val="000000"/>
        </w:rPr>
        <w:t>”</w:t>
      </w:r>
      <w:r>
        <w:rPr>
          <w:rFonts w:ascii="Times New Roman;serif" w:hAnsi="Times New Roman;serif"/>
          <w:b w:val="false"/>
          <w:color w:val="000000"/>
          <w:sz w:val="24"/>
        </w:rPr>
        <w:t xml:space="preserve">), owns any such Voting Shares, that such U.S. Governmental Entity shall not be entitled to vote any such Voting Shares at any annual or special meeting of shareholders of the Company or execute or deliver any written consent in its capacity as a holder of such Voting Shares to the greatest extent possible consistent with applicable laws, except with respect to (a) any matter on which such U.S. Governmental Entity is entitled to vote pursuant to amended and restated memorandum and articles of association of the Company that would or would have the effect of increasing or decreasing the aggregate number of authorized shares of such class applicable to such Voting Shares, increasing or decreasing the par value of the shares of such class applicable to such Voting Shares, or altering or changing the powers, preferences, or special rights of the shares of such class applicable to such Voting Shares so as to affect them adversely, or (b) any merger, consolidation or similar business combination involving the Company. For the avoidance of doubt, any transferee of such Voting Shares that is not a U.S. Governmental Entity shall have the full right to vote, or act by written consent with respect to, such equity interests. This </w:t>
      </w:r>
      <w:r>
        <w:rPr>
          <w:rFonts w:ascii="Times New Roman;serif" w:hAnsi="Times New Roman;serif"/>
          <w:b w:val="false"/>
          <w:color w:val="000000"/>
          <w:sz w:val="24"/>
          <w:u w:val="single"/>
        </w:rPr>
        <w:t>Section 3.5</w:t>
      </w:r>
      <w:r>
        <w:rPr>
          <w:color w:val="000000"/>
        </w:rPr>
        <w:t xml:space="preserve"> </w:t>
      </w:r>
      <w:r>
        <w:rPr>
          <w:rFonts w:ascii="Times New Roman;serif" w:hAnsi="Times New Roman;serif"/>
          <w:b w:val="false"/>
          <w:color w:val="000000"/>
          <w:sz w:val="24"/>
        </w:rPr>
        <w:t>shall terminate and be of no further force and effect at such time that no U.S. Governmental Entity owns any such Voting Shares.</w:t>
      </w:r>
    </w:p>
    <w:p>
      <w:pPr>
        <w:pStyle w:val="TextBody"/>
        <w:bidi w:val="0"/>
        <w:spacing w:lineRule="auto" w:line="240" w:before="0" w:after="240"/>
        <w:ind w:left="0" w:right="0" w:firstLine="720"/>
        <w:jc w:val="left"/>
        <w:rPr/>
      </w:pPr>
      <w:r>
        <w:rPr>
          <w:rFonts w:ascii="Times New Roman;serif" w:hAnsi="Times New Roman;serif"/>
          <w:b w:val="false"/>
          <w:color w:val="000000"/>
          <w:sz w:val="22"/>
        </w:rPr>
        <w:t>3.6</w:t>
      </w:r>
      <w:r>
        <w:rPr>
          <w:rFonts w:ascii="Times New Roman;serif" w:hAnsi="Times New Roman;serif"/>
          <w:b w:val="false"/>
          <w:color w:val="000000"/>
          <w:sz w:val="24"/>
          <w:u w:val="single"/>
        </w:rPr>
        <w:t>Exchange Listing Notification</w:t>
      </w:r>
      <w:r>
        <w:rPr>
          <w:rFonts w:ascii="Times New Roman;serif" w:hAnsi="Times New Roman;serif"/>
          <w:b w:val="false"/>
          <w:color w:val="000000"/>
          <w:sz w:val="24"/>
        </w:rPr>
        <w:t>. As promptly as practicable following the Closing (and in any event within the time period required by the applicable rules of the Exchange), the Company shall file with the Exchange the applicable listing of additional shares notification or other required notice in connection with the issuance of the Shares.</w:t>
      </w:r>
    </w:p>
    <w:p>
      <w:pPr>
        <w:pStyle w:val="TextBody"/>
        <w:bidi w:val="0"/>
        <w:spacing w:lineRule="auto" w:line="240" w:before="0" w:after="240"/>
        <w:ind w:left="0" w:right="0" w:firstLine="720"/>
        <w:jc w:val="left"/>
        <w:rPr/>
      </w:pPr>
      <w:r>
        <w:rPr>
          <w:rFonts w:ascii="Times New Roman;serif" w:hAnsi="Times New Roman;serif"/>
          <w:b w:val="false"/>
          <w:color w:val="000000"/>
          <w:sz w:val="22"/>
        </w:rPr>
        <w:t>3.7</w:t>
      </w:r>
      <w:r>
        <w:rPr>
          <w:rFonts w:ascii="Times New Roman;serif" w:hAnsi="Times New Roman;serif"/>
          <w:b w:val="false"/>
          <w:color w:val="000000"/>
          <w:sz w:val="24"/>
          <w:u w:val="single"/>
        </w:rPr>
        <w:t>Information</w:t>
      </w:r>
      <w:r>
        <w:rPr>
          <w:rFonts w:ascii="Times New Roman;serif" w:hAnsi="Times New Roman;serif"/>
          <w:b w:val="false"/>
          <w:color w:val="000000"/>
          <w:sz w:val="24"/>
        </w:rPr>
        <w:t>. With a view to making available to the Department the benefits of certain rules and regulations of the SEC, which may permit the sale of the Registrable Securities to the public without registration, the Company agrees to use commercially reasonable efforts to: (a) make and keep adequate public information available, as those terms are understood and defined in Rule 144(c) or any similar or analogous rule promulgated under the Securities Act, at all times after the date hereof; (b)(i) file with the SEC, in a timely manner, all reports and other documents required of the Company under the Securities Act and the Exchange Act, and (ii) if at any time the Company is not required to file such reports, make available, upon the request of the Department, such information necessary to permit sales pursuant to Rule 144A (including the information required by Rule 144A(d)(4) under the Securities Act); (c) furnish to the Department or holder of Registrable Securities forthwith upon request: a written statement by the Company as to its compliance with the reporting requirements of the Exchange Act and Rule 144(c)(1); a copy of the most recent annual or quarterly report of the Company; and such other reports and documents as the Department or such holder may reasonably request in availing itself of any rule or regulation of the SEC allowing it to sell any such securities to the public without registration; and (d) take such further action as the Department or such holder may reasonably request, all to the extent required from time to time to enable the Department or such holder to sell Registrable Securities without registration under the Securities Act. If the Registrable Securities are eligible to be sold without restriction under, and without the Company being in compliance with the current public information requirements of, Rule 144 under the Securities Act, then at the Department’s request and upon receipt of customary representations and documentation reasonably requested by the Company or its transfer agent, the Company will cause its transfer agent to remove the legend set forth in </w:t>
      </w:r>
      <w:r>
        <w:rPr>
          <w:rFonts w:ascii="Times New Roman;serif" w:hAnsi="Times New Roman;serif"/>
          <w:b w:val="false"/>
          <w:color w:val="000000"/>
          <w:sz w:val="24"/>
          <w:u w:val="single"/>
        </w:rPr>
        <w:t>Section 3.2</w:t>
      </w:r>
      <w:r>
        <w:rPr>
          <w:rFonts w:ascii="Times New Roman;serif" w:hAnsi="Times New Roman;serif"/>
          <w:b w:val="false"/>
          <w:color w:val="000000"/>
          <w:sz w:val="24"/>
        </w:rPr>
        <w:t>. In connection therewith, if required by the Company’s transfer agent, the Company will promptly cause an opinion of counsel to be delivered to and maintained with its transfer agent, together with any other authorizations, certificates and directions required by the transfer agent that authorize and direct the transfer agent to issue such Registrable Securities without any such legend; notwithstanding the foregoing, Company will not be required to deliver any such opinion, authorization, certificate or direction if it reasonably believes that removal of the legend could result in or facilitate transfers of securities in violation of applicable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3.8</w:t>
      </w:r>
      <w:r>
        <w:rPr>
          <w:rFonts w:ascii="Times New Roman;serif" w:hAnsi="Times New Roman;serif"/>
          <w:b w:val="false"/>
          <w:color w:val="000000"/>
          <w:sz w:val="24"/>
          <w:u w:val="single"/>
        </w:rPr>
        <w:t>Registration Rights</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u w:val="single"/>
        </w:rPr>
        <w:t>Registration</w:t>
      </w:r>
      <w:r>
        <w:rPr>
          <w:rFonts w:ascii="Times New Roman;serif" w:hAnsi="Times New Roman;serif"/>
          <w:b w:val="false"/>
          <w:color w:val="000000"/>
          <w:sz w:val="24"/>
        </w:rPr>
        <w:t xml:space="preserve">. Subject to the terms and conditions of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the Company shall use commercially reasonable efforts to file by the date that is six (6) </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8650"/>
                <wp:effectExtent l="0" t="0" r="0" b="0"/>
                <wp:wrapNone/>
                <wp:docPr id="50"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months after the date of this Agreement (the “</w:t>
      </w:r>
      <w:r>
        <w:rPr>
          <w:rFonts w:ascii="Times New Roman;serif" w:hAnsi="Times New Roman;serif"/>
          <w:b w:val="false"/>
          <w:color w:val="000000"/>
          <w:sz w:val="24"/>
          <w:u w:val="single"/>
        </w:rPr>
        <w:t>Filing Date</w:t>
      </w:r>
      <w:r>
        <w:rPr>
          <w:color w:val="000000"/>
        </w:rPr>
        <w:t>”</w:t>
      </w:r>
      <w:r>
        <w:rPr>
          <w:rFonts w:ascii="Times New Roman;serif" w:hAnsi="Times New Roman;serif"/>
          <w:b w:val="false"/>
          <w:color w:val="000000"/>
          <w:sz w:val="24"/>
        </w:rPr>
        <w:t>) a Shelf Registration Statement with the SEC covering the resale of the Registrable Securities on Form F-3 (except if the Company is not then eligible to register for resale the Registrable Securities on Form F-3, then such registration shall be on Form F-1 or another appropriate form and shall provide for the registration of such Registrable Securities for resale by the Holders in accordance with any reasonable method of distribution elected by the Holders)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xml:space="preserve">), and, to the extent the Registration Statement has not theretofore been declared effective or is not automatically effective upon such filing, the Company shall use commercially reasonable efforts to cause the Registration Statement to be declared or become effective and to keep the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Registration Statement (or a new Shelf Registration Statement) if the initial Registration Statement expires); </w:t>
      </w:r>
      <w:r>
        <w:rPr>
          <w:rFonts w:ascii="Times New Roman;serif" w:hAnsi="Times New Roman;serif"/>
          <w:b w:val="false"/>
          <w:i/>
          <w:color w:val="000000"/>
          <w:sz w:val="24"/>
        </w:rPr>
        <w:t>provided</w:t>
      </w:r>
      <w:r>
        <w:rPr>
          <w:rFonts w:ascii="Times New Roman;serif" w:hAnsi="Times New Roman;serif"/>
          <w:b w:val="false"/>
          <w:color w:val="000000"/>
          <w:sz w:val="24"/>
        </w:rPr>
        <w:t>, however, that the Company’s obligation to file a Shelf Registration Statement pursuant to this Section 3.8 shall be deemed satisfied if, as of the Filing Date, there exists a Shelf Registration Statement (including an Automatic Shelf Registration Statement (as defined in Rule 405 under the Securities Act)) previously filed by the Company that covers the resale of the Registrable Securities, and the Company files a prospectus supplement to such existing Shelf Registration Statement to register the resale of the Registrable Securities thereunder no later than the Filing Date (and references herein to the “Registration Statement” shall include any such existing Shelf Registration Statement, as supplemented). If the Company is a well-known seasoned issuer (as defined in Rule 405 under the Securities Act) at the time of filing the Registration Statement with the SEC, the Registration Statement shall be designated as an Automatic Shelf Registration Statement. The Company shall use its commercially reasonable efforts to have the Registration Statement declared effective as soon as practicable after the filing thereof, but no later than the earlier of (i) the forty-fifth (45</w:t>
      </w:r>
      <w:r>
        <w:rPr>
          <w:rFonts w:ascii="Times New Roman;serif" w:hAnsi="Times New Roman;serif"/>
          <w:b w:val="false"/>
          <w:color w:val="000000"/>
          <w:sz w:val="16"/>
        </w:rPr>
        <w:t>th</w:t>
      </w:r>
      <w:r>
        <w:rPr>
          <w:rFonts w:ascii="Times New Roman;serif" w:hAnsi="Times New Roman;serif"/>
          <w:b w:val="false"/>
          <w:color w:val="000000"/>
          <w:sz w:val="24"/>
        </w:rPr>
        <w:t>) calendar day (or ninetieth (90</w:t>
      </w:r>
      <w:r>
        <w:rPr>
          <w:rFonts w:ascii="Times New Roman;serif" w:hAnsi="Times New Roman;serif"/>
          <w:b w:val="false"/>
          <w:color w:val="000000"/>
          <w:sz w:val="16"/>
        </w:rPr>
        <w:t>th</w:t>
      </w:r>
      <w:r>
        <w:rPr>
          <w:rFonts w:ascii="Times New Roman;serif" w:hAnsi="Times New Roman;serif"/>
          <w:b w:val="false"/>
          <w:color w:val="000000"/>
          <w:sz w:val="24"/>
        </w:rPr>
        <w:t>) calendar day if the SEC notifies the Company that it will “review” the Registration Statement) following the Filing Date and (ii)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after the date the Company is notified (orally or in writing, whichever is earlier) by the SEC that the Registration Statement will not be “reviewed” or will not be subject to further review. If any Holder intends to distribute any Registrable Securities by means of an underwritten offering it shall promptly advise the Company and the Company shall take all reasonable steps to facilitate such distribution, including the actions required pursuant to </w:t>
      </w:r>
      <w:r>
        <w:rPr>
          <w:rFonts w:ascii="Times New Roman;serif" w:hAnsi="Times New Roman;serif"/>
          <w:b w:val="false"/>
          <w:color w:val="000000"/>
          <w:sz w:val="24"/>
          <w:u w:val="single"/>
        </w:rPr>
        <w:t>Section 3.8(c)</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shall not be required to facilitate more than one completed underwritten offering within any 12-month period and the Company shall not be required to facilitate an underwritten offering unless the total number of shares of Ordinary Shares expected to be sold in such offering exceeds at least twenty percent (20%) of the total number of Shares issued under this Agreement. The lead underwriters in any such distribution shall be selected by the Holders of a majority of the Registrable Securities to be distributed and shall be reasonably acceptable to the Company. The Company shall not be required to effect a registration (including a resale of Registrable Securities from an effective Registration Statement): (A) prior to the Filing Date; (B) with respect to securities that are not Registrable Securities; or (C) if the Company has notified the Holders that in the good faith judgment of the Board of Directors, it would be materially detrimental to the Company or its securityholders for such registration to be effected at such time, in which event the Company shall have the right to defer such registration for a period of not more than forty-five (45) days after receipt of the request of the applicable Holder;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right to delay a registration shall be exercised by the Company (x) only if the Company has generally </w:t>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8650"/>
                <wp:effectExtent l="0" t="0" r="0" b="0"/>
                <wp:wrapNone/>
                <wp:docPr id="51"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exercised (or is concurrently exercising) similar black-out rights against holders of any similar securities that have registration rights and (y) not more than three times in any 12-month period and not more than ninety (90) days in the aggregate in any 12-month period. The Company shall notify the Holders of the date of any anticipated termination of any such deferral period prior to such date.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Piggyback Registration Rights</w:t>
      </w:r>
      <w:r>
        <w:rPr>
          <w:rFonts w:ascii="Times New Roman;serif" w:hAnsi="Times New Roman;serif"/>
          <w:b w:val="false"/>
          <w:color w:val="000000"/>
          <w:sz w:val="24"/>
        </w:rPr>
        <w:t xml:space="preserve">. If during any period when an effective Shelf Registration Statement is not available, the Company proposes to register any of its equity securities, other than a registration pursuant to </w:t>
      </w:r>
      <w:r>
        <w:rPr>
          <w:rFonts w:ascii="Times New Roman;serif" w:hAnsi="Times New Roman;serif"/>
          <w:b w:val="false"/>
          <w:color w:val="000000"/>
          <w:sz w:val="24"/>
          <w:u w:val="single"/>
        </w:rPr>
        <w:t>Section 3.8(a),</w:t>
      </w:r>
      <w:r>
        <w:rPr>
          <w:color w:val="000000"/>
        </w:rPr>
        <w:t xml:space="preserve"> </w:t>
      </w:r>
      <w:r>
        <w:rPr>
          <w:rFonts w:ascii="Times New Roman;serif" w:hAnsi="Times New Roman;serif"/>
          <w:b w:val="false"/>
          <w:color w:val="000000"/>
          <w:sz w:val="24"/>
        </w:rPr>
        <w:t>a registration solely for parties to the Mubadala Registration Rights Agreement (as defined below), a Special Registration or a registration related to an at-the-market offering program, and the registration form to be filed may be used for the registration or qualification for distribution of Registrable Securities (all such Company registrations and offerings, the “</w:t>
      </w:r>
      <w:r>
        <w:rPr>
          <w:rFonts w:ascii="Times New Roman;serif" w:hAnsi="Times New Roman;serif"/>
          <w:b w:val="false"/>
          <w:color w:val="000000"/>
          <w:sz w:val="24"/>
          <w:u w:val="single"/>
        </w:rPr>
        <w:t>Eligible Company Equity Transactions</w:t>
      </w:r>
      <w:r>
        <w:rPr>
          <w:color w:val="000000"/>
        </w:rPr>
        <w:t>”</w:t>
      </w:r>
      <w:r>
        <w:rPr>
          <w:rFonts w:ascii="Times New Roman;serif" w:hAnsi="Times New Roman;serif"/>
          <w:b w:val="false"/>
          <w:color w:val="000000"/>
          <w:sz w:val="24"/>
        </w:rPr>
        <w:t>), the Company will give prompt written notice to the Department and all other Holders of its intention to effect such a registration or conduct such an offering (but in no event less than fifteen (15) calendar days prior to the anticipated filing date) and will include in such registration all Registrable Securities with respect to which the Company has received written requests for inclusion therein within ten (10) Business Days after the date of the Company’s notice (a “</w:t>
      </w:r>
      <w:r>
        <w:rPr>
          <w:rFonts w:ascii="Times New Roman;serif" w:hAnsi="Times New Roman;serif"/>
          <w:b w:val="false"/>
          <w:color w:val="000000"/>
          <w:sz w:val="24"/>
          <w:u w:val="single"/>
        </w:rPr>
        <w:t>Piggyback Registration</w:t>
      </w:r>
      <w:r>
        <w:rPr>
          <w:color w:val="000000"/>
        </w:rPr>
        <w:t>”</w:t>
      </w:r>
      <w:r>
        <w:rPr>
          <w:rFonts w:ascii="Times New Roman;serif" w:hAnsi="Times New Roman;serif"/>
          <w:b w:val="false"/>
          <w:color w:val="000000"/>
          <w:sz w:val="24"/>
        </w:rPr>
        <w:t>). For the avoidance of doubt, the Holders shall have piggyback registration rights only with respect to Eligible Company Equity Transactions and shall not have any piggyback registration rights under this Agreement in respect of any registration or offering of equity securities initiated by the parties to the Mubadala Registration Rights Agreement. Any Holder that has made such a written request may withdraw its Registrable Securities from such Piggyback Registration by giving written notice to the Company and the lead managing underwriter, if any, on or before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prior to the planned effective date of such Piggyback Registration. The Company may terminate or withdraw any registration under this </w:t>
      </w:r>
      <w:r>
        <w:rPr>
          <w:rFonts w:ascii="Times New Roman;serif" w:hAnsi="Times New Roman;serif"/>
          <w:b w:val="false"/>
          <w:color w:val="000000"/>
          <w:sz w:val="24"/>
          <w:u w:val="single"/>
        </w:rPr>
        <w:t>Section 3.8(b)</w:t>
      </w:r>
      <w:r>
        <w:rPr>
          <w:color w:val="000000"/>
        </w:rPr>
        <w:t xml:space="preserve"> </w:t>
      </w:r>
      <w:r>
        <w:rPr>
          <w:rFonts w:ascii="Times New Roman;serif" w:hAnsi="Times New Roman;serif"/>
          <w:b w:val="false"/>
          <w:color w:val="000000"/>
          <w:sz w:val="24"/>
        </w:rPr>
        <w:t>prior to the effectiveness of such registration, whether or not any Holder has elected to include Registrable Securities in such registration. If, in connection with a Piggyback Registration that involves an underwritten offering, the lead managing underwriter advises the Company in writing that, in its or their opinion, the inclusion of all the securities sought to be included in such underwritten offering would adversely affect the probability of success, the proposed offering price, the timing or the distribution method thereof, then the Company shall include in such underwritten offering (and in the registration statement applicable to such Piggyback Registration) only such securities as the Company is so advised by such lead managing underwriter can be sold without such an effect, in the following order of priority: (1) if the Piggyback Registration relates to an offering for the Company’s own account, then (A) first, such number of shares of equity securities to be sold by the Company as the Company, in its reasonable judgment, shall have determined, (B) second, shares held by holders having piggyback registration rights pursuant to the Registration Rights Agreement, dated as of November 1, 2021, among the Company, Mubadala Technology Investment Company, and MTI International Investment Company LLC (collectively, “Mubadala,” and such agreement as amended from time to time, the “</w:t>
      </w:r>
      <w:r>
        <w:rPr>
          <w:rFonts w:ascii="Times New Roman;serif" w:hAnsi="Times New Roman;serif"/>
          <w:b w:val="false"/>
          <w:color w:val="000000"/>
          <w:sz w:val="24"/>
          <w:u w:val="single"/>
        </w:rPr>
        <w:t>Mubadala Registration Rights Agreement</w:t>
      </w:r>
      <w:r>
        <w:rPr>
          <w:color w:val="000000"/>
        </w:rPr>
        <w:t>”</w:t>
      </w:r>
      <w:r>
        <w:rPr>
          <w:rFonts w:ascii="Times New Roman;serif" w:hAnsi="Times New Roman;serif"/>
          <w:b w:val="false"/>
          <w:color w:val="000000"/>
          <w:sz w:val="24"/>
        </w:rPr>
        <w:t xml:space="preserve">), (C) third, a pro rata number of shares consisting of (x) Registrable Securities of the Holders and (y) shares held by any other persons having rights of registration on parity with the Holders with respect to such offering (in each case, based on the number of shares of equity securities properly requested to be included in such offering), and (D) fourth, shares of equity securities sought to be registered by holders not otherwise encompassed by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3.8(b)</w:t>
      </w:r>
      <w:r>
        <w:rPr>
          <w:color w:val="000000"/>
        </w:rPr>
        <w:t xml:space="preserve"> </w:t>
      </w:r>
      <w:r>
        <w:rPr>
          <w:rFonts w:ascii="Times New Roman;serif" w:hAnsi="Times New Roman;serif"/>
          <w:b w:val="false"/>
          <w:color w:val="000000"/>
          <w:sz w:val="24"/>
        </w:rPr>
        <w:t>(such priority order, the “</w:t>
      </w:r>
      <w:r>
        <w:rPr>
          <w:rFonts w:ascii="Times New Roman;serif" w:hAnsi="Times New Roman;serif"/>
          <w:b w:val="false"/>
          <w:color w:val="000000"/>
          <w:sz w:val="24"/>
          <w:u w:val="single"/>
        </w:rPr>
        <w:t>Offering Cutback Order of Priority</w:t>
      </w:r>
      <w:r>
        <w:rPr>
          <w:color w:val="000000"/>
        </w:rPr>
        <w:t>”</w:t>
      </w:r>
      <w:r>
        <w:rPr>
          <w:rFonts w:ascii="Times New Roman;serif" w:hAnsi="Times New Roman;serif"/>
          <w:b w:val="false"/>
          <w:color w:val="000000"/>
          <w:sz w:val="24"/>
        </w:rPr>
        <w:t xml:space="preserve">); or (2) if the Piggyback </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8650"/>
                <wp:effectExtent l="0" t="0" r="0" b="0"/>
                <wp:wrapNone/>
                <wp:docPr id="52"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Registration relates to an offering other than for the Company’s own account (or the account of a party to the Mubadala Registration Rights Agreement), then (A) first, shares held by holders having piggyback registration rights pursuant to the Mubadala Registration Rights Agreement, (B) second, the Registrable Securities of the Holders and shares of equity securities sought to be registered by persons having rights of registration on parity with the Holders (pro rata on the basis of shares properly requested), (C) third, shares of equity securities to be sold by the Company, and (D) fourth, any remaining shares. Notwithstanding any of the foregoing, the Holders shall be entitled to include in any offering for the Company’s own account pursuant to subclause (1) above an amount of Registrable Securities representing not less than 5% of the total securities included in such underwritten offering (or such lesser amount as represents all of the Registrable Securities requested to be included by such Holders) without regard to the Offering Cutback Order of Priority (such amount, the “</w:t>
      </w:r>
      <w:r>
        <w:rPr>
          <w:rFonts w:ascii="Times New Roman;serif" w:hAnsi="Times New Roman;serif"/>
          <w:b w:val="false"/>
          <w:color w:val="000000"/>
          <w:sz w:val="24"/>
          <w:u w:val="single"/>
        </w:rPr>
        <w:t>Minimum Guaranteed Allotment</w:t>
      </w:r>
      <w:r>
        <w:rPr>
          <w:color w:val="000000"/>
        </w:rPr>
        <w:t>”</w:t>
      </w:r>
      <w:r>
        <w:rPr>
          <w:rFonts w:ascii="Times New Roman;serif" w:hAnsi="Times New Roman;serif"/>
          <w:b w:val="false"/>
          <w:color w:val="000000"/>
          <w:sz w:val="24"/>
        </w:rPr>
        <w:t xml:space="preserve">). In the event any Holders desire to include an amount of Registrable Securities beyond the Minimum Guaranteed Allotment, the Offering Cutback Order of Priority shall apply to the amount of Registrable Securities in excess of the Minimum Guaranteed Allotment, as applicable.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Expenses of Registration</w:t>
      </w:r>
      <w:r>
        <w:rPr>
          <w:rFonts w:ascii="Times New Roman;serif" w:hAnsi="Times New Roman;serif"/>
          <w:b w:val="false"/>
          <w:color w:val="000000"/>
          <w:sz w:val="24"/>
        </w:rPr>
        <w:t xml:space="preserve">. All Registration Expenses incurred in connection with any registration, qualification or compliance pursuant to this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shall be borne by the Company. All Selling Expenses incurred in connection with any registrations pursuant to this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shall be borne by the Holders of the securities so registered pro rata on the basis of the aggregate offering or sale price of the securities so registered.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4"/>
          <w:u w:val="single"/>
        </w:rPr>
        <w:t>Obligations of the Company</w:t>
      </w:r>
      <w:r>
        <w:rPr>
          <w:rFonts w:ascii="Times New Roman;serif" w:hAnsi="Times New Roman;serif"/>
          <w:b w:val="false"/>
          <w:color w:val="000000"/>
          <w:sz w:val="24"/>
        </w:rPr>
        <w:t>. The Company shall use commercially reasonable efforts, for so long as there are Registrable Securities outstanding, to take such actions as are under its control to not become an ineligible issuer (as defined in Rule 405 under the Securities Act) and to remain a well-known seasoned issuer (as defined in Rule 405 under the Securities Act) if it has such status on the date hereof or becomes eligible for such status in the future. In addition, whenever required to effect the registration of any Registrable Securities or facilitate the distribution of Registrable Securities pursuant to an effective Shelf Registration Statement, the Company shall, as expeditiously as reasonably practicable:</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4"/>
        </w:rPr>
        <w:t xml:space="preserve">Prepare and file with the SEC a prospectus supplement with respect to a proposed offering of Registrable Securities pursuant to an effective registration statement, subject to </w:t>
      </w:r>
      <w:r>
        <w:rPr>
          <w:rFonts w:ascii="Times New Roman;serif" w:hAnsi="Times New Roman;serif"/>
          <w:b w:val="false"/>
          <w:color w:val="000000"/>
          <w:sz w:val="24"/>
          <w:u w:val="single"/>
        </w:rPr>
        <w:t>Section 3.8(e)</w:t>
      </w:r>
      <w:r>
        <w:rPr>
          <w:rFonts w:ascii="Times New Roman;serif" w:hAnsi="Times New Roman;serif"/>
          <w:b w:val="false"/>
          <w:color w:val="000000"/>
          <w:sz w:val="24"/>
        </w:rPr>
        <w:t>, keep such registration statement effective and keep such prospectus supplement current until the securities described therein are no longer Registrable Securities. The plan of distribution included in such registration statement, or applicable prospectus supplement, shall include, among other things, an underwritten offering, ordinary brokerage transactions and transactions in which the broker-dealer solicits purchasers, block trades, privately negotiated transactions, the writing or settlement of options or other derivative transactions and any other method permitted pursuant to applicable law, and any combination thereof.</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4"/>
        </w:rPr>
        <w:t>Prepare and file with the SEC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4"/>
        </w:rPr>
        <w:t xml:space="preserve">Furnish to the Holders and any underwriters such number of copies of the applicable registration statement and each such amendment and supplement </w:t>
      </w: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8650"/>
                <wp:effectExtent l="0" t="0" r="0" b="0"/>
                <wp:wrapNone/>
                <wp:docPr id="53"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thereto (including in each case all exhibits) and of a prospectus, including a preliminary prospectus, in conformity with the requirements of the Securities Act, and such other documents as they may reasonably request in order to facilitate the disposition of Registrable Securities owned or to be distributed by them.</w:t>
      </w:r>
    </w:p>
    <w:p>
      <w:pPr>
        <w:pStyle w:val="TextBody"/>
        <w:bidi w:val="0"/>
        <w:spacing w:lineRule="auto" w:line="240"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4"/>
        </w:rPr>
        <w:t xml:space="preserve">Use commercially reasonable efforts to register and qualify the securities covered by such registration statement under such other securities or “blue sky” laws of such jurisdictions as shall be reasonably requested by the Holders or any managing underwriter,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Company shall not be required in connection therewith or as a condition thereto to qualify to do business or to file a general consent to service of process in any such states or jurisdictions.</w:t>
      </w:r>
    </w:p>
    <w:p>
      <w:pPr>
        <w:pStyle w:val="TextBody"/>
        <w:bidi w:val="0"/>
        <w:spacing w:lineRule="auto" w:line="240" w:before="0" w:after="240"/>
        <w:ind w:left="0" w:right="0" w:firstLine="2160"/>
        <w:jc w:val="left"/>
        <w:rPr/>
      </w:pPr>
      <w:r>
        <w:rPr>
          <w:rFonts w:ascii="Times New Roman;serif" w:hAnsi="Times New Roman;serif"/>
          <w:b w:val="false"/>
          <w:color w:val="000000"/>
          <w:sz w:val="22"/>
        </w:rPr>
        <w:t>(v)</w:t>
      </w:r>
      <w:r>
        <w:rPr>
          <w:rFonts w:ascii="Times New Roman;serif" w:hAnsi="Times New Roman;serif"/>
          <w:b w:val="false"/>
          <w:color w:val="000000"/>
          <w:sz w:val="24"/>
        </w:rPr>
        <w:t>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pStyle w:val="TextBody"/>
        <w:bidi w:val="0"/>
        <w:spacing w:lineRule="auto" w:line="240" w:before="0" w:after="240"/>
        <w:ind w:left="0" w:right="0" w:firstLine="2160"/>
        <w:jc w:val="left"/>
        <w:rPr/>
      </w:pPr>
      <w:r>
        <w:rPr>
          <w:rFonts w:ascii="Times New Roman;serif" w:hAnsi="Times New Roman;serif"/>
          <w:b w:val="false"/>
          <w:color w:val="000000"/>
          <w:sz w:val="22"/>
        </w:rPr>
        <w:t>(vi)</w:t>
      </w:r>
      <w:r>
        <w:rPr>
          <w:rFonts w:ascii="Times New Roman;serif" w:hAnsi="Times New Roman;serif"/>
          <w:b w:val="false"/>
          <w:color w:val="000000"/>
          <w:sz w:val="24"/>
        </w:rPr>
        <w:t xml:space="preserve">Give written notice to the Holders: (A) when any registration statement filed pursuant to this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or any amendment thereto has been filed with the SEC and when such registration statement or any post-effective amendment thereto has become effective; (B) of any request by the SEC for amendments or supplements to any registration statement or the prospectus included therein or for additional information; (C) of the issuance by the SEC of any stop order suspending the effectiveness of any registration statement or the initiation of any proceedings for that purpose; (D) of the receipt by the Company or its legal counsel of any notification with respect to the suspension of the qualification of the Ordinary Shares for sale in any jurisdiction or the initiation or threatening of any proceeding for such purpose; and (E) of the happening of any event that requires the Company to make changes in any effective registration statement or the prospectus related to the registration statement in order to make the statements therein not misleading (which notice shall be accompanied by an instruction to suspend the use of the prospectus until the requisite changes have been made).</w:t>
      </w:r>
    </w:p>
    <w:p>
      <w:pPr>
        <w:pStyle w:val="TextBody"/>
        <w:bidi w:val="0"/>
        <w:spacing w:lineRule="auto" w:line="240" w:before="0" w:after="240"/>
        <w:ind w:left="0" w:right="0" w:firstLine="2160"/>
        <w:jc w:val="left"/>
        <w:rPr/>
      </w:pPr>
      <w:r>
        <w:rPr>
          <w:rFonts w:ascii="Times New Roman;serif" w:hAnsi="Times New Roman;serif"/>
          <w:b w:val="false"/>
          <w:color w:val="000000"/>
          <w:sz w:val="22"/>
        </w:rPr>
        <w:t>(vii)</w:t>
      </w:r>
      <w:r>
        <w:rPr>
          <w:rFonts w:ascii="Times New Roman;serif" w:hAnsi="Times New Roman;serif"/>
          <w:b w:val="false"/>
          <w:color w:val="000000"/>
          <w:sz w:val="24"/>
        </w:rPr>
        <w:t>Use commercially reasonable efforts to prevent the issuance of, or obtain the withdrawal of, any stop order suspending the effectiveness of any registration statement at the earliest practicable time.</w:t>
      </w:r>
    </w:p>
    <w:p>
      <w:pPr>
        <w:pStyle w:val="TextBody"/>
        <w:bidi w:val="0"/>
        <w:spacing w:lineRule="auto" w:line="240" w:before="0" w:after="240"/>
        <w:ind w:left="0" w:right="0" w:firstLine="2160"/>
        <w:jc w:val="left"/>
        <w:rPr/>
      </w:pPr>
      <w:r>
        <w:rPr>
          <w:rFonts w:ascii="Times New Roman;serif" w:hAnsi="Times New Roman;serif"/>
          <w:b w:val="false"/>
          <w:color w:val="000000"/>
          <w:sz w:val="22"/>
        </w:rPr>
        <w:t>(viii)</w:t>
      </w:r>
      <w:r>
        <w:rPr>
          <w:rFonts w:ascii="Times New Roman;serif" w:hAnsi="Times New Roman;serif"/>
          <w:b w:val="false"/>
          <w:color w:val="000000"/>
          <w:sz w:val="24"/>
        </w:rPr>
        <w:t xml:space="preserve">Upon the occurrence of any event contemplated by </w:t>
      </w:r>
      <w:r>
        <w:rPr>
          <w:rFonts w:ascii="Times New Roman;serif" w:hAnsi="Times New Roman;serif"/>
          <w:b w:val="false"/>
          <w:color w:val="000000"/>
          <w:sz w:val="24"/>
          <w:u w:val="single"/>
        </w:rPr>
        <w:t>Section 3.8(d)(v)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3.8(d)(vi)(E)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3.8(f)</w:t>
      </w:r>
      <w:r>
        <w:rPr>
          <w:rFonts w:ascii="Times New Roman;serif" w:hAnsi="Times New Roman;serif"/>
          <w:b w:val="false"/>
          <w:color w:val="000000"/>
          <w:sz w:val="24"/>
        </w:rPr>
        <w:t xml:space="preserve">, promptly prepare a post-effective amendment to such registration statement or a supplement to the related prospectus or file any other required document so that, as thereafter delivered to the Holders and any underwriters, the prospectus will not contain an untrue statement of a material fact or omit to state any material fact necessary to make the statements therein not misleading. If the Company notifies the Holders in accordance with </w:t>
      </w:r>
      <w:r>
        <w:rPr>
          <w:rFonts w:ascii="Times New Roman;serif" w:hAnsi="Times New Roman;serif"/>
          <w:b w:val="false"/>
          <w:color w:val="000000"/>
          <w:sz w:val="24"/>
          <w:u w:val="single"/>
        </w:rPr>
        <w:t>Section 3.8(d)(vi)(E)</w:t>
      </w:r>
      <w:r>
        <w:rPr>
          <w:color w:val="000000"/>
        </w:rPr>
        <w:t xml:space="preserve"> </w:t>
      </w:r>
      <w:r>
        <w:rPr>
          <w:rFonts w:ascii="Times New Roman;serif" w:hAnsi="Times New Roman;serif"/>
          <w:b w:val="false"/>
          <w:color w:val="000000"/>
          <w:sz w:val="24"/>
        </w:rPr>
        <w:t>to suspend the use of the prospectus until the requisite changes have been made, then the Holders and any underwriters shall suspend use of such prospectus and use their reasonable best efforts to return to the Company all copies of such prospectus (at the Company’s expense) other than permanent file copies then in such Holders’ or underwriters’ possession. The total number of days that any such suspension may be in effect in any 12-month period shall not exceed ninety (90) days. The Company shall notify the Holders of the date of any anticipated termination of any such suspension period prior to such date.</w:t>
      </w:r>
    </w:p>
    <w:p>
      <w:pPr>
        <w:pStyle w:val="TextBody"/>
        <w:bidi w:val="0"/>
        <w:spacing w:lineRule="auto" w:line="240" w:before="0" w:after="240"/>
        <w:ind w:left="0" w:right="0" w:firstLine="2160"/>
        <w:jc w:val="left"/>
        <w:rPr/>
      </w:pPr>
      <w:r>
        <w:rPr>
          <w:rFonts w:ascii="Times New Roman;serif" w:hAnsi="Times New Roman;serif"/>
          <w:b w:val="false"/>
          <w:color w:val="000000"/>
          <w:sz w:val="22"/>
        </w:rPr>
        <w:t>(ix)</w:t>
      </w:r>
      <w:r>
        <w:rPr>
          <w:rFonts w:ascii="Times New Roman;serif" w:hAnsi="Times New Roman;serif"/>
          <w:b w:val="false"/>
          <w:color w:val="000000"/>
          <w:sz w:val="24"/>
        </w:rPr>
        <w:t xml:space="preserve">Use commercially reasonable efforts to procure the cooperation of the Company’s transfer agent in settling any offering or sale of Registrable Securities, </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8650"/>
                <wp:effectExtent l="0" t="0" r="0" b="0"/>
                <wp:wrapNone/>
                <wp:docPr id="54"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including with respect to the transfer of physical stock certificates into book-entry form in accordance with any procedures reasonably requested by the Holders or any managing underwriter.</w:t>
      </w:r>
    </w:p>
    <w:p>
      <w:pPr>
        <w:pStyle w:val="TextBody"/>
        <w:bidi w:val="0"/>
        <w:spacing w:lineRule="auto" w:line="240" w:before="0" w:after="240"/>
        <w:ind w:left="0" w:right="0" w:firstLine="2160"/>
        <w:jc w:val="left"/>
        <w:rPr/>
      </w:pPr>
      <w:r>
        <w:rPr>
          <w:rFonts w:ascii="Times New Roman;serif" w:hAnsi="Times New Roman;serif"/>
          <w:b w:val="false"/>
          <w:color w:val="000000"/>
          <w:sz w:val="22"/>
        </w:rPr>
        <w:t>(x)</w:t>
      </w:r>
      <w:r>
        <w:rPr>
          <w:rFonts w:ascii="Times New Roman;serif" w:hAnsi="Times New Roman;serif"/>
          <w:b w:val="false"/>
          <w:color w:val="000000"/>
          <w:sz w:val="24"/>
        </w:rPr>
        <w:t xml:space="preserve">If an underwritten offering is requested pursuant to </w:t>
      </w:r>
      <w:r>
        <w:rPr>
          <w:rFonts w:ascii="Times New Roman;serif" w:hAnsi="Times New Roman;serif"/>
          <w:b w:val="false"/>
          <w:color w:val="000000"/>
          <w:sz w:val="24"/>
          <w:u w:val="single"/>
        </w:rPr>
        <w:t>Section 3.8(a)</w:t>
      </w:r>
      <w:r>
        <w:rPr>
          <w:rFonts w:ascii="Times New Roman;serif" w:hAnsi="Times New Roman;serif"/>
          <w:b w:val="false"/>
          <w:color w:val="000000"/>
          <w:sz w:val="24"/>
        </w:rPr>
        <w:t>, enter into an underwriting agreement in customary form, scope and substance and take all such other actions reasonably requested by the Holders of a majority of the Registrable Securities being sold in connection therewith or by any managing underwriter, if any, to expedite or facilitate the underwritten disposition of such Registrable Securities, and in connection therewith in any underwritten offering (including making members of management and executives of the Company available to participate in “road shows” and similar marketing activities), (i) make such representations and warranties to the selling Holders and the managing underwriters, if any, with respect to the business of the Company and its Subsidiaries, the Registration Statement and prospectus in customary form, substance and scope, and, if true, confirm the same if and when requested, (ii) use commercially reasonable efforts to furnish the managing underwriters with opinions and “10b-5” letters of counsel to the Company, addressed to the managing underwriters, if any, covering the matters customarily covered in such opinions and letters in underwritten offerings, (iii) use commercially reasonable efforts to obtain “cold comfort” letters from the independent certified public accountants of the Company who have certified the financial statements included in such Registration Statement, addressed to each of the managing underwriters, if any, in customary form and covering matters of the type customarily covered in “cold comfort” letters, (iv) if an underwriting agreement is entered into, the same shall contain indemnification provisions and procedures customary in underwritten offerings (provided that the Department shall not be obligated to provide any indemnity and any other Holder (that is not a U.S. Governmental Entity) shall provide indemnities customarily provided by selling stockholders in similar offerings), and (v) deliver such documents and certificates as may be reasonably requested by the Holders of a majority of the Registrable Securities being sold in connection therewith, their counsel and the managing underwriters, if any, to evidence the continued validity of the representations and warranties made pursuant to clause (i) above and to evidence compliance with any customary conditions contained in the underwriting agreement.</w:t>
      </w:r>
    </w:p>
    <w:p>
      <w:pPr>
        <w:pStyle w:val="TextBody"/>
        <w:bidi w:val="0"/>
        <w:spacing w:lineRule="auto" w:line="240" w:before="0" w:after="240"/>
        <w:ind w:left="0" w:right="0" w:firstLine="2160"/>
        <w:jc w:val="left"/>
        <w:rPr/>
      </w:pPr>
      <w:r>
        <w:rPr>
          <w:rFonts w:ascii="Times New Roman;serif" w:hAnsi="Times New Roman;serif"/>
          <w:b w:val="false"/>
          <w:color w:val="000000"/>
          <w:sz w:val="22"/>
        </w:rPr>
        <w:t>(xi)</w:t>
      </w:r>
      <w:r>
        <w:rPr>
          <w:rFonts w:ascii="Times New Roman;serif" w:hAnsi="Times New Roman;serif"/>
          <w:b w:val="false"/>
          <w:color w:val="000000"/>
          <w:sz w:val="24"/>
        </w:rPr>
        <w:t>Make available for inspection by a representative of the Holders, the managing underwriters, if any, and any attorneys or accountants retained by such Holders or managing underwriters, at the offices where normally kept, during reasonable business hours, financial and other records, pertinent corporate documents and properties of the Company, and cause the officers, directors and employees of the Company to supply all information reasonably requested by any such representative, managing underwriters, attorney or accountant, subject to customary confidentiality undertakings and compliance with applicable law and Company policies, in connection with such Registration Statement.</w:t>
      </w:r>
    </w:p>
    <w:p>
      <w:pPr>
        <w:pStyle w:val="TextBody"/>
        <w:bidi w:val="0"/>
        <w:spacing w:lineRule="auto" w:line="240" w:before="0" w:after="240"/>
        <w:ind w:left="0" w:right="0" w:firstLine="2160"/>
        <w:jc w:val="left"/>
        <w:rPr/>
      </w:pPr>
      <w:r>
        <w:rPr>
          <w:rFonts w:ascii="Times New Roman;serif" w:hAnsi="Times New Roman;serif"/>
          <w:b w:val="false"/>
          <w:color w:val="000000"/>
          <w:sz w:val="22"/>
        </w:rPr>
        <w:t>(xii)</w:t>
      </w:r>
      <w:r>
        <w:rPr>
          <w:rFonts w:ascii="Times New Roman;serif" w:hAnsi="Times New Roman;serif"/>
          <w:b w:val="false"/>
          <w:color w:val="000000"/>
          <w:sz w:val="24"/>
        </w:rPr>
        <w:t>Use commercially reasonable efforts to cause all such Registrable Securities to be listed on each national securities exchange on which similar securities issued by the Company are then listed.</w:t>
      </w:r>
    </w:p>
    <w:p>
      <w:pPr>
        <w:pStyle w:val="TextBody"/>
        <w:bidi w:val="0"/>
        <w:spacing w:lineRule="auto" w:line="240" w:before="0" w:after="240"/>
        <w:ind w:left="0" w:right="0" w:firstLine="2160"/>
        <w:jc w:val="left"/>
        <w:rPr/>
      </w:pPr>
      <w:r>
        <w:rPr>
          <w:rFonts w:ascii="Times New Roman;serif" w:hAnsi="Times New Roman;serif"/>
          <w:b w:val="false"/>
          <w:color w:val="000000"/>
          <w:sz w:val="22"/>
        </w:rPr>
        <w:t>(xiii)</w:t>
      </w:r>
      <w:r>
        <w:rPr>
          <w:rFonts w:ascii="Times New Roman;serif" w:hAnsi="Times New Roman;serif"/>
          <w:b w:val="false"/>
          <w:color w:val="000000"/>
          <w:sz w:val="24"/>
        </w:rPr>
        <w:t>If requested by the Holders of a majority of the Registrable Securities being registered or sold in connection therewith, or the managing underwriters, if any, promptly include in a prospectus supplement or amendment such information as such Holders or managing underwriters may reasonably request in order to permit the intended method of distribution of such securities, and make all required filings of such prospectus supplement or such amendment as soon as practicable after the Company has received such request.</w:t>
      </w:r>
    </w:p>
    <w:p>
      <w:pPr>
        <w:pStyle w:val="TextBody"/>
        <w:bidi w:val="0"/>
        <w:spacing w:lineRule="auto" w:line="240" w:before="0" w:after="240"/>
        <w:ind w:left="0" w:right="0" w:firstLine="2160"/>
        <w:jc w:val="left"/>
        <w:rPr/>
      </w:pPr>
      <w:r>
        <w:rPr>
          <w:rFonts w:ascii="Times New Roman;serif" w:hAnsi="Times New Roman;serif"/>
          <w:b w:val="false"/>
          <w:color w:val="000000"/>
          <w:sz w:val="22"/>
        </w:rPr>
        <w:t>(xiv)</w:t>
      </w:r>
      <w:r>
        <w:rPr>
          <w:rFonts w:ascii="Times New Roman;serif" w:hAnsi="Times New Roman;serif"/>
          <w:b w:val="false"/>
          <w:color w:val="000000"/>
          <w:sz w:val="24"/>
        </w:rPr>
        <w:t>Timely provide to its security holders earnings statements satisfying the provisions of Section 11(a) of the Securities Act and Rule 158 thereunder.</w:t>
      </w: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5"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Suspension of Sales.</w:t>
      </w:r>
      <w:r>
        <w:rPr>
          <w:color w:val="000000"/>
        </w:rPr>
        <w:t xml:space="preserve"> </w:t>
      </w:r>
      <w:r>
        <w:rPr>
          <w:rFonts w:ascii="Times New Roman;serif" w:hAnsi="Times New Roman;serif"/>
          <w:b w:val="false"/>
          <w:color w:val="000000"/>
          <w:sz w:val="24"/>
        </w:rPr>
        <w:t>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circumstances exist that make inadvisable use of such registration statement, prospectus or prospectus supplement, each Holder of Registrable Securities shall forthwith discontinue disposition of Registrable Securities until such Holder has received copies of a supplemented or amended prospectus or prospectus supplement, or until such Holder is advised in writing by the Company that the use of the prospectus and, if applicable, prospectus supplement may be resumed, and, if so directed by the Company, such Holder shall deliver to the Company (at the Company’s expense) all copies, other than permanent file copies then in such Holder’s possession, of the prospectus and, if applicable, prospectus supplement covering such Registrable Securities current at the time of receipt of such notice. The total number of days that any such suspension may be in effect in any 12-month period shall not exceed ninety (90) days. The Company shall notify the Holders prior to the anticipated termination of any such suspension period of the date of such anticipated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4"/>
        </w:rPr>
        <w:t>The Company agrees to indemnify each Holder and, if a Holder is a person other than an individual, such Holder’s officers, directors, employees, agents, representatives and Affiliates, and each Person, if any, that controls a Holder within the meaning of the Securities Act (each,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against any and all losses, claims, damages, actions, liabilities, costs and expenses (including reasonable fees, expenses and disbursements of attorneys and other professionals incurred in connection with investigating, defending, settling, compromising or paying any such losses, claims, damages, actions, liabilities, costs and expenses), joint or several, arising out of or based upon any untrue statement or alleged untrue statement of material fact contained in any registration statement filed pursuant to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including any preliminary prospectus or final prospectus contained therein or any amendments or supplements thereto or any documents incorporated therein by reference or contained in any free writing prospectus (as defined in Rule 405 under the Securities Act) prepared by the Company or authorized by it in writing for use by such Holder (or any amendment or supplement thereto); or any omission to state therein a material fact required to be stated therein or necessary to make the statements therein, in light of the circumstances under which they were made, not misleading; </w:t>
      </w:r>
      <w:r>
        <w:rPr>
          <w:rFonts w:ascii="Times New Roman;serif" w:hAnsi="Times New Roman;serif"/>
          <w:b w:val="false"/>
          <w:i/>
          <w:color w:val="000000"/>
          <w:sz w:val="24"/>
        </w:rPr>
        <w:t>provided</w:t>
      </w:r>
      <w:r>
        <w:rPr>
          <w:rFonts w:ascii="Times New Roman;serif" w:hAnsi="Times New Roman;serif"/>
          <w:b w:val="false"/>
          <w:color w:val="000000"/>
          <w:sz w:val="24"/>
        </w:rPr>
        <w:t>, that the Company shall not be liable to such Indemnitee in any such case to the extent that any such loss, claim, damage, liability or expense arises out of or is based upon (A) an untrue statement or omission made in reliance upon and in conformity with information regarding such Indemnitee or its plan of distribution or ownership interests which was furnished in writing to the Company by such Indemnitee expressly for use in connection with such registration statement, including any such preliminary or final prospectus or any such amendments or supplements thereto, or (B) offers or sales effected by or on behalf of such Indemnitee “by means of” (as defined in Rule 159A under the Securities Act) a “free writing prospectus” (as defined in Rule 405 under the Securities Act) that was not authorized in writing by the Company. For the avoidance of doubt, no Holder that is a U.S. Governmental Entity shall be required to provide any indemnity in connection with any registered offering of Registrable Securities.</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4"/>
          <w:u w:val="single"/>
        </w:rPr>
        <w:t>Contribution</w:t>
      </w:r>
      <w:r>
        <w:rPr>
          <w:rFonts w:ascii="Times New Roman;serif" w:hAnsi="Times New Roman;serif"/>
          <w:b w:val="false"/>
          <w:color w:val="000000"/>
          <w:sz w:val="24"/>
        </w:rPr>
        <w:t xml:space="preserve">. If the indemnification provided for in </w:t>
      </w:r>
      <w:r>
        <w:rPr>
          <w:rFonts w:ascii="Times New Roman;serif" w:hAnsi="Times New Roman;serif"/>
          <w:b w:val="false"/>
          <w:color w:val="000000"/>
          <w:sz w:val="24"/>
          <w:u w:val="single"/>
        </w:rPr>
        <w:t>Section 3.8(f)(i)</w:t>
      </w:r>
      <w:r>
        <w:rPr>
          <w:color w:val="000000"/>
        </w:rPr>
        <w:t xml:space="preserve"> </w:t>
      </w:r>
      <w:r>
        <w:rPr>
          <w:rFonts w:ascii="Times New Roman;serif" w:hAnsi="Times New Roman;serif"/>
          <w:b w:val="false"/>
          <w:color w:val="000000"/>
          <w:sz w:val="24"/>
        </w:rPr>
        <w:t xml:space="preserve">is unavailable to an Indemnitee with respect to any losses, claims, damages, actions, liabilities, costs or expenses referred to therein or is insufficient to hold the Indemnitee harmless as contemplated therein, then the Company, in lieu of indemnifying such Indemnitee, shall contribute to the amount paid or payable by such Indemnitee as a result of such losses, claims, damages, actions, liabilities, costs or expenses in such proportion as is appropriate to reflect the relative fault of the Indemnitee, on the one hand, and the Company, on the other hand, in connection with the statements or omissions which resulted in such </w:t>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8650"/>
                <wp:effectExtent l="0" t="0" r="0" b="0"/>
                <wp:wrapNone/>
                <wp:docPr id="56"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losses, claims, damages, actions, liabilities, costs or expenses as well as any other relevant equitable considerations. The relative fault of the Company, on the one hand, and of the Indemnitee, on the other hand, shall be determined by reference to, among other factors, whether the untrue statement of a material fact or omission to state a material fact relates to information supplied by the Company or by the Indemnitee and the parties’ relative intent, knowledge, access to information and opportunity to correct or prevent such statement or omission; the Company and each Holder agree that it would not be just and equitable if contribution pursuant to this </w:t>
      </w:r>
      <w:r>
        <w:rPr>
          <w:rFonts w:ascii="Times New Roman;serif" w:hAnsi="Times New Roman;serif"/>
          <w:b w:val="false"/>
          <w:color w:val="000000"/>
          <w:sz w:val="24"/>
          <w:u w:val="single"/>
        </w:rPr>
        <w:t>Section 3.8(f)(ii)</w:t>
      </w:r>
      <w:r>
        <w:rPr>
          <w:color w:val="000000"/>
        </w:rPr>
        <w:t xml:space="preserve"> </w:t>
      </w:r>
      <w:r>
        <w:rPr>
          <w:rFonts w:ascii="Times New Roman;serif" w:hAnsi="Times New Roman;serif"/>
          <w:b w:val="false"/>
          <w:color w:val="000000"/>
          <w:sz w:val="24"/>
        </w:rPr>
        <w:t xml:space="preserve">were determined by pro rata allocation or by any other method of allocation that does not take account of the equitable considerations referred to in </w:t>
      </w:r>
      <w:r>
        <w:rPr>
          <w:rFonts w:ascii="Times New Roman;serif" w:hAnsi="Times New Roman;serif"/>
          <w:b w:val="false"/>
          <w:color w:val="000000"/>
          <w:sz w:val="24"/>
          <w:u w:val="single"/>
        </w:rPr>
        <w:t>Section 3.8(f)(i)</w:t>
      </w:r>
      <w:r>
        <w:rPr>
          <w:rFonts w:ascii="Times New Roman;serif" w:hAnsi="Times New Roman;serif"/>
          <w:b w:val="false"/>
          <w:color w:val="000000"/>
          <w:sz w:val="24"/>
        </w:rPr>
        <w:t>. No Indemnitee guilty of fraudulent misrepresentation (within the meaning of Section 11(f) of the Securities Act) shall be entitled to contribution from the Company if the Company was not guilty of such fraudulent misrepresentation.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4"/>
          <w:u w:val="single"/>
        </w:rPr>
        <w:t>No Inconsistent Agreements</w:t>
      </w:r>
      <w:r>
        <w:rPr>
          <w:rFonts w:ascii="Times New Roman;serif" w:hAnsi="Times New Roman;serif"/>
          <w:b w:val="false"/>
          <w:color w:val="000000"/>
          <w:sz w:val="24"/>
        </w:rPr>
        <w:t xml:space="preserve">. The Company shall not, on or after the date hereof, enter into any agreement with respect to its securities that may impair the rights granted to the Holders under this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or that otherwise conflicts with the provisions hereof in any manner that may impair the rights granted to the Holders under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Notwithstanding the foregoing, other than any consents, amendments or waivers entered into in connection with this Agreement, nothing in this Agreement shall require the Company to amend, waive or breach any agreement with respect to its securities entered into prior to the date hereof. To the extent there are any inconsistencies between the rights granted to the Holders under this Section 3.8 and the terms of the Mubadala Registration Rights Agreement for which waiver or consent was not obtained in connection with this Agreement, the Company and the Holders shall use commercially reasonable efforts to seek to resolve the inconsistencies through good-faith discussions and commercially reasonable efforts to reach a mutually acceptable resolution. Any transaction entered into by the Company that would reasonably be expected to require the inclusion in a Registration Statement or any Company Report filed with the SEC of any separate financial statements pursuant to Rule 3-05 of Regulation S-X or pro forma financial statements pursuant to Article 11 of Regulation S-X shall include provisions requiring the Company’s counterparty to provide any information necessary to allow the Company to comply with its obligations under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4"/>
          <w:u w:val="single"/>
        </w:rPr>
        <w:t>Assignment of Registration Rights</w:t>
      </w:r>
      <w:r>
        <w:rPr>
          <w:rFonts w:ascii="Times New Roman;serif" w:hAnsi="Times New Roman;serif"/>
          <w:b w:val="false"/>
          <w:color w:val="000000"/>
          <w:sz w:val="24"/>
        </w:rPr>
        <w:t xml:space="preserve">. The rights of the Department to registration of Registrable Securities as a Holder pursuant to </w:t>
      </w:r>
      <w:r>
        <w:rPr>
          <w:rFonts w:ascii="Times New Roman;serif" w:hAnsi="Times New Roman;serif"/>
          <w:b w:val="false"/>
          <w:color w:val="000000"/>
          <w:sz w:val="24"/>
          <w:u w:val="single"/>
        </w:rPr>
        <w:t>Section 3.8(a)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3.8(b)</w:t>
      </w:r>
      <w:r>
        <w:rPr>
          <w:color w:val="000000"/>
        </w:rPr>
        <w:t xml:space="preserve"> </w:t>
      </w:r>
      <w:r>
        <w:rPr>
          <w:rFonts w:ascii="Times New Roman;serif" w:hAnsi="Times New Roman;serif"/>
          <w:b w:val="false"/>
          <w:color w:val="000000"/>
          <w:sz w:val="24"/>
        </w:rPr>
        <w:t xml:space="preserve">(and the related provisions of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may be assigned by the Department to a transferee or assignee of Registrable Securities in connection with a Transfer of Registrable Securities representing at least fifteen percent (15%) of the total number of Registrable Securities then outstanding;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transferor shall, within ten (10) days after such transfer, furnish to the Company written notice of the name and address of such transferee or assignee and the number and type of Registrable Securities that are being assigned. Any such assignee shall be deemed a “Holder” hereunder.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4"/>
          <w:u w:val="single"/>
        </w:rPr>
        <w:t>Clear Market</w:t>
      </w:r>
      <w:r>
        <w:rPr>
          <w:rFonts w:ascii="Times New Roman;serif" w:hAnsi="Times New Roman;serif"/>
          <w:b w:val="false"/>
          <w:color w:val="000000"/>
          <w:sz w:val="24"/>
        </w:rPr>
        <w:t xml:space="preserve">. With respect to any underwritten offering of Registrable Securities by any Holder pursuant to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the Company agrees not to effect (other than pursuant to such registration or pursuant to a Special Registration) any public sale or distribution, or to file any Shelf Registration Statement (other than such registration or a Special Registration) covering any of its equity securities, or any securities convertible into or exchangeable or exercisable for such securities, during the period not to exceed thirty (30) days following the effective date of such offering, provided that the foregoing shall not apply to (a) sales or issuances pursuant to employee benefit plans, equity incentive plans, dividend reinvestment plans or similar arrangements made in the ordinary course, (b) sales under any </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8650"/>
                <wp:effectExtent l="0" t="0" r="0" b="0"/>
                <wp:wrapNone/>
                <wp:docPr id="57"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at-the-market offering program in effect prior to the launch of such underwritten offering, or (c) transactions required by any then existing agreements between the Company and its Subsidiaries and the Department. The Company also agrees to cause such of its directors and senior executive officers to execute and deliver customary lock-up agreements in such form and for such time period up to thirty (30) days as may be requested by the managing underwriter.</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4"/>
          <w:u w:val="single"/>
        </w:rPr>
        <w:t>Termination of Registration Rights</w:t>
      </w:r>
      <w:r>
        <w:rPr>
          <w:rFonts w:ascii="Times New Roman;serif" w:hAnsi="Times New Roman;serif"/>
          <w:b w:val="false"/>
          <w:color w:val="000000"/>
          <w:sz w:val="24"/>
        </w:rPr>
        <w:t>. A Holder’s registration rights as to any securities held by such Holder shall not be available unless such securities are Registrable Securities.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4"/>
          <w:u w:val="single"/>
        </w:rPr>
        <w:t>Certain Offerings by Holders</w:t>
      </w:r>
      <w:r>
        <w:rPr>
          <w:rFonts w:ascii="Times New Roman;serif" w:hAnsi="Times New Roman;serif"/>
          <w:b w:val="false"/>
          <w:color w:val="000000"/>
          <w:sz w:val="24"/>
        </w:rPr>
        <w:t xml:space="preserve">. In the case of any securities held by a Holder that cease to be Registrable Securities solely by reason of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in the definition of “Registrable Securities” (i.e., they are eligible to be sold pursuant to Rule 144 without limitations), the provisions of </w:t>
      </w:r>
      <w:r>
        <w:rPr>
          <w:rFonts w:ascii="Times New Roman;serif" w:hAnsi="Times New Roman;serif"/>
          <w:b w:val="false"/>
          <w:color w:val="000000"/>
          <w:sz w:val="24"/>
          <w:u w:val="single"/>
        </w:rPr>
        <w:t>Section 3.8(a)</w:t>
      </w:r>
      <w:r>
        <w:rPr>
          <w:color w:val="000000"/>
        </w:rPr>
        <w:t xml:space="preserve"> </w:t>
      </w:r>
      <w:r>
        <w:rPr>
          <w:rFonts w:ascii="Times New Roman;serif" w:hAnsi="Times New Roman;serif"/>
          <w:b w:val="false"/>
          <w:color w:val="000000"/>
          <w:sz w:val="24"/>
        </w:rPr>
        <w:t xml:space="preserve">(with respect to underwritten offerings), </w:t>
      </w:r>
      <w:r>
        <w:rPr>
          <w:rFonts w:ascii="Times New Roman;serif" w:hAnsi="Times New Roman;serif"/>
          <w:b w:val="false"/>
          <w:color w:val="000000"/>
          <w:sz w:val="24"/>
          <w:u w:val="single"/>
        </w:rPr>
        <w:t>clauses (iv)</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(ix)</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(xiii)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3.8(d)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3.8(g)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3.8(i)</w:t>
      </w:r>
      <w:r>
        <w:rPr>
          <w:color w:val="000000"/>
        </w:rPr>
        <w:t xml:space="preserve"> </w:t>
      </w:r>
      <w:r>
        <w:rPr>
          <w:rFonts w:ascii="Times New Roman;serif" w:hAnsi="Times New Roman;serif"/>
          <w:b w:val="false"/>
          <w:color w:val="000000"/>
          <w:sz w:val="24"/>
        </w:rPr>
        <w:t>shall continue to apply until such securities otherwise cease to be Registrable Securities. In any such case, an “underwritten” offering or other disposition shall include any distribution of such securities on behalf of such Holder by one or more broker-dealers, an “underwriting agreement” shall include any purchase agreement entered into by such broker-dealers, and any “registration statement” or “prospectus” shall include any offering document approved by the Company and used in connection with such distribution.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4"/>
          <w:u w:val="single"/>
        </w:rPr>
        <w:t>Compliance with Mubadala Market Stand-Off Provisions</w:t>
      </w:r>
      <w:r>
        <w:rPr>
          <w:rFonts w:ascii="Times New Roman;serif" w:hAnsi="Times New Roman;serif"/>
          <w:b w:val="false"/>
          <w:color w:val="000000"/>
          <w:sz w:val="24"/>
        </w:rPr>
        <w:t xml:space="preserve">. Notwithstanding anything to the contrary in this </w:t>
      </w:r>
      <w:r>
        <w:rPr>
          <w:rFonts w:ascii="Times New Roman;serif" w:hAnsi="Times New Roman;serif"/>
          <w:b w:val="false"/>
          <w:color w:val="000000"/>
          <w:sz w:val="24"/>
          <w:u w:val="single"/>
        </w:rPr>
        <w:t>Section 3.8</w:t>
      </w:r>
      <w:r>
        <w:rPr>
          <w:rFonts w:ascii="Times New Roman;serif" w:hAnsi="Times New Roman;serif"/>
          <w:b w:val="false"/>
          <w:color w:val="000000"/>
          <w:sz w:val="24"/>
        </w:rPr>
        <w:t xml:space="preserve">, each Holder agrees that it will not exercise any registration rights under this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or conduct any sale or distribution of Registrable Securities during any period in which such exercise, sale or distribution would be prohibited by the clear market or lock-up provisions set forth in Section 2.05(a) of the Mubadala Registration Rights Agreement, as if such provisions applied to the Holder and its Registrable Securities as if they were “Holders” thereunder,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2"/>
        </w:rPr>
        <w:t>3.9</w:t>
      </w:r>
      <w:r>
        <w:rPr>
          <w:rFonts w:ascii="Times New Roman;serif" w:hAnsi="Times New Roman;serif"/>
          <w:b w:val="false"/>
          <w:color w:val="000000"/>
          <w:sz w:val="24"/>
          <w:u w:val="single"/>
        </w:rPr>
        <w:t>Form 6-K</w:t>
      </w:r>
      <w:r>
        <w:rPr>
          <w:rFonts w:ascii="Times New Roman;serif" w:hAnsi="Times New Roman;serif"/>
          <w:b w:val="false"/>
          <w:color w:val="000000"/>
          <w:sz w:val="24"/>
        </w:rPr>
        <w:t>. Promptly, and no later than four (4) Business Days after the date of the Closing, the Company shall file a Current Report on Form 6-K describing all material terms of the transactions contemplated by this Agreement (the “</w:t>
      </w:r>
      <w:r>
        <w:rPr>
          <w:rFonts w:ascii="Times New Roman;serif" w:hAnsi="Times New Roman;serif"/>
          <w:b w:val="false"/>
          <w:color w:val="000000"/>
          <w:sz w:val="24"/>
          <w:u w:val="single"/>
        </w:rPr>
        <w:t>Form 6-K Filing</w:t>
      </w:r>
      <w:r>
        <w:rPr>
          <w:color w:val="000000"/>
        </w:rPr>
        <w:t>”</w:t>
      </w:r>
      <w:r>
        <w:rPr>
          <w:rFonts w:ascii="Times New Roman;serif" w:hAnsi="Times New Roman;serif"/>
          <w:b w:val="false"/>
          <w:color w:val="000000"/>
          <w:sz w:val="24"/>
        </w:rPr>
        <w:t>). From and after the filing of the Form 6-K Filing, the Company shall have disclosed all material, non-public information (if any) provided to the Department by the Company in connection with the transactions contemplated by this Agreement.</w:t>
      </w:r>
    </w:p>
    <w:p>
      <w:pPr>
        <w:pStyle w:val="TextBody"/>
        <w:bidi w:val="0"/>
        <w:spacing w:lineRule="auto" w:line="240" w:before="0" w:after="240"/>
        <w:jc w:val="left"/>
        <w:rPr/>
      </w:pPr>
      <w:r>
        <w:rPr>
          <w:rFonts w:ascii="Times New Roman;serif" w:hAnsi="Times New Roman;serif"/>
          <w:b w:val="false"/>
          <w:color w:val="000000"/>
          <w:sz w:val="22"/>
        </w:rPr>
        <w:t>4.</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4.1</w:t>
      </w:r>
      <w:r>
        <w:rPr>
          <w:rFonts w:ascii="Times New Roman;serif" w:hAnsi="Times New Roman;serif"/>
          <w:b w:val="false"/>
          <w:color w:val="000000"/>
          <w:sz w:val="24"/>
          <w:u w:val="single"/>
        </w:rPr>
        <w:t>Survival of Warranties</w:t>
      </w:r>
      <w:r>
        <w:rPr>
          <w:rFonts w:ascii="Times New Roman;serif" w:hAnsi="Times New Roman;serif"/>
          <w:b w:val="false"/>
          <w:color w:val="000000"/>
          <w:sz w:val="24"/>
        </w:rPr>
        <w:t>. Unless otherwise set forth in this Agreement, the representations and warranties of the Company contained in or made pursuant to this Agreement shall survive the execution and delivery of this Agreement and the Closing and shall in no way be affected by any investigation or knowledge of the subject matter thereof made by or on behalf of the Department or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2"/>
        </w:rPr>
        <w:t>4.2</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8650"/>
                <wp:effectExtent l="0" t="0" r="0" b="0"/>
                <wp:wrapNone/>
                <wp:docPr id="58" name="Frame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2"/>
        </w:rPr>
        <w:t>4.3</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will be governed by and construed in accordance with the federal law of the United States if and to the extent such law is applicable, and otherwise in accordance with the laws of the State of New York applicable to contracts made and to be performed entirely within such jurisdiction. Each of the Company and Department agrees (a) to submit to the non-exclusive general jurisdiction and venue of (i) the courts of the United States in or for the District of Columbia, (ii) any other federal court of competent jurisdiction in any other jurisdiction where the Company or any of its property may be found, and (iii) appellate courts from any of the foregoing, in each case for any civil action, suit or proceeding arising out of or relating to this Agreement or the transactions contemplated hereby or thereby, and (b) that notice may be served upon the Company and the Department in accordance with </w:t>
      </w:r>
      <w:r>
        <w:rPr>
          <w:rFonts w:ascii="Times New Roman;serif" w:hAnsi="Times New Roman;serif"/>
          <w:b w:val="false"/>
          <w:color w:val="000000"/>
          <w:sz w:val="24"/>
          <w:u w:val="single"/>
        </w:rPr>
        <w:t>Section 4.7</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nothing herein shall affect the right of the Department to effect service of process in any other manner permitted by law.</w:t>
      </w:r>
    </w:p>
    <w:p>
      <w:pPr>
        <w:pStyle w:val="TextBody"/>
        <w:bidi w:val="0"/>
        <w:spacing w:lineRule="auto" w:line="240" w:before="0" w:after="240"/>
        <w:ind w:left="0" w:right="0" w:firstLine="720"/>
        <w:jc w:val="left"/>
        <w:rPr/>
      </w:pPr>
      <w:r>
        <w:rPr>
          <w:rFonts w:ascii="Times New Roman;serif" w:hAnsi="Times New Roman;serif"/>
          <w:b w:val="false"/>
          <w:color w:val="000000"/>
          <w:sz w:val="22"/>
        </w:rPr>
        <w:t>4.4</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HEREBY WAIVES ITS RIGHTS TO A JURY TRIAL OF ANY CLAIM OR CAUSE OF ACTION BASED UPON OR ARISING OUT OF THIS AGREEMENT,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lineRule="auto" w:line="240" w:before="0" w:after="240"/>
        <w:ind w:left="0" w:right="0" w:firstLine="720"/>
        <w:jc w:val="left"/>
        <w:rPr/>
      </w:pPr>
      <w:r>
        <w:rPr>
          <w:rFonts w:ascii="Times New Roman;serif" w:hAnsi="Times New Roman;serif"/>
          <w:b w:val="false"/>
          <w:color w:val="000000"/>
          <w:sz w:val="22"/>
        </w:rPr>
        <w:t>4.5</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serif" w:hAnsi="Times New Roman;serif"/>
          <w:b w:val="false"/>
          <w:i/>
          <w:color w:val="000000"/>
          <w:sz w:val="24"/>
        </w:rPr>
        <w:t>e.g.</w:t>
      </w:r>
      <w:r>
        <w:rPr>
          <w:rFonts w:ascii="Times New Roman;serif" w:hAnsi="Times New Roman;serif"/>
          <w:b w:val="false"/>
          <w:color w:val="000000"/>
          <w:sz w:val="24"/>
        </w:rPr>
        <w:t>, www.docusign.com) or other transmission method and any counterpart so delivered shall be deemed to have been duly and validly delivered and be valid and effective for all purposes.</w:t>
      </w:r>
    </w:p>
    <w:p>
      <w:pPr>
        <w:pStyle w:val="TextBody"/>
        <w:bidi w:val="0"/>
        <w:spacing w:lineRule="auto" w:line="240" w:before="0" w:after="240"/>
        <w:ind w:left="0" w:right="0" w:firstLine="720"/>
        <w:jc w:val="left"/>
        <w:rPr/>
      </w:pPr>
      <w:r>
        <w:rPr>
          <w:rFonts w:ascii="Times New Roman;serif" w:hAnsi="Times New Roman;serif"/>
          <w:b w:val="false"/>
          <w:color w:val="000000"/>
          <w:sz w:val="22"/>
        </w:rPr>
        <w:t>4.6</w:t>
      </w:r>
      <w:r>
        <w:rPr>
          <w:rFonts w:ascii="Times New Roman;serif" w:hAnsi="Times New Roman;serif"/>
          <w:b w:val="false"/>
          <w:color w:val="000000"/>
          <w:sz w:val="24"/>
          <w:u w:val="single"/>
        </w:rPr>
        <w:t>Titles and Subtitles</w:t>
      </w:r>
      <w:r>
        <w:rPr>
          <w:rFonts w:ascii="Times New Roman;serif" w:hAnsi="Times New Roman;serif"/>
          <w:b w:val="false"/>
          <w:color w:val="000000"/>
          <w:sz w:val="24"/>
        </w:rPr>
        <w:t>. The titles and subtitles used in this Agreement are used for convenience only and are not to be considered in construing or interpreting this Agreement. All references in this Agreement to sections, paragraphs, exhibits and schedules shall, unless otherwise provided, refer to sections and paragraphs of this Agreement and exhibits and schedules attached to this Agreement, all of which exhibits and schedules are incorporated in this Agreement by reference.</w:t>
      </w:r>
    </w:p>
    <w:p>
      <w:pPr>
        <w:pStyle w:val="TextBody"/>
        <w:bidi w:val="0"/>
        <w:spacing w:lineRule="auto" w:line="240" w:before="0" w:after="240"/>
        <w:ind w:left="0" w:right="0" w:firstLine="720"/>
        <w:jc w:val="left"/>
        <w:rPr/>
      </w:pPr>
      <w:r>
        <w:rPr>
          <w:rFonts w:ascii="Times New Roman;serif" w:hAnsi="Times New Roman;serif"/>
          <w:b w:val="false"/>
          <w:color w:val="000000"/>
          <w:sz w:val="22"/>
        </w:rPr>
        <w:t>4.7</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All notices and other communications given or made pursuant to this Agreement shall be in writing and shall be sent by (i) electronic mail or (ii) registered or certified mail, return receipt requested, postage prepaid. Notices sent by electronic mail shall be deemed effectively given when sent, if sent during normal business hours of the recipient, and if not sent during normal business hours, then on the recipient’s next Business Day. All communications shall be sent to the respective parties at their address as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or to such e-mail address or postal address as subsequently modified by written notice given in accordance with this </w:t>
      </w:r>
      <w:r>
        <w:rPr>
          <w:rFonts w:ascii="Times New Roman;serif" w:hAnsi="Times New Roman;serif"/>
          <w:b w:val="false"/>
          <w:color w:val="000000"/>
          <w:sz w:val="24"/>
          <w:u w:val="single"/>
        </w:rPr>
        <w:t>Section 4.7.</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4"/>
          <w:u w:val="single"/>
        </w:rPr>
        <w:t>Consent to Electronic Notice</w:t>
      </w:r>
      <w:r>
        <w:rPr>
          <w:rFonts w:ascii="Times New Roman;serif" w:hAnsi="Times New Roman;serif"/>
          <w:b w:val="false"/>
          <w:color w:val="000000"/>
          <w:sz w:val="24"/>
        </w:rPr>
        <w:t xml:space="preserve">. The Department consents to the delivery of any shareholder notice pursuant to Cayman law, as amended or superseded from time to time, by electronic mail at the e-mail address set forth below the Department’s name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as updated from time to time by notice to the Company. To the extent that any </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59"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or postal address, and that failure to do so shall not affect the foregoing.</w:t>
      </w:r>
    </w:p>
    <w:p>
      <w:pPr>
        <w:pStyle w:val="TextBody"/>
        <w:bidi w:val="0"/>
        <w:spacing w:lineRule="auto" w:line="240" w:before="0" w:after="240"/>
        <w:ind w:left="0" w:right="0" w:firstLine="720"/>
        <w:jc w:val="left"/>
        <w:rPr/>
      </w:pPr>
      <w:r>
        <w:rPr>
          <w:rFonts w:ascii="Times New Roman;serif" w:hAnsi="Times New Roman;serif"/>
          <w:b w:val="false"/>
          <w:color w:val="000000"/>
          <w:sz w:val="22"/>
        </w:rPr>
        <w:t>4.8</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The Company shall pay all reasonable and documented out-of-pocket expenses incurred by the Department (including the reasonable fees, charges and disbursements of any outside counsel for the Department) in connection with the preparation, negotiation, execution, delivery and administration of this Agreement, any other agreements or documents executed in connection therewith, or any amendments, modifications or waivers of the provisions thereof (whether or not the transactions contemplated hereby or thereby shall be consummated).</w:t>
      </w:r>
    </w:p>
    <w:p>
      <w:pPr>
        <w:pStyle w:val="TextBody"/>
        <w:bidi w:val="0"/>
        <w:spacing w:lineRule="auto" w:line="240" w:before="0" w:after="240"/>
        <w:ind w:left="0" w:right="0" w:firstLine="720"/>
        <w:jc w:val="left"/>
        <w:rPr/>
      </w:pPr>
      <w:r>
        <w:rPr>
          <w:rFonts w:ascii="Times New Roman;serif" w:hAnsi="Times New Roman;serif"/>
          <w:b w:val="false"/>
          <w:color w:val="000000"/>
          <w:sz w:val="22"/>
        </w:rPr>
        <w:t>4.9</w:t>
      </w:r>
      <w:r>
        <w:rPr>
          <w:rFonts w:ascii="Times New Roman;serif" w:hAnsi="Times New Roman;serif"/>
          <w:b w:val="false"/>
          <w:color w:val="000000"/>
          <w:sz w:val="24"/>
          <w:u w:val="single"/>
        </w:rPr>
        <w:t>Costs of Enforcement</w:t>
      </w:r>
      <w:r>
        <w:rPr>
          <w:rFonts w:ascii="Times New Roman;serif" w:hAnsi="Times New Roman;serif"/>
          <w:b w:val="false"/>
          <w:color w:val="000000"/>
          <w:sz w:val="24"/>
        </w:rPr>
        <w:t>. All reasonable and documented out-of-pocket expenses incurred by the Department (including the fees, charges and disbursements of any counsel for the Department), in connection with the enforcement of its rights under this Agreement, any other agreements or documents executed in connection therewith, or any amendments, modifications or waivers of the provisions thereof (whether or not the transactions contemplated thereby shall be consummated), including all such out-of-pocket expenses incurred during any workout, restructuring, negotiations or enforcement in respect of this Agreement and other agreements or documents executed in connection therewith, shall be borne by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2"/>
        </w:rPr>
        <w:t>4.10</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xml:space="preserve">. The parties acknowledge that there would be no adequate remedy at law if the Company fails to perform any of its obligations hereunder (including under Section </w:t>
      </w:r>
      <w:r>
        <w:rPr>
          <w:rFonts w:ascii="Times New Roman;serif" w:hAnsi="Times New Roman;serif"/>
          <w:b w:val="false"/>
          <w:color w:val="000000"/>
          <w:sz w:val="24"/>
          <w:u w:val="single"/>
        </w:rPr>
        <w:t>3.8)</w:t>
      </w:r>
      <w:r>
        <w:rPr>
          <w:color w:val="000000"/>
        </w:rPr>
        <w:t xml:space="preserve"> </w:t>
      </w:r>
      <w:r>
        <w:rPr>
          <w:rFonts w:ascii="Times New Roman;serif" w:hAnsi="Times New Roman;serif"/>
          <w:b w:val="false"/>
          <w:color w:val="000000"/>
          <w:sz w:val="24"/>
        </w:rPr>
        <w:t xml:space="preserve">and that the Department and the Holders from time to time would be irreparably harmed by any such failure, and accordingly agree that the Department and such Holders, in addition to any other remedy to which they may be entitled at law or in equity, to the fullest extent permitted and enforceable under applicable law, shall be entitled to compel specific performance of the obligations of the Company under </w:t>
      </w:r>
      <w:r>
        <w:rPr>
          <w:rFonts w:ascii="Times New Roman;serif" w:hAnsi="Times New Roman;serif"/>
          <w:b w:val="false"/>
          <w:color w:val="000000"/>
          <w:sz w:val="24"/>
          <w:u w:val="single"/>
        </w:rPr>
        <w:t>Section 3.8</w:t>
      </w:r>
      <w:r>
        <w:rPr>
          <w:color w:val="000000"/>
        </w:rPr>
        <w:t xml:space="preserve"> </w:t>
      </w:r>
      <w:r>
        <w:rPr>
          <w:rFonts w:ascii="Times New Roman;serif" w:hAnsi="Times New Roman;serif"/>
          <w:b w:val="false"/>
          <w:color w:val="000000"/>
          <w:sz w:val="24"/>
        </w:rPr>
        <w:t xml:space="preserve">in accordance with the terms and conditions of </w:t>
      </w:r>
      <w:r>
        <w:rPr>
          <w:rFonts w:ascii="Times New Roman;serif" w:hAnsi="Times New Roman;serif"/>
          <w:b w:val="false"/>
          <w:color w:val="000000"/>
          <w:sz w:val="24"/>
          <w:u w:val="single"/>
        </w:rPr>
        <w:t>Section 3.8</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2"/>
        </w:rPr>
        <w:t>4.11</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xml:space="preserve">. Except as otherwise specifically set forth in this Agreement, any term of this Agreement may be amended, terminated or waived only with the written consent of the Company and the Department. Any amendment or waiver effected in accordance with this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shall be binding upon the Department and each transferee of the Shares.</w:t>
      </w:r>
    </w:p>
    <w:p>
      <w:pPr>
        <w:pStyle w:val="TextBody"/>
        <w:bidi w:val="0"/>
        <w:spacing w:lineRule="auto" w:line="240" w:before="0" w:after="240"/>
        <w:ind w:left="0" w:right="0" w:firstLine="720"/>
        <w:jc w:val="left"/>
        <w:rPr/>
      </w:pPr>
      <w:r>
        <w:rPr>
          <w:rFonts w:ascii="Times New Roman;serif" w:hAnsi="Times New Roman;serif"/>
          <w:b w:val="false"/>
          <w:color w:val="000000"/>
          <w:sz w:val="22"/>
        </w:rPr>
        <w:t>4.12</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hereof shall in no way affect the validity or enforceability of any other provision.</w:t>
      </w:r>
    </w:p>
    <w:p>
      <w:pPr>
        <w:pStyle w:val="TextBody"/>
        <w:bidi w:val="0"/>
        <w:spacing w:lineRule="auto" w:line="240" w:before="0" w:after="240"/>
        <w:ind w:left="0" w:right="0" w:firstLine="720"/>
        <w:jc w:val="left"/>
        <w:rPr/>
      </w:pPr>
      <w:r>
        <w:rPr>
          <w:rFonts w:ascii="Times New Roman;serif" w:hAnsi="Times New Roman;serif"/>
          <w:b w:val="false"/>
          <w:color w:val="000000"/>
          <w:sz w:val="22"/>
        </w:rPr>
        <w:t>4.13</w:t>
      </w:r>
      <w:r>
        <w:rPr>
          <w:rFonts w:ascii="Times New Roman;serif" w:hAnsi="Times New Roman;serif"/>
          <w:b w:val="false"/>
          <w:color w:val="000000"/>
          <w:sz w:val="24"/>
          <w:u w:val="single"/>
        </w:rPr>
        <w:t>Delays or Omissions</w:t>
      </w:r>
      <w:r>
        <w:rPr>
          <w:rFonts w:ascii="Times New Roman;serif" w:hAnsi="Times New Roman;serif"/>
          <w:b w:val="false"/>
          <w:color w:val="000000"/>
          <w:sz w:val="24"/>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lineRule="auto" w:line="240" w:before="0" w:after="240"/>
        <w:ind w:left="0" w:right="0" w:firstLine="720"/>
        <w:jc w:val="left"/>
        <w:rPr/>
      </w:pPr>
      <w:r>
        <w:rPr>
          <w:rFonts w:ascii="Times New Roman;serif" w:hAnsi="Times New Roman;serif"/>
          <w:b w:val="false"/>
          <w:color w:val="000000"/>
          <w:sz w:val="22"/>
        </w:rPr>
        <w:t>4.14</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(including the Exhibits hereto) constitute the full and entire understanding and agreement between the parties with respect to the subject </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8650"/>
                <wp:effectExtent l="0" t="0" r="0" b="0"/>
                <wp:wrapNone/>
                <wp:docPr id="60" name="Frame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matter hereof, and any other written or oral agreement relating to the subject matter hereof existing between the parties is expressly cancelled.</w:t>
      </w:r>
    </w:p>
    <w:p>
      <w:pPr>
        <w:pStyle w:val="TextBody"/>
        <w:bidi w:val="0"/>
        <w:spacing w:lineRule="auto" w:line="240" w:before="0" w:after="240"/>
        <w:ind w:left="0" w:right="0" w:firstLine="720"/>
        <w:jc w:val="left"/>
        <w:rPr/>
      </w:pPr>
      <w:r>
        <w:rPr>
          <w:rFonts w:ascii="Times New Roman;serif" w:hAnsi="Times New Roman;serif"/>
          <w:b w:val="false"/>
          <w:color w:val="000000"/>
          <w:sz w:val="22"/>
        </w:rPr>
        <w:t>4.15</w:t>
      </w:r>
      <w:r>
        <w:rPr>
          <w:rFonts w:ascii="Times New Roman;serif" w:hAnsi="Times New Roman;serif"/>
          <w:b w:val="false"/>
          <w:color w:val="000000"/>
          <w:sz w:val="24"/>
          <w:u w:val="single"/>
        </w:rPr>
        <w:t>No Commitment for Additional Financing</w:t>
      </w:r>
      <w:r>
        <w:rPr>
          <w:rFonts w:ascii="Times New Roman;serif" w:hAnsi="Times New Roman;serif"/>
          <w:b w:val="false"/>
          <w:color w:val="000000"/>
          <w:sz w:val="24"/>
        </w:rPr>
        <w:t>. The Company acknowledges and agrees that the Department has not made any representation, undertaking, commitment or agreement to provide or assist the Company in obtaining any financing, investment or other assistance, other than as set forth in any then other existing agreements between the Company and its Subsidiaries and the Department, and subject to the conditions set forth therein. In addition, the Company acknowledges and agrees that (a) no statements, whether written or oral, made by the Department or its representatives on or after the date of this Agreement shall create an obligation, commitment or agreement to provide or assist the Company in obtaining any financing or investment, (b) the Company shall not rely on any such statement by the Department or its representatives, and (c) an obligation, commitment or agreement to provide or assist the Company in obtaining any financing or investment may only be created by a written agreement, signed by the Department and the Company, setting forth the terms and conditions of such financing or investment and stating that the parties intend for such writing to be a binding obligation or agreement. The Department shall have the right, in its sole and absolute discretion, to refuse or decline to participate in any other financing of or investment in the Company, and shall have no obligation to assist or cooperate with the Company in obtaining any financing, investment or other assistance other than as set forth in any then other existing agreements between the Company and its Subsidiaries and the Department.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4.16</w:t>
      </w:r>
      <w:r>
        <w:rPr>
          <w:rFonts w:ascii="Times New Roman;serif" w:hAnsi="Times New Roman;serif"/>
          <w:b w:val="false"/>
          <w:color w:val="000000"/>
          <w:sz w:val="24"/>
          <w:u w:val="single"/>
        </w:rPr>
        <w:t>Waiver of Conflicts</w:t>
      </w:r>
      <w:r>
        <w:rPr>
          <w:rFonts w:ascii="Times New Roman;serif" w:hAnsi="Times New Roman;serif"/>
          <w:b w:val="false"/>
          <w:color w:val="000000"/>
          <w:sz w:val="24"/>
        </w:rPr>
        <w:t>. Each party to this Agreement acknowledges that Cleary Gottlieb Steen &amp; Hamilton LLP and Maples and Calder (Cayman) LLP, each counsel for the Company, may have in the past performed, and may continue to or in the future perform, legal services for the Department in matters that are similar, but not substantially related, to the transactions described in this Agreement, including the representation of the Department in venture capital financings and other matters. Accordingly, each party to this Agreement hereby acknowledges that (a) they have had an opportunity to ask for information relevant to this disclosure, and (b) such firms represent only the Company with respect to the Agreement and the transactions contemplated hereby. The Company gives its informed consent to such firms’ existing or future representation of the Department in matters not substantially related to this Agreement, and the Department gives its informed consent to such firms’ representation of the Company in connection with this Agreement and the transactions contemplated hereby.</w:t>
      </w:r>
    </w:p>
    <w:p>
      <w:pPr>
        <w:pStyle w:val="TextBody"/>
        <w:bidi w:val="0"/>
        <w:spacing w:lineRule="auto" w:line="240" w:before="0" w:after="240"/>
        <w:ind w:left="0" w:right="0" w:firstLine="720"/>
        <w:jc w:val="left"/>
        <w:rPr/>
      </w:pPr>
      <w:r>
        <w:rPr>
          <w:rFonts w:ascii="Times New Roman;serif" w:hAnsi="Times New Roman;serif"/>
          <w:b w:val="false"/>
          <w:color w:val="000000"/>
          <w:sz w:val="22"/>
        </w:rPr>
        <w:t>4.17</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Unless otherwise indicated to the contrary herein by the context or use thereof: (a) the words, “herein”, “hereto”, “hereof” and words of similar import refer to this Agreement as a whole, including the Schedules, and not to any particular section, subsection, paragraph, subparagraph or clause set forth in this Agreement; (b) words importing the singular shall also include the plural, and vice versa; (c) the words “include”, “includes” or “including” shall be deemed to be followed by the words “without limitation”; (d) references to “$” shall be references to United States dollars; (e) the word “or” is disjunctive but not necessarily exclusive; (f) the words “writing”, “written” and comparable terms refer to printing, typing and other means of reproducing words (including electronic media) in a visible form; (g) the word “day” means calendar day unless business day is expressly specified; (h) the word “extent” in the phrase “to the extent” means the degree to which a subject or other thing extends, and such phrase shall not mean simply “if”; (i) all references to Sections or Schedules are to Sections and Schedules of this Agreement; and (j) all references to any law will be to such law as amended, supplemented or otherwise modified from time to time. If any action under this Agreement is required to be done or taken on a day that is not a Business Day, then such action shall be required to be done or taken not on such day but on the first succeeding Business Day thereafter. This Agreement shall be construed without regard to any presumption or rule requiring construction or interpretation against the party drafting an instrument or causing any instrument to be drafted. Documents, materials and information are deemed to have been “made available” or “furnished” to the Department, if such documents, materials or information were, at least one (1) Business Day prior to the date hereof, (i) available for review by such Person, its Affiliates and its representatives </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8650"/>
                <wp:effectExtent l="0" t="0" r="0" b="0"/>
                <wp:wrapNone/>
                <wp:docPr id="61"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through the electronic data room in connection with the transactions contemplated under this Agreement, or (ii) otherwise provided in writing (including by electronic mail) by or on behalf of the Company to such Person or any of its Affiliates or representatives (it being understood that information conveyed solely orally, including by telephone or in-person presentation, shall not be deemed “made available” or “furnished”).</w:t>
      </w:r>
    </w:p>
    <w:p>
      <w:pPr>
        <w:pStyle w:val="TextBody"/>
        <w:bidi w:val="0"/>
        <w:spacing w:lineRule="auto" w:line="240" w:before="0" w:after="240"/>
        <w:ind w:left="0" w:right="0" w:firstLine="720"/>
        <w:jc w:val="left"/>
        <w:rPr/>
      </w:pPr>
      <w:r>
        <w:rPr>
          <w:rFonts w:ascii="Times New Roman;serif" w:hAnsi="Times New Roman;serif"/>
          <w:b w:val="false"/>
          <w:color w:val="000000"/>
          <w:sz w:val="22"/>
        </w:rPr>
        <w:t>4.18</w:t>
      </w:r>
      <w:r>
        <w:rPr>
          <w:rFonts w:ascii="Times New Roman;serif" w:hAnsi="Times New Roman;serif"/>
          <w:b w:val="false"/>
          <w:color w:val="000000"/>
          <w:sz w:val="24"/>
          <w:u w:val="single"/>
        </w:rPr>
        <w:t>Interpretation</w:t>
      </w:r>
      <w:r>
        <w:rPr>
          <w:rFonts w:ascii="Times New Roman;serif" w:hAnsi="Times New Roman;serif"/>
          <w:b w:val="false"/>
          <w:color w:val="000000"/>
          <w:sz w:val="24"/>
        </w:rPr>
        <w:t>. This Agreement and any existing agreement between the Company or its Subsidiaries and the Department are the result of negotiations between sophisticated parties and have been reviewed by each party and their respective counsel. Accordingly, any existing agreement between the Company or its Subsidiaries and the Department shall be deemed to be the product of all parties thereto, and no ambiguity shall be construed in favor of or against any party. For the avoidance of doubt, this Agreement, the issuance of the securities contemplated in connection therewith, and any other existing agreement between the Company or its Subsidiaries and the Department are not intended to and do not exert control over the Company such that the Company is acting as an agency of the United States. It is acknowledged and agreed that the terms of this Agreement and any other existing agreement between the Company or its Subsidiaries and the Department shall be so interpreted and applied.</w:t>
      </w:r>
    </w:p>
    <w:p>
      <w:pPr>
        <w:pStyle w:val="TextBody"/>
        <w:bidi w:val="0"/>
        <w:spacing w:lineRule="auto" w:line="240" w:before="0" w:after="240"/>
        <w:ind w:left="0" w:right="0" w:firstLine="720"/>
        <w:jc w:val="left"/>
        <w:rPr/>
      </w:pPr>
      <w:r>
        <w:rPr>
          <w:rFonts w:ascii="Times New Roman;serif" w:hAnsi="Times New Roman;serif"/>
          <w:b w:val="false"/>
          <w:color w:val="000000"/>
          <w:sz w:val="22"/>
        </w:rPr>
        <w:t>4.19</w:t>
      </w:r>
      <w:r>
        <w:rPr>
          <w:rFonts w:ascii="Times New Roman;serif" w:hAnsi="Times New Roman;serif"/>
          <w:b w:val="false"/>
          <w:color w:val="000000"/>
          <w:sz w:val="24"/>
          <w:u w:val="single"/>
        </w:rPr>
        <w:t>Public Announcement</w:t>
      </w:r>
      <w:r>
        <w:rPr>
          <w:rFonts w:ascii="Times New Roman;serif" w:hAnsi="Times New Roman;serif"/>
          <w:b w:val="false"/>
          <w:color w:val="000000"/>
          <w:sz w:val="24"/>
        </w:rPr>
        <w:t>. The Company shall, prior to the making thereof, coordinate with the Department with respect to any public announcement: (a) in connection with material developments in respect of this Agreement; and (b) that directly refers to this Agreement (including by submitting the full text of any proposed public statement to the Department for review and refraining from making any such public statement without the Department’s prior written approval), other than any such statements that, as may be determined by the Company or any affiliate thereof: (x) are required by or to comply with applicable law or Exchange rules or regulations; (y) are made in connection with any action brought against the Company or any of its affiliates; or (z) contain only information that has been previously publicly disclosed by the Company with the Department’s prior approval.</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8650"/>
                <wp:effectExtent l="0" t="0" r="0" b="0"/>
                <wp:wrapNone/>
                <wp:docPr id="62" name="Frame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Securities Issuance Agreement as of the date first written above.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COMPANY:    GLOBALFOUNDRIES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/s/ Saam Azar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Saam Azar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Chief Legal Officer</w:t>
      </w:r>
    </w:p>
    <w:p>
      <w:pPr>
        <w:pStyle w:val="TextBody"/>
        <w:bidi w:val="0"/>
        <w:spacing w:lineRule="auto" w:line="288" w:before="0" w:after="480"/>
        <w:ind w:left="0" w:right="0" w:hanging="4320"/>
        <w:jc w:val="left"/>
        <w:rPr>
          <w:rFonts w:ascii="Times New Roman;serif" w:hAnsi="Times New Roman;serif"/>
          <w:b w:val="false"/>
          <w:color w:val="000000"/>
          <w:sz w:val="24"/>
        </w:rPr>
      </w:pPr>
      <w:r>
        <w:rPr>
          <w:rFonts w:ascii="Times New Roman;serif" w:hAnsi="Times New Roman;serif"/>
          <w:b w:val="false"/>
          <w:color w:val="000000"/>
          <w:sz w:val="24"/>
        </w:rPr>
        <w:t>DEPARTMENT:    UNITED STATES DEPARTMENT OF COMMERCE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/s/ Bill Frauenhofer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Bill Frauenhofer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Executive Director, Semiconductor Innovation and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00075"/>
                <wp:effectExtent l="0" t="0" r="0" b="0"/>
                <wp:wrapNone/>
                <wp:docPr id="63" name="Frame6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Securities Issuance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Securities Issuance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Item 1</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Shares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Shares of the Company: Ordinary Shares, $0.02 par value per share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Initial number of Shares: 9,907,399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Item 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Company notice information: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400 Stonebreak Road Extension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Malta, NY 12020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Chief Legal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simultaneous copy for any notice (which shall not constitute notice) to:</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Cleary Gottlieb Steen &amp; Hamilton LLP</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Attention:     Adam Fleisher</w:t>
      </w:r>
    </w:p>
    <w:p>
      <w:pPr>
        <w:pStyle w:val="TextBody"/>
        <w:bidi w:val="0"/>
        <w:spacing w:lineRule="auto" w:line="288" w:before="0" w:after="24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Item 3</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Department notice information: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CRDO Director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United States Department of Commerce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1401 Constitution Avenue, NW</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20230</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Attention:    CRDO Director</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8650"/>
                <wp:effectExtent l="0" t="0" r="0" b="0"/>
                <wp:wrapNone/>
                <wp:docPr id="64" name="Frame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DISCLOSURE SCHEDULE</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OPINION</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[RESERVED]</w:t>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8650"/>
                <wp:effectExtent l="0" t="0" r="0" b="0"/>
                <wp:wrapNone/>
                <wp:docPr id="65"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240"/>
        <w:jc w:val="right"/>
        <w:rPr/>
      </w:pPr>
      <w:r>
        <w:rPr/>
        <w:drawing>
          <wp:inline distT="0" distB="0" distL="0" distR="0">
            <wp:extent cx="5762625" cy="314325"/>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16"/>
                    <a:stretch>
                      <a:fillRect/>
                    </a:stretch>
                  </pic:blipFill>
                  <pic:spPr bwMode="auto">
                    <a:xfrm>
                      <a:off x="0" y="0"/>
                      <a:ext cx="5762625" cy="314325"/>
                    </a:xfrm>
                    <a:prstGeom prst="rect">
                      <a:avLst/>
                    </a:prstGeom>
                  </pic:spPr>
                </pic:pic>
              </a:graphicData>
            </a:graphic>
          </wp:inline>
        </w:drawing>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right"/>
        <w:rPr>
          <w:rFonts w:ascii="Arial;sans-serif" w:hAnsi="Arial;sans-serif"/>
          <w:b/>
          <w:color w:val="000000"/>
          <w:sz w:val="20"/>
        </w:rPr>
      </w:pPr>
      <w:r>
        <w:rPr>
          <w:rFonts w:ascii="Arial;sans-serif" w:hAnsi="Arial;sans-serif"/>
          <w:b/>
          <w:color w:val="000000"/>
          <w:sz w:val="20"/>
        </w:rPr>
        <w:t>Exhibit 5.1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8650"/>
                <wp:effectExtent l="0" t="0" r="0" b="0"/>
                <wp:wrapNone/>
                <wp:docPr id="67" name="Frame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32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914400" cy="857250"/>
            <wp:effectExtent l="0" t="0" r="0" b="0"/>
            <wp:docPr id="6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 descr=""/>
                    <pic:cNvPicPr>
                      <a:picLocks noChangeAspect="1" noChangeArrowheads="1"/>
                    </pic:cNvPicPr>
                  </pic:nvPicPr>
                  <pic:blipFill>
                    <a:blip r:embed="rId17"/>
                    <a:stretch>
                      <a:fillRect/>
                    </a:stretch>
                  </pic:blipFill>
                  <pic:spPr bwMode="auto">
                    <a:xfrm>
                      <a:off x="0" y="0"/>
                      <a:ext cx="914400" cy="857250"/>
                    </a:xfrm>
                    <a:prstGeom prst="rect">
                      <a:avLst/>
                    </a:prstGeom>
                  </pic:spPr>
                </pic:pic>
              </a:graphicData>
            </a:graphic>
          </wp:inline>
        </w:drawing>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Our ref        DJT/646943-000001/90042542v2</w:t>
      </w:r>
    </w:p>
    <w:p>
      <w:pPr>
        <w:pStyle w:val="TextBody"/>
        <w:bidi w:val="0"/>
        <w:spacing w:before="120" w:after="120"/>
        <w:jc w:val="both"/>
        <w:rPr/>
      </w:pPr>
      <w:r>
        <w:rPr/>
      </w:r>
    </w:p>
    <w:tbl>
      <w:tblPr>
        <w:tblW w:w="2774" w:type="dxa"/>
        <w:jc w:val="left"/>
        <w:tblInd w:w="0" w:type="dxa"/>
        <w:tblLayout w:type="fixed"/>
        <w:tblCellMar>
          <w:top w:w="28" w:type="dxa"/>
          <w:left w:w="28" w:type="dxa"/>
          <w:bottom w:w="28" w:type="dxa"/>
          <w:right w:w="28" w:type="dxa"/>
        </w:tblCellMar>
      </w:tblPr>
      <w:tblGrid>
        <w:gridCol w:w="888"/>
        <w:gridCol w:w="780"/>
        <w:gridCol w:w="1106"/>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GLOBALFOUNDRIES Inc.</w:t>
            </w:r>
          </w:p>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PO Box 309, Ugland House</w:t>
            </w:r>
          </w:p>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Grand Cayman, KY1-1104</w:t>
            </w:r>
          </w:p>
          <w:p>
            <w:pPr>
              <w:pStyle w:val="TableContents"/>
              <w:bidi w:val="0"/>
              <w:spacing w:lineRule="auto" w:line="240" w:before="120" w:after="120"/>
              <w:jc w:val="left"/>
              <w:rPr>
                <w:rFonts w:ascii="Arial;sans-serif" w:hAnsi="Arial;sans-serif"/>
                <w:b w:val="false"/>
                <w:color w:val="000000"/>
                <w:sz w:val="21"/>
              </w:rPr>
            </w:pPr>
            <w:r>
              <w:rPr>
                <w:rFonts w:ascii="Arial;sans-serif" w:hAnsi="Arial;sans-serif"/>
                <w:b w:val="false"/>
                <w:color w:val="000000"/>
                <w:sz w:val="21"/>
              </w:rPr>
              <w:t xml:space="preserve">Cayman Islands </w:t>
            </w:r>
          </w:p>
        </w:tc>
      </w:tr>
    </w:tbl>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14 September 2026</w:t>
      </w:r>
    </w:p>
    <w:p>
      <w:pPr>
        <w:pStyle w:val="TextBody"/>
        <w:bidi w:val="0"/>
        <w:spacing w:lineRule="auto" w:line="288" w:before="120" w:after="120"/>
        <w:jc w:val="both"/>
        <w:rPr>
          <w:rFonts w:ascii="Arial;sans-serif" w:hAnsi="Arial;sans-serif"/>
          <w:b/>
          <w:color w:val="000000"/>
          <w:sz w:val="21"/>
        </w:rPr>
      </w:pPr>
      <w:r>
        <w:rPr>
          <w:rFonts w:ascii="Arial;sans-serif" w:hAnsi="Arial;sans-serif"/>
          <w:b/>
          <w:color w:val="000000"/>
          <w:sz w:val="21"/>
        </w:rPr>
        <w:t xml:space="preserve">GLOBALFOUNDRIES Inc. </w:t>
      </w:r>
    </w:p>
    <w:p>
      <w:pPr>
        <w:pStyle w:val="TextBody"/>
        <w:bidi w:val="0"/>
        <w:spacing w:lineRule="auto" w:line="288" w:before="120" w:after="120"/>
        <w:jc w:val="both"/>
        <w:rPr/>
      </w:pPr>
      <w:r>
        <w:rPr>
          <w:rFonts w:ascii="Arial;sans-serif" w:hAnsi="Arial;sans-serif"/>
          <w:b w:val="false"/>
          <w:color w:val="000000"/>
          <w:sz w:val="21"/>
        </w:rPr>
        <w:t>We have acted as counsel as to Cayman Islands law to GLOBALFOUNDRIES Inc. (the "</w:t>
      </w:r>
      <w:r>
        <w:rPr>
          <w:rFonts w:ascii="Arial;sans-serif" w:hAnsi="Arial;sans-serif"/>
          <w:b/>
          <w:color w:val="000000"/>
          <w:sz w:val="21"/>
        </w:rPr>
        <w:t>Company</w:t>
      </w:r>
      <w:r>
        <w:rPr>
          <w:rFonts w:ascii="Arial;sans-serif" w:hAnsi="Arial;sans-serif"/>
          <w:b w:val="false"/>
          <w:color w:val="000000"/>
          <w:sz w:val="21"/>
        </w:rPr>
        <w:t>") in connection with the Company's registration statement on Form F-3, including all amendments or supplements thereto, filed with the United States Securities and Exchange Commission (the "</w:t>
      </w:r>
      <w:r>
        <w:rPr>
          <w:rFonts w:ascii="Arial;sans-serif" w:hAnsi="Arial;sans-serif"/>
          <w:b/>
          <w:color w:val="000000"/>
          <w:sz w:val="21"/>
        </w:rPr>
        <w:t>Commission</w:t>
      </w:r>
      <w:r>
        <w:rPr>
          <w:rFonts w:ascii="Arial;sans-serif" w:hAnsi="Arial;sans-serif"/>
          <w:b w:val="false"/>
          <w:color w:val="000000"/>
          <w:sz w:val="21"/>
        </w:rPr>
        <w:t>") under the United States Securities Act of 1933, as amended (the "</w:t>
      </w:r>
      <w:r>
        <w:rPr>
          <w:rFonts w:ascii="Arial;sans-serif" w:hAnsi="Arial;sans-serif"/>
          <w:b/>
          <w:color w:val="000000"/>
          <w:sz w:val="21"/>
        </w:rPr>
        <w:t>Act</w:t>
      </w:r>
      <w:r>
        <w:rPr>
          <w:rFonts w:ascii="Arial;sans-serif" w:hAnsi="Arial;sans-serif"/>
          <w:b w:val="false"/>
          <w:color w:val="000000"/>
          <w:sz w:val="21"/>
        </w:rPr>
        <w:t>") (including its exhibits, the "</w:t>
      </w:r>
      <w:r>
        <w:rPr>
          <w:rFonts w:ascii="Arial;sans-serif" w:hAnsi="Arial;sans-serif"/>
          <w:b/>
          <w:color w:val="000000"/>
          <w:sz w:val="21"/>
        </w:rPr>
        <w:t>Registration Statement</w:t>
      </w:r>
      <w:r>
        <w:rPr>
          <w:rFonts w:ascii="Arial;sans-serif" w:hAnsi="Arial;sans-serif"/>
          <w:b w:val="false"/>
          <w:color w:val="000000"/>
          <w:sz w:val="21"/>
        </w:rPr>
        <w:t>") relating to, among other things, up to 9,907,399 ordinary shares of a par value of US$0.02 each of the Company (the "</w:t>
      </w:r>
      <w:r>
        <w:rPr>
          <w:rFonts w:ascii="Arial;sans-serif" w:hAnsi="Arial;sans-serif"/>
          <w:b/>
          <w:color w:val="000000"/>
          <w:sz w:val="21"/>
        </w:rPr>
        <w:t>Shares</w:t>
      </w:r>
      <w:r>
        <w:rPr>
          <w:rFonts w:ascii="Arial;sans-serif" w:hAnsi="Arial;sans-serif"/>
          <w:b w:val="false"/>
          <w:color w:val="000000"/>
          <w:sz w:val="21"/>
        </w:rPr>
        <w:t>"), which have been issued to, and which may be offered by, the selling shareholder identified in the Registration Statement (the "</w:t>
      </w:r>
      <w:r>
        <w:rPr>
          <w:rFonts w:ascii="Arial;sans-serif" w:hAnsi="Arial;sans-serif"/>
          <w:b/>
          <w:color w:val="000000"/>
          <w:sz w:val="21"/>
        </w:rPr>
        <w:t>Selling Shareholder</w:t>
      </w:r>
      <w:r>
        <w:rPr>
          <w:rFonts w:ascii="Arial;sans-serif" w:hAnsi="Arial;sans-serif"/>
          <w:b w:val="false"/>
          <w:color w:val="000000"/>
          <w:sz w:val="21"/>
        </w:rPr>
        <w:t>"). This opinion letter is given in accordance with the terms of the Legal Matters section of the Registration Statement.</w:t>
      </w:r>
    </w:p>
    <w:p>
      <w:pPr>
        <w:pStyle w:val="TextBody"/>
        <w:bidi w:val="0"/>
        <w:spacing w:lineRule="auto" w:line="240" w:before="240" w:after="120"/>
        <w:ind w:left="0" w:right="0" w:hanging="720"/>
        <w:jc w:val="both"/>
        <w:rPr>
          <w:rFonts w:ascii="Arial;sans-serif" w:hAnsi="Arial;sans-serif"/>
          <w:b/>
          <w:color w:val="000000"/>
          <w:sz w:val="22"/>
        </w:rPr>
      </w:pPr>
      <w:r>
        <w:rPr>
          <w:rFonts w:ascii="Arial;sans-serif" w:hAnsi="Arial;sans-serif"/>
          <w:b/>
          <w:color w:val="000000"/>
          <w:sz w:val="22"/>
        </w:rPr>
        <w:t>1Documents Reviewed</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We have reviewed originals, copies, drafts or conformed copies of the following documents:</w:t>
      </w:r>
    </w:p>
    <w:p>
      <w:pPr>
        <w:pStyle w:val="TextBody"/>
        <w:bidi w:val="0"/>
        <w:spacing w:lineRule="auto" w:line="240" w:before="240" w:after="120"/>
        <w:ind w:left="0" w:right="0" w:hanging="720"/>
        <w:jc w:val="both"/>
        <w:rPr/>
      </w:pPr>
      <w:r>
        <w:rPr>
          <w:rFonts w:ascii="Arial;sans-serif" w:hAnsi="Arial;sans-serif"/>
          <w:b w:val="false"/>
          <w:color w:val="000000"/>
          <w:sz w:val="21"/>
        </w:rPr>
        <w:t>1.1The certificate of incorporation dated 7 October 2008, the certificate of incorporation on change of name dated 4 March 2009 and the amended and restated memorandum and articles of association of the Company as adopted on 1 November 2021 (the "</w:t>
      </w:r>
      <w:r>
        <w:rPr>
          <w:rFonts w:ascii="Arial;sans-serif" w:hAnsi="Arial;sans-serif"/>
          <w:b/>
          <w:color w:val="000000"/>
          <w:sz w:val="21"/>
        </w:rPr>
        <w:t>Memorandum and Articles</w:t>
      </w:r>
      <w:r>
        <w:rPr>
          <w:rFonts w:ascii="Arial;sans-serif" w:hAnsi="Arial;sans-serif"/>
          <w:b w:val="false"/>
          <w:color w:val="000000"/>
          <w:sz w:val="21"/>
        </w:rPr>
        <w:t>").</w:t>
      </w:r>
    </w:p>
    <w:p>
      <w:pPr>
        <w:pStyle w:val="TextBody"/>
        <w:bidi w:val="0"/>
        <w:spacing w:lineRule="auto" w:line="240" w:before="240" w:after="120"/>
        <w:ind w:left="0" w:right="0" w:hanging="720"/>
        <w:jc w:val="both"/>
        <w:rPr/>
      </w:pPr>
      <w:r>
        <w:rPr>
          <w:rFonts w:ascii="Arial;sans-serif" w:hAnsi="Arial;sans-serif"/>
          <w:b w:val="false"/>
          <w:color w:val="000000"/>
          <w:sz w:val="21"/>
        </w:rPr>
        <w:t>1.2The written resolutions of the board of directors of the Company dated 31 August 2026 (the "</w:t>
      </w:r>
      <w:r>
        <w:rPr>
          <w:rFonts w:ascii="Arial;sans-serif" w:hAnsi="Arial;sans-serif"/>
          <w:b/>
          <w:color w:val="000000"/>
          <w:sz w:val="21"/>
        </w:rPr>
        <w:t>Resolutions</w:t>
      </w:r>
      <w:r>
        <w:rPr>
          <w:rFonts w:ascii="Arial;sans-serif" w:hAnsi="Arial;sans-serif"/>
          <w:b w:val="false"/>
          <w:color w:val="000000"/>
          <w:sz w:val="21"/>
        </w:rPr>
        <w: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1.3The following corporate records of the Company maintained at its registered office in the Cayman Islands, each as at the date of this opinion letter:</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(a)register of directors and officers; and</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(b)register of mortgages and charges.</w:t>
      </w:r>
    </w:p>
    <w:p>
      <w:pPr>
        <w:pStyle w:val="TextBody"/>
        <w:bidi w:val="0"/>
        <w:spacing w:before="12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73125"/>
                <wp:effectExtent l="0" t="0" r="0" b="0"/>
                <wp:wrapNone/>
                <wp:docPr id="69" name="Frame65"/>
                <a:graphic xmlns:a="http://schemas.openxmlformats.org/drawingml/2006/main">
                  <a:graphicData uri="http://schemas.microsoft.com/office/word/2010/wordprocessingShape">
                    <wps:wsp>
                      <wps:cNvSpPr txBox="1"/>
                      <wps:spPr>
                        <a:xfrm>
                          <a:off x="0" y="0"/>
                          <a:ext cx="6480175" cy="873125"/>
                        </a:xfrm>
                        <a:prstGeom prst="rect"/>
                        <a:solidFill>
                          <a:srgbClr val="FFFFFF"/>
                        </a:solidFill>
                      </wps:spPr>
                      <wps:txbx>
                        <w:txbxContent>
                          <w:p>
                            <w:pPr>
                              <w:pStyle w:val="TextBody"/>
                              <w:bidi w:val="0"/>
                              <w:spacing w:before="240" w:after="120"/>
                              <w:jc w:val="both"/>
                              <w:rPr/>
                            </w:pPr>
                            <w:r>
                              <w:rPr/>
                              <w:drawing>
                                <wp:inline distT="0" distB="0" distL="0" distR="0">
                                  <wp:extent cx="6210300" cy="657225"/>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18"/>
                                          <a:stretch>
                                            <a:fillRect/>
                                          </a:stretch>
                                        </pic:blipFill>
                                        <pic:spPr bwMode="auto">
                                          <a:xfrm>
                                            <a:off x="0" y="0"/>
                                            <a:ext cx="6210300" cy="6572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120"/>
                        <w:jc w:val="both"/>
                        <w:rPr/>
                      </w:pPr>
                      <w:r>
                        <w:rPr/>
                        <w:drawing>
                          <wp:inline distT="0" distB="0" distL="0" distR="0">
                            <wp:extent cx="6210300" cy="657225"/>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19"/>
                                    <a:stretch>
                                      <a:fillRect/>
                                    </a:stretch>
                                  </pic:blipFill>
                                  <pic:spPr bwMode="auto">
                                    <a:xfrm>
                                      <a:off x="0" y="0"/>
                                      <a:ext cx="6210300" cy="657225"/>
                                    </a:xfrm>
                                    <a:prstGeom prst="rect">
                                      <a:avLst/>
                                    </a:prstGeom>
                                  </pic:spPr>
                                </pic:pic>
                              </a:graphicData>
                            </a:graphic>
                          </wp:inline>
                        </w:drawing>
                      </w:r>
                    </w:p>
                  </w:txbxContent>
                </v:textbox>
                <w10:wrap type="none"/>
              </v:rect>
            </w:pict>
          </mc:Fallback>
        </mc:AlternateContent>
      </w:r>
    </w:p>
    <w:p>
      <w:pPr>
        <w:pStyle w:val="TextBody"/>
        <w:bidi w:val="0"/>
        <w:spacing w:lineRule="auto" w:line="240" w:before="240" w:after="120"/>
        <w:ind w:left="0" w:right="0" w:hanging="720"/>
        <w:jc w:val="both"/>
        <w:rPr/>
      </w:pPr>
      <w:r>
        <w:rPr>
          <w:rFonts w:ascii="Arial;sans-serif" w:hAnsi="Arial;sans-serif"/>
          <w:b w:val="false"/>
          <w:color w:val="000000"/>
          <w:sz w:val="21"/>
        </w:rPr>
        <w:t>1.4A certificate of good standing with respect to the Company issued by the Registrar of Companies dated 3 September 2026 (the "</w:t>
      </w:r>
      <w:r>
        <w:rPr>
          <w:rFonts w:ascii="Arial;sans-serif" w:hAnsi="Arial;sans-serif"/>
          <w:b/>
          <w:color w:val="000000"/>
          <w:sz w:val="21"/>
        </w:rPr>
        <w:t>Certificate of Good Standing</w:t>
      </w:r>
      <w:r>
        <w:rPr>
          <w:rFonts w:ascii="Arial;sans-serif" w:hAnsi="Arial;sans-serif"/>
          <w:b w:val="false"/>
          <w:color w:val="000000"/>
          <w:sz w:val="21"/>
        </w:rPr>
        <w:t>").</w:t>
      </w:r>
    </w:p>
    <w:p>
      <w:pPr>
        <w:pStyle w:val="TextBody"/>
        <w:bidi w:val="0"/>
        <w:spacing w:lineRule="auto" w:line="240" w:before="240" w:after="120"/>
        <w:ind w:left="0" w:right="0" w:hanging="720"/>
        <w:jc w:val="both"/>
        <w:rPr/>
      </w:pPr>
      <w:r>
        <w:rPr>
          <w:rFonts w:ascii="Arial;sans-serif" w:hAnsi="Arial;sans-serif"/>
          <w:b w:val="false"/>
          <w:color w:val="000000"/>
          <w:sz w:val="21"/>
        </w:rPr>
        <w:t>1.5A copy of the register of members of the Company received on 11 September 2026 (the "</w:t>
      </w:r>
      <w:r>
        <w:rPr>
          <w:rFonts w:ascii="Arial;sans-serif" w:hAnsi="Arial;sans-serif"/>
          <w:b/>
          <w:color w:val="000000"/>
          <w:sz w:val="21"/>
        </w:rPr>
        <w:t>Register of Members</w:t>
      </w:r>
      <w:r>
        <w:rPr>
          <w:rFonts w:ascii="Arial;sans-serif" w:hAnsi="Arial;sans-serif"/>
          <w:b w:val="false"/>
          <w:color w:val="000000"/>
          <w:sz w:val="21"/>
        </w:rPr>
        <w:t>").</w:t>
      </w:r>
    </w:p>
    <w:p>
      <w:pPr>
        <w:pStyle w:val="TextBody"/>
        <w:bidi w:val="0"/>
        <w:spacing w:lineRule="auto" w:line="240" w:before="240" w:after="120"/>
        <w:ind w:left="0" w:right="0" w:hanging="720"/>
        <w:jc w:val="both"/>
        <w:rPr/>
      </w:pPr>
      <w:r>
        <w:rPr>
          <w:rFonts w:ascii="Arial;sans-serif" w:hAnsi="Arial;sans-serif"/>
          <w:b w:val="false"/>
          <w:color w:val="000000"/>
          <w:sz w:val="21"/>
        </w:rPr>
        <w:t>1.6A certificate from a director of the Company a copy of which is attached to this opinion letter (the "</w:t>
      </w:r>
      <w:r>
        <w:rPr>
          <w:rFonts w:ascii="Arial;sans-serif" w:hAnsi="Arial;sans-serif"/>
          <w:b/>
          <w:color w:val="000000"/>
          <w:sz w:val="21"/>
        </w:rPr>
        <w:t>Director's Certificate</w:t>
      </w:r>
      <w:r>
        <w:rPr>
          <w:rFonts w:ascii="Arial;sans-serif" w:hAnsi="Arial;sans-serif"/>
          <w:b w:val="false"/>
          <w:color w:val="000000"/>
          <w:sz w:val="21"/>
        </w:rPr>
        <w: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1.7The Registration Statement.</w:t>
      </w:r>
    </w:p>
    <w:p>
      <w:pPr>
        <w:pStyle w:val="TextBody"/>
        <w:bidi w:val="0"/>
        <w:spacing w:lineRule="auto" w:line="240" w:before="240" w:after="120"/>
        <w:ind w:left="0" w:right="0" w:hanging="720"/>
        <w:jc w:val="both"/>
        <w:rPr>
          <w:rFonts w:ascii="Arial;sans-serif" w:hAnsi="Arial;sans-serif"/>
          <w:b/>
          <w:color w:val="000000"/>
          <w:sz w:val="22"/>
        </w:rPr>
      </w:pPr>
      <w:r>
        <w:rPr>
          <w:rFonts w:ascii="Arial;sans-serif" w:hAnsi="Arial;sans-serif"/>
          <w:b/>
          <w:color w:val="000000"/>
          <w:sz w:val="22"/>
        </w:rPr>
        <w:t>2Assumptions</w:t>
      </w:r>
    </w:p>
    <w:p>
      <w:pPr>
        <w:pStyle w:val="TextBody"/>
        <w:bidi w:val="0"/>
        <w:spacing w:lineRule="auto" w:line="288" w:before="240" w:after="120"/>
        <w:jc w:val="both"/>
        <w:rPr>
          <w:rFonts w:ascii="Arial;sans-serif" w:hAnsi="Arial;sans-serif"/>
          <w:b w:val="false"/>
          <w:color w:val="000000"/>
          <w:sz w:val="21"/>
        </w:rPr>
      </w:pPr>
      <w:r>
        <w:rPr>
          <w:rFonts w:ascii="Arial;sans-serif" w:hAnsi="Arial;sans-serif"/>
          <w:b w:val="false"/>
          <w:color w:val="000000"/>
          <w:sz w:val="21"/>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2.1Copies of documents, conformed copies or drafts of documents provided to us are true and complete copies of, or in the final forms of, the originals, and translations of documents provided to us are complete and accurate.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2.2All signatures, initials and seals are genuine.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2.3No invitation has been or will be made by or on behalf of the Company to the public in the Cayman Islands to subscribe for or purchase any of the Shares.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2.4The completeness and accuracy of the Register of Members.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2.5There is no contractual or other prohibition or restriction (other than as arising under Cayman Islands law) binding on the Company prohibiting or restricting it from entering into and performing its obligations under the Registration Statement.</w:t>
      </w:r>
    </w:p>
    <w:p>
      <w:pPr>
        <w:pStyle w:val="TextBody"/>
        <w:bidi w:val="0"/>
        <w:spacing w:lineRule="auto" w:line="240" w:before="240" w:after="120"/>
        <w:ind w:left="0" w:right="0" w:hanging="720"/>
        <w:jc w:val="both"/>
        <w:rPr/>
      </w:pPr>
      <w:r>
        <w:rPr>
          <w:rFonts w:ascii="Arial;sans-serif" w:hAnsi="Arial;sans-serif"/>
          <w:b w:val="false"/>
          <w:color w:val="000000"/>
          <w:sz w:val="21"/>
        </w:rPr>
        <w:t>2.6No monies paid to or for the account of any party under the Registration Statement or any property received or disposed of by any party to the Registration Statement in each case in connection with the Registration Statement or the consummation of the transactions contemplated thereby</w:t>
      </w:r>
      <w:r>
        <w:rPr>
          <w:color w:val="000000"/>
        </w:rPr>
        <w:t xml:space="preserve"> </w:t>
      </w:r>
      <w:r>
        <w:rPr>
          <w:rFonts w:ascii="Arial;sans-serif" w:hAnsi="Arial;sans-serif"/>
          <w:b w:val="false"/>
          <w:color w:val="000000"/>
          <w:sz w:val="21"/>
        </w:rPr>
        <w:t>represent or will represent proceeds of criminal conduct or criminal property or terrorist property (as defined in the Proceeds of Crime Act (As Revised) and the Terrorism Act (As Revised), respectively).</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2.7There is nothing contained in the minute book or corporate records of the Company (which, other than the records set out in paragraphs 1.1, 1.2 and 1.3 of this opinion letter, we have not inspected) which would or might affect the opinions set out below.</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2.8There is nothing under any law (other than the laws of the Cayman Islands) which would or might affect the opinions set out below. Specifically, we have made no independent investigation of the State of New York.</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2.9The Company has received, or will receive, value at least equal to the aggregate par value of the Shares in consideration for the issue of the Shares and none of the Shares has been, or will be, issued for less than par value.</w:t>
      </w:r>
    </w:p>
    <w:p>
      <w:pPr>
        <w:pStyle w:val="TextBody"/>
        <w:bidi w:val="0"/>
        <w:spacing w:before="120" w:after="12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7660"/>
                <wp:effectExtent l="0" t="0" r="0" b="0"/>
                <wp:wrapNone/>
                <wp:docPr id="72" name="Frame6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2</w:t>
                      </w:r>
                    </w:p>
                  </w:txbxContent>
                </v:textbox>
                <w10:wrap type="none"/>
              </v:rect>
            </w:pict>
          </mc:Fallback>
        </mc:AlternateContent>
      </w:r>
    </w:p>
    <w:p>
      <w:pPr>
        <w:pStyle w:val="TextBody"/>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Save as aforesaid we have not been instructed to undertake and have not undertaken any further enquiry or due diligence in relation to the transaction the subject of this opinion letter.</w:t>
      </w:r>
    </w:p>
    <w:p>
      <w:pPr>
        <w:pStyle w:val="TextBody"/>
        <w:bidi w:val="0"/>
        <w:spacing w:lineRule="auto" w:line="240" w:before="240" w:after="120"/>
        <w:ind w:left="0" w:right="0" w:hanging="720"/>
        <w:jc w:val="both"/>
        <w:rPr>
          <w:rFonts w:ascii="Arial;sans-serif" w:hAnsi="Arial;sans-serif"/>
          <w:b/>
          <w:color w:val="000000"/>
          <w:sz w:val="22"/>
        </w:rPr>
      </w:pPr>
      <w:r>
        <w:rPr>
          <w:rFonts w:ascii="Arial;sans-serif" w:hAnsi="Arial;sans-serif"/>
          <w:b/>
          <w:color w:val="000000"/>
          <w:sz w:val="22"/>
        </w:rPr>
        <w:t>3Opinions</w:t>
      </w:r>
    </w:p>
    <w:p>
      <w:pPr>
        <w:pStyle w:val="TextBody"/>
        <w:bidi w:val="0"/>
        <w:spacing w:lineRule="auto" w:line="288" w:before="240" w:after="120"/>
        <w:jc w:val="both"/>
        <w:rPr>
          <w:rFonts w:ascii="Arial;sans-serif" w:hAnsi="Arial;sans-serif"/>
          <w:b w:val="false"/>
          <w:color w:val="000000"/>
          <w:sz w:val="21"/>
        </w:rPr>
      </w:pPr>
      <w:r>
        <w:rPr>
          <w:rFonts w:ascii="Arial;sans-serif" w:hAnsi="Arial;sans-serif"/>
          <w:b w:val="false"/>
          <w:color w:val="000000"/>
          <w:sz w:val="21"/>
        </w:rPr>
        <w:t>Based upon, and subject to, the foregoing assumptions and the qualifications set out below, and having regard to such legal considerations as we deem relevant, we are of the opinion that: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3.1The Company has been duly incorporated as an exempted company with limited liability and is validly existing and in good standing with the Registrar of Companies under the laws of the Cayman Islands.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3.2Based solely on our inspection of the Register of Members, the Selling Shareholder has valid title to its Shares and such Shares have been duly authorised, legally issued and are fully paid and non-assessable and there are no entries or notations indicating any third party interests, including any security interest as at the date hereof.</w:t>
      </w:r>
    </w:p>
    <w:p>
      <w:pPr>
        <w:pStyle w:val="TextBody"/>
        <w:bidi w:val="0"/>
        <w:spacing w:lineRule="auto" w:line="240" w:before="240" w:after="120"/>
        <w:ind w:left="0" w:right="0" w:hanging="720"/>
        <w:jc w:val="both"/>
        <w:rPr>
          <w:rFonts w:ascii="Arial;sans-serif" w:hAnsi="Arial;sans-serif"/>
          <w:b/>
          <w:color w:val="000000"/>
          <w:sz w:val="22"/>
        </w:rPr>
      </w:pPr>
      <w:r>
        <w:rPr>
          <w:rFonts w:ascii="Arial;sans-serif" w:hAnsi="Arial;sans-serif"/>
          <w:b/>
          <w:color w:val="000000"/>
          <w:sz w:val="22"/>
        </w:rPr>
        <w:t>4Qualifications</w:t>
      </w:r>
    </w:p>
    <w:p>
      <w:pPr>
        <w:pStyle w:val="TextBody"/>
        <w:bidi w:val="0"/>
        <w:spacing w:lineRule="auto" w:line="288" w:before="240" w:after="120"/>
        <w:jc w:val="both"/>
        <w:rPr>
          <w:rFonts w:ascii="Arial;sans-serif" w:hAnsi="Arial;sans-serif"/>
          <w:b w:val="false"/>
          <w:color w:val="000000"/>
          <w:sz w:val="21"/>
        </w:rPr>
      </w:pPr>
      <w:r>
        <w:rPr>
          <w:rFonts w:ascii="Arial;sans-serif" w:hAnsi="Arial;sans-serif"/>
          <w:b w:val="false"/>
          <w:color w:val="000000"/>
          <w:sz w:val="21"/>
        </w:rPr>
        <w:t>The opinions expressed above are subject to the following qualifications: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4.1To maintain the Company in good standing with the Registrar of Companies under the laws of the Cayman Islands, annual filing fees must be paid and returns made to the Registrar of Companies within the time frame prescribed by law.</w:t>
      </w:r>
    </w:p>
    <w:p>
      <w:pPr>
        <w:pStyle w:val="TextBody"/>
        <w:bidi w:val="0"/>
        <w:spacing w:lineRule="auto" w:line="240" w:before="240" w:after="120"/>
        <w:ind w:left="0" w:right="0" w:hanging="720"/>
        <w:jc w:val="both"/>
        <w:rPr/>
      </w:pPr>
      <w:r>
        <w:rPr>
          <w:rFonts w:ascii="Arial;sans-serif" w:hAnsi="Arial;sans-serif"/>
          <w:b w:val="false"/>
          <w:color w:val="000000"/>
          <w:sz w:val="21"/>
        </w:rPr>
        <w:t xml:space="preserve">4.2Under Cayman Islands law, the register of members (shareholders) is </w:t>
      </w:r>
      <w:r>
        <w:rPr>
          <w:rFonts w:ascii="Arial;sans-serif" w:hAnsi="Arial;sans-serif"/>
          <w:b w:val="false"/>
          <w:i/>
          <w:color w:val="000000"/>
          <w:sz w:val="21"/>
        </w:rPr>
        <w:t>prima facie</w:t>
      </w:r>
      <w:r>
        <w:rPr>
          <w:color w:val="000000"/>
        </w:rPr>
        <w:t xml:space="preserve"> </w:t>
      </w:r>
      <w:r>
        <w:rPr>
          <w:rFonts w:ascii="Arial;sans-serif" w:hAnsi="Arial;sans-serif"/>
          <w:b w:val="false"/>
          <w:color w:val="000000"/>
          <w:sz w:val="21"/>
        </w:rPr>
        <w:t>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4.3Except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4.4We express no opinion as to the meaning, validity or effect of any references to foreign (i.e. non-Cayman Islands) statutes, rules, regulations, codes, judicial authority or any other promulgations and any references to them in the Registration Statement.</w:t>
      </w:r>
    </w:p>
    <w:p>
      <w:pPr>
        <w:pStyle w:val="TextBody"/>
        <w:bidi w:val="0"/>
        <w:spacing w:lineRule="auto" w:line="240" w:before="120" w:after="120"/>
        <w:ind w:left="0" w:right="0" w:hanging="720"/>
        <w:jc w:val="both"/>
        <w:rPr>
          <w:rFonts w:ascii="Arial;sans-serif" w:hAnsi="Arial;sans-serif"/>
          <w:b w:val="false"/>
          <w:color w:val="000000"/>
          <w:sz w:val="21"/>
        </w:rPr>
      </w:pPr>
      <w:r>
        <w:rPr>
          <w:rFonts w:ascii="Arial;sans-serif" w:hAnsi="Arial;sans-serif"/>
          <w:b w:val="false"/>
          <w:color w:val="000000"/>
          <w:sz w:val="21"/>
        </w:rPr>
        <w:t>4.5In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120" w:after="12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7660"/>
                <wp:effectExtent l="0" t="0" r="0" b="0"/>
                <wp:wrapNone/>
                <wp:docPr id="73" name="Frame6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3</w:t>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We hereby consent to the filing of this opinion letter as an exhibit to the Registration Statement and to the references to our firm under the headings "Legal Matters" in the prospectus included in the Registration Statement. In providing our consent, we do not thereby admit that we are in the category of persons whose consent is required under Section 7 of the Act or the Rules and Regulations of the Commission thereunder.</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We express no view as to the commercial terms of the Registration Statement or whether such terms represent the intentions of the parties and make no comment with regard to warranties or representations that may be made by the Company.</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The opinions in this opinion letter are strictly limited to the matters contained in the opinions section above and do not extend to any other matters. We have not been asked to review and we therefore have not reviewed any of the ancillary documents relating to the Shares and express no opinion or observation upon the terms of any such document.</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This opinion letter is addressed to you and may be relied upon by you, your counsel and purchasers of the Shares pursuant to the Registration Statement. This opinion letter is limited to the matters detailed herein and is not to be read as an opinion with respect to any other matter.</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Yours faithfully</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/s/ Maples and Calder (Cayman) LLP</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Maples and Calder (Cayman) LLP</w:t>
      </w:r>
    </w:p>
    <w:p>
      <w:pPr>
        <w:pStyle w:val="TextBody"/>
        <w:bidi w:val="0"/>
        <w:spacing w:before="120" w:after="12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7660"/>
                <wp:effectExtent l="0" t="0" r="0" b="0"/>
                <wp:wrapNone/>
                <wp:docPr id="74" name="Frame6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4</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GLOBALFOUNDRIES Inc.</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PO Box 309, Ugland House</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Grand Cayman</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KY1-1104</w:t>
      </w:r>
    </w:p>
    <w:p>
      <w:pPr>
        <w:pStyle w:val="TextBody"/>
        <w:bidi w:val="0"/>
        <w:spacing w:lineRule="auto" w:line="288" w:before="0" w:after="0"/>
        <w:jc w:val="center"/>
        <w:rPr>
          <w:rFonts w:ascii="Arial;sans-serif" w:hAnsi="Arial;sans-serif"/>
          <w:b w:val="false"/>
          <w:color w:val="000000"/>
          <w:sz w:val="21"/>
        </w:rPr>
      </w:pPr>
      <w:r>
        <w:rPr>
          <w:rFonts w:ascii="Arial;sans-serif" w:hAnsi="Arial;sans-serif"/>
          <w:b w:val="false"/>
          <w:color w:val="000000"/>
          <w:sz w:val="21"/>
        </w:rPr>
        <w:t>Cayman Islands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To:    Maples and Calder (Cayman) LLP</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PO Box 309, Ugland House</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Grand Cayman</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KY1-1104</w:t>
      </w:r>
    </w:p>
    <w:p>
      <w:pPr>
        <w:pStyle w:val="TextBody"/>
        <w:bidi w:val="0"/>
        <w:spacing w:lineRule="auto" w:line="288" w:before="0" w:after="0"/>
        <w:jc w:val="both"/>
        <w:rPr>
          <w:rFonts w:ascii="Arial;sans-serif" w:hAnsi="Arial;sans-serif"/>
          <w:b w:val="false"/>
          <w:color w:val="000000"/>
          <w:sz w:val="21"/>
        </w:rPr>
      </w:pPr>
      <w:r>
        <w:rPr>
          <w:rFonts w:ascii="Arial;sans-serif" w:hAnsi="Arial;sans-serif"/>
          <w:b w:val="false"/>
          <w:color w:val="000000"/>
          <w:sz w:val="21"/>
        </w:rPr>
        <w:t>Cayman Islands</w:t>
      </w:r>
    </w:p>
    <w:p>
      <w:pPr>
        <w:pStyle w:val="TextBody"/>
        <w:bidi w:val="0"/>
        <w:spacing w:before="120" w:after="120"/>
        <w:jc w:val="both"/>
        <w:rPr/>
      </w:pPr>
      <w:r>
        <w:rPr/>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14 September 2026</w:t>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color w:val="000000"/>
          <w:sz w:val="21"/>
        </w:rPr>
        <w:t>GLOBALFOUNDRIES Inc.</w:t>
      </w:r>
      <w:r>
        <w:rPr>
          <w:color w:val="000000"/>
        </w:rPr>
        <w:t xml:space="preserve"> </w:t>
      </w:r>
      <w:r>
        <w:rPr>
          <w:rFonts w:ascii="Arial;sans-serif" w:hAnsi="Arial;sans-serif"/>
          <w:b w:val="false"/>
          <w:color w:val="000000"/>
          <w:sz w:val="21"/>
        </w:rPr>
        <w:t>(the "</w:t>
      </w:r>
      <w:r>
        <w:rPr>
          <w:rFonts w:ascii="Arial;sans-serif" w:hAnsi="Arial;sans-serif"/>
          <w:b/>
          <w:color w:val="000000"/>
          <w:sz w:val="21"/>
        </w:rPr>
        <w:t>Company</w:t>
      </w:r>
      <w:r>
        <w:rPr>
          <w:rFonts w:ascii="Arial;sans-serif" w:hAnsi="Arial;sans-serif"/>
          <w:b w:val="false"/>
          <w:color w:val="000000"/>
          <w:sz w:val="21"/>
        </w:rPr>
        <w:t>")</w:t>
      </w:r>
    </w:p>
    <w:p>
      <w:pPr>
        <w:pStyle w:val="TextBody"/>
        <w:bidi w:val="0"/>
        <w:spacing w:lineRule="auto" w:line="288" w:before="120" w:after="120"/>
        <w:jc w:val="both"/>
        <w:rPr/>
      </w:pPr>
      <w:r>
        <w:rPr>
          <w:rFonts w:ascii="Arial;sans-serif" w:hAnsi="Arial;sans-serif"/>
          <w:b w:val="false"/>
          <w:color w:val="000000"/>
          <w:sz w:val="21"/>
        </w:rPr>
        <w:t>I, the undersigned, being a director of the Company, am aware that you are being asked to provide an opinion letter (the "</w:t>
      </w:r>
      <w:r>
        <w:rPr>
          <w:rFonts w:ascii="Arial;sans-serif" w:hAnsi="Arial;sans-serif"/>
          <w:b/>
          <w:color w:val="000000"/>
          <w:sz w:val="21"/>
        </w:rPr>
        <w:t>Opinion</w:t>
      </w:r>
      <w:r>
        <w:rPr>
          <w:rFonts w:ascii="Arial;sans-serif" w:hAnsi="Arial;sans-serif"/>
          <w:b w:val="false"/>
          <w:color w:val="000000"/>
          <w:sz w:val="21"/>
        </w:rPr>
        <w:t>") in relation to certain aspects of Cayman Islands law. Unless otherwise defined herein, capitalised terms used in this certificate have the respective meanings given to them in the Opinion. I hereby certify that: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 The Memorandum and Articles remain in full force and effect and are unamended.</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2 The Company has not entered into any mortgages or charges over its property or assets other than those entered in the register of mortgages and charges of the Company.</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3 The Resolutions were duly passed in the manner prescribed in the Memorandum and Articles (including, without limitation, with respect to the disclosure of interests (if any) by directors of the Company) and have not been amended, varied or revoked in any respect.</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4 The authorised share capital of the Company is US$30,000,000 divided into (i) 1,300,000,000 Ordinary Shares of a nominal or par value of US$0.02 each, and (ii) 200,000,000 Preferred Shares of a nominal or par value of US$0.02 each. The issued share capital of the Company is 557,418,603 Ordinary Shares of a par value of US$0.02 each, which have been issued as fully paid and non-assessable.</w:t>
      </w:r>
    </w:p>
    <w:p>
      <w:pPr>
        <w:pStyle w:val="TextBody"/>
        <w:bidi w:val="0"/>
        <w:spacing w:lineRule="auto" w:line="240" w:before="240" w:after="120"/>
        <w:ind w:left="0" w:right="0" w:hanging="720"/>
        <w:jc w:val="both"/>
        <w:rPr/>
      </w:pPr>
      <w:r>
        <w:rPr>
          <w:rFonts w:ascii="Arial;sans-serif" w:hAnsi="Arial;sans-serif"/>
          <w:b w:val="false"/>
          <w:color w:val="000000"/>
          <w:sz w:val="21"/>
        </w:rPr>
        <w:t>5 The shareholders of the Company (the "</w:t>
      </w:r>
      <w:r>
        <w:rPr>
          <w:rFonts w:ascii="Arial;sans-serif" w:hAnsi="Arial;sans-serif"/>
          <w:b/>
          <w:color w:val="000000"/>
          <w:sz w:val="21"/>
        </w:rPr>
        <w:t>Shareholders</w:t>
      </w:r>
      <w:r>
        <w:rPr>
          <w:rFonts w:ascii="Arial;sans-serif" w:hAnsi="Arial;sans-serif"/>
          <w:b w:val="false"/>
          <w:color w:val="000000"/>
          <w:sz w:val="21"/>
        </w:rPr>
        <w:t>") have not restricted the powers of the directors of the Company in any way (other than as set out in the Memorandum and Articles).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6 The directors of the Company at the date of the Resolutions and at the date of this certificate were and are as follows:</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Carlos Obeid</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Timothy Breen</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David Kerko</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Thomas Caulfield</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Glenda Dorchak</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Jack Lazar</w:t>
      </w:r>
    </w:p>
    <w:p>
      <w:pPr>
        <w:pStyle w:val="TextBody"/>
        <w:bidi w:val="0"/>
        <w:spacing w:before="120" w:after="12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7660"/>
                <wp:effectExtent l="0" t="0" r="0" b="0"/>
                <wp:wrapNone/>
                <wp:docPr id="75" name="Frame6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5</w:t>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Bobby Yerramilli-Rao</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Camilla Macapili Languille</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Marc Antaki</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Ganesh Moorthy</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Samer Halawa</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7 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8 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9 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pStyle w:val="TextBody"/>
        <w:bidi w:val="0"/>
        <w:spacing w:lineRule="auto" w:line="240" w:before="240" w:after="120"/>
        <w:ind w:left="0" w:right="0" w:hanging="720"/>
        <w:jc w:val="both"/>
        <w:rPr/>
      </w:pPr>
      <w:r>
        <w:rPr>
          <w:rFonts w:ascii="Arial;sans-serif" w:hAnsi="Arial;sans-serif"/>
          <w:b w:val="false"/>
          <w:color w:val="000000"/>
          <w:sz w:val="21"/>
        </w:rPr>
        <w:t>10 To the best of my knowledge and belief, having made due inquiry, the Company is not the subject of material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r>
        <w:rPr>
          <w:color w:val="000000"/>
        </w:rPr>
        <w:t xml:space="preserve"> </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11 To the best of my knowledge and belief, having made due inquiry, there are no circumstances or matters of fact existing which may properly form the basis for an application for an order for rectification of the register of members of the Company.</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12 The Company has received value at least equal to the aggregate par value of the shares in consideration for the issue of the Shares, and none of the Shares were or will be issued for less than their par value.</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13 The Registration Statement has been, or will be, authorised and duly executed and delivered by or on behalf of all relevant parties in accordance with all relevant laws.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14 No invitation has been made or will be made by or on behalf of the Company to the public in the Cayman Islands to subscribe for any of the Shares.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15 The Shares to be offered pursuant to the Registration Statement have been, or will be, duly registered, and will continue to be registered, in the Company's register of members (shareholders).</w: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16 The Company is not a central bank, monetary authority or other sovereign entity of any state and is not a subsidiary, direct or indirect, of any sovereign entity or state.</w:t>
      </w:r>
    </w:p>
    <w:p>
      <w:pPr>
        <w:pStyle w:val="TextBody"/>
        <w:bidi w:val="0"/>
        <w:spacing w:before="120" w:after="12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7660"/>
                <wp:effectExtent l="0" t="0" r="0" b="0"/>
                <wp:wrapNone/>
                <wp:docPr id="76" name="Frame7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6</w:t>
                      </w:r>
                    </w:p>
                  </w:txbxContent>
                </v:textbox>
                <w10:wrap type="none"/>
              </v:rect>
            </w:pict>
          </mc:Fallback>
        </mc:AlternateContent>
      </w:r>
    </w:p>
    <w:p>
      <w:pPr>
        <w:pStyle w:val="TextBody"/>
        <w:bidi w:val="0"/>
        <w:spacing w:lineRule="auto" w:line="240" w:before="240" w:after="120"/>
        <w:ind w:left="0" w:right="0" w:hanging="720"/>
        <w:jc w:val="both"/>
        <w:rPr>
          <w:rFonts w:ascii="Arial;sans-serif" w:hAnsi="Arial;sans-serif"/>
          <w:b w:val="false"/>
          <w:color w:val="000000"/>
          <w:sz w:val="21"/>
        </w:rPr>
      </w:pPr>
      <w:r>
        <w:rPr>
          <w:rFonts w:ascii="Arial;sans-serif" w:hAnsi="Arial;sans-serif"/>
          <w:b w:val="false"/>
          <w:color w:val="000000"/>
          <w:sz w:val="21"/>
        </w:rPr>
        <w:t>17 There is no contractual or other prohibition or restriction (other than as arising under Cayman Islands law) binding on the Company prohibiting or restricting it from entering into and performing its obligations under the Registration Statement.</w:t>
      </w:r>
    </w:p>
    <w:p>
      <w:pPr>
        <w:pStyle w:val="TextBody"/>
        <w:bidi w:val="0"/>
        <w:spacing w:before="120" w:after="120"/>
        <w:jc w:val="both"/>
        <w:rPr/>
      </w:pPr>
      <w:r>
        <w:rPr/>
      </w:r>
    </w:p>
    <w:p>
      <w:pPr>
        <w:pStyle w:val="TextBody"/>
        <w:bidi w:val="0"/>
        <w:spacing w:lineRule="auto" w:line="288" w:before="120" w:after="120"/>
        <w:jc w:val="center"/>
        <w:rPr>
          <w:rFonts w:ascii="Arial;sans-serif" w:hAnsi="Arial;sans-serif"/>
          <w:b w:val="false"/>
          <w:i/>
          <w:color w:val="000000"/>
          <w:sz w:val="21"/>
        </w:rPr>
      </w:pPr>
      <w:r>
        <w:rPr>
          <w:rFonts w:ascii="Arial;sans-serif" w:hAnsi="Arial;sans-serif"/>
          <w:b w:val="false"/>
          <w:i/>
          <w:color w:val="000000"/>
          <w:sz w:val="21"/>
        </w:rPr>
        <w:t>Signature page follows</w:t>
      </w:r>
    </w:p>
    <w:p>
      <w:pPr>
        <w:pStyle w:val="TextBody"/>
        <w:bidi w:val="0"/>
        <w:spacing w:before="120" w:after="12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7660"/>
                <wp:effectExtent l="0" t="0" r="0" b="0"/>
                <wp:wrapNone/>
                <wp:docPr id="77" name="Frame7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7</w:t>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I confirm that you may continue to rely on this certificate as being true and correct on the day that you issue the Opinion unless I shall have previously notified you in writing personally to the contrary.</w:t>
      </w:r>
    </w:p>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val="false"/>
          <w:color w:val="000000"/>
          <w:sz w:val="21"/>
        </w:rPr>
        <w:t>Signature:    __</w:t>
      </w:r>
      <w:r>
        <w:rPr>
          <w:rFonts w:ascii="Arial;sans-serif" w:hAnsi="Arial;sans-serif"/>
          <w:b w:val="false"/>
          <w:color w:val="000000"/>
          <w:sz w:val="21"/>
          <w:u w:val="single"/>
        </w:rPr>
        <w:t>/s/ Tim Breen</w:t>
      </w:r>
      <w:r>
        <w:rPr>
          <w:rFonts w:ascii="Arial;sans-serif" w:hAnsi="Arial;sans-serif"/>
          <w:b w:val="false"/>
          <w:color w:val="000000"/>
          <w:sz w:val="21"/>
        </w:rPr>
        <w:t>______________________</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Name:        Tim Breen</w:t>
      </w:r>
    </w:p>
    <w:p>
      <w:pPr>
        <w:pStyle w:val="TextBody"/>
        <w:bidi w:val="0"/>
        <w:spacing w:lineRule="auto" w:line="288" w:before="120" w:after="120"/>
        <w:jc w:val="both"/>
        <w:rPr>
          <w:rFonts w:ascii="Arial;sans-serif" w:hAnsi="Arial;sans-serif"/>
          <w:b w:val="false"/>
          <w:color w:val="000000"/>
          <w:sz w:val="21"/>
        </w:rPr>
      </w:pPr>
      <w:r>
        <w:rPr>
          <w:rFonts w:ascii="Arial;sans-serif" w:hAnsi="Arial;sans-serif"/>
          <w:b w:val="false"/>
          <w:color w:val="000000"/>
          <w:sz w:val="21"/>
        </w:rPr>
        <w:t>Title:        Director</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7660"/>
                <wp:effectExtent l="0" t="0" r="0" b="0"/>
                <wp:wrapNone/>
                <wp:docPr id="78" name="Frame7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240" w:after="120"/>
                        <w:jc w:val="both"/>
                        <w:rPr>
                          <w:color w:val="000000"/>
                        </w:rPr>
                      </w:pPr>
                      <w:r>
                        <w:rPr>
                          <w:color w:val="000000"/>
                        </w:rPr>
                        <w:t>    </w:t>
                      </w:r>
                      <w:r>
                        <w:rPr>
                          <w:rFonts w:ascii="Arial;sans-serif" w:hAnsi="Arial;sans-serif"/>
                          <w:b w:val="false"/>
                          <w:color w:val="000000"/>
                          <w:sz w:val="21"/>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157" w:after="283"/>
        <w:jc w:val="left"/>
        <w:rPr>
          <w:rFonts w:ascii="Arial;sans-serif" w:hAnsi="Arial;sans-serif"/>
          <w:b w:val="false"/>
          <w:color w:val="000000"/>
          <w:sz w:val="20"/>
        </w:rPr>
      </w:pPr>
      <w:r>
        <w:rPr>
          <w:rFonts w:ascii="Arial;sans-serif" w:hAnsi="Arial;sans-serif"/>
          <w:b w:val="false"/>
          <w:color w:val="000000"/>
          <w:sz w:val="20"/>
        </w:rPr>
        <w:t>We consent to the use of our report dated April 29, 2024, with respect to the consolidated financial statements of GLOBALFOUNDRIES Inc., incorporated herein by reference and to the reference to our firm under the heading “Experts” in the prospectus.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88" w:before="1" w:after="283"/>
        <w:jc w:val="left"/>
        <w:rPr>
          <w:rFonts w:ascii="Arial;sans-serif" w:hAnsi="Arial;sans-serif"/>
          <w:b w:val="false"/>
          <w:color w:val="000000"/>
          <w:sz w:val="20"/>
        </w:rPr>
      </w:pPr>
      <w:r>
        <w:rPr>
          <w:rFonts w:ascii="Arial;sans-serif" w:hAnsi="Arial;sans-serif"/>
          <w:b w:val="false"/>
          <w:color w:val="000000"/>
          <w:sz w:val="20"/>
        </w:rPr>
        <w:t>/s/ KPMG LLP Singapore September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Georgia;serif" w:hAnsi="Georgia;serif"/>
          <w:b w:val="false"/>
          <w:color w:val="000000"/>
          <w:sz w:val="22"/>
        </w:rPr>
      </w:pPr>
      <w:r>
        <w:rPr>
          <w:rFonts w:ascii="Georgia;serif" w:hAnsi="Georgia;serif"/>
          <w:b w:val="false"/>
          <w:color w:val="000000"/>
          <w:sz w:val="22"/>
        </w:rPr>
        <w:t>Exhibit 23.2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9"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rFonts w:ascii="Georgia;serif" w:hAnsi="Georgia;serif"/>
          <w:b w:val="false"/>
          <w:color w:val="000000"/>
          <w:sz w:val="20"/>
        </w:rPr>
      </w:pPr>
      <w:r>
        <w:rPr>
          <w:rFonts w:ascii="Georgia;serif" w:hAnsi="Georgia;serif"/>
          <w:b w:val="false"/>
          <w:color w:val="000000"/>
          <w:sz w:val="20"/>
        </w:rPr>
        <w:t>We hereby consent to the incorporation by reference in this Registration Statement on Form F-3 of GLOBALFOUNDRIES Inc. of our report dated February 27, 2026 relating to the financial statements and the effectiveness of internal control over financial reporting, which appears in GLOBALFOUNDRIES Inc.’s Annual Report on Form 20-F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before="3" w:after="283"/>
        <w:jc w:val="left"/>
        <w:rPr/>
      </w:pPr>
      <w:r>
        <w:rPr/>
      </w:r>
    </w:p>
    <w:p>
      <w:pPr>
        <w:pStyle w:val="TextBody"/>
        <w:bidi w:val="0"/>
        <w:spacing w:before="10" w:after="283"/>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 PricewaterhouseCoopers LLP San Jose, California</w:t>
      </w:r>
    </w:p>
    <w:p>
      <w:pPr>
        <w:pStyle w:val="TextBody"/>
        <w:bidi w:val="0"/>
        <w:spacing w:lineRule="auto" w:line="288" w:before="2" w:after="283"/>
        <w:jc w:val="left"/>
        <w:rPr>
          <w:rFonts w:ascii="Georgia;serif" w:hAnsi="Georgia;serif"/>
          <w:b w:val="false"/>
          <w:color w:val="000000"/>
          <w:sz w:val="20"/>
        </w:rPr>
      </w:pPr>
      <w:r>
        <w:rPr>
          <w:rFonts w:ascii="Georgia;serif" w:hAnsi="Georgia;serif"/>
          <w:b w:val="false"/>
          <w:color w:val="000000"/>
          <w:sz w:val="20"/>
        </w:rPr>
        <w:t>September 14,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0" w:after="0"/>
        <w:jc w:val="right"/>
        <w:rPr>
          <w:rFonts w:ascii="Georgia;serif" w:hAnsi="Georgia;serif"/>
          <w:b w:val="false"/>
          <w:color w:val="000000"/>
          <w:sz w:val="22"/>
        </w:rPr>
      </w:pPr>
      <w:r>
        <w:rPr>
          <w:rFonts w:ascii="Georgia;serif" w:hAnsi="Georgia;serif"/>
          <w:b w:val="false"/>
          <w:color w:val="000000"/>
          <w:sz w:val="22"/>
        </w:rPr>
        <w:t>Exhibit 23.2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80"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1"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09048/000170904826000022/gfs-20251231.htm" TargetMode="External"/><Relationship Id="rId4" Type="http://schemas.openxmlformats.org/officeDocument/2006/relationships/hyperlink" Target="https://www.sec.gov/ix?doc=/Archives/edgar/data/1709048/000170904826000112/gfs-20260331_d2.htm" TargetMode="External"/><Relationship Id="rId5" Type="http://schemas.openxmlformats.org/officeDocument/2006/relationships/hyperlink" Target="https://www.sec.gov/ix?doc=/Archives/edgar/data/1709048/000170904826000219/gfs-20260630.htm" TargetMode="External"/><Relationship Id="rId6" Type="http://schemas.openxmlformats.org/officeDocument/2006/relationships/hyperlink" Target="https://www.sec.gov/Archives/edgar/data/1709048/000119312521308789/d199778d8a12b.htm" TargetMode="External"/><Relationship Id="rId7" Type="http://schemas.openxmlformats.org/officeDocument/2006/relationships/hyperlink" Target="https://www.sec.gov/Archives/edgar/data/1709048/000170904822000008/ex23.htm" TargetMode="External"/><Relationship Id="rId8" Type="http://schemas.openxmlformats.org/officeDocument/2006/relationships/image" Target="media/image1.jpeg"/><Relationship Id="rId9" Type="http://schemas.openxmlformats.org/officeDocument/2006/relationships/hyperlink" Target="https://www.sec.gov/Archives/edgar/data/0001709048/000119312521316296/d206275dex41.htm" TargetMode="External"/><Relationship Id="rId10" Type="http://schemas.openxmlformats.org/officeDocument/2006/relationships/hyperlink" Target="https://www.sec.gov/Archives/edgar/data/1709048/000170904822000008/ex21.htm" TargetMode="External"/><Relationship Id="rId11" Type="http://schemas.openxmlformats.org/officeDocument/2006/relationships/hyperlink" Target="https://www.sec.gov/Archives/edgar/data/1709048/000170904822000008/ex21.htm" TargetMode="External"/><Relationship Id="rId12" Type="http://schemas.openxmlformats.org/officeDocument/2006/relationships/hyperlink" Target="https://www.sec.gov/Archives/edgar/data/1709048/000170904822000008/ex22.htm" TargetMode="External"/><Relationship Id="rId13" Type="http://schemas.openxmlformats.org/officeDocument/2006/relationships/hyperlink" Target="https://www.sec.gov/Archives/edgar/data/1709048/000170904822000008/ex22.htm" TargetMode="External"/><Relationship Id="rId14" Type="http://schemas.openxmlformats.org/officeDocument/2006/relationships/hyperlink" Target="https://www.sec.gov/Archives/edgar/data/1709048/000119312521290644/d192411dex102.htm" TargetMode="External"/><Relationship Id="rId15" Type="http://schemas.openxmlformats.org/officeDocument/2006/relationships/hyperlink" Target="https://www.sec.gov/Archives/edgar/data/1709048/000170904826000022/ex8asofdec312025.htm" TargetMode="External"/><Relationship Id="rId16" Type="http://schemas.openxmlformats.org/officeDocument/2006/relationships/image" Target="media/image2.pn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34559</Words>
  <Characters>185506</Characters>
  <CharactersWithSpaces>219579</CharactersWithSpaces>
  <Paragraphs>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