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399"/>
        <w:spacing w:after="0" w:line="19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38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79" w:lineRule="exact"/>
        <w:rPr>
          <w:sz w:val="24"/>
          <w:szCs w:val="24"/>
          <w:color w:val="auto"/>
        </w:rPr>
      </w:pPr>
    </w:p>
    <w:p>
      <w:pPr>
        <w:ind w:left="400"/>
        <w:spacing w:after="0"/>
        <w:rPr>
          <w:sz w:val="20"/>
          <w:szCs w:val="20"/>
          <w:color w:val="auto"/>
        </w:rPr>
      </w:pPr>
      <w:r>
        <w:rPr>
          <w:rFonts w:ascii="Georgia" w:cs="Georgia" w:eastAsia="Georgia" w:hAnsi="Georgia"/>
          <w:sz w:val="21"/>
          <w:szCs w:val="21"/>
          <w:b w:val="1"/>
          <w:bCs w:val="1"/>
          <w:color w:val="auto"/>
        </w:rPr>
        <w:t>REPORT OF FOREIGN PRIVATE ISSUER PURSUANT TO RULE 13a-16 OR 15d-16 UNDER THE</w:t>
      </w:r>
    </w:p>
    <w:p>
      <w:pPr>
        <w:jc w:val="center"/>
        <w:ind w:right="-399"/>
        <w:spacing w:after="0" w:line="234" w:lineRule="auto"/>
        <w:rPr>
          <w:sz w:val="20"/>
          <w:szCs w:val="20"/>
          <w:color w:val="auto"/>
        </w:rPr>
      </w:pPr>
      <w:r>
        <w:rPr>
          <w:rFonts w:ascii="Georgia" w:cs="Georgia" w:eastAsia="Georgia" w:hAnsi="Georgia"/>
          <w:sz w:val="22"/>
          <w:szCs w:val="22"/>
          <w:b w:val="1"/>
          <w:bCs w:val="1"/>
          <w:color w:val="auto"/>
        </w:rPr>
        <w:t>SECURITIES EXCHANGE ACT OF 1934</w:t>
      </w:r>
    </w:p>
    <w:p>
      <w:pPr>
        <w:spacing w:after="0" w:line="17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For the month of August 2022</w:t>
      </w:r>
    </w:p>
    <w:p>
      <w:pPr>
        <w:spacing w:after="0" w:line="18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15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18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ind w:left="4960"/>
        <w:spacing w:after="0" w:line="210" w:lineRule="auto"/>
        <w:rPr>
          <w:sz w:val="20"/>
          <w:szCs w:val="20"/>
          <w:color w:val="auto"/>
        </w:rPr>
      </w:pPr>
      <w:r>
        <w:rPr>
          <w:rFonts w:ascii="Times New Roman" w:cs="Times New Roman" w:eastAsia="Times New Roman" w:hAnsi="Times New Roman"/>
          <w:sz w:val="18"/>
          <w:szCs w:val="18"/>
          <w:b w:val="1"/>
          <w:bCs w:val="1"/>
          <w:color w:val="auto"/>
        </w:rPr>
        <w:t>Malta, NY 12020</w:t>
      </w:r>
    </w:p>
    <w:p>
      <w:pPr>
        <w:jc w:val="center"/>
        <w:ind w:right="-3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5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49" w:lineRule="exact"/>
        <w:rPr>
          <w:sz w:val="24"/>
          <w:szCs w:val="24"/>
          <w:color w:val="auto"/>
        </w:rPr>
      </w:pPr>
    </w:p>
    <w:p>
      <w:pPr>
        <w:ind w:left="44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9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17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252" w:lineRule="exact"/>
        <w:rPr>
          <w:sz w:val="24"/>
          <w:szCs w:val="24"/>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u w:val="single" w:color="auto"/>
          <w:color w:val="0000FF"/>
        </w:rPr>
        <w:t>Press release issued by Registrant on August 9, 2022.</w:t>
      </w:r>
    </w:p>
    <w:p>
      <w:pPr>
        <w:sectPr>
          <w:pgSz w:w="11900" w:h="16838" w:orient="portrait"/>
          <w:cols w:equalWidth="0" w:num="1">
            <w:col w:w="10820"/>
          </w:cols>
          <w:pgMar w:left="340" w:top="1440" w:right="739" w:bottom="1440" w:gutter="0" w:footer="0" w:header="0"/>
        </w:sectPr>
      </w:pPr>
    </w:p>
    <w:bookmarkStart w:id="1" w:name="page2"/>
    <w:bookmarkEnd w:id="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86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56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Caulfield</w:t>
            </w:r>
          </w:p>
        </w:tc>
      </w:tr>
      <w:tr>
        <w:trPr>
          <w:trHeight w:val="40"/>
        </w:trPr>
        <w:tc>
          <w:tcPr>
            <w:tcW w:w="32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260" w:type="dxa"/>
            <w:vAlign w:val="bottom"/>
          </w:tcPr>
          <w:p>
            <w:pPr>
              <w:spacing w:after="0"/>
              <w:rPr>
                <w:sz w:val="20"/>
                <w:szCs w:val="20"/>
                <w:color w:val="auto"/>
              </w:rPr>
            </w:pP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Thomas Caulfield</w:t>
            </w:r>
          </w:p>
        </w:tc>
      </w:tr>
      <w:tr>
        <w:trPr>
          <w:trHeight w:val="284"/>
        </w:trPr>
        <w:tc>
          <w:tcPr>
            <w:tcW w:w="3260" w:type="dxa"/>
            <w:vAlign w:val="bottom"/>
          </w:tcPr>
          <w:p>
            <w:pPr>
              <w:spacing w:after="0"/>
              <w:rPr>
                <w:sz w:val="24"/>
                <w:szCs w:val="24"/>
                <w:color w:val="auto"/>
              </w:rPr>
            </w:pP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35775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577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GlobalFoundries Reports Second Quarter 2022 Financial Results</w:t>
      </w:r>
    </w:p>
    <w:p>
      <w:pPr>
        <w:jc w:val="center"/>
        <w:spacing w:after="0"/>
        <w:rPr>
          <w:sz w:val="20"/>
          <w:szCs w:val="20"/>
          <w:color w:val="auto"/>
        </w:rPr>
      </w:pPr>
      <w:r>
        <w:rPr>
          <w:rFonts w:ascii="Arial" w:cs="Arial" w:eastAsia="Arial" w:hAnsi="Arial"/>
          <w:sz w:val="22"/>
          <w:szCs w:val="22"/>
          <w:i w:val="1"/>
          <w:iCs w:val="1"/>
          <w:color w:val="auto"/>
        </w:rPr>
        <w:t>Record Revenue, Gross Profit, and Net Income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56" w:lineRule="auto"/>
        <w:rPr>
          <w:sz w:val="20"/>
          <w:szCs w:val="20"/>
          <w:color w:val="auto"/>
        </w:rPr>
      </w:pPr>
      <w:r>
        <w:rPr>
          <w:rFonts w:ascii="Arial" w:cs="Arial" w:eastAsia="Arial" w:hAnsi="Arial"/>
          <w:sz w:val="16"/>
          <w:szCs w:val="16"/>
          <w:b w:val="1"/>
          <w:bCs w:val="1"/>
          <w:color w:val="auto"/>
        </w:rPr>
        <w:t>Malta, New York</w:t>
      </w:r>
      <w:r>
        <w:rPr>
          <w:rFonts w:ascii="Arial" w:cs="Arial" w:eastAsia="Arial" w:hAnsi="Arial"/>
          <w:sz w:val="16"/>
          <w:szCs w:val="16"/>
          <w:color w:val="auto"/>
        </w:rPr>
        <w:t>, August 9, 2022 - GlobalFoundries Inc. (GF) (Nasdaq: GFS) today announced preliminary financial results for the second quarter ended</w:t>
      </w:r>
      <w:r>
        <w:rPr>
          <w:rFonts w:ascii="Arial" w:cs="Arial" w:eastAsia="Arial" w:hAnsi="Arial"/>
          <w:sz w:val="16"/>
          <w:szCs w:val="16"/>
          <w:b w:val="1"/>
          <w:bCs w:val="1"/>
          <w:color w:val="auto"/>
        </w:rPr>
        <w:t xml:space="preserve"> </w:t>
      </w:r>
      <w:r>
        <w:rPr>
          <w:rFonts w:ascii="Arial" w:cs="Arial" w:eastAsia="Arial" w:hAnsi="Arial"/>
          <w:sz w:val="16"/>
          <w:szCs w:val="16"/>
          <w:color w:val="auto"/>
        </w:rPr>
        <w:t>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Second Quarter Financial Highlights</w:t>
      </w:r>
    </w:p>
    <w:p>
      <w:pPr>
        <w:spacing w:after="0" w:line="59"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revenue of $1.99 billion, up 23% year-over-year.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gross margin of 27.0% and adjusted gross margin of 28.0%.</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operating margin of 14.9% and adjusted operating margin of 17.6%.</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net income of $264 million and adjusted net income of $317 million.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adjusted EBITDA margin of 39.3%.</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Cash and cash equivalents and marketable securities of $3.3 billion.</w:t>
      </w:r>
    </w:p>
    <w:p>
      <w:pPr>
        <w:spacing w:after="0" w:line="3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second quarter, the GF team delivered on its commitments to customers and shareholders,” said CEO Dr. Thomas Caulfield. "We shipped a record 630 thousand wafers in the quarter, driven by double-digit growth at sites in the US and Europe. Our revenue grew 23% year-over-year, and we delivered record profitability, making significant progress towards our long-term financial model. Despite global supply chain challenges, the GF team continues to execute to our expansion plans as we build out capacity to meet our customers' long-term needs. We remain on track to deliver a strong year of growth and profitability.”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Highlights:</w:t>
      </w:r>
    </w:p>
    <w:p>
      <w:pPr>
        <w:spacing w:after="0" w:line="316" w:lineRule="exact"/>
        <w:rPr>
          <w:sz w:val="20"/>
          <w:szCs w:val="20"/>
          <w:color w:val="auto"/>
        </w:rPr>
      </w:pPr>
    </w:p>
    <w:p>
      <w:pPr>
        <w:jc w:val="both"/>
        <w:ind w:left="660" w:hanging="328"/>
        <w:spacing w:after="0" w:line="322"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the heels of the passage of the US CHIPS Act, GF announced the extension of its long-term agreement with Qualcomm which adds more than $4 billion in incremental wafer purchases from GF's Malta, New York facility. With this extension, the total long-term agreement with Qualcomm now represents more than $7 billion in global revenue through 2028 across multiple technologies.</w:t>
      </w:r>
    </w:p>
    <w:p>
      <w:pPr>
        <w:spacing w:after="0" w:line="1" w:lineRule="exact"/>
        <w:rPr>
          <w:rFonts w:ascii="Arial" w:cs="Arial" w:eastAsia="Arial" w:hAnsi="Arial"/>
          <w:sz w:val="16"/>
          <w:szCs w:val="16"/>
          <w:color w:val="auto"/>
        </w:rPr>
      </w:pPr>
    </w:p>
    <w:p>
      <w:pPr>
        <w:ind w:left="660" w:right="180" w:hanging="328"/>
        <w:spacing w:after="0" w:line="32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GF and ST Microelectronics signed a definitive agreement to create a new, jointly-operated 300mm semiconductor manufacturing facility adjacent to ST's existing 300mm facility in Crolles, France. This new facility, combined with GF's capacity expansion in Dresden, Germany, will triple GF's capacity in Europe through 2028.</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GlobalFoundries announced that its first tool has been moved into the company's new facility on its Singapore campus.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9</w:t>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u w:val="single" w:color="auto"/>
          <w:color w:val="auto"/>
        </w:rPr>
        <w:t>Unaudited Summary Quarterly Results (in millions USD, except per share amounts and wafer shipments)</w:t>
      </w:r>
      <w:r>
        <w:rPr>
          <w:rFonts w:ascii="Arial" w:cs="Arial" w:eastAsia="Arial" w:hAnsi="Arial"/>
          <w:sz w:val="21"/>
          <w:szCs w:val="21"/>
          <w:b w:val="1"/>
          <w:bCs w:val="1"/>
          <w:color w:val="auto"/>
          <w:vertAlign w:val="superscript"/>
        </w:rPr>
        <w:t>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Year-over-year</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Sequential</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64"/>
        </w:trPr>
        <w:tc>
          <w:tcPr>
            <w:tcW w:w="3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Q2'22</w:t>
            </w:r>
          </w:p>
        </w:tc>
        <w:tc>
          <w:tcPr>
            <w:tcW w:w="3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Q1'22</w:t>
            </w:r>
          </w:p>
        </w:tc>
        <w:tc>
          <w:tcPr>
            <w:tcW w:w="260" w:type="dxa"/>
            <w:vAlign w:val="bottom"/>
          </w:tcPr>
          <w:p>
            <w:pPr>
              <w:spacing w:after="0"/>
              <w:rPr>
                <w:sz w:val="14"/>
                <w:szCs w:val="1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Q2'21</w:t>
            </w:r>
          </w:p>
        </w:tc>
        <w:tc>
          <w:tcPr>
            <w:tcW w:w="560" w:type="dxa"/>
            <w:vAlign w:val="bottom"/>
          </w:tcPr>
          <w:p>
            <w:pPr>
              <w:spacing w:after="0"/>
              <w:rPr>
                <w:sz w:val="14"/>
                <w:szCs w:val="14"/>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Q2'22 vs Q2'21</w:t>
            </w:r>
          </w:p>
        </w:tc>
        <w:tc>
          <w:tcPr>
            <w:tcW w:w="320" w:type="dxa"/>
            <w:vAlign w:val="bottom"/>
          </w:tcPr>
          <w:p>
            <w:pPr>
              <w:spacing w:after="0"/>
              <w:rPr>
                <w:sz w:val="14"/>
                <w:szCs w:val="14"/>
                <w:color w:val="auto"/>
              </w:rPr>
            </w:pPr>
          </w:p>
        </w:tc>
        <w:tc>
          <w:tcPr>
            <w:tcW w:w="16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Q2'22 vs Q1'22</w:t>
            </w:r>
          </w:p>
        </w:tc>
      </w:tr>
      <w:tr>
        <w:trPr>
          <w:trHeight w:val="136"/>
        </w:trPr>
        <w:tc>
          <w:tcPr>
            <w:tcW w:w="3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1,993</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1,940</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1,620</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373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23 %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53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3 %</w:t>
            </w:r>
          </w:p>
        </w:tc>
      </w:tr>
      <w:tr>
        <w:trPr>
          <w:trHeight w:val="61"/>
        </w:trPr>
        <w:tc>
          <w:tcPr>
            <w:tcW w:w="38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538</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469</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231</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307</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133 %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69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15 %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Gross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27.0 %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24.2 %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14.3 %</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+1,270bps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+280bps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Adjusted gross profit</w:t>
            </w:r>
            <w:r>
              <w:rPr>
                <w:rFonts w:ascii="Arial" w:cs="Arial" w:eastAsia="Arial" w:hAnsi="Arial"/>
                <w:sz w:val="18"/>
                <w:szCs w:val="18"/>
                <w:b w:val="1"/>
                <w:bCs w:val="1"/>
                <w:color w:val="auto"/>
                <w:vertAlign w:val="superscript"/>
              </w:rPr>
              <w:t>1</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559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490</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267</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292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109 %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69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14 %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Adjusted gross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28.0 %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25.3 %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16.5 %</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+1,150bps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+270bps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297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225</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(103)</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400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388 %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72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32 %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Operating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14.9 %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11.6 %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(6.4)%</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+2,130bps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+330bps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Adjusted operating profit (loss)</w:t>
            </w:r>
            <w:r>
              <w:rPr>
                <w:rFonts w:ascii="Arial" w:cs="Arial" w:eastAsia="Arial" w:hAnsi="Arial"/>
                <w:sz w:val="18"/>
                <w:szCs w:val="18"/>
                <w:b w:val="1"/>
                <w:bCs w:val="1"/>
                <w:color w:val="auto"/>
                <w:vertAlign w:val="superscript"/>
              </w:rPr>
              <w:t>1</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350</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279</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41</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309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754 %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71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25 %</w:t>
            </w:r>
          </w:p>
        </w:tc>
      </w:tr>
      <w:tr>
        <w:trPr>
          <w:trHeight w:val="195"/>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Adjusted operating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17.6 %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14.4 %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2.5 %</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+1,510bps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+320bps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264</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178</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(174)</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438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252 %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86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48 %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Net income (loss)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13.2 %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9.2 %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(10.7)%</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+2,390bps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+400bps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Adjusted net income (loss)</w:t>
            </w:r>
            <w:r>
              <w:rPr>
                <w:rFonts w:ascii="Arial" w:cs="Arial" w:eastAsia="Arial" w:hAnsi="Arial"/>
                <w:sz w:val="18"/>
                <w:szCs w:val="18"/>
                <w:b w:val="1"/>
                <w:bCs w:val="1"/>
                <w:color w:val="auto"/>
                <w:vertAlign w:val="superscript"/>
              </w:rPr>
              <w:t>1</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317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232</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(30)</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347</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1,157 %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85</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37 %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Adjusted net income (loss)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15.9 %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12.0 %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(1.9)%</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+1,780bps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+390bps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(loss) per share ("EPS")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0.48</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0.33</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(0.35)</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0.83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237 %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0.15</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45 %</w:t>
            </w:r>
          </w:p>
        </w:tc>
      </w:tr>
      <w:tr>
        <w:trPr>
          <w:trHeight w:val="61"/>
        </w:trPr>
        <w:tc>
          <w:tcPr>
            <w:tcW w:w="38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60"/>
              <w:spacing w:after="0" w:line="202" w:lineRule="exact"/>
              <w:rPr>
                <w:sz w:val="20"/>
                <w:szCs w:val="20"/>
                <w:color w:val="auto"/>
              </w:rPr>
            </w:pPr>
            <w:r>
              <w:rPr>
                <w:rFonts w:ascii="Arial" w:cs="Arial" w:eastAsia="Arial" w:hAnsi="Arial"/>
                <w:sz w:val="14"/>
                <w:szCs w:val="14"/>
                <w:b w:val="1"/>
                <w:bCs w:val="1"/>
                <w:color w:val="auto"/>
              </w:rPr>
              <w:t>Adjusted diluted earnings (loss) per share</w:t>
            </w:r>
            <w:r>
              <w:rPr>
                <w:rFonts w:ascii="Arial" w:cs="Arial" w:eastAsia="Arial" w:hAnsi="Arial"/>
                <w:sz w:val="18"/>
                <w:szCs w:val="18"/>
                <w:b w:val="1"/>
                <w:bCs w:val="1"/>
                <w:color w:val="auto"/>
                <w:vertAlign w:val="superscript"/>
              </w:rPr>
              <w:t>1</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0.58</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0.42</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(0.06)</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0.64</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1,067 %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0.16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38 %</w:t>
            </w:r>
          </w:p>
        </w:tc>
      </w:tr>
      <w:tr>
        <w:trPr>
          <w:trHeight w:val="61"/>
        </w:trPr>
        <w:tc>
          <w:tcPr>
            <w:tcW w:w="38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60"/>
              <w:spacing w:after="0" w:line="202"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784</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698</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466</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318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68 %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86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12 %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39.3 %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36.0 %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28.8 %</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+1,050bps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+330bps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from operations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609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845</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434</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175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40 %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(236)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(28)%</w:t>
            </w:r>
          </w:p>
        </w:tc>
      </w:tr>
      <w:tr>
        <w:trPr>
          <w:trHeight w:val="61"/>
        </w:trPr>
        <w:tc>
          <w:tcPr>
            <w:tcW w:w="38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Wafer shipments (300MM Equivalent) (in thousands)</w:t>
            </w:r>
          </w:p>
        </w:tc>
        <w:tc>
          <w:tcPr>
            <w:tcW w:w="4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630</w:t>
            </w: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625</w:t>
            </w: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595</w:t>
            </w: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6 %</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i w:val="1"/>
                <w:iCs w:val="1"/>
                <w:color w:val="auto"/>
              </w:rPr>
              <w:t>$</w:t>
            </w:r>
          </w:p>
        </w:tc>
        <w:tc>
          <w:tcPr>
            <w:tcW w:w="10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i w:val="1"/>
                <w:iCs w:val="1"/>
                <w:color w:val="auto"/>
              </w:rPr>
              <w:t>5</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1 %</w:t>
            </w:r>
          </w:p>
        </w:tc>
      </w:tr>
    </w:tbl>
    <w:p>
      <w:pPr>
        <w:spacing w:after="0" w:line="200" w:lineRule="exact"/>
        <w:rPr>
          <w:sz w:val="20"/>
          <w:szCs w:val="20"/>
          <w:color w:val="auto"/>
        </w:rPr>
      </w:pPr>
    </w:p>
    <w:p>
      <w:pPr>
        <w:spacing w:after="0" w:line="376" w:lineRule="exact"/>
        <w:rPr>
          <w:sz w:val="20"/>
          <w:szCs w:val="20"/>
          <w:color w:val="auto"/>
        </w:rPr>
      </w:pPr>
    </w:p>
    <w:p>
      <w:pPr>
        <w:jc w:val="both"/>
        <w:ind w:left="340"/>
        <w:spacing w:after="0" w:line="206"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Adjusted gross profit, adjusted operating profit (loss), adjusted net income (loss), adjusted diluted earnings (loss) per share, and adjusted EBITDA are adjusted non-IFRS metrics; please see the reconciliation of IFRS to adjusted non-IFRS metrics in the section "Unaudited Reconciliation of IFRS to Adjusted non-IFRS" below.</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Summary of Third Quarter 2022 Outlook (unaudited in millions USD, except per share amounts)</w:t>
      </w:r>
      <w:r>
        <w:rPr>
          <w:rFonts w:ascii="Arial" w:cs="Arial" w:eastAsia="Arial" w:hAnsi="Arial"/>
          <w:sz w:val="21"/>
          <w:szCs w:val="21"/>
          <w:b w:val="1"/>
          <w:bCs w:val="1"/>
          <w:u w:val="single" w:color="auto"/>
          <w:color w:val="auto"/>
          <w:vertAlign w:val="superscript"/>
        </w:rPr>
        <w:t>2</w:t>
      </w:r>
    </w:p>
    <w:p>
      <w:pPr>
        <w:spacing w:after="0" w:line="218" w:lineRule="exact"/>
        <w:rPr>
          <w:sz w:val="20"/>
          <w:szCs w:val="20"/>
          <w:color w:val="auto"/>
        </w:rPr>
      </w:pPr>
    </w:p>
    <w:tbl>
      <w:tblPr>
        <w:tblLayout w:type="fixed"/>
        <w:tblInd w:w="600" w:type="dxa"/>
        <w:tblCellMar>
          <w:top w:w="0" w:type="dxa"/>
          <w:left w:w="0" w:type="dxa"/>
          <w:bottom w:w="0" w:type="dxa"/>
          <w:right w:w="0" w:type="dxa"/>
        </w:tblCellMar>
      </w:tblPr>
      <w:tr>
        <w:trPr>
          <w:trHeight w:val="224"/>
        </w:trPr>
        <w:tc>
          <w:tcPr>
            <w:tcW w:w="26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right"/>
              <w:ind w:right="768"/>
              <w:spacing w:after="0"/>
              <w:rPr>
                <w:sz w:val="20"/>
                <w:szCs w:val="20"/>
                <w:color w:val="auto"/>
              </w:rPr>
            </w:pPr>
            <w:r>
              <w:rPr>
                <w:rFonts w:ascii="Arial" w:cs="Arial" w:eastAsia="Arial" w:hAnsi="Arial"/>
                <w:sz w:val="16"/>
                <w:szCs w:val="16"/>
                <w:b w:val="1"/>
                <w:bCs w:val="1"/>
                <w:color w:val="auto"/>
              </w:rPr>
              <w:t>IFRS</w:t>
            </w:r>
          </w:p>
        </w:tc>
        <w:tc>
          <w:tcPr>
            <w:tcW w:w="316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Share-based compensation</w:t>
            </w:r>
          </w:p>
        </w:tc>
        <w:tc>
          <w:tcPr>
            <w:tcW w:w="21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6"/>
                <w:szCs w:val="16"/>
                <w:b w:val="1"/>
                <w:bCs w:val="1"/>
                <w:color w:val="auto"/>
              </w:rPr>
              <w:t>Non-IFRS Adjusted</w:t>
            </w: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$2,035</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$2,065</w:t>
            </w:r>
          </w:p>
        </w:tc>
        <w:tc>
          <w:tcPr>
            <w:tcW w:w="3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2140" w:type="dxa"/>
            <w:vAlign w:val="bottom"/>
            <w:gridSpan w:val="2"/>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201"/>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$557</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$590</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rPr>
              <w:t>$19 - $23</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$580</w:t>
            </w: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 $609</w:t>
            </w:r>
          </w:p>
        </w:tc>
      </w:tr>
      <w:tr>
        <w:trPr>
          <w:trHeight w:val="203"/>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Gross Margin (mid-point)</w:t>
            </w:r>
          </w:p>
        </w:tc>
        <w:tc>
          <w:tcPr>
            <w:tcW w:w="2080" w:type="dxa"/>
            <w:vAlign w:val="bottom"/>
            <w:gridSpan w:val="2"/>
            <w:shd w:val="clear" w:color="auto" w:fill="CCEEFF"/>
          </w:tcPr>
          <w:p>
            <w:pPr>
              <w:jc w:val="right"/>
              <w:ind w:right="748"/>
              <w:spacing w:after="0"/>
              <w:rPr>
                <w:sz w:val="20"/>
                <w:szCs w:val="20"/>
                <w:color w:val="auto"/>
              </w:rPr>
            </w:pPr>
            <w:r>
              <w:rPr>
                <w:rFonts w:ascii="Arial" w:cs="Arial" w:eastAsia="Arial" w:hAnsi="Arial"/>
                <w:sz w:val="14"/>
                <w:szCs w:val="14"/>
                <w:i w:val="1"/>
                <w:iCs w:val="1"/>
                <w:color w:val="auto"/>
              </w:rPr>
              <w:t>28.0%</w:t>
            </w:r>
          </w:p>
        </w:tc>
        <w:tc>
          <w:tcPr>
            <w:tcW w:w="316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i w:val="1"/>
                <w:iCs w:val="1"/>
                <w:color w:val="auto"/>
              </w:rPr>
              <w:t>29.0%</w:t>
            </w:r>
          </w:p>
        </w:tc>
      </w:tr>
      <w:tr>
        <w:trPr>
          <w:trHeight w:val="202"/>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Operating Profit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$343</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rPr>
              <w:t>$38 - $46</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$347</w:t>
            </w: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 $381</w:t>
            </w:r>
          </w:p>
        </w:tc>
      </w:tr>
      <w:tr>
        <w:trPr>
          <w:trHeight w:val="203"/>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Operating Margin (mid-point)</w:t>
            </w:r>
          </w:p>
        </w:tc>
        <w:tc>
          <w:tcPr>
            <w:tcW w:w="2080" w:type="dxa"/>
            <w:vAlign w:val="bottom"/>
            <w:gridSpan w:val="2"/>
            <w:shd w:val="clear" w:color="auto" w:fill="CCEEFF"/>
          </w:tcPr>
          <w:p>
            <w:pPr>
              <w:jc w:val="right"/>
              <w:ind w:right="748"/>
              <w:spacing w:after="0"/>
              <w:rPr>
                <w:sz w:val="20"/>
                <w:szCs w:val="20"/>
                <w:color w:val="auto"/>
              </w:rPr>
            </w:pPr>
            <w:r>
              <w:rPr>
                <w:rFonts w:ascii="Arial" w:cs="Arial" w:eastAsia="Arial" w:hAnsi="Arial"/>
                <w:sz w:val="14"/>
                <w:szCs w:val="14"/>
                <w:i w:val="1"/>
                <w:iCs w:val="1"/>
                <w:color w:val="auto"/>
              </w:rPr>
              <w:t>15.7%</w:t>
            </w:r>
          </w:p>
        </w:tc>
        <w:tc>
          <w:tcPr>
            <w:tcW w:w="316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i w:val="1"/>
                <w:iCs w:val="1"/>
                <w:color w:val="auto"/>
              </w:rPr>
              <w:t>17.8%</w:t>
            </w:r>
          </w:p>
        </w:tc>
      </w:tr>
      <w:tr>
        <w:trPr>
          <w:trHeight w:val="202"/>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$278</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$318</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rPr>
              <w:t>$38 - $46</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$324</w:t>
            </w: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 $356</w:t>
            </w:r>
          </w:p>
        </w:tc>
      </w:tr>
      <w:tr>
        <w:trPr>
          <w:trHeight w:val="203"/>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Net Income Margin (mid-point)</w:t>
            </w:r>
          </w:p>
        </w:tc>
        <w:tc>
          <w:tcPr>
            <w:tcW w:w="2080" w:type="dxa"/>
            <w:vAlign w:val="bottom"/>
            <w:gridSpan w:val="2"/>
            <w:shd w:val="clear" w:color="auto" w:fill="CCEEFF"/>
          </w:tcPr>
          <w:p>
            <w:pPr>
              <w:jc w:val="right"/>
              <w:ind w:right="748"/>
              <w:spacing w:after="0"/>
              <w:rPr>
                <w:sz w:val="20"/>
                <w:szCs w:val="20"/>
                <w:color w:val="auto"/>
              </w:rPr>
            </w:pPr>
            <w:r>
              <w:rPr>
                <w:rFonts w:ascii="Arial" w:cs="Arial" w:eastAsia="Arial" w:hAnsi="Arial"/>
                <w:sz w:val="14"/>
                <w:szCs w:val="14"/>
                <w:i w:val="1"/>
                <w:iCs w:val="1"/>
                <w:color w:val="auto"/>
              </w:rPr>
              <w:t>14.5%</w:t>
            </w:r>
          </w:p>
        </w:tc>
        <w:tc>
          <w:tcPr>
            <w:tcW w:w="316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i w:val="1"/>
                <w:iCs w:val="1"/>
                <w:color w:val="auto"/>
              </w:rPr>
              <w:t>16.6%</w:t>
            </w:r>
          </w:p>
        </w:tc>
      </w:tr>
      <w:tr>
        <w:trPr>
          <w:trHeight w:val="202"/>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Diluted EPS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$0.50</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$0.58</w:t>
            </w:r>
          </w:p>
        </w:tc>
        <w:tc>
          <w:tcPr>
            <w:tcW w:w="3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$0.59</w:t>
            </w: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 $0.65</w:t>
            </w: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2080" w:type="dxa"/>
            <w:vAlign w:val="bottom"/>
            <w:gridSpan w:val="2"/>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3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$775</w:t>
            </w:r>
          </w:p>
        </w:tc>
        <w:tc>
          <w:tcPr>
            <w:tcW w:w="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$813</w:t>
            </w:r>
          </w:p>
        </w:tc>
      </w:tr>
      <w:tr>
        <w:trPr>
          <w:trHeight w:val="195"/>
        </w:trPr>
        <w:tc>
          <w:tcPr>
            <w:tcW w:w="2680" w:type="dxa"/>
            <w:vAlign w:val="bottom"/>
          </w:tcPr>
          <w:p>
            <w:pPr>
              <w:ind w:left="120"/>
              <w:spacing w:after="0"/>
              <w:rPr>
                <w:sz w:val="20"/>
                <w:szCs w:val="20"/>
                <w:color w:val="auto"/>
              </w:rPr>
            </w:pPr>
            <w:r>
              <w:rPr>
                <w:rFonts w:ascii="Arial" w:cs="Arial" w:eastAsia="Arial" w:hAnsi="Arial"/>
                <w:sz w:val="14"/>
                <w:szCs w:val="14"/>
                <w:i w:val="1"/>
                <w:iCs w:val="1"/>
                <w:color w:val="auto"/>
              </w:rPr>
              <w:t>Adj. EBITDA Margin (mid-point)</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140" w:type="dxa"/>
            <w:vAlign w:val="bottom"/>
            <w:gridSpan w:val="2"/>
          </w:tcPr>
          <w:p>
            <w:pPr>
              <w:jc w:val="right"/>
              <w:ind w:right="628"/>
              <w:spacing w:after="0"/>
              <w:rPr>
                <w:sz w:val="20"/>
                <w:szCs w:val="20"/>
                <w:color w:val="auto"/>
              </w:rPr>
            </w:pPr>
            <w:r>
              <w:rPr>
                <w:rFonts w:ascii="Arial" w:cs="Arial" w:eastAsia="Arial" w:hAnsi="Arial"/>
                <w:sz w:val="14"/>
                <w:szCs w:val="14"/>
                <w:i w:val="1"/>
                <w:iCs w:val="1"/>
                <w:color w:val="auto"/>
              </w:rPr>
              <w:t>38.7%</w:t>
            </w:r>
          </w:p>
        </w:tc>
      </w:tr>
    </w:tbl>
    <w:p>
      <w:pPr>
        <w:spacing w:after="0" w:line="32"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vertAlign w:val="superscript"/>
        </w:rPr>
        <w:t>2</w:t>
      </w:r>
      <w:r>
        <w:rPr>
          <w:rFonts w:ascii="Arial" w:cs="Arial" w:eastAsia="Arial" w:hAnsi="Arial"/>
          <w:sz w:val="12"/>
          <w:szCs w:val="12"/>
          <w:i w:val="1"/>
          <w:iCs w:val="1"/>
          <w:color w:val="auto"/>
        </w:rPr>
        <w:t>The guidance provided above contains forward-looking statements as defined in the U.S. Private Securities Litigation Act of 1995, and is subject to the safe harbors created therein. The guidance</w:t>
      </w:r>
    </w:p>
    <w:p>
      <w:pPr>
        <w:jc w:val="both"/>
        <w:ind w:left="340"/>
        <w:spacing w:after="0" w:line="212" w:lineRule="auto"/>
        <w:rPr>
          <w:sz w:val="20"/>
          <w:szCs w:val="20"/>
          <w:color w:val="auto"/>
        </w:rPr>
      </w:pPr>
      <w:r>
        <w:rPr>
          <w:rFonts w:ascii="Arial" w:cs="Arial" w:eastAsia="Arial" w:hAnsi="Arial"/>
          <w:sz w:val="13"/>
          <w:szCs w:val="13"/>
          <w:i w:val="1"/>
          <w:iCs w:val="1"/>
          <w:color w:val="auto"/>
        </w:rPr>
        <w:t>includes management’s beliefs and assumptions and is based on information currently available. GF has not provided a reconciliation of its Third Fiscal Quarter outlook for adjusted Non-IFRS EBITDA and related Margin because estimates of all of the reconciling items cannot be provided without unreasonable efforts. Certain factors that are materially significant to GF’s ability to estimate these items are out of its control and/or cannot be reasonably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 of 9</w:t>
      </w:r>
    </w:p>
    <w:p>
      <w:pPr>
        <w:sectPr>
          <w:pgSz w:w="11900" w:h="16838" w:orient="portrait"/>
          <w:cols w:equalWidth="0" w:num="1">
            <w:col w:w="11240"/>
          </w:cols>
          <w:pgMar w:left="320" w:top="1408" w:right="339" w:bottom="1440" w:gutter="0" w:footer="0" w:header="0"/>
        </w:sectPr>
      </w:pPr>
    </w:p>
    <w:bookmarkStart w:id="4" w:name="page5"/>
    <w:bookmarkEnd w:id="4"/>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Unaudited Consolidated Statements of Operations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(in millions USD, except for per share amounts)</w:t>
            </w:r>
          </w:p>
        </w:tc>
        <w:tc>
          <w:tcPr>
            <w:tcW w:w="3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Pr>
          <w:p>
            <w:pPr>
              <w:spacing w:after="0"/>
              <w:rPr>
                <w:sz w:val="18"/>
                <w:szCs w:val="18"/>
                <w:color w:val="auto"/>
              </w:rPr>
            </w:pPr>
          </w:p>
        </w:tc>
        <w:tc>
          <w:tcPr>
            <w:tcW w:w="1740" w:type="dxa"/>
            <w:vAlign w:val="bottom"/>
          </w:tcPr>
          <w:p>
            <w:pPr>
              <w:jc w:val="right"/>
              <w:ind w:right="508"/>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1,993</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1,620</w:t>
            </w:r>
          </w:p>
        </w:tc>
        <w:tc>
          <w:tcPr>
            <w:tcW w:w="0" w:type="dxa"/>
            <w:vAlign w:val="bottom"/>
          </w:tcPr>
          <w:p>
            <w:pPr>
              <w:spacing w:after="0"/>
              <w:rPr>
                <w:sz w:val="1"/>
                <w:szCs w:val="1"/>
                <w:color w:val="auto"/>
              </w:rPr>
            </w:pPr>
          </w:p>
        </w:tc>
      </w:tr>
      <w:tr>
        <w:trPr>
          <w:trHeight w:val="19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1,455</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538</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231</w:t>
            </w:r>
          </w:p>
        </w:tc>
        <w:tc>
          <w:tcPr>
            <w:tcW w:w="0" w:type="dxa"/>
            <w:vAlign w:val="bottom"/>
          </w:tcPr>
          <w:p>
            <w:pPr>
              <w:spacing w:after="0"/>
              <w:rPr>
                <w:sz w:val="1"/>
                <w:szCs w:val="1"/>
                <w:color w:val="auto"/>
              </w:rPr>
            </w:pPr>
          </w:p>
        </w:tc>
      </w:tr>
      <w:tr>
        <w:trPr>
          <w:trHeight w:val="178"/>
        </w:trPr>
        <w:tc>
          <w:tcPr>
            <w:tcW w:w="51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Sales, marketing, general and administrative</w:t>
            </w: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241</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334</w:t>
            </w:r>
          </w:p>
        </w:tc>
        <w:tc>
          <w:tcPr>
            <w:tcW w:w="0" w:type="dxa"/>
            <w:vAlign w:val="bottom"/>
          </w:tcPr>
          <w:p>
            <w:pPr>
              <w:spacing w:after="0"/>
              <w:rPr>
                <w:sz w:val="1"/>
                <w:szCs w:val="1"/>
                <w:color w:val="auto"/>
              </w:rPr>
            </w:pPr>
          </w:p>
        </w:tc>
      </w:tr>
      <w:tr>
        <w:trPr>
          <w:trHeight w:val="19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340" w:type="dxa"/>
            <w:vAlign w:val="bottom"/>
          </w:tcPr>
          <w:p>
            <w:pPr>
              <w:spacing w:after="0"/>
              <w:rPr>
                <w:sz w:val="16"/>
                <w:szCs w:val="16"/>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auto"/>
              </w:rPr>
              <w:t>297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expense,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Other income (loss)</w:t>
            </w:r>
          </w:p>
        </w:tc>
        <w:tc>
          <w:tcPr>
            <w:tcW w:w="340" w:type="dxa"/>
            <w:vAlign w:val="bottom"/>
          </w:tcPr>
          <w:p>
            <w:pPr>
              <w:spacing w:after="0"/>
              <w:rPr>
                <w:sz w:val="17"/>
                <w:szCs w:val="17"/>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264</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w:t>
            </w:r>
          </w:p>
        </w:tc>
        <w:tc>
          <w:tcPr>
            <w:tcW w:w="3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Shareholders of GlobalFoundries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3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Earnings (loss) per share :</w:t>
            </w: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0.48</w:t>
            </w:r>
          </w:p>
        </w:tc>
        <w:tc>
          <w:tcPr>
            <w:tcW w:w="14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used in earnings (loss) per share calculation</w:t>
            </w: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535</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3 of 9</w:t>
      </w:r>
    </w:p>
    <w:p>
      <w:pPr>
        <w:sectPr>
          <w:pgSz w:w="11900" w:h="16838" w:orient="portrait"/>
          <w:cols w:equalWidth="0" w:num="1">
            <w:col w:w="9500"/>
          </w:cols>
          <w:pgMar w:left="1200" w:top="1440" w:right="11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u w:val="single" w:color="auto"/>
          <w:color w:val="auto"/>
        </w:rPr>
        <w:t>Unaudited Consolidated Statements of Financial Position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34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7"/>
                <w:szCs w:val="17"/>
                <w:color w:val="auto"/>
              </w:rPr>
            </w:pPr>
          </w:p>
        </w:tc>
        <w:tc>
          <w:tcPr>
            <w:tcW w:w="184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2021</w:t>
            </w:r>
          </w:p>
        </w:tc>
      </w:tr>
      <w:tr>
        <w:trPr>
          <w:trHeight w:val="162"/>
        </w:trPr>
        <w:tc>
          <w:tcPr>
            <w:tcW w:w="51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2,474</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2,939</w:t>
            </w: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Receivables, prepayments and other</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1,231</w:t>
            </w: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340" w:type="dxa"/>
            <w:vAlign w:val="bottom"/>
          </w:tcPr>
          <w:p>
            <w:pPr>
              <w:spacing w:after="0"/>
              <w:rPr>
                <w:sz w:val="17"/>
                <w:szCs w:val="17"/>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525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3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1,262</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1,121</w:t>
            </w:r>
          </w:p>
        </w:tc>
      </w:tr>
      <w:tr>
        <w:trPr>
          <w:trHeight w:val="19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5,508</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5,291</w:t>
            </w:r>
          </w:p>
        </w:tc>
      </w:tr>
      <w:tr>
        <w:trPr>
          <w:trHeight w:val="19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w:t>
            </w: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Pr>
          <w:p>
            <w:pPr>
              <w:spacing w:after="0"/>
              <w:rPr>
                <w:sz w:val="17"/>
                <w:szCs w:val="17"/>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9,410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8,713</w:t>
            </w: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671</w:t>
            </w:r>
          </w:p>
        </w:tc>
      </w:tr>
      <w:tr>
        <w:trPr>
          <w:trHeight w:val="19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Noncurrent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10,686</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9,737</w:t>
            </w:r>
          </w:p>
        </w:tc>
      </w:tr>
      <w:tr>
        <w:trPr>
          <w:trHeight w:val="19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16,194</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15,028</w:t>
            </w:r>
          </w:p>
        </w:tc>
      </w:tr>
      <w:tr>
        <w:trPr>
          <w:trHeight w:val="181"/>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04"/>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of long-term debt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w:t>
            </w:r>
          </w:p>
        </w:tc>
      </w:tr>
      <w:tr>
        <w:trPr>
          <w:trHeight w:val="19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liabilities</w:t>
            </w: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3,051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2,866</w:t>
            </w:r>
          </w:p>
        </w:tc>
      </w:tr>
      <w:tr>
        <w:trPr>
          <w:trHeight w:val="200"/>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3,313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3,163</w:t>
            </w:r>
          </w:p>
        </w:tc>
      </w:tr>
      <w:tr>
        <w:trPr>
          <w:trHeight w:val="192"/>
        </w:trPr>
        <w:tc>
          <w:tcPr>
            <w:tcW w:w="5160" w:type="dxa"/>
            <w:vAlign w:val="bottom"/>
          </w:tcPr>
          <w:p>
            <w:pPr>
              <w:ind w:left="20"/>
              <w:spacing w:after="0"/>
              <w:rPr>
                <w:sz w:val="20"/>
                <w:szCs w:val="20"/>
                <w:color w:val="auto"/>
              </w:rPr>
            </w:pPr>
            <w:r>
              <w:rPr>
                <w:rFonts w:ascii="Arial" w:cs="Arial" w:eastAsia="Arial" w:hAnsi="Arial"/>
                <w:sz w:val="14"/>
                <w:szCs w:val="14"/>
                <w:color w:val="auto"/>
              </w:rPr>
              <w:t>Noncurrent portion of long-term debt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1,908</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1,716</w:t>
            </w: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2,315</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2,116</w:t>
            </w:r>
          </w:p>
        </w:tc>
      </w:tr>
      <w:tr>
        <w:trPr>
          <w:trHeight w:val="19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4,223</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3,832</w:t>
            </w:r>
          </w:p>
        </w:tc>
      </w:tr>
      <w:tr>
        <w:trPr>
          <w:trHeight w:val="184"/>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Common stock/additional paid-in capital</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23,684</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23,498</w:t>
            </w:r>
          </w:p>
        </w:tc>
      </w:tr>
      <w:tr>
        <w:trPr>
          <w:trHeight w:val="20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(15,469)</w:t>
            </w:r>
          </w:p>
        </w:tc>
      </w:tr>
      <w:tr>
        <w:trPr>
          <w:trHeight w:val="199"/>
        </w:trPr>
        <w:tc>
          <w:tcPr>
            <w:tcW w:w="516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3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r>
      <w:tr>
        <w:trPr>
          <w:trHeight w:val="19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16,194</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15,028</w:t>
            </w:r>
          </w:p>
        </w:tc>
      </w:tr>
    </w:tbl>
    <w:p>
      <w:pPr>
        <w:spacing w:after="0" w:line="200" w:lineRule="exact"/>
        <w:rPr>
          <w:sz w:val="20"/>
          <w:szCs w:val="20"/>
          <w:color w:val="auto"/>
        </w:rPr>
      </w:pPr>
    </w:p>
    <w:p>
      <w:pPr>
        <w:sectPr>
          <w:pgSz w:w="11900" w:h="16838" w:orient="portrait"/>
          <w:cols w:equalWidth="0" w:num="1">
            <w:col w:w="9500"/>
          </w:cols>
          <w:pgMar w:left="1200" w:top="140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4 of 9</w:t>
      </w:r>
    </w:p>
    <w:p>
      <w:pPr>
        <w:sectPr>
          <w:pgSz w:w="11900" w:h="16838" w:orient="portrait"/>
          <w:cols w:equalWidth="0" w:num="1">
            <w:col w:w="9500"/>
          </w:cols>
          <w:pgMar w:left="1200" w:top="1408" w:right="11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u w:val="single" w:color="auto"/>
          <w:color w:val="auto"/>
        </w:rPr>
        <w:t>Unaudited Consolidated Statements of Cash Flows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Three Months Ended</w:t>
            </w:r>
          </w:p>
        </w:tc>
      </w:tr>
      <w:tr>
        <w:trPr>
          <w:trHeight w:val="209"/>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3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Pr>
          <w:p>
            <w:pPr>
              <w:spacing w:after="0"/>
              <w:rPr>
                <w:sz w:val="18"/>
                <w:szCs w:val="18"/>
                <w:color w:val="auto"/>
              </w:rPr>
            </w:pPr>
          </w:p>
        </w:tc>
        <w:tc>
          <w:tcPr>
            <w:tcW w:w="1740" w:type="dxa"/>
            <w:vAlign w:val="bottom"/>
          </w:tcPr>
          <w:p>
            <w:pPr>
              <w:jc w:val="right"/>
              <w:ind w:right="508"/>
              <w:spacing w:after="0"/>
              <w:rPr>
                <w:sz w:val="20"/>
                <w:szCs w:val="20"/>
                <w:color w:val="auto"/>
              </w:rPr>
            </w:pPr>
            <w:r>
              <w:rPr>
                <w:rFonts w:ascii="Arial" w:cs="Arial" w:eastAsia="Arial" w:hAnsi="Arial"/>
                <w:sz w:val="14"/>
                <w:szCs w:val="14"/>
                <w:b w:val="1"/>
                <w:bCs w:val="1"/>
                <w:color w:val="auto"/>
              </w:rPr>
              <w:t>June 30, 2021</w:t>
            </w:r>
          </w:p>
        </w:tc>
      </w:tr>
      <w:tr>
        <w:trPr>
          <w:trHeight w:val="162"/>
        </w:trPr>
        <w:tc>
          <w:tcPr>
            <w:tcW w:w="51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1"/>
        </w:trPr>
        <w:tc>
          <w:tcPr>
            <w:tcW w:w="51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auto"/>
              </w:rPr>
              <w:t>264</w:t>
            </w:r>
          </w:p>
        </w:tc>
        <w:tc>
          <w:tcPr>
            <w:tcW w:w="14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(174)</w:t>
            </w:r>
          </w:p>
        </w:tc>
      </w:tr>
      <w:tr>
        <w:trPr>
          <w:trHeight w:val="204"/>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w:t>
            </w: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Finance expense, net and other</w:t>
            </w:r>
          </w:p>
        </w:tc>
        <w:tc>
          <w:tcPr>
            <w:tcW w:w="3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Other non-cash operating activities</w:t>
            </w:r>
          </w:p>
        </w:tc>
        <w:tc>
          <w:tcPr>
            <w:tcW w:w="340" w:type="dxa"/>
            <w:vAlign w:val="bottom"/>
          </w:tcPr>
          <w:p>
            <w:pPr>
              <w:spacing w:after="0"/>
              <w:rPr>
                <w:sz w:val="17"/>
                <w:szCs w:val="17"/>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131</w:t>
            </w: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working capital</w:t>
            </w:r>
          </w:p>
        </w:tc>
        <w:tc>
          <w:tcPr>
            <w:tcW w:w="3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r>
      <w:tr>
        <w:trPr>
          <w:trHeight w:val="19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609</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434</w:t>
            </w:r>
          </w:p>
        </w:tc>
      </w:tr>
      <w:tr>
        <w:trPr>
          <w:trHeight w:val="197"/>
        </w:trPr>
        <w:tc>
          <w:tcPr>
            <w:tcW w:w="5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plant, equipment, and intangible assets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r>
      <w:tr>
        <w:trPr>
          <w:trHeight w:val="19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investing activities</w:t>
            </w: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w:t>
            </w:r>
          </w:p>
        </w:tc>
      </w:tr>
      <w:tr>
        <w:trPr>
          <w:trHeight w:val="19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(1,604)</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w:t>
            </w:r>
          </w:p>
        </w:tc>
      </w:tr>
      <w:tr>
        <w:trPr>
          <w:trHeight w:val="197"/>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4"/>
                <w:szCs w:val="14"/>
                <w:color w:val="auto"/>
              </w:rPr>
              <w:t>Proceeds (repayment) of debt, net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14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r>
      <w:tr>
        <w:trPr>
          <w:trHeight w:val="19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207</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w:t>
            </w:r>
          </w:p>
        </w:tc>
      </w:tr>
      <w:tr>
        <w:trPr>
          <w:trHeight w:val="197"/>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r>
      <w:tr>
        <w:trPr>
          <w:trHeight w:val="19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(790)</w:t>
            </w:r>
          </w:p>
        </w:tc>
        <w:tc>
          <w:tcPr>
            <w:tcW w:w="14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Pr>
          <w:p>
            <w:pPr>
              <w:jc w:val="right"/>
              <w:ind w:right="8"/>
              <w:spacing w:after="0"/>
              <w:rPr>
                <w:sz w:val="20"/>
                <w:szCs w:val="20"/>
                <w:color w:val="auto"/>
              </w:rPr>
            </w:pPr>
            <w:r>
              <w:rPr>
                <w:rFonts w:ascii="Arial" w:cs="Arial" w:eastAsia="Arial" w:hAnsi="Arial"/>
                <w:sz w:val="14"/>
                <w:szCs w:val="14"/>
                <w:b w:val="1"/>
                <w:bCs w:val="1"/>
                <w:color w:val="auto"/>
              </w:rPr>
              <w:t>170</w:t>
            </w:r>
          </w:p>
        </w:tc>
      </w:tr>
      <w:tr>
        <w:trPr>
          <w:trHeight w:val="204"/>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the beginning of the period</w:t>
            </w:r>
          </w:p>
        </w:tc>
        <w:tc>
          <w:tcPr>
            <w:tcW w:w="3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3,264</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635</w:t>
            </w:r>
          </w:p>
        </w:tc>
      </w:tr>
      <w:tr>
        <w:trPr>
          <w:trHeight w:val="19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2,474</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5 of 9</w:t>
      </w:r>
    </w:p>
    <w:p>
      <w:pPr>
        <w:sectPr>
          <w:pgSz w:w="11900" w:h="16838" w:orient="portrait"/>
          <w:cols w:equalWidth="0" w:num="1">
            <w:col w:w="9500"/>
          </w:cols>
          <w:pgMar w:left="1200" w:top="1435" w:right="1199" w:bottom="1440" w:gutter="0" w:footer="0" w:header="0"/>
        </w:sectPr>
      </w:pPr>
    </w:p>
    <w:bookmarkStart w:id="7" w:name="page8"/>
    <w:bookmarkEnd w:id="7"/>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Unaudited Reconciliation of IFRS to Adjusted Non-IFRS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30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Pr>
          <w:p>
            <w:pPr>
              <w:spacing w:after="0"/>
              <w:rPr>
                <w:sz w:val="18"/>
                <w:szCs w:val="18"/>
                <w:color w:val="auto"/>
              </w:rPr>
            </w:pPr>
          </w:p>
        </w:tc>
        <w:tc>
          <w:tcPr>
            <w:tcW w:w="1700" w:type="dxa"/>
            <w:vAlign w:val="bottom"/>
          </w:tcPr>
          <w:p>
            <w:pPr>
              <w:jc w:val="right"/>
              <w:ind w:right="468"/>
              <w:spacing w:after="0"/>
              <w:rPr>
                <w:sz w:val="20"/>
                <w:szCs w:val="20"/>
                <w:color w:val="auto"/>
              </w:rPr>
            </w:pPr>
            <w:r>
              <w:rPr>
                <w:rFonts w:ascii="Arial" w:cs="Arial" w:eastAsia="Arial" w:hAnsi="Arial"/>
                <w:sz w:val="14"/>
                <w:szCs w:val="14"/>
                <w:b w:val="1"/>
                <w:bCs w:val="1"/>
                <w:color w:val="auto"/>
              </w:rPr>
              <w:t>June 30, 2021</w:t>
            </w:r>
          </w:p>
        </w:tc>
      </w:tr>
      <w:tr>
        <w:trPr>
          <w:trHeight w:val="257"/>
        </w:trPr>
        <w:tc>
          <w:tcPr>
            <w:tcW w:w="48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538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469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231</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i w:val="1"/>
                <w:iCs w:val="1"/>
                <w:color w:val="auto"/>
              </w:rPr>
              <w:t>Gross profit margin</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i w:val="1"/>
                <w:iCs w:val="1"/>
                <w:color w:val="auto"/>
              </w:rPr>
              <w:t>27.0 %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i w:val="1"/>
                <w:iCs w:val="1"/>
                <w:color w:val="auto"/>
              </w:rPr>
              <w:t>24.2 %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i w:val="1"/>
                <w:iCs w:val="1"/>
                <w:color w:val="auto"/>
              </w:rPr>
              <w:t>14.3 %</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36</w:t>
            </w:r>
          </w:p>
        </w:tc>
      </w:tr>
      <w:tr>
        <w:trPr>
          <w:trHeight w:val="195"/>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Adjusted gross profit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559</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490</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267</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8"/>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gross profit margin</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28.0 %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25.3 %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16.5 %</w:t>
            </w:r>
          </w:p>
        </w:tc>
      </w:tr>
      <w:tr>
        <w:trPr>
          <w:trHeight w:val="310"/>
        </w:trPr>
        <w:tc>
          <w:tcPr>
            <w:tcW w:w="4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297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225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(103)</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i w:val="1"/>
                <w:iCs w:val="1"/>
                <w:color w:val="auto"/>
              </w:rPr>
              <w:t>Operating profit (loss) margin</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i w:val="1"/>
                <w:iCs w:val="1"/>
                <w:color w:val="auto"/>
              </w:rPr>
              <w:t>14.9 %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i w:val="1"/>
                <w:iCs w:val="1"/>
                <w:color w:val="auto"/>
              </w:rPr>
              <w:t>11.6 %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i w:val="1"/>
                <w:iCs w:val="1"/>
                <w:color w:val="auto"/>
              </w:rPr>
              <w:t>(6.4)%</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144</w:t>
            </w:r>
          </w:p>
        </w:tc>
      </w:tr>
      <w:tr>
        <w:trPr>
          <w:trHeight w:val="195"/>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Adjusted operating profit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350</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279</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41</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8"/>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operating profit margin</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17.6 %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14.4 %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2.5 %</w:t>
            </w:r>
          </w:p>
        </w:tc>
      </w:tr>
      <w:tr>
        <w:trPr>
          <w:trHeight w:val="283"/>
        </w:trPr>
        <w:tc>
          <w:tcPr>
            <w:tcW w:w="4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264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178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(174)</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i w:val="1"/>
                <w:iCs w:val="1"/>
                <w:color w:val="auto"/>
              </w:rPr>
              <w:t>Net income (loss) margin</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i w:val="1"/>
                <w:iCs w:val="1"/>
                <w:color w:val="auto"/>
              </w:rPr>
              <w:t>13.2 %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i w:val="1"/>
                <w:iCs w:val="1"/>
                <w:color w:val="auto"/>
              </w:rPr>
              <w:t>9.2 %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i w:val="1"/>
                <w:iCs w:val="1"/>
                <w:color w:val="auto"/>
              </w:rPr>
              <w:t>(10.7)%</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144</w:t>
            </w:r>
          </w:p>
        </w:tc>
      </w:tr>
      <w:tr>
        <w:trPr>
          <w:trHeight w:val="195"/>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Adjusted net income (loss)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317</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232</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(30)</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8"/>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net income (loss) margin</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15.9 %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12.0 %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(1.9)%</w:t>
            </w:r>
          </w:p>
        </w:tc>
      </w:tr>
      <w:tr>
        <w:trPr>
          <w:trHeight w:val="284"/>
        </w:trPr>
        <w:tc>
          <w:tcPr>
            <w:tcW w:w="4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(loss) per share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0.48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0.33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(0.35)</w:t>
            </w:r>
          </w:p>
        </w:tc>
      </w:tr>
      <w:tr>
        <w:trPr>
          <w:trHeight w:val="19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based compensation</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0.09</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0.29</w:t>
            </w:r>
          </w:p>
        </w:tc>
      </w:tr>
      <w:tr>
        <w:trPr>
          <w:trHeight w:val="22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diluted earnings (loss) per share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0.58</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0.42</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(0.06)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6 of 9</w:t>
      </w:r>
    </w:p>
    <w:p>
      <w:pPr>
        <w:sectPr>
          <w:pgSz w:w="11900" w:h="16838" w:orient="portrait"/>
          <w:cols w:equalWidth="0" w:num="1">
            <w:col w:w="11180"/>
          </w:cols>
          <w:pgMar w:left="360" w:top="1440"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u w:val="single" w:color="auto"/>
          <w:color w:val="auto"/>
        </w:rPr>
        <w:t>Unaudited Reconciliation of Net Income (Loss) to Adjusted EBITDA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30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Pr>
          <w:p>
            <w:pPr>
              <w:spacing w:after="0"/>
              <w:rPr>
                <w:sz w:val="18"/>
                <w:szCs w:val="18"/>
                <w:color w:val="auto"/>
              </w:rPr>
            </w:pPr>
          </w:p>
        </w:tc>
        <w:tc>
          <w:tcPr>
            <w:tcW w:w="1700" w:type="dxa"/>
            <w:vAlign w:val="bottom"/>
          </w:tcPr>
          <w:p>
            <w:pPr>
              <w:jc w:val="right"/>
              <w:ind w:right="468"/>
              <w:spacing w:after="0"/>
              <w:rPr>
                <w:sz w:val="20"/>
                <w:szCs w:val="20"/>
                <w:color w:val="auto"/>
              </w:rPr>
            </w:pPr>
            <w:r>
              <w:rPr>
                <w:rFonts w:ascii="Arial" w:cs="Arial" w:eastAsia="Arial" w:hAnsi="Arial"/>
                <w:sz w:val="14"/>
                <w:szCs w:val="14"/>
                <w:b w:val="1"/>
                <w:bCs w:val="1"/>
                <w:color w:val="auto"/>
              </w:rPr>
              <w:t>June 30, 2021</w:t>
            </w:r>
          </w:p>
        </w:tc>
      </w:tr>
      <w:tr>
        <w:trPr>
          <w:trHeight w:val="257"/>
        </w:trPr>
        <w:tc>
          <w:tcPr>
            <w:tcW w:w="48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for the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264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178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(174)</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08"/>
              <w:spacing w:after="0"/>
              <w:rPr>
                <w:sz w:val="20"/>
                <w:szCs w:val="20"/>
                <w:color w:val="auto"/>
              </w:rPr>
            </w:pPr>
            <w:r>
              <w:rPr>
                <w:rFonts w:ascii="Arial" w:cs="Arial" w:eastAsia="Arial" w:hAnsi="Arial"/>
                <w:sz w:val="14"/>
                <w:szCs w:val="14"/>
                <w:color w:val="auto"/>
              </w:rPr>
              <w:t>411</w:t>
            </w:r>
          </w:p>
        </w:tc>
        <w:tc>
          <w:tcPr>
            <w:tcW w:w="14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408</w:t>
            </w:r>
          </w:p>
        </w:tc>
        <w:tc>
          <w:tcPr>
            <w:tcW w:w="14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ind w:right="128"/>
              <w:spacing w:after="0"/>
              <w:rPr>
                <w:sz w:val="20"/>
                <w:szCs w:val="20"/>
                <w:color w:val="auto"/>
              </w:rPr>
            </w:pPr>
            <w:r>
              <w:rPr>
                <w:rFonts w:ascii="Arial" w:cs="Arial" w:eastAsia="Arial" w:hAnsi="Arial"/>
                <w:sz w:val="14"/>
                <w:szCs w:val="14"/>
                <w:color w:val="auto"/>
              </w:rPr>
              <w:t>408</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expense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ind w:right="128"/>
              <w:spacing w:after="0"/>
              <w:rPr>
                <w:sz w:val="20"/>
                <w:szCs w:val="20"/>
                <w:color w:val="auto"/>
              </w:rPr>
            </w:pPr>
            <w:r>
              <w:rPr>
                <w:rFonts w:ascii="Arial" w:cs="Arial" w:eastAsia="Arial" w:hAnsi="Arial"/>
                <w:sz w:val="14"/>
                <w:szCs w:val="14"/>
                <w:color w:val="auto"/>
              </w:rPr>
              <w:t>20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144</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Restructuring and corporate severance programs</w:t>
            </w:r>
          </w:p>
        </w:tc>
        <w:tc>
          <w:tcPr>
            <w:tcW w:w="300" w:type="dxa"/>
            <w:vAlign w:val="bottom"/>
          </w:tcPr>
          <w:p>
            <w:pPr>
              <w:spacing w:after="0"/>
              <w:rPr>
                <w:sz w:val="17"/>
                <w:szCs w:val="17"/>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ind w:right="128"/>
              <w:spacing w:after="0"/>
              <w:rPr>
                <w:sz w:val="20"/>
                <w:szCs w:val="20"/>
                <w:color w:val="auto"/>
              </w:rPr>
            </w:pPr>
            <w:r>
              <w:rPr>
                <w:rFonts w:ascii="Arial" w:cs="Arial" w:eastAsia="Arial" w:hAnsi="Arial"/>
                <w:sz w:val="14"/>
                <w:szCs w:val="14"/>
                <w:color w:val="auto"/>
              </w:rPr>
              <w:t>5</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on transactions, legal settlements and transaction expenses</w:t>
            </w:r>
          </w:p>
        </w:tc>
        <w:tc>
          <w:tcPr>
            <w:tcW w:w="3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w:t>
            </w:r>
          </w:p>
        </w:tc>
      </w:tr>
      <w:tr>
        <w:trPr>
          <w:trHeight w:val="195"/>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784</w:t>
            </w:r>
          </w:p>
        </w:tc>
        <w:tc>
          <w:tcPr>
            <w:tcW w:w="1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698</w:t>
            </w:r>
          </w:p>
        </w:tc>
        <w:tc>
          <w:tcPr>
            <w:tcW w:w="1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466</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8"/>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39.3 %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36.0 %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7 of 9</w:t>
      </w:r>
    </w:p>
    <w:p>
      <w:pPr>
        <w:sectPr>
          <w:pgSz w:w="11900" w:h="16838" w:orient="portrait"/>
          <w:cols w:equalWidth="0" w:num="1">
            <w:col w:w="11180"/>
          </w:cols>
          <w:pgMar w:left="360" w:top="1408"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Adjusted Financial Measures (Non-IFRS)</w:t>
      </w:r>
    </w:p>
    <w:p>
      <w:pPr>
        <w:spacing w:after="0" w:line="26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In addition to the financial information presented in accordance with IFRS, this press release includes the following adjusted non-IFRS metrics: adjusted gross profit, adjusted operating profit, adjusted net income (loss), adjusted diluted earnings (loss) per share and adjusted EBITDA. We define adjusted gross profit as gross profit adjusted for share-based compensation expense. We define adjusted operating profit as profit from operations adjusted for share-based compensation expense. We define adjusted net income (loss) as net income (loss) adjusted for share-based compensation expense. We define adjusted diluted EPS as adjusted net income (loss) divided by the dilutive shares. We define adjusted EBITDA as net income (loss), excluding the impact of finance expense, income tax expense, depreciation, amortization, share-based compensation expense, transaction gains and associated expenses, restructuring charges and litigation settlements.</w:t>
      </w:r>
    </w:p>
    <w:p>
      <w:pPr>
        <w:spacing w:after="0" w:line="19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We believe that in addition to our results determined in accordance with IFRS, these adjusted non-IFRS measures provide useful information to both management and investors in measuring our financial performance and highlight trends in our business that may not otherwise be apparent when relying solely on IFRS measures. These adjusted non-IFRS financial measures provide supplemental information regarding our operating performance that excludes certain gains, losses and non-cash charges that occur relatively infrequently and/or that we consider to be unrelated to our core operations. For further information regarding these non-IFRS measures, please refer to "Unaudited Reconciliation of IFRS to Adjusted Non-IFRS" table above.</w:t>
      </w:r>
    </w:p>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Adjusted non-IFRS financial information is presented for supplemental informational purposes only and should not be considered in isolation or as a substitute for financial information presented in accordance with IFRS. Our presentation of adjusted non-IFRS measures should not be construed as an inference that our future results will be unaffected by unusual or nonrecurring items. Other companies in our industry may calculate these measures differently, which may limit their usefulness as a comparative measure.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 and Webcast Information</w:t>
      </w:r>
    </w:p>
    <w:p>
      <w:pPr>
        <w:spacing w:after="0" w:line="221" w:lineRule="exact"/>
        <w:rPr>
          <w:sz w:val="20"/>
          <w:szCs w:val="20"/>
          <w:color w:val="auto"/>
        </w:rPr>
      </w:pPr>
    </w:p>
    <w:p>
      <w:pPr>
        <w:ind w:right="220"/>
        <w:spacing w:after="0" w:line="230" w:lineRule="auto"/>
        <w:rPr>
          <w:sz w:val="20"/>
          <w:szCs w:val="20"/>
          <w:color w:val="auto"/>
        </w:rPr>
      </w:pPr>
      <w:r>
        <w:rPr>
          <w:rFonts w:ascii="Arial" w:cs="Arial" w:eastAsia="Arial" w:hAnsi="Arial"/>
          <w:sz w:val="16"/>
          <w:szCs w:val="16"/>
          <w:color w:val="auto"/>
        </w:rPr>
        <w:t>GF will host a conference call with the financial community on Tuesday, August 9, 2022 at 8:30 a.m. U.S. Eastern Time (ET) to review the Second Quarter 2022 results in detail. Interested parties may join the scheduled conference call by registering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FF"/>
        </w:rPr>
        <w:t>https://register.vevent.com/register/BIeafbd546fa2f42e4bcf2451abc7b44cf</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call will be webcast and can be accessed from the GF Investor Relations website https://investors.gf.com. A replay of the call will be available on the GF Investor Relations website within 24 hours of the actual call.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GlobalFoundries</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 xml:space="preserve">GlobalFoundries® (GF®) is one of the world’s leading semiconductor manufacturers. GF is redefining innovation and semiconductor manufacturing by developing and delivering feature-rich process technology solutions that provide 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Arial" w:cs="Arial" w:eastAsia="Arial" w:hAnsi="Arial"/>
          <w:sz w:val="16"/>
          <w:szCs w:val="16"/>
          <w:u w:val="single" w:color="auto"/>
          <w:color w:val="0000FF"/>
        </w:rPr>
        <w:t>www.gf.com</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21"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This press release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the COVID-19 pandemic and supply chain disruptions due to the Russia/Ukraine conflict and actions taken in response to such events; the market for our products may develop more slowly than expected or than it has in the past;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damage our reputation; we could experience interruptions or performance problems associated with our technology, including a service outage; and global economic conditions could deteriorate.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 of 9</w:t>
      </w:r>
    </w:p>
    <w:p>
      <w:pPr>
        <w:sectPr>
          <w:pgSz w:w="11900" w:h="16838" w:orient="portrait"/>
          <w:cols w:equalWidth="0" w:num="1">
            <w:col w:w="11240"/>
          </w:cols>
          <w:pgMar w:left="320" w:top="1435" w:right="339" w:bottom="1440" w:gutter="0" w:footer="0" w:header="0"/>
        </w:sectPr>
      </w:pPr>
    </w:p>
    <w:bookmarkStart w:id="10" w:name="page11"/>
    <w:bookmarkEnd w:id="10"/>
    <w:p>
      <w:pPr>
        <w:jc w:val="both"/>
        <w:spacing w:after="0" w:line="234" w:lineRule="auto"/>
        <w:rPr>
          <w:sz w:val="20"/>
          <w:szCs w:val="20"/>
          <w:color w:val="auto"/>
        </w:rPr>
      </w:pPr>
      <w:r>
        <w:rPr>
          <w:rFonts w:ascii="Arial" w:cs="Arial" w:eastAsia="Arial" w:hAnsi="Arial"/>
          <w:sz w:val="16"/>
          <w:szCs w:val="16"/>
          <w:color w:val="auto"/>
        </w:rPr>
        <w:t>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191"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2021 Annual Report on Form 20-F, current reports on Form 6-K and other reports filed with the Securities and Exchange Commission. Copies of our SEC filings are available on our Investor Relations website, investors.gf.com, or from the SEC website, www.sec.gov.</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further information, please contact: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rPr>
          <w:sz w:val="20"/>
          <w:szCs w:val="20"/>
          <w:color w:val="auto"/>
        </w:rPr>
      </w:pPr>
      <w:r>
        <w:rPr>
          <w:rFonts w:ascii="Arial" w:cs="Arial" w:eastAsia="Arial" w:hAnsi="Arial"/>
          <w:sz w:val="16"/>
          <w:szCs w:val="16"/>
          <w:u w:val="single" w:color="auto"/>
          <w:color w:val="0000FF"/>
        </w:rPr>
        <w:t>ir@gf.com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 of 9</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2022-08-09T08:11:35Z</dcterms:created>
  <dcterms:modified xsi:type="dcterms:W3CDTF">2022-08-09T08:11:35Z</dcterms:modified>
</cp:coreProperties>
</file>