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Hogan Michael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STONE BREAK ROAD EXTENSION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GLOBALFOUNDRIES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GFS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Business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MALTA</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12020</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4"/>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04/20/2026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500</w:t>
            </w:r>
            <w:r>
              <w:rPr>
                <w:rFonts w:ascii="Times New Roman" w:cs="Times New Roman" w:eastAsia="Times New Roman" w:hAnsi="Times New Roman"/>
                <w:sz w:val="11"/>
                <w:szCs w:val="11"/>
                <w:color w:val="008000"/>
                <w:w w:val="93"/>
              </w:rPr>
              <w:t>(1)</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18,345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subject to a lock-up agreement that expires on May 10, 2026 that was entered into with the underwriters in connection with an offering of securities by the issuer's majority shareholder. The sale of shares is a permissible exemption under the terms of the lock-up agreement. The sale reported in this Form 4 was effected pursuant to a Rule 10b5-1 trading plan adopted by the reporting person prior to the offering.</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Jeff Worth,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7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 for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15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20107" TargetMode="External"/><Relationship Id="rId14" Type="http://schemas.openxmlformats.org/officeDocument/2006/relationships/hyperlink" Target="http://www.sec.gov/cgi-bin/browse-edgar?action=getcompany&amp;CIK=00017090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2026-04-22T11:37:33Z</dcterms:created>
  <dcterms:modified xsi:type="dcterms:W3CDTF">2026-04-22T11:37:33Z</dcterms:modified>
</cp:coreProperties>
</file>