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Antaki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STONE BREAK ROAD EXTENSION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GLOBALFOUNDRIES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GFS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MALTA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12020</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Share Units</w:t>
            </w: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80"/>
              <w:spacing w:after="0" w:line="320" w:lineRule="exact"/>
              <w:rPr>
                <w:sz w:val="20"/>
                <w:szCs w:val="20"/>
                <w:color w:val="auto"/>
              </w:rPr>
            </w:pPr>
            <w:r>
              <w:rPr>
                <w:rFonts w:ascii="Times New Roman" w:cs="Times New Roman" w:eastAsia="Times New Roman" w:hAnsi="Times New Roman"/>
                <w:sz w:val="34"/>
                <w:szCs w:val="34"/>
                <w:color w:val="0000FF"/>
                <w:vertAlign w:val="subscript"/>
              </w:rPr>
              <w:t>11,538</w:t>
            </w:r>
            <w:r>
              <w:rPr>
                <w:rFonts w:ascii="Times New Roman" w:cs="Times New Roman" w:eastAsia="Times New Roman" w:hAnsi="Times New Roman"/>
                <w:sz w:val="11"/>
                <w:szCs w:val="11"/>
                <w:color w:val="008000"/>
              </w:rPr>
              <w:t>(1)(2)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04/29/2026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1,792</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59.49</w:t>
            </w:r>
          </w:p>
        </w:tc>
        <w:tc>
          <w:tcPr>
            <w:tcW w:w="1200" w:type="dxa"/>
            <w:vAlign w:val="bottom"/>
            <w:tcBorders>
              <w:bottom w:val="single" w:sz="8" w:color="2C2C2C"/>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rPr>
              <w:t>4,179</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vesting and settlement of restricted stock units (RSUs) into 5,971 ordinary shares on April 29, 2026.</w:t>
      </w:r>
    </w:p>
    <w:p>
      <w:pPr>
        <w:spacing w:after="0" w:line="5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5,971 of which vest in equal installments on April 29, 2027, and 5,567 of which vest on July 29, 2026, subject to the Reporting Person's continuous service through each such vesting date. Each RSU represents a contingent right to receive one share of the Issuer's ordinary shares upon settlement.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withholding of shares by the issuer to satisfy the reporting person's tax withholding obligations in connection with the vesting and settlement of RSUs.</w:t>
      </w:r>
    </w:p>
    <w:p>
      <w:pPr>
        <w:sectPr>
          <w:pgSz w:w="11900" w:h="16838" w:orient="portrait"/>
          <w:cols w:equalWidth="0" w:num="1">
            <w:col w:w="11080"/>
          </w:cols>
          <w:pgMar w:left="460" w:top="219" w:right="35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Jeff Worth,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7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 for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115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81973" TargetMode="External"/><Relationship Id="rId14"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2026-05-01T13:40:17Z</dcterms:created>
  <dcterms:modified xsi:type="dcterms:W3CDTF">2026-05-01T13:40:17Z</dcterms:modified>
</cp:coreProperties>
</file>