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199"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385"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6-K</w:t>
      </w:r>
    </w:p>
    <w:p>
      <w:pPr>
        <w:spacing w:after="0" w:line="178" w:lineRule="exact"/>
        <w:rPr>
          <w:sz w:val="24"/>
          <w:szCs w:val="24"/>
          <w:color w:val="auto"/>
        </w:rPr>
      </w:pPr>
    </w:p>
    <w:p>
      <w:pPr>
        <w:ind w:left="240"/>
        <w:spacing w:after="0"/>
        <w:rPr>
          <w:sz w:val="20"/>
          <w:szCs w:val="20"/>
          <w:color w:val="auto"/>
        </w:rPr>
      </w:pPr>
      <w:r>
        <w:rPr>
          <w:rFonts w:ascii="Arial" w:cs="Arial" w:eastAsia="Arial" w:hAnsi="Arial"/>
          <w:sz w:val="21"/>
          <w:szCs w:val="21"/>
          <w:b w:val="1"/>
          <w:bCs w:val="1"/>
          <w:color w:val="auto"/>
        </w:rPr>
        <w:t>REPORT OF FOREIGN PRIVATE ISSUER PURSUANT TO RULE 13a-16 OR 15d-16 UNDER THE SECURITIES</w:t>
      </w:r>
    </w:p>
    <w:p>
      <w:pPr>
        <w:jc w:val="center"/>
        <w:spacing w:after="0"/>
        <w:rPr>
          <w:sz w:val="20"/>
          <w:szCs w:val="20"/>
          <w:color w:val="auto"/>
        </w:rPr>
      </w:pPr>
      <w:r>
        <w:rPr>
          <w:rFonts w:ascii="Arial" w:cs="Arial" w:eastAsia="Arial" w:hAnsi="Arial"/>
          <w:sz w:val="22"/>
          <w:szCs w:val="22"/>
          <w:b w:val="1"/>
          <w:bCs w:val="1"/>
          <w:color w:val="auto"/>
        </w:rPr>
        <w:t>EXCHANGE ACT OF 1934</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August 2023</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001-40974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GLOBALFOUNDRIES Inc.</w:t>
      </w:r>
    </w:p>
    <w:p>
      <w:pPr>
        <w:spacing w:after="0" w:line="180"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400 Stonebreak Road Extension</w:t>
      </w:r>
    </w:p>
    <w:p>
      <w:pPr>
        <w:ind w:left="4980"/>
        <w:spacing w:after="0" w:line="205" w:lineRule="auto"/>
        <w:rPr>
          <w:sz w:val="20"/>
          <w:szCs w:val="20"/>
          <w:color w:val="auto"/>
        </w:rPr>
      </w:pPr>
      <w:r>
        <w:rPr>
          <w:rFonts w:ascii="Arial" w:cs="Arial" w:eastAsia="Arial" w:hAnsi="Arial"/>
          <w:sz w:val="18"/>
          <w:szCs w:val="18"/>
          <w:b w:val="1"/>
          <w:bCs w:val="1"/>
          <w:color w:val="auto"/>
        </w:rPr>
        <w:t>Malta, NY 12020</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15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26"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both"/>
        <w:spacing w:after="0" w:line="233" w:lineRule="auto"/>
        <w:rPr>
          <w:sz w:val="20"/>
          <w:szCs w:val="20"/>
          <w:color w:val="auto"/>
        </w:rPr>
      </w:pPr>
      <w:r>
        <w:rPr>
          <w:rFonts w:ascii="Arial" w:cs="Arial" w:eastAsia="Arial" w:hAnsi="Arial"/>
          <w:sz w:val="17"/>
          <w:szCs w:val="17"/>
          <w:color w:val="auto"/>
        </w:rPr>
        <w:t>At the Annual General Meeting of Shareholders, held on August 2, 2023, the shareholders of GLOBALFOUNDRIES Inc. (the “Company”) approved the following proposals: (1) the election of Martin L. Edelman (with 98.96% in favor), David Kerko (with 99.71% in favor), Jack Lazar (with 99.77% in</w:t>
      </w:r>
    </w:p>
    <w:p>
      <w:pPr>
        <w:spacing w:after="0" w:line="1" w:lineRule="exact"/>
        <w:rPr>
          <w:sz w:val="24"/>
          <w:szCs w:val="24"/>
          <w:color w:val="auto"/>
        </w:rPr>
      </w:pPr>
    </w:p>
    <w:p>
      <w:pPr>
        <w:jc w:val="both"/>
        <w:spacing w:after="0" w:line="248" w:lineRule="auto"/>
        <w:rPr>
          <w:sz w:val="20"/>
          <w:szCs w:val="20"/>
          <w:color w:val="auto"/>
        </w:rPr>
      </w:pPr>
      <w:r>
        <w:rPr>
          <w:rFonts w:ascii="Arial" w:cs="Arial" w:eastAsia="Arial" w:hAnsi="Arial"/>
          <w:sz w:val="16"/>
          <w:szCs w:val="16"/>
          <w:color w:val="auto"/>
        </w:rPr>
        <w:t>favor), and Carlos Obeid (with 99.67% in favor) as Class II directors of the Company, each to serve for a three-year term, or until such person resigns or is removed in accordance with the terms of the Company’s Amended and Restated Memorandum and Articles of Association, and (2) the ratification of the appointment of KPMG LLP as the Company’s independent public accounting firm for the fiscal year ending December 31, 2023 (with 99.99% in favor).</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860" w:type="dxa"/>
            <w:vAlign w:val="bottom"/>
            <w:gridSpan w:val="2"/>
          </w:tcPr>
          <w:p>
            <w:pPr>
              <w:ind w:left="1720"/>
              <w:spacing w:after="0"/>
              <w:rPr>
                <w:sz w:val="20"/>
                <w:szCs w:val="20"/>
                <w:color w:val="auto"/>
              </w:rPr>
            </w:pPr>
            <w:r>
              <w:rPr>
                <w:rFonts w:ascii="Arial" w:cs="Arial" w:eastAsia="Arial" w:hAnsi="Arial"/>
                <w:sz w:val="18"/>
                <w:szCs w:val="18"/>
                <w:b w:val="1"/>
                <w:bCs w:val="1"/>
                <w:color w:val="auto"/>
              </w:rPr>
              <w:t>GLOBALFOUNDRIES Inc.</w:t>
            </w:r>
          </w:p>
        </w:tc>
      </w:tr>
      <w:tr>
        <w:trPr>
          <w:trHeight w:val="527"/>
        </w:trPr>
        <w:tc>
          <w:tcPr>
            <w:tcW w:w="3260" w:type="dxa"/>
            <w:vAlign w:val="bottom"/>
          </w:tcPr>
          <w:p>
            <w:pPr>
              <w:spacing w:after="0"/>
              <w:rPr>
                <w:sz w:val="20"/>
                <w:szCs w:val="20"/>
                <w:color w:val="auto"/>
              </w:rPr>
            </w:pPr>
            <w:r>
              <w:rPr>
                <w:rFonts w:ascii="Arial" w:cs="Arial" w:eastAsia="Arial" w:hAnsi="Arial"/>
                <w:sz w:val="18"/>
                <w:szCs w:val="18"/>
                <w:color w:val="auto"/>
              </w:rPr>
              <w:t>Date: August 8, 2023</w:t>
            </w:r>
          </w:p>
        </w:tc>
        <w:tc>
          <w:tcPr>
            <w:tcW w:w="2860" w:type="dxa"/>
            <w:vAlign w:val="bottom"/>
          </w:tcPr>
          <w:p>
            <w:pPr>
              <w:ind w:left="17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Caulfield</w:t>
            </w:r>
          </w:p>
        </w:tc>
      </w:tr>
      <w:tr>
        <w:trPr>
          <w:trHeight w:val="237"/>
        </w:trPr>
        <w:tc>
          <w:tcPr>
            <w:tcW w:w="3260" w:type="dxa"/>
            <w:vAlign w:val="bottom"/>
          </w:tcPr>
          <w:p>
            <w:pPr>
              <w:spacing w:after="0"/>
              <w:rPr>
                <w:sz w:val="20"/>
                <w:szCs w:val="20"/>
                <w:color w:val="auto"/>
              </w:rPr>
            </w:pPr>
          </w:p>
        </w:tc>
        <w:tc>
          <w:tcPr>
            <w:tcW w:w="2860" w:type="dxa"/>
            <w:vAlign w:val="bottom"/>
          </w:tcPr>
          <w:p>
            <w:pPr>
              <w:ind w:left="1720"/>
              <w:spacing w:after="0"/>
              <w:rPr>
                <w:sz w:val="20"/>
                <w:szCs w:val="20"/>
                <w:color w:val="auto"/>
              </w:rPr>
            </w:pPr>
            <w:r>
              <w:rPr>
                <w:rFonts w:ascii="Arial" w:cs="Arial" w:eastAsia="Arial" w:hAnsi="Arial"/>
                <w:sz w:val="18"/>
                <w:szCs w:val="18"/>
                <w:color w:val="auto"/>
              </w:rPr>
              <w:t>Name:</w:t>
            </w:r>
          </w:p>
        </w:tc>
        <w:tc>
          <w:tcPr>
            <w:tcW w:w="5000" w:type="dxa"/>
            <w:vAlign w:val="bottom"/>
          </w:tcPr>
          <w:p>
            <w:pPr>
              <w:ind w:left="20"/>
              <w:spacing w:after="0"/>
              <w:rPr>
                <w:sz w:val="20"/>
                <w:szCs w:val="20"/>
                <w:color w:val="auto"/>
              </w:rPr>
            </w:pPr>
            <w:r>
              <w:rPr>
                <w:rFonts w:ascii="Arial" w:cs="Arial" w:eastAsia="Arial" w:hAnsi="Arial"/>
                <w:sz w:val="18"/>
                <w:szCs w:val="18"/>
                <w:color w:val="auto"/>
              </w:rPr>
              <w:t>Dr. Thomas Caulfield</w:t>
            </w:r>
          </w:p>
        </w:tc>
      </w:tr>
      <w:tr>
        <w:trPr>
          <w:trHeight w:val="283"/>
        </w:trPr>
        <w:tc>
          <w:tcPr>
            <w:tcW w:w="3260" w:type="dxa"/>
            <w:vAlign w:val="bottom"/>
          </w:tcPr>
          <w:p>
            <w:pPr>
              <w:spacing w:after="0"/>
              <w:rPr>
                <w:sz w:val="24"/>
                <w:szCs w:val="24"/>
                <w:color w:val="auto"/>
              </w:rPr>
            </w:pPr>
          </w:p>
        </w:tc>
        <w:tc>
          <w:tcPr>
            <w:tcW w:w="2860" w:type="dxa"/>
            <w:vAlign w:val="bottom"/>
          </w:tcPr>
          <w:p>
            <w:pPr>
              <w:ind w:left="172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&amp; Chief Executive Officer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2023-08-08T06:44:46Z</dcterms:created>
  <dcterms:modified xsi:type="dcterms:W3CDTF">2023-08-08T06:44:46Z</dcterms:modified>
</cp:coreProperties>
</file>