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20"/>
        <w:spacing w:after="0"/>
        <w:rPr>
          <w:sz w:val="20"/>
          <w:szCs w:val="20"/>
          <w:color w:val="auto"/>
        </w:rPr>
      </w:pPr>
      <w:r>
        <w:rPr>
          <w:rFonts w:ascii="Georgia" w:cs="Georgia" w:eastAsia="Georgia" w:hAnsi="Georgia"/>
          <w:sz w:val="22"/>
          <w:szCs w:val="22"/>
          <w:b w:val="1"/>
          <w:bCs w:val="1"/>
          <w:color w:val="auto"/>
        </w:rPr>
        <w:t xml:space="preserve">REPORT OF FOREIGN PRIVATE ISSUER PURSUANT TO RULE 13a-16 OR </w:t>
      </w:r>
      <w:r>
        <w:rPr>
          <w:rFonts w:ascii="Times New Roman" w:cs="Times New Roman" w:eastAsia="Times New Roman" w:hAnsi="Times New Roman"/>
          <w:sz w:val="22"/>
          <w:szCs w:val="22"/>
          <w:b w:val="1"/>
          <w:bCs w:val="1"/>
          <w:color w:val="auto"/>
        </w:rPr>
        <w:t>15d-16 UNDER THE</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60" w:right="196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are the following exhibits.</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 99.1</w:t>
            </w:r>
          </w:p>
        </w:tc>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Unaudited Interim Condensed Consolidated Financial Statements as of June 30, 2024 and December 31, 2023 and for the three</w:t>
            </w:r>
          </w:p>
        </w:tc>
      </w:tr>
      <w:tr>
        <w:trPr>
          <w:trHeight w:val="209"/>
        </w:trPr>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3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six months ended June 30, 2024 and 2023.</w:t>
            </w:r>
          </w:p>
        </w:tc>
        <w:tc>
          <w:tcPr>
            <w:tcW w:w="6080" w:type="dxa"/>
            <w:vAlign w:val="bottom"/>
            <w:tcBorders>
              <w:top w:val="single" w:sz="8" w:color="0000FF"/>
            </w:tcBorders>
            <w:gridSpan w:val="2"/>
          </w:tcPr>
          <w:p>
            <w:pPr>
              <w:spacing w:after="0"/>
              <w:rPr>
                <w:sz w:val="18"/>
                <w:szCs w:val="18"/>
                <w:color w:val="auto"/>
              </w:rPr>
            </w:pPr>
          </w:p>
        </w:tc>
      </w:tr>
      <w:tr>
        <w:trPr>
          <w:trHeight w:val="39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Exhibit 99.2</w:t>
            </w:r>
          </w:p>
        </w:tc>
        <w:tc>
          <w:tcPr>
            <w:tcW w:w="1100" w:type="dxa"/>
            <w:vAlign w:val="bottom"/>
          </w:tcPr>
          <w:p>
            <w:pPr>
              <w:spacing w:after="0"/>
              <w:rPr>
                <w:sz w:val="24"/>
                <w:szCs w:val="24"/>
                <w:color w:val="auto"/>
              </w:rPr>
            </w:pPr>
          </w:p>
        </w:tc>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for the three and six months ended</w:t>
            </w:r>
          </w:p>
        </w:tc>
      </w:tr>
      <w:tr>
        <w:trPr>
          <w:trHeight w:val="209"/>
        </w:trPr>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8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June 30, 2024 and 2023.</w:t>
            </w:r>
          </w:p>
        </w:tc>
        <w:tc>
          <w:tcPr>
            <w:tcW w:w="16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1140"/>
          </w:cols>
          <w:pgMar w:left="340" w:top="1440" w:right="41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86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49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0"/>
        </w:trPr>
        <w:tc>
          <w:tcPr>
            <w:tcW w:w="32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260" w:type="dxa"/>
            <w:vAlign w:val="bottom"/>
          </w:tcPr>
          <w:p>
            <w:pPr>
              <w:spacing w:after="0"/>
              <w:rPr>
                <w:sz w:val="20"/>
                <w:szCs w:val="20"/>
                <w:color w:val="auto"/>
              </w:rPr>
            </w:pP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260" w:type="dxa"/>
            <w:vAlign w:val="bottom"/>
          </w:tcPr>
          <w:p>
            <w:pPr>
              <w:spacing w:after="0"/>
              <w:rPr>
                <w:sz w:val="24"/>
                <w:szCs w:val="24"/>
                <w:color w:val="auto"/>
              </w:rPr>
            </w:pP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920" w:type="dxa"/>
            <w:vAlign w:val="bottom"/>
            <w:gridSpan w:val="6"/>
          </w:tcPr>
          <w:p>
            <w:pPr>
              <w:ind w:left="3680"/>
              <w:spacing w:after="0"/>
              <w:rPr>
                <w:sz w:val="20"/>
                <w:szCs w:val="20"/>
                <w:color w:val="auto"/>
              </w:rPr>
            </w:pPr>
            <w:r>
              <w:rPr>
                <w:rFonts w:ascii="Arial" w:cs="Arial" w:eastAsia="Arial" w:hAnsi="Arial"/>
                <w:sz w:val="18"/>
                <w:szCs w:val="18"/>
                <w:color w:val="auto"/>
              </w:rPr>
              <w:t>Unaudited Financial Statements</w:t>
            </w:r>
          </w:p>
        </w:tc>
        <w:tc>
          <w:tcPr>
            <w:tcW w:w="1300" w:type="dxa"/>
            <w:vAlign w:val="bottom"/>
            <w:gridSpan w:val="5"/>
          </w:tcPr>
          <w:p>
            <w:pPr>
              <w:ind w:left="440"/>
              <w:spacing w:after="0"/>
              <w:rPr>
                <w:sz w:val="20"/>
                <w:szCs w:val="20"/>
                <w:color w:val="auto"/>
              </w:rPr>
            </w:pPr>
            <w:r>
              <w:rPr>
                <w:rFonts w:ascii="Arial" w:cs="Arial" w:eastAsia="Arial" w:hAnsi="Arial"/>
                <w:sz w:val="18"/>
                <w:szCs w:val="18"/>
                <w:b w:val="1"/>
                <w:bCs w:val="1"/>
                <w:color w:val="auto"/>
              </w:rPr>
              <w:t>Page</w:t>
            </w:r>
          </w:p>
        </w:tc>
      </w:tr>
      <w:tr>
        <w:trPr>
          <w:trHeight w:val="29"/>
        </w:trPr>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53"/>
        </w:trPr>
        <w:tc>
          <w:tcPr>
            <w:tcW w:w="9920" w:type="dxa"/>
            <w:vAlign w:val="bottom"/>
            <w:gridSpan w:val="6"/>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4"/>
                <w:szCs w:val="24"/>
                <w:color w:val="auto"/>
              </w:rPr>
            </w:pPr>
          </w:p>
        </w:tc>
      </w:tr>
      <w:tr>
        <w:trPr>
          <w:trHeight w:val="27"/>
        </w:trPr>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3</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9920" w:type="dxa"/>
            <w:vAlign w:val="bottom"/>
            <w:gridSpan w:val="6"/>
          </w:tcPr>
          <w:p>
            <w:pPr>
              <w:spacing w:after="0"/>
              <w:rPr>
                <w:sz w:val="20"/>
                <w:szCs w:val="20"/>
                <w:color w:val="auto"/>
              </w:rPr>
            </w:pPr>
            <w:r>
              <w:rPr>
                <w:rFonts w:ascii="Arial" w:cs="Arial" w:eastAsia="Arial" w:hAnsi="Arial"/>
                <w:sz w:val="18"/>
                <w:szCs w:val="18"/>
                <w:color w:val="0000FF"/>
              </w:rPr>
              <w:t>Interim Condensed Consolidated Statements of Comprehensive Income (Loss)</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4</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5240" w:type="dxa"/>
            <w:vAlign w:val="bottom"/>
            <w:gridSpan w:val="4"/>
          </w:tcPr>
          <w:p>
            <w:pPr>
              <w:spacing w:after="0"/>
              <w:rPr>
                <w:sz w:val="20"/>
                <w:szCs w:val="20"/>
                <w:color w:val="auto"/>
              </w:rPr>
            </w:pPr>
            <w:r>
              <w:rPr>
                <w:rFonts w:ascii="Arial" w:cs="Arial" w:eastAsia="Arial" w:hAnsi="Arial"/>
                <w:sz w:val="18"/>
                <w:szCs w:val="18"/>
                <w:color w:val="0000FF"/>
                <w:w w:val="98"/>
              </w:rPr>
              <w:t>Interim Condensed Consolidated Statements of Changes in Equity</w:t>
            </w:r>
          </w:p>
        </w:tc>
        <w:tc>
          <w:tcPr>
            <w:tcW w:w="10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460" w:type="dxa"/>
            <w:vAlign w:val="bottom"/>
            <w:gridSpan w:val="2"/>
          </w:tcPr>
          <w:p>
            <w:pPr>
              <w:spacing w:after="0"/>
              <w:rPr>
                <w:sz w:val="22"/>
                <w:szCs w:val="22"/>
                <w:color w:val="auto"/>
              </w:rPr>
            </w:pPr>
          </w:p>
        </w:tc>
        <w:tc>
          <w:tcPr>
            <w:tcW w:w="468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460" w:type="dxa"/>
            <w:vAlign w:val="bottom"/>
          </w:tcPr>
          <w:p>
            <w:pPr>
              <w:spacing w:after="0"/>
              <w:rPr>
                <w:sz w:val="22"/>
                <w:szCs w:val="22"/>
                <w:color w:val="auto"/>
              </w:rPr>
            </w:pPr>
          </w:p>
        </w:tc>
      </w:tr>
      <w:tr>
        <w:trPr>
          <w:trHeight w:val="20"/>
        </w:trPr>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4840" w:type="dxa"/>
            <w:vAlign w:val="bottom"/>
            <w:gridSpan w:val="3"/>
          </w:tcPr>
          <w:p>
            <w:pPr>
              <w:spacing w:after="0"/>
              <w:rPr>
                <w:sz w:val="22"/>
                <w:szCs w:val="22"/>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19</w:t>
            </w: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20"/>
          </w:cols>
          <w:pgMar w:left="340" w:top="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line="228" w:lineRule="auto"/>
        <w:rPr>
          <w:sz w:val="20"/>
          <w:szCs w:val="20"/>
          <w:color w:val="auto"/>
        </w:rPr>
      </w:pPr>
      <w:r>
        <w:rPr>
          <w:rFonts w:ascii="Arial" w:cs="Arial" w:eastAsia="Arial" w:hAnsi="Arial"/>
          <w:sz w:val="16"/>
          <w:szCs w:val="16"/>
          <w:b w:val="1"/>
          <w:bCs w:val="1"/>
          <w:color w:val="auto"/>
        </w:rPr>
        <w:t>As of June 30, 2024 and December 31,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98" w:right="339" w:bottom="7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millions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62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prepayments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current 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1979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280" w:type="dxa"/>
            <w:vAlign w:val="bottom"/>
          </w:tcPr>
          <w:p>
            <w:pPr>
              <w:spacing w:after="0"/>
              <w:rPr>
                <w:sz w:val="19"/>
                <w:szCs w:val="19"/>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80"/>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2,184</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257"/>
        </w:trPr>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1,033</w:t>
            </w:r>
          </w:p>
        </w:tc>
      </w:tr>
      <w:tr>
        <w:trPr>
          <w:trHeight w:val="257"/>
        </w:trPr>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1,420</w:t>
            </w:r>
          </w:p>
        </w:tc>
      </w:tr>
      <w:tr>
        <w:trPr>
          <w:trHeight w:val="256"/>
        </w:trPr>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9"/>
        </w:trPr>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9"/>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6,280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6,327</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ectPr>
          <w:pgSz w:w="11900" w:h="16838" w:orient="portrait"/>
          <w:cols w:equalWidth="0" w:num="2">
            <w:col w:w="7400" w:space="720"/>
            <w:col w:w="3120"/>
          </w:cols>
          <w:pgMar w:left="320" w:top="98" w:right="339" w:bottom="774"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9,829</w:t>
            </w: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5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11,647</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11,717</w:t>
            </w: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17,927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18,044</w:t>
            </w:r>
          </w:p>
        </w:tc>
      </w:tr>
      <w:tr>
        <w:trPr>
          <w:trHeight w:val="256"/>
        </w:trPr>
        <w:tc>
          <w:tcPr>
            <w:tcW w:w="8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2,349</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lease obligations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long-term debt</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25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2,834</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3,099</w:t>
            </w:r>
          </w:p>
        </w:tc>
      </w:tr>
      <w:tr>
        <w:trPr>
          <w:trHeight w:val="19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Non-current portion of long-term debt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1,801</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3,794</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3,794</w:t>
            </w:r>
          </w:p>
        </w:tc>
      </w:tr>
      <w:tr>
        <w:trPr>
          <w:trHeight w:val="25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6,628</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6,893</w:t>
            </w:r>
          </w:p>
        </w:tc>
      </w:tr>
      <w:tr>
        <w:trPr>
          <w:trHeight w:val="203"/>
        </w:trPr>
        <w:tc>
          <w:tcPr>
            <w:tcW w:w="8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Ordinary shares, $0.02 par value, 551,777,466 and 553,548,190 shares issued and outstanding as of June 30,</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2024 and December 31, 2023</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23,914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24,027</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(13,001)</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29"/>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11,252</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11,104</w:t>
            </w:r>
          </w:p>
        </w:tc>
      </w:tr>
      <w:tr>
        <w:trPr>
          <w:trHeight w:val="21"/>
        </w:trPr>
        <w:tc>
          <w:tcPr>
            <w:tcW w:w="8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11,299</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11,151</w:t>
            </w: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17,927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8" w:right="339" w:bottom="774"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8" w:right="339" w:bottom="774"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ind w:left="3600" w:right="2120" w:hanging="807"/>
        <w:spacing w:after="0" w:line="256" w:lineRule="auto"/>
        <w:rPr>
          <w:sz w:val="20"/>
          <w:szCs w:val="20"/>
          <w:color w:val="auto"/>
        </w:rPr>
      </w:pPr>
      <w:r>
        <w:rPr>
          <w:rFonts w:ascii="Arial" w:cs="Arial" w:eastAsia="Arial" w:hAnsi="Arial"/>
          <w:sz w:val="16"/>
          <w:szCs w:val="16"/>
          <w:b w:val="1"/>
          <w:bCs w:val="1"/>
          <w:color w:val="auto"/>
        </w:rPr>
        <w:t>INTERIM CONDENSED CONSOLIDATED STATEMENTS OF OPERATIONS FOR THE Three and Six Months Ended June 30, 2024 and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7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244"/>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0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21"/>
                <w:szCs w:val="21"/>
                <w:color w:val="auto"/>
              </w:rPr>
            </w:pPr>
          </w:p>
        </w:tc>
      </w:tr>
      <w:tr>
        <w:trPr>
          <w:trHeight w:val="229"/>
        </w:trPr>
        <w:tc>
          <w:tcPr>
            <w:tcW w:w="4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
        </w:trPr>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3,686</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2,639</w:t>
            </w:r>
          </w:p>
        </w:tc>
      </w:tr>
      <w:tr>
        <w:trPr>
          <w:trHeight w:val="29"/>
        </w:trPr>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1,047</w:t>
            </w:r>
          </w:p>
        </w:tc>
      </w:tr>
      <w:tr>
        <w:trPr>
          <w:trHeight w:val="221"/>
        </w:trPr>
        <w:tc>
          <w:tcPr>
            <w:tcW w:w="454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9"/>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 and other</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35"/>
        </w:trPr>
        <w:tc>
          <w:tcPr>
            <w:tcW w:w="454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w:t>
            </w:r>
          </w:p>
        </w:tc>
      </w:tr>
      <w:tr>
        <w:trPr>
          <w:trHeight w:val="229"/>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275</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565</w:t>
            </w:r>
          </w:p>
        </w:tc>
      </w:tr>
      <w:tr>
        <w:trPr>
          <w:trHeight w:val="21"/>
        </w:trPr>
        <w:tc>
          <w:tcPr>
            <w:tcW w:w="4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542</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9"/>
        </w:trPr>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w:t>
            </w:r>
          </w:p>
        </w:tc>
      </w:tr>
      <w:tr>
        <w:trPr>
          <w:trHeight w:val="207"/>
        </w:trPr>
        <w:tc>
          <w:tcPr>
            <w:tcW w:w="45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9"/>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0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w:t>
            </w:r>
          </w:p>
        </w:tc>
      </w:tr>
      <w:tr>
        <w:trPr>
          <w:trHeight w:val="19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of the Company:</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
        </w:trPr>
        <w:tc>
          <w:tcPr>
            <w:tcW w:w="4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Diluted</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9"/>
                <w:szCs w:val="19"/>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0.89</w:t>
            </w:r>
          </w:p>
        </w:tc>
      </w:tr>
      <w:tr>
        <w:trPr>
          <w:trHeight w:val="29"/>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Basic</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9"/>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9"/>
        </w:trPr>
        <w:tc>
          <w:tcPr>
            <w:tcW w:w="4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ind w:left="340" w:right="1620"/>
        <w:spacing w:after="0" w:line="305" w:lineRule="auto"/>
        <w:rPr>
          <w:sz w:val="20"/>
          <w:szCs w:val="20"/>
          <w:color w:val="auto"/>
        </w:rPr>
      </w:pPr>
      <w:r>
        <w:rPr>
          <w:rFonts w:ascii="Arial" w:cs="Arial" w:eastAsia="Arial" w:hAnsi="Arial"/>
          <w:sz w:val="16"/>
          <w:szCs w:val="16"/>
          <w:b w:val="1"/>
          <w:bCs w:val="1"/>
          <w:color w:val="auto"/>
        </w:rPr>
        <w:t>INTERIM CONDENSED CONSOLIDATED STATEMENTS OF COMPREHENSIVE INCOME (LOSS) FOR THE Three and Six Months Ended June 30, 2024 and 2023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5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44"/>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1"/>
                <w:szCs w:val="21"/>
                <w:color w:val="auto"/>
              </w:rPr>
            </w:pPr>
          </w:p>
        </w:tc>
      </w:tr>
      <w:tr>
        <w:trPr>
          <w:trHeight w:val="229"/>
        </w:trPr>
        <w:tc>
          <w:tcPr>
            <w:tcW w:w="52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1"/>
        </w:trPr>
        <w:tc>
          <w:tcPr>
            <w:tcW w:w="52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5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9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5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w:t>
            </w:r>
          </w:p>
        </w:tc>
      </w:tr>
      <w:tr>
        <w:trPr>
          <w:trHeight w:val="250"/>
        </w:trPr>
        <w:tc>
          <w:tcPr>
            <w:tcW w:w="524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profit:</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
        </w:trPr>
        <w:tc>
          <w:tcPr>
            <w:tcW w:w="5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foreign exchange fluctuation reserve of joint ventures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
        </w:trPr>
        <w:tc>
          <w:tcPr>
            <w:tcW w:w="5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on investments measured at fair value through other</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loss</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r>
      <w:tr>
        <w:trPr>
          <w:trHeight w:val="21"/>
        </w:trPr>
        <w:tc>
          <w:tcPr>
            <w:tcW w:w="52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5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5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loss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r>
      <w:tr>
        <w:trPr>
          <w:trHeight w:val="250"/>
        </w:trPr>
        <w:tc>
          <w:tcPr>
            <w:tcW w:w="524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477</w:t>
            </w:r>
          </w:p>
        </w:tc>
      </w:tr>
      <w:tr>
        <w:trPr>
          <w:trHeight w:val="250"/>
        </w:trPr>
        <w:tc>
          <w:tcPr>
            <w:tcW w:w="524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9"/>
        </w:trPr>
        <w:tc>
          <w:tcPr>
            <w:tcW w:w="5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261</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477</w:t>
            </w:r>
          </w:p>
        </w:tc>
      </w:tr>
      <w:tr>
        <w:trPr>
          <w:trHeight w:val="21"/>
        </w:trPr>
        <w:tc>
          <w:tcPr>
            <w:tcW w:w="5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CHANGES IN EQUITY FOR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and Six Months Ended June 30, 2024 and 2023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8"/>
        </w:trPr>
        <w:tc>
          <w:tcPr>
            <w:tcW w:w="3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8"/>
              </w:rPr>
              <w:t>Currency</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3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6"/>
              </w:rPr>
              <w:t>Translation</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4"/>
              </w:rPr>
              <w:t>and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8"/>
        </w:trPr>
        <w:tc>
          <w:tcPr>
            <w:tcW w:w="3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Hedging</w:t>
            </w:r>
          </w:p>
        </w:tc>
        <w:tc>
          <w:tcPr>
            <w:tcW w:w="10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7"/>
              </w:rPr>
              <w:t>Investments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Controlling</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8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70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Shares</w:t>
            </w:r>
          </w:p>
        </w:tc>
        <w:tc>
          <w:tcPr>
            <w:tcW w:w="14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Reserve</w:t>
            </w:r>
          </w:p>
        </w:tc>
        <w:tc>
          <w:tcPr>
            <w:tcW w:w="120" w:type="dxa"/>
            <w:vAlign w:val="bottom"/>
          </w:tcPr>
          <w:p>
            <w:pPr>
              <w:spacing w:after="0"/>
              <w:rPr>
                <w:sz w:val="16"/>
                <w:szCs w:val="16"/>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Reserves</w:t>
            </w:r>
          </w:p>
        </w:tc>
        <w:tc>
          <w:tcPr>
            <w:tcW w:w="16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Interest</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Total Equity</w:t>
            </w:r>
          </w:p>
        </w:tc>
      </w:tr>
      <w:tr>
        <w:trPr>
          <w:trHeight w:val="22"/>
        </w:trPr>
        <w:tc>
          <w:tcPr>
            <w:tcW w:w="33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4"/>
        </w:trPr>
        <w:tc>
          <w:tcPr>
            <w:tcW w:w="33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5"/>
        </w:trPr>
        <w:tc>
          <w:tcPr>
            <w:tcW w:w="33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83"/>
        </w:trPr>
        <w:tc>
          <w:tcPr>
            <w:tcW w:w="3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23,831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(14,021)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9,913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9,960</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Proceeds from issuance of equity instruments</w:t>
            </w: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254</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74"/>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March 31, 2023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552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23,916</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(13,767)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10,260</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10,307</w:t>
            </w:r>
          </w:p>
        </w:tc>
      </w:tr>
      <w:tr>
        <w:trPr>
          <w:trHeight w:val="35"/>
        </w:trPr>
        <w:tc>
          <w:tcPr>
            <w:tcW w:w="33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9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issuance of equity instruments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237</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41"/>
        </w:trPr>
        <w:tc>
          <w:tcPr>
            <w:tcW w:w="33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1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23,968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(13,527)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10,574</w:t>
            </w:r>
          </w:p>
        </w:tc>
      </w:tr>
      <w:tr>
        <w:trPr>
          <w:trHeight w:val="183"/>
        </w:trPr>
        <w:tc>
          <w:tcPr>
            <w:tcW w:w="33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24,027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(13,001)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11,151</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Proceeds from issuance of equity instruments</w:t>
            </w: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41"/>
        </w:trPr>
        <w:tc>
          <w:tcPr>
            <w:tcW w:w="33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1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(12,868)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11,251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11,297</w:t>
            </w:r>
          </w:p>
        </w:tc>
      </w:tr>
      <w:tr>
        <w:trPr>
          <w:trHeight w:val="168"/>
        </w:trPr>
        <w:tc>
          <w:tcPr>
            <w:tcW w:w="3380" w:type="dxa"/>
            <w:vAlign w:val="bottom"/>
          </w:tcPr>
          <w:p>
            <w:pPr>
              <w:ind w:left="20"/>
              <w:spacing w:after="0"/>
              <w:rPr>
                <w:sz w:val="20"/>
                <w:szCs w:val="20"/>
                <w:color w:val="auto"/>
              </w:rPr>
            </w:pPr>
            <w:r>
              <w:rPr>
                <w:rFonts w:ascii="Arial" w:cs="Arial" w:eastAsia="Arial" w:hAnsi="Arial"/>
                <w:sz w:val="13"/>
                <w:szCs w:val="13"/>
                <w:color w:val="auto"/>
              </w:rPr>
              <w:t>Proceeds from issuance of equity instruments and other</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of treasury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1"/>
        </w:trPr>
        <w:tc>
          <w:tcPr>
            <w:tcW w:w="33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9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23,914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11,252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11,299</w:t>
            </w:r>
          </w:p>
        </w:tc>
      </w:tr>
      <w:tr>
        <w:trPr>
          <w:trHeight w:val="20"/>
        </w:trPr>
        <w:tc>
          <w:tcPr>
            <w:tcW w:w="3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9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 FOR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2024 and 2023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6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Six Months Ended</w:t>
            </w:r>
          </w:p>
        </w:tc>
        <w:tc>
          <w:tcPr>
            <w:tcW w:w="580" w:type="dxa"/>
            <w:vAlign w:val="bottom"/>
          </w:tcPr>
          <w:p>
            <w:pPr>
              <w:spacing w:after="0"/>
              <w:rPr>
                <w:sz w:val="17"/>
                <w:szCs w:val="17"/>
                <w:color w:val="auto"/>
              </w:rPr>
            </w:pPr>
          </w:p>
        </w:tc>
      </w:tr>
      <w:tr>
        <w:trPr>
          <w:trHeight w:val="244"/>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580" w:type="dxa"/>
            <w:vAlign w:val="bottom"/>
            <w:tcBorders>
              <w:bottom w:val="single" w:sz="8" w:color="auto"/>
            </w:tcBorders>
          </w:tcPr>
          <w:p>
            <w:pPr>
              <w:spacing w:after="0"/>
              <w:rPr>
                <w:sz w:val="21"/>
                <w:szCs w:val="21"/>
                <w:color w:val="auto"/>
              </w:rPr>
            </w:pPr>
          </w:p>
        </w:tc>
      </w:tr>
      <w:tr>
        <w:trPr>
          <w:trHeight w:val="229"/>
        </w:trPr>
        <w:tc>
          <w:tcPr>
            <w:tcW w:w="79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9"/>
                <w:szCs w:val="19"/>
                <w:color w:val="auto"/>
              </w:rPr>
            </w:pPr>
          </w:p>
        </w:tc>
      </w:tr>
      <w:tr>
        <w:trPr>
          <w:trHeight w:val="21"/>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Finance expense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Gain on disposal of property, plant and equipment and other</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assets and 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Receivables, prepayments, other assets and other non-current assets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Current and non-current trade and other payables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Interest received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Income taxes (paid) refunded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1,025</w:t>
            </w:r>
          </w:p>
        </w:tc>
      </w:tr>
      <w:tr>
        <w:trPr>
          <w:trHeight w:val="250"/>
        </w:trPr>
        <w:tc>
          <w:tcPr>
            <w:tcW w:w="79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net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(1,195)</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sale of a business</w:t>
            </w:r>
          </w:p>
        </w:tc>
        <w:tc>
          <w:tcPr>
            <w:tcW w:w="10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(770)</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(1,474)</w:t>
            </w:r>
          </w:p>
        </w:tc>
      </w:tr>
      <w:tr>
        <w:trPr>
          <w:trHeight w:val="21"/>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
        </w:trPr>
        <w:tc>
          <w:tcPr>
            <w:tcW w:w="7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borrowings</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2,352</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8" w:right="339" w:bottom="1440" w:gutter="0" w:footer="0" w:header="0"/>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 and power management units.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Summary of Material Accounting Policies and Critical Judgements, Estimates and Assumptions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interim condensed consolidated financial statements ('interim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IAS 34</w:t>
      </w:r>
      <w:r>
        <w:rPr>
          <w:rFonts w:ascii="Arial" w:cs="Arial" w:eastAsia="Arial" w:hAnsi="Arial"/>
          <w:sz w:val="16"/>
          <w:szCs w:val="16"/>
          <w:i w:val="1"/>
          <w:iCs w:val="1"/>
          <w:color w:val="auto"/>
        </w:rPr>
        <w:t>, Interim Financial Reporting</w:t>
      </w:r>
      <w:r>
        <w:rPr>
          <w:rFonts w:ascii="Arial" w:cs="Arial" w:eastAsia="Arial" w:hAnsi="Arial"/>
          <w:sz w:val="16"/>
          <w:szCs w:val="16"/>
          <w:color w:val="auto"/>
        </w:rPr>
        <w:t>, as issued by the International Accounting Standards Board ("IASB"). Certain information and footnote disclosures normally included in the annual audited consolidated financial statements prepared in accordance with International Financial Reporting Standards (“IFRS”), as issued by the IASB, have been omitted or condensed. These interim financial statements should be read in conjunction with GlobalFoundries' Annual Report on Form 20-F for the year ended December 31, 2023. The interim statements have been prepared on a basis consistent with the accounting policies disclosed in the December 31, 2023 audited consolidated financial statements.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interim financial statements are unaudited and reflect adjustments (consisting of normal recurring adjustments) that are, in the opinion of management, necessary to provide a fair statement of results for the interim periods in accordance with IAS 34 as issued by the IASB.</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interim financial statements were authorized by the Audit, Risk and Compliance Committee of GlobalFoundries’ Board of Directors on August 4, 2024, to be issued and subsequent events have been evaluated for their potential effect on the interim financial statements through August 6, 2024.</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Summary of Material Accounting Policies and Critical Judgments, Estimates and Assumptions — </w:t>
      </w:r>
      <w:r>
        <w:rPr>
          <w:rFonts w:ascii="Arial" w:cs="Arial" w:eastAsia="Arial" w:hAnsi="Arial"/>
          <w:sz w:val="16"/>
          <w:szCs w:val="16"/>
          <w:color w:val="auto"/>
        </w:rPr>
        <w:t>The summary of material accounting policies and</w:t>
      </w:r>
      <w:r>
        <w:rPr>
          <w:rFonts w:ascii="Arial" w:cs="Arial" w:eastAsia="Arial" w:hAnsi="Arial"/>
          <w:sz w:val="16"/>
          <w:szCs w:val="16"/>
          <w:b w:val="1"/>
          <w:bCs w:val="1"/>
          <w:color w:val="auto"/>
        </w:rPr>
        <w:t xml:space="preserve"> </w:t>
      </w:r>
      <w:r>
        <w:rPr>
          <w:rFonts w:ascii="Arial" w:cs="Arial" w:eastAsia="Arial" w:hAnsi="Arial"/>
          <w:sz w:val="16"/>
          <w:szCs w:val="16"/>
          <w:color w:val="auto"/>
        </w:rPr>
        <w:t>critical judgments, estimates and assumptions adopted in the preparation of the interim financial statements are consistent with those followed in the preparation of the Company's annual audited consolidated financial statements contained in our Annual Report on Form 20-F for the year ended December 31, 2023.</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Change in Presentation — </w:t>
      </w:r>
      <w:r>
        <w:rPr>
          <w:rFonts w:ascii="Arial" w:cs="Arial" w:eastAsia="Arial" w:hAnsi="Arial"/>
          <w:sz w:val="16"/>
          <w:szCs w:val="16"/>
          <w:color w:val="auto"/>
        </w:rPr>
        <w:t>Certain prior period balances in the condensed consolidated statement of financial position and accompanying notes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reclassified to conform to current period presentation.This change is not a change in accounting policy. Such reclassifications had no impact on net income, cash flows or shareholders' equity previously reported.</w:t>
      </w:r>
    </w:p>
    <w:p>
      <w:pPr>
        <w:spacing w:after="0" w:line="9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New and Amended Accounting Pronouncements Adopted — </w:t>
      </w:r>
      <w:r>
        <w:rPr>
          <w:rFonts w:ascii="Arial" w:cs="Arial" w:eastAsia="Arial" w:hAnsi="Arial"/>
          <w:sz w:val="16"/>
          <w:szCs w:val="16"/>
          <w:color w:val="auto"/>
        </w:rPr>
        <w:t>On January 1, 2024, the Company adopted the following amendments, which did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a material impact on the interim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Classification of Liabilities as Current or Non-current (Amendments to IAS 1) — </w:t>
      </w:r>
      <w:r>
        <w:rPr>
          <w:rFonts w:ascii="Arial" w:cs="Arial" w:eastAsia="Arial" w:hAnsi="Arial"/>
          <w:sz w:val="16"/>
          <w:szCs w:val="16"/>
          <w:color w:val="auto"/>
        </w:rPr>
        <w:t>In October 2022, the IASB issued amendments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Financial Statements (“IAS 1”)</w:t>
      </w:r>
      <w:r>
        <w:rPr>
          <w:rFonts w:ascii="Arial" w:cs="Arial" w:eastAsia="Arial" w:hAnsi="Arial"/>
          <w:sz w:val="16"/>
          <w:szCs w:val="16"/>
          <w:color w:val="auto"/>
        </w:rPr>
        <w:t>. The amendments clarify that the classification of liabilities as current or non-current is based on rights that are in existence at</w:t>
      </w:r>
      <w:r>
        <w:rPr>
          <w:rFonts w:ascii="Arial" w:cs="Arial" w:eastAsia="Arial" w:hAnsi="Arial"/>
          <w:sz w:val="16"/>
          <w:szCs w:val="16"/>
          <w:i w:val="1"/>
          <w:iCs w:val="1"/>
          <w:color w:val="auto"/>
        </w:rPr>
        <w:t xml:space="preserve"> </w:t>
      </w:r>
      <w:r>
        <w:rPr>
          <w:rFonts w:ascii="Arial" w:cs="Arial" w:eastAsia="Arial" w:hAnsi="Arial"/>
          <w:sz w:val="16"/>
          <w:szCs w:val="16"/>
          <w:color w:val="auto"/>
        </w:rPr>
        <w:t>the end of the reporting period. Classification is unaffected by the entity’s expectation or events after the reporting date. Covenants of loan arrangements will affect the classification of a liability as current or non-current if the entity must comply with a covenant either before or at the reporting date, even if the covenant is only tested for compliance after the reporting date. The amendments also require disclosures for liabilities subject to future covenants that an entity must comply with after the reporting period, help users to understand the risk that those liabilities could become repayable within 12 months after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Lease Liability in a Sales and Leaseback (Amendments to IFRS 16) — </w:t>
      </w:r>
      <w:r>
        <w:rPr>
          <w:rFonts w:ascii="Arial" w:cs="Arial" w:eastAsia="Arial" w:hAnsi="Arial"/>
          <w:sz w:val="16"/>
          <w:szCs w:val="16"/>
          <w:color w:val="auto"/>
        </w:rPr>
        <w:t>In September 2022, the IASB issued amendments to IFRS 16</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b w:val="1"/>
          <w:bCs w:val="1"/>
          <w:color w:val="auto"/>
        </w:rPr>
        <w:t xml:space="preserve"> </w:t>
      </w:r>
      <w:r>
        <w:rPr>
          <w:rFonts w:ascii="Arial" w:cs="Arial" w:eastAsia="Arial" w:hAnsi="Arial"/>
          <w:sz w:val="16"/>
          <w:szCs w:val="16"/>
          <w:color w:val="auto"/>
        </w:rPr>
        <w:t>to specify</w:t>
      </w:r>
      <w:r>
        <w:rPr>
          <w:rFonts w:ascii="Arial" w:cs="Arial" w:eastAsia="Arial" w:hAnsi="Arial"/>
          <w:sz w:val="16"/>
          <w:szCs w:val="16"/>
          <w:b w:val="1"/>
          <w:bCs w:val="1"/>
          <w:color w:val="auto"/>
        </w:rPr>
        <w:t xml:space="preserve"> </w:t>
      </w:r>
      <w:r>
        <w:rPr>
          <w:rFonts w:ascii="Arial" w:cs="Arial" w:eastAsia="Arial" w:hAnsi="Arial"/>
          <w:sz w:val="16"/>
          <w:szCs w:val="16"/>
          <w:color w:val="auto"/>
        </w:rPr>
        <w:t>the requirements that the seller-lessee must meet when measuring the lease liability arising in a sale and leaseback transaction, to ensure that the seller-lessee does not recognize any amount of profit or loss that relates to the right of use that it retains.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Supplier Finance Arrangements (Amendments to IAS 7 and IFRS 7) — </w:t>
      </w:r>
      <w:r>
        <w:rPr>
          <w:rFonts w:ascii="Arial" w:cs="Arial" w:eastAsia="Arial" w:hAnsi="Arial"/>
          <w:sz w:val="16"/>
          <w:szCs w:val="16"/>
          <w:color w:val="auto"/>
        </w:rPr>
        <w:t>In May 2023, the IASB issued amendments to IAS 7</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Statement of Cash Flows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and IFRS 7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xml:space="preserve"> to clarify the characteristics of supplier financing arrangements and require additional disclosure of such arrangements. The disclosure requirements in the amendments are intended to help users of financial statements understand the effects of financing arrangements on an entity’s liabilities, cash flows and liquidity risk exposure. The transition rules clarify that an entity is not required to provide disclosures in any interim periods in the year of initial application of the amendments.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but are not yet effective:</w:t>
      </w:r>
    </w:p>
    <w:p>
      <w:pPr>
        <w:spacing w:after="0" w:line="2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 xml:space="preserve">Classification and Measurement of Financial Instruments </w:t>
      </w:r>
      <w:r>
        <w:rPr>
          <w:rFonts w:ascii="Arial" w:cs="Arial" w:eastAsia="Arial" w:hAnsi="Arial"/>
          <w:sz w:val="16"/>
          <w:szCs w:val="16"/>
          <w:color w:val="auto"/>
        </w:rPr>
        <w:t>(</w:t>
      </w:r>
      <w:r>
        <w:rPr>
          <w:rFonts w:ascii="Arial" w:cs="Arial" w:eastAsia="Arial" w:hAnsi="Arial"/>
          <w:sz w:val="16"/>
          <w:szCs w:val="16"/>
          <w:b w:val="1"/>
          <w:bCs w:val="1"/>
          <w:color w:val="auto"/>
        </w:rPr>
        <w:t xml:space="preserve">Amendments to IFRS 9 and IFRS 7) — </w:t>
      </w:r>
      <w:r>
        <w:rPr>
          <w:rFonts w:ascii="Arial" w:cs="Arial" w:eastAsia="Arial" w:hAnsi="Arial"/>
          <w:sz w:val="16"/>
          <w:szCs w:val="16"/>
          <w:color w:val="auto"/>
        </w:rPr>
        <w:t>In May, 2024, the IASB issued amendments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classification and measurement requirements in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and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These amendments clarify the requirements for the timing of recognition and derecognition of certain financial assets and liabilities, add further guidance for assessing whether a financial asset meets the solely payments of principal and interest criterion and add new disclosures for certain instruments with contractual terms that can change cash flows. The effective date for adoption of these amendments is annual periods beginning on or after January 1, 2026.</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color w:val="auto"/>
        </w:rPr>
        <w:t>—</w:t>
      </w:r>
      <w:r>
        <w:rPr>
          <w:rFonts w:ascii="Arial" w:cs="Arial" w:eastAsia="Arial" w:hAnsi="Arial"/>
          <w:sz w:val="16"/>
          <w:szCs w:val="16"/>
          <w:b w:val="1"/>
          <w:bCs w:val="1"/>
          <w:color w:val="auto"/>
        </w:rPr>
        <w:t xml:space="preserve"> Presentation and Disclosure in Financial Statements — </w:t>
      </w:r>
      <w:r>
        <w:rPr>
          <w:rFonts w:ascii="Arial" w:cs="Arial" w:eastAsia="Arial" w:hAnsi="Arial"/>
          <w:sz w:val="16"/>
          <w:szCs w:val="16"/>
          <w:color w:val="auto"/>
        </w:rPr>
        <w:t>In April 2024, the IASB issued its new standard IFRS 18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and</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Disclosures in Financial Statements </w:t>
      </w:r>
      <w:r>
        <w:rPr>
          <w:rFonts w:ascii="Arial" w:cs="Arial" w:eastAsia="Arial" w:hAnsi="Arial"/>
          <w:sz w:val="16"/>
          <w:szCs w:val="16"/>
          <w:color w:val="auto"/>
        </w:rPr>
        <w:t>that will replace IAS 1 —</w:t>
      </w:r>
      <w:r>
        <w:rPr>
          <w:rFonts w:ascii="Arial" w:cs="Arial" w:eastAsia="Arial" w:hAnsi="Arial"/>
          <w:sz w:val="16"/>
          <w:szCs w:val="16"/>
          <w:i w:val="1"/>
          <w:iCs w:val="1"/>
          <w:color w:val="auto"/>
        </w:rPr>
        <w:t xml:space="preserve"> Presentation of Financial Statements</w:t>
      </w:r>
      <w:r>
        <w:rPr>
          <w:rFonts w:ascii="Arial" w:cs="Arial" w:eastAsia="Arial" w:hAnsi="Arial"/>
          <w:sz w:val="16"/>
          <w:szCs w:val="16"/>
          <w:color w:val="auto"/>
        </w:rPr>
        <w:t>. The key concepts in IFRS 18 relate to the structure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statement of profit or loss, required disclosures in the financial statements for certain management-defined performance measures and enhanced principles on aggregation and disaggregation which apply to the primary financial statements and notes in general. The effective date for adoption of this standard is annual periods beginning on or after January 1, 2027.</w:t>
      </w:r>
    </w:p>
    <w:p>
      <w:pPr>
        <w:spacing w:after="0" w:line="20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the date the accompanying financial statements were authorized for issue, the Company continues to evaluate the impact of the aforementioned standards on its financial position and performance and related applicable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26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presents the Company’s revenue disaggregated based on revenue source, timing of revenue recognition and end markets that we serve, for the three and six month periods ended June 30, 2024 and 2023. The Company believes these categories best depict the nature and timing of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9"/>
                <w:szCs w:val="19"/>
                <w:color w:val="auto"/>
              </w:rPr>
            </w:pPr>
          </w:p>
        </w:tc>
        <w:tc>
          <w:tcPr>
            <w:tcW w:w="296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
        </w:trPr>
        <w:tc>
          <w:tcPr>
            <w:tcW w:w="4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Type of goods and services:</w:t>
            </w:r>
          </w:p>
        </w:tc>
        <w:tc>
          <w:tcPr>
            <w:tcW w:w="3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20"/>
              <w:spacing w:after="0"/>
              <w:rPr>
                <w:sz w:val="20"/>
                <w:szCs w:val="20"/>
                <w:color w:val="auto"/>
              </w:rPr>
            </w:pPr>
            <w:r>
              <w:rPr>
                <w:rFonts w:ascii="Arial" w:cs="Arial" w:eastAsia="Arial" w:hAnsi="Arial"/>
                <w:sz w:val="16"/>
                <w:szCs w:val="16"/>
                <w:color w:val="auto"/>
              </w:rPr>
              <w:t>Wafer revenue</w:t>
            </w:r>
            <w:r>
              <w:rPr>
                <w:rFonts w:ascii="Arial" w:cs="Arial" w:eastAsia="Arial" w:hAnsi="Arial"/>
                <w:sz w:val="21"/>
                <w:szCs w:val="21"/>
                <w:color w:val="auto"/>
                <w:vertAlign w:val="superscript"/>
              </w:rPr>
              <w:t>(1)(2)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w:t>
            </w:r>
            <w:r>
              <w:rPr>
                <w:rFonts w:ascii="Arial" w:cs="Arial" w:eastAsia="Arial" w:hAnsi="Arial"/>
                <w:sz w:val="21"/>
                <w:szCs w:val="21"/>
                <w:color w:val="auto"/>
                <w:vertAlign w:val="superscript"/>
              </w:rPr>
              <w:t>(1)(2)</w:t>
            </w: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1,632</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1,845</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3,181</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3,686</w:t>
            </w:r>
          </w:p>
        </w:tc>
        <w:tc>
          <w:tcPr>
            <w:tcW w:w="0" w:type="dxa"/>
            <w:vAlign w:val="bottom"/>
          </w:tcPr>
          <w:p>
            <w:pPr>
              <w:spacing w:after="0"/>
              <w:rPr>
                <w:sz w:val="1"/>
                <w:szCs w:val="1"/>
                <w:color w:val="auto"/>
              </w:rPr>
            </w:pP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recognized over time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6"/>
                <w:szCs w:val="16"/>
                <w:color w:val="auto"/>
              </w:rPr>
              <w:t>Revenue recognized at a point in time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3,471</w:t>
            </w:r>
          </w:p>
        </w:tc>
        <w:tc>
          <w:tcPr>
            <w:tcW w:w="0" w:type="dxa"/>
            <w:vAlign w:val="bottom"/>
          </w:tcPr>
          <w:p>
            <w:pPr>
              <w:spacing w:after="0"/>
              <w:rPr>
                <w:sz w:val="1"/>
                <w:szCs w:val="1"/>
                <w:color w:val="auto"/>
              </w:rPr>
            </w:pPr>
          </w:p>
        </w:tc>
      </w:tr>
      <w:tr>
        <w:trPr>
          <w:trHeight w:val="29"/>
        </w:trPr>
        <w:tc>
          <w:tcPr>
            <w:tcW w:w="4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3,686</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Markets:</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6"/>
                <w:szCs w:val="16"/>
                <w:color w:val="auto"/>
              </w:rPr>
              <w:t>Home and Industrial IoT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6"/>
                <w:szCs w:val="16"/>
                <w:color w:val="auto"/>
              </w:rPr>
              <w:t>Non wafer revenue and other</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9"/>
        </w:trPr>
        <w:tc>
          <w:tcPr>
            <w:tcW w:w="4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180" w:hanging="172"/>
        <w:spacing w:after="0" w:line="239" w:lineRule="auto"/>
        <w:tabs>
          <w:tab w:leader="none" w:pos="167"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Beginning in 2024, access fees and other have been reclassified from wafer revenue to non wafer revenue. Prior period amounts have been recast to conform to the current presentation.</w:t>
      </w:r>
    </w:p>
    <w:p>
      <w:pPr>
        <w:ind w:left="140" w:hanging="132"/>
        <w:spacing w:after="0" w:line="229" w:lineRule="auto"/>
        <w:tabs>
          <w:tab w:leader="none" w:pos="140" w:val="left"/>
        </w:tabs>
        <w:numPr>
          <w:ilvl w:val="0"/>
          <w:numId w:val="1"/>
        </w:numPr>
        <w:rPr>
          <w:rFonts w:ascii="Arial" w:cs="Arial" w:eastAsia="Arial" w:hAnsi="Arial"/>
          <w:sz w:val="16"/>
          <w:szCs w:val="16"/>
          <w:color w:val="auto"/>
          <w:vertAlign w:val="superscript"/>
        </w:rPr>
      </w:pPr>
      <w:r>
        <w:rPr>
          <w:rFonts w:ascii="Arial" w:cs="Arial" w:eastAsia="Arial" w:hAnsi="Arial"/>
          <w:sz w:val="12"/>
          <w:szCs w:val="12"/>
          <w:color w:val="auto"/>
        </w:rPr>
        <w:t>Beginning in the fourth quarter 2023 shortfall fees have been included in wafer revenue. Prior period amounts have been recast to conform to the current presentation.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For tax reporting purposes, the Company consolidates its entities under GlobalFoundries Inc., a Cayman Islands entity. As a Cayman Islands entity, the Company’s domestic statutory income tax rate is 0.0%. The difference between the Company’s domestic statutory income tax rate and its effective income tax rate reflected in the income tax benefit or income tax expense is </w:t>
      </w:r>
      <w:r>
        <w:rPr>
          <w:rFonts w:ascii="Arial" w:cs="Arial" w:eastAsia="Arial" w:hAnsi="Arial"/>
          <w:sz w:val="16"/>
          <w:szCs w:val="16"/>
          <w:color w:val="212121"/>
        </w:rPr>
        <w:t>primarily due to the effect of the tax rates and permanent differences in the other</w:t>
      </w:r>
      <w:r>
        <w:rPr>
          <w:rFonts w:ascii="Arial" w:cs="Arial" w:eastAsia="Arial" w:hAnsi="Arial"/>
          <w:sz w:val="16"/>
          <w:szCs w:val="16"/>
          <w:color w:val="auto"/>
        </w:rPr>
        <w:t xml:space="preserve"> </w:t>
      </w:r>
      <w:r>
        <w:rPr>
          <w:rFonts w:ascii="Arial" w:cs="Arial" w:eastAsia="Arial" w:hAnsi="Arial"/>
          <w:sz w:val="16"/>
          <w:szCs w:val="16"/>
          <w:color w:val="212121"/>
        </w:rPr>
        <w:t>jurisdictions in which the Company operates.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the three months ended June 30, 2024 and 2023 was 7.2% and 10.6%, respectively. The decrease was primarily the result of a</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more favorable global earnings mix and withholding tax accrued in the U.S. classified as other taxes in the current year as it is not creditable against income taxes, partially offset by higher income tax expense related to the U.S. corporate alternative minimum tax.</w:t>
      </w:r>
    </w:p>
    <w:p>
      <w:pPr>
        <w:spacing w:after="0" w:line="21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effective tax rate for the six months ended June 30, 2024 and 2023 was 10.2% and 9.4%, respectively. The increase was primarily the result of higher income tax expense related to the U.S. corporate alternative minimum tax,partially offset by withholding taxes accrued in the U.S. classified as other taxes in the current year as it is not creditable against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Per Share</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Pr>
          <w:p>
            <w:pPr>
              <w:spacing w:after="0"/>
              <w:rPr>
                <w:sz w:val="19"/>
                <w:szCs w:val="19"/>
                <w:color w:val="auto"/>
              </w:rPr>
            </w:pPr>
          </w:p>
        </w:tc>
        <w:tc>
          <w:tcPr>
            <w:tcW w:w="32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940" w:type="dxa"/>
            <w:vAlign w:val="bottom"/>
            <w:vMerge w:val="continue"/>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equity shareholders of the</w:t>
            </w:r>
          </w:p>
        </w:tc>
        <w:tc>
          <w:tcPr>
            <w:tcW w:w="1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140"/>
              <w:spacing w:after="0"/>
              <w:rPr>
                <w:sz w:val="20"/>
                <w:szCs w:val="20"/>
                <w:color w:val="auto"/>
              </w:rPr>
            </w:pPr>
            <w:r>
              <w:rPr>
                <w:rFonts w:ascii="Arial" w:cs="Arial" w:eastAsia="Arial" w:hAnsi="Arial"/>
                <w:sz w:val="16"/>
                <w:szCs w:val="16"/>
                <w:color w:val="auto"/>
              </w:rPr>
              <w:t>Basic</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9"/>
        </w:trPr>
        <w:tc>
          <w:tcPr>
            <w:tcW w:w="3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1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140"/>
              <w:spacing w:after="0"/>
              <w:rPr>
                <w:sz w:val="20"/>
                <w:szCs w:val="20"/>
                <w:color w:val="auto"/>
              </w:rPr>
            </w:pPr>
            <w:r>
              <w:rPr>
                <w:rFonts w:ascii="Arial" w:cs="Arial" w:eastAsia="Arial" w:hAnsi="Arial"/>
                <w:sz w:val="16"/>
                <w:szCs w:val="16"/>
                <w:color w:val="auto"/>
              </w:rPr>
              <w:t>Basic</w:t>
            </w:r>
          </w:p>
        </w:tc>
        <w:tc>
          <w:tcPr>
            <w:tcW w:w="1300" w:type="dxa"/>
            <w:vAlign w:val="bottom"/>
            <w:tcBorders>
              <w:top w:val="single" w:sz="8" w:color="auto"/>
            </w:tcBorders>
          </w:tcPr>
          <w:p>
            <w:pPr>
              <w:jc w:val="right"/>
              <w:ind w:right="109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9"/>
        </w:trPr>
        <w:tc>
          <w:tcPr>
            <w:tcW w:w="39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gridSpan w:val="4"/>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Land and</w:t>
            </w: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Building and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Land</w:t>
            </w: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Leasehold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Construction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Improvements</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Improvements</w:t>
            </w:r>
          </w:p>
        </w:tc>
        <w:tc>
          <w:tcPr>
            <w:tcW w:w="18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Equipment</w:t>
            </w: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Computer</w:t>
            </w:r>
          </w:p>
        </w:tc>
        <w:tc>
          <w:tcPr>
            <w:tcW w:w="18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Progress</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7,635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24,277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1,512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33,964</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ind w:left="1200"/>
              <w:spacing w:after="0"/>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Transfers from construction in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33,984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 June 30,</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5,073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Accumulated Depreciation and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24,135</w:t>
            </w:r>
          </w:p>
        </w:tc>
        <w:tc>
          <w:tcPr>
            <w:tcW w:w="0" w:type="dxa"/>
            <w:vAlign w:val="bottom"/>
          </w:tcPr>
          <w:p>
            <w:pPr>
              <w:spacing w:after="0"/>
              <w:rPr>
                <w:sz w:val="1"/>
                <w:szCs w:val="1"/>
                <w:color w:val="auto"/>
              </w:rPr>
            </w:pPr>
          </w:p>
        </w:tc>
      </w:tr>
      <w:tr>
        <w:trPr>
          <w:trHeight w:val="227"/>
        </w:trPr>
        <w:tc>
          <w:tcPr>
            <w:tcW w:w="25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9"/>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24,750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three months ended June 30, 2024 and 2023, depreciation expense of property, plant and equipment was $350 million and $292 million, respectively. For the six months ended June 30, 2024 and 2023, depreciation expense of property, plant and equipment was $696 million and $588 million, respectively.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Restructuring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incurred $5 million and $19 million of restructuring charges during the three months ended June 30, 2024 and 2023, respectively. The Company incurred $5 million and $24 million of restructuring charges during the six months ended June 30, 2024 and 2023, respectively. These costs are included in restructuring expenses in the Company’s consolidated statements of operations and unpaid amounts are included in provisions within current liabilities on the consolidated statements of financial position.</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changes to the restructuring provisions recorded on the consolidated statements of financial position as of June 30, 2024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9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as of December 31, 2023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27"/>
        </w:trPr>
        <w:tc>
          <w:tcPr>
            <w:tcW w:w="7900" w:type="dxa"/>
            <w:vAlign w:val="bottom"/>
          </w:tcPr>
          <w:p>
            <w:pPr>
              <w:ind w:left="20"/>
              <w:spacing w:after="0"/>
              <w:rPr>
                <w:sz w:val="20"/>
                <w:szCs w:val="20"/>
                <w:color w:val="auto"/>
              </w:rPr>
            </w:pPr>
            <w:r>
              <w:rPr>
                <w:rFonts w:ascii="Arial" w:cs="Arial" w:eastAsia="Arial" w:hAnsi="Arial"/>
                <w:sz w:val="16"/>
                <w:szCs w:val="16"/>
                <w:color w:val="auto"/>
              </w:rPr>
              <w:t>Provision</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paid</w:t>
            </w:r>
          </w:p>
        </w:tc>
        <w:tc>
          <w:tcPr>
            <w:tcW w:w="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Ending balance as of June 30, 2024</w:t>
            </w:r>
          </w:p>
        </w:tc>
        <w:tc>
          <w:tcPr>
            <w:tcW w:w="9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1"/>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Note 8. Receivables, Prepayments and Other Assets</w:t>
            </w: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7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9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Trade receivables, other than related parties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Receivables from related parties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financial assets</w:t>
            </w:r>
          </w:p>
        </w:tc>
        <w:tc>
          <w:tcPr>
            <w:tcW w:w="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1,127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1,420</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w:t>
            </w: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Advances to suppliers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9"/>
        </w:trPr>
        <w:tc>
          <w:tcPr>
            <w:tcW w:w="7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22" w:lineRule="auto"/>
        <w:tabs>
          <w:tab w:leader="none" w:pos="185"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225"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The following table summarizes the activity in the Company’s unbilled accounts receivable for the six months ended June 30, 2024 and for the twelve months ended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40" w:type="dxa"/>
            <w:vAlign w:val="bottom"/>
          </w:tcPr>
          <w:p>
            <w:pPr>
              <w:ind w:left="60"/>
              <w:spacing w:after="0"/>
              <w:rPr>
                <w:sz w:val="20"/>
                <w:szCs w:val="20"/>
                <w:color w:val="auto"/>
              </w:rPr>
            </w:pPr>
            <w:r>
              <w:rPr>
                <w:rFonts w:ascii="Arial" w:cs="Arial" w:eastAsia="Arial" w:hAnsi="Arial"/>
                <w:sz w:val="16"/>
                <w:szCs w:val="16"/>
                <w:color w:val="auto"/>
              </w:rPr>
              <w:t>Revenue recognized during the period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Amounts invoiced</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7240" w:type="dxa"/>
            <w:vAlign w:val="bottom"/>
          </w:tcPr>
          <w:p>
            <w:pPr>
              <w:ind w:left="60"/>
              <w:spacing w:after="0"/>
              <w:rPr>
                <w:sz w:val="20"/>
                <w:szCs w:val="20"/>
                <w:color w:val="auto"/>
              </w:rPr>
            </w:pPr>
            <w:r>
              <w:rPr>
                <w:rFonts w:ascii="Arial" w:cs="Arial" w:eastAsia="Arial" w:hAnsi="Arial"/>
                <w:sz w:val="16"/>
                <w:szCs w:val="16"/>
                <w:b w:val="1"/>
                <w:bCs w:val="1"/>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9. Inventories</w:t>
            </w: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9"/>
        </w:trPr>
        <w:tc>
          <w:tcPr>
            <w:tcW w:w="7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3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20" w:type="dxa"/>
            <w:vAlign w:val="bottom"/>
            <w:tcBorders>
              <w:bottom w:val="single" w:sz="8" w:color="CCEEFF"/>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28"/>
        </w:trPr>
        <w:tc>
          <w:tcPr>
            <w:tcW w:w="7620" w:type="dxa"/>
            <w:vAlign w:val="bottom"/>
            <w:gridSpan w:val="2"/>
          </w:tcPr>
          <w:p>
            <w:pPr>
              <w:ind w:left="8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w w:val="97"/>
              </w:rPr>
              <w:t>726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9"/>
        </w:trPr>
        <w:tc>
          <w:tcPr>
            <w:tcW w:w="7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Inventory reserves</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50"/>
        </w:trPr>
        <w:tc>
          <w:tcPr>
            <w:tcW w:w="762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1,786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1,487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5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8" w:right="339" w:bottom="58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movement in the inventory reserves for the six months ended June 30, 2024 and for the twelve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respectively: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r>
      <w:tr>
        <w:trPr>
          <w:trHeight w:val="21"/>
        </w:trPr>
        <w:tc>
          <w:tcPr>
            <w:tcW w:w="78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8"/>
        </w:trPr>
        <w:tc>
          <w:tcPr>
            <w:tcW w:w="78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9"/>
        </w:trPr>
        <w:tc>
          <w:tcPr>
            <w:tcW w:w="7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Written-off and scrapped</w:t>
            </w:r>
          </w:p>
        </w:tc>
        <w:tc>
          <w:tcPr>
            <w:tcW w:w="1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7"/>
        </w:trPr>
        <w:tc>
          <w:tcPr>
            <w:tcW w:w="7860" w:type="dxa"/>
            <w:vAlign w:val="bottom"/>
          </w:tcPr>
          <w:p>
            <w:pPr>
              <w:ind w:left="20"/>
              <w:spacing w:after="0"/>
              <w:rPr>
                <w:sz w:val="20"/>
                <w:szCs w:val="20"/>
                <w:color w:val="auto"/>
              </w:rPr>
            </w:pPr>
            <w:r>
              <w:rPr>
                <w:rFonts w:ascii="Arial" w:cs="Arial" w:eastAsia="Arial" w:hAnsi="Arial"/>
                <w:sz w:val="16"/>
                <w:szCs w:val="16"/>
                <w:color w:val="auto"/>
              </w:rPr>
              <w:t>Elimination of reserves upon sale of inventory</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78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r>
      <w:tr>
        <w:trPr>
          <w:trHeight w:val="20"/>
        </w:trPr>
        <w:tc>
          <w:tcPr>
            <w:tcW w:w="7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2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has various lease agreements for certain of its offices, facilities and equipment, with a weighted average remaining lease term of 12.2 years and weighted average discount rate of 4.40% as of June 30, 2024. Leases may include one or more options to renew. Renewal terms are not included in the determination of the lease term unless the renewals are deemed to be reasonably certain at the time of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carrying amounts of right-of-use assets: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4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8"/>
        </w:trPr>
        <w:tc>
          <w:tcPr>
            <w:tcW w:w="4260" w:type="dxa"/>
            <w:vAlign w:val="bottom"/>
          </w:tcPr>
          <w:p>
            <w:pPr>
              <w:ind w:left="80"/>
              <w:spacing w:after="0"/>
              <w:rPr>
                <w:sz w:val="20"/>
                <w:szCs w:val="20"/>
                <w:color w:val="auto"/>
              </w:rPr>
            </w:pPr>
            <w:r>
              <w:rPr>
                <w:rFonts w:ascii="Arial" w:cs="Arial" w:eastAsia="Arial" w:hAnsi="Arial"/>
                <w:sz w:val="16"/>
                <w:szCs w:val="16"/>
                <w:color w:val="auto"/>
              </w:rPr>
              <w:t>Building and leasehold improvements</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9"/>
        </w:trPr>
        <w:tc>
          <w:tcPr>
            <w:tcW w:w="4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The following table summarizes the depreciation of right-of-use assets:</w:t>
            </w: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54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4260" w:type="dxa"/>
            <w:vAlign w:val="bottom"/>
          </w:tcPr>
          <w:p>
            <w:pPr>
              <w:spacing w:after="0"/>
              <w:rPr>
                <w:sz w:val="24"/>
                <w:szCs w:val="24"/>
                <w:color w:val="auto"/>
              </w:rPr>
            </w:pPr>
          </w:p>
        </w:tc>
        <w:tc>
          <w:tcPr>
            <w:tcW w:w="30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
        </w:trPr>
        <w:tc>
          <w:tcPr>
            <w:tcW w:w="4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260" w:type="dxa"/>
            <w:vAlign w:val="bottom"/>
            <w:vMerge w:val="continue"/>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4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8"/>
        </w:trPr>
        <w:tc>
          <w:tcPr>
            <w:tcW w:w="4260" w:type="dxa"/>
            <w:vAlign w:val="bottom"/>
          </w:tcPr>
          <w:p>
            <w:pPr>
              <w:ind w:left="80"/>
              <w:spacing w:after="0"/>
              <w:rPr>
                <w:sz w:val="20"/>
                <w:szCs w:val="20"/>
                <w:color w:val="auto"/>
              </w:rPr>
            </w:pPr>
            <w:r>
              <w:rPr>
                <w:rFonts w:ascii="Arial" w:cs="Arial" w:eastAsia="Arial" w:hAnsi="Arial"/>
                <w:sz w:val="16"/>
                <w:szCs w:val="16"/>
                <w:color w:val="auto"/>
              </w:rPr>
              <w:t>Building and leasehold improvements</w:t>
            </w:r>
          </w:p>
        </w:tc>
        <w:tc>
          <w:tcPr>
            <w:tcW w:w="1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9"/>
        </w:trPr>
        <w:tc>
          <w:tcPr>
            <w:tcW w:w="42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June 30, 2024 and 2023, the additions to right-of-use assets were immaterial. For the six months ended June 30, 2024 and 2023, the additions to right-of-use assets were $211 million and $54 million, respectively.</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June 30, 2024 and 2023, interest expense was $7 million and $5 million, respectively. For the six months ended June 30, 2024 and 2023, interest expense was $15 million and $11 million, respectively.</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June 30, 2024 and 2023, cash outflow for leases was $11 million and $19 million, respectively. For the six months ended June 30, 2024 and 2023, cash outflow for leases was $24 million and $37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Long Term Debt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Nominal Interest</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Year</w:t>
            </w:r>
          </w:p>
        </w:tc>
        <w:tc>
          <w:tcPr>
            <w:tcW w:w="300" w:type="dxa"/>
            <w:vAlign w:val="bottom"/>
          </w:tcPr>
          <w:p>
            <w:pPr>
              <w:spacing w:after="0"/>
              <w:rPr>
                <w:sz w:val="17"/>
                <w:szCs w:val="17"/>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
        </w:trPr>
        <w:tc>
          <w:tcPr>
            <w:tcW w:w="3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14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Currency</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Rate</w:t>
            </w:r>
          </w:p>
        </w:tc>
        <w:tc>
          <w:tcPr>
            <w:tcW w:w="11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line="20" w:lineRule="exact"/>
              <w:rPr>
                <w:sz w:val="1"/>
                <w:szCs w:val="1"/>
                <w:color w:val="auto"/>
              </w:rPr>
            </w:pPr>
          </w:p>
        </w:tc>
      </w:tr>
      <w:tr>
        <w:trPr>
          <w:trHeight w:val="216"/>
        </w:trPr>
        <w:tc>
          <w:tcPr>
            <w:tcW w:w="39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Maturity</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Tool Equipment Purchase and Lease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SOFR</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6"/>
                <w:szCs w:val="16"/>
                <w:color w:val="auto"/>
              </w:rPr>
              <w:t>2020 USD Equipment Financing</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8"/>
        </w:trPr>
        <w:tc>
          <w:tcPr>
            <w:tcW w:w="392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 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2024-2026</w:t>
            </w: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Current total</w:t>
            </w: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534</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571</w:t>
            </w:r>
          </w:p>
        </w:tc>
        <w:tc>
          <w:tcPr>
            <w:tcW w:w="0" w:type="dxa"/>
            <w:vAlign w:val="bottom"/>
          </w:tcPr>
          <w:p>
            <w:pPr>
              <w:spacing w:after="0"/>
              <w:rPr>
                <w:sz w:val="1"/>
                <w:szCs w:val="1"/>
                <w:color w:val="auto"/>
              </w:rPr>
            </w:pPr>
          </w:p>
        </w:tc>
      </w:tr>
      <w:tr>
        <w:trPr>
          <w:trHeight w:val="21"/>
        </w:trPr>
        <w:tc>
          <w:tcPr>
            <w:tcW w:w="3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8"/>
        </w:trPr>
        <w:tc>
          <w:tcPr>
            <w:tcW w:w="3920" w:type="dxa"/>
            <w:vAlign w:val="bottom"/>
          </w:tcPr>
          <w:p>
            <w:pPr>
              <w:ind w:left="20"/>
              <w:spacing w:after="0"/>
              <w:rPr>
                <w:sz w:val="20"/>
                <w:szCs w:val="20"/>
                <w:color w:val="auto"/>
              </w:rPr>
            </w:pPr>
            <w:r>
              <w:rPr>
                <w:rFonts w:ascii="Arial" w:cs="Arial" w:eastAsia="Arial" w:hAnsi="Arial"/>
                <w:sz w:val="16"/>
                <w:szCs w:val="16"/>
                <w:color w:val="auto"/>
              </w:rPr>
              <w:t>2021 SGD EDB Loan</w:t>
            </w:r>
          </w:p>
        </w:tc>
        <w:tc>
          <w:tcPr>
            <w:tcW w:w="1140" w:type="dxa"/>
            <w:vAlign w:val="bottom"/>
          </w:tcPr>
          <w:p>
            <w:pPr>
              <w:ind w:left="80"/>
              <w:spacing w:after="0"/>
              <w:rPr>
                <w:sz w:val="20"/>
                <w:szCs w:val="20"/>
                <w:color w:val="auto"/>
              </w:rPr>
            </w:pPr>
            <w:r>
              <w:rPr>
                <w:rFonts w:ascii="Arial" w:cs="Arial" w:eastAsia="Arial" w:hAnsi="Arial"/>
                <w:sz w:val="16"/>
                <w:szCs w:val="16"/>
                <w:color w:val="auto"/>
              </w:rPr>
              <w:t>SGD</w:t>
            </w:r>
          </w:p>
        </w:tc>
        <w:tc>
          <w:tcPr>
            <w:tcW w:w="1580" w:type="dxa"/>
            <w:vAlign w:val="bottom"/>
          </w:tcPr>
          <w:p>
            <w:pPr>
              <w:jc w:val="center"/>
              <w:spacing w:after="0"/>
              <w:rPr>
                <w:sz w:val="20"/>
                <w:szCs w:val="20"/>
                <w:color w:val="auto"/>
              </w:rPr>
            </w:pPr>
            <w:r>
              <w:rPr>
                <w:rFonts w:ascii="Arial" w:cs="Arial" w:eastAsia="Arial" w:hAnsi="Arial"/>
                <w:sz w:val="16"/>
                <w:szCs w:val="16"/>
                <w:color w:val="auto"/>
              </w:rPr>
              <w:t>1.40%</w:t>
            </w:r>
          </w:p>
        </w:tc>
        <w:tc>
          <w:tcPr>
            <w:tcW w:w="1160" w:type="dxa"/>
            <w:vAlign w:val="bottom"/>
          </w:tcPr>
          <w:p>
            <w:pPr>
              <w:jc w:val="center"/>
              <w:spacing w:after="0"/>
              <w:rPr>
                <w:sz w:val="20"/>
                <w:szCs w:val="20"/>
                <w:color w:val="auto"/>
              </w:rPr>
            </w:pPr>
            <w:r>
              <w:rPr>
                <w:rFonts w:ascii="Arial" w:cs="Arial" w:eastAsia="Arial" w:hAnsi="Arial"/>
                <w:sz w:val="16"/>
                <w:szCs w:val="16"/>
                <w:color w:val="auto"/>
              </w:rPr>
              <w:t>2041</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 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2024-2027</w:t>
            </w: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Non-current total</w:t>
            </w: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1,801</w:t>
            </w:r>
          </w:p>
        </w:tc>
        <w:tc>
          <w:tcPr>
            <w:tcW w:w="0" w:type="dxa"/>
            <w:vAlign w:val="bottom"/>
          </w:tcPr>
          <w:p>
            <w:pPr>
              <w:spacing w:after="0"/>
              <w:rPr>
                <w:sz w:val="1"/>
                <w:szCs w:val="1"/>
                <w:color w:val="auto"/>
              </w:rPr>
            </w:pPr>
          </w:p>
        </w:tc>
      </w:tr>
      <w:tr>
        <w:trPr>
          <w:trHeight w:val="21"/>
        </w:trPr>
        <w:tc>
          <w:tcPr>
            <w:tcW w:w="3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necessary to fund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
        </w:trPr>
        <w:tc>
          <w:tcPr>
            <w:tcW w:w="7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8"/>
        </w:trPr>
        <w:tc>
          <w:tcPr>
            <w:tcW w:w="7920" w:type="dxa"/>
            <w:vAlign w:val="bottom"/>
          </w:tcPr>
          <w:p>
            <w:pPr>
              <w:ind w:left="20"/>
              <w:spacing w:after="0"/>
              <w:rPr>
                <w:sz w:val="20"/>
                <w:szCs w:val="20"/>
                <w:color w:val="auto"/>
              </w:rPr>
            </w:pPr>
            <w:r>
              <w:rPr>
                <w:rFonts w:ascii="Arial" w:cs="Arial" w:eastAsia="Arial" w:hAnsi="Arial"/>
                <w:sz w:val="16"/>
                <w:szCs w:val="16"/>
                <w:color w:val="auto"/>
              </w:rPr>
              <w:t>Uncommitted Credit Facilities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9"/>
        </w:trPr>
        <w:tc>
          <w:tcPr>
            <w:tcW w:w="7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1,114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Related Party Disclosures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total amounts of $10 million and $12 million due from related parties as of June 30, 2024 and December 31, 2023, respectively, have been included in receivables, prepayments and other assets (see Note 8). The $8 million and $10 million due to related parties as of June 30, 2024 and December 31, 2023, respectively, have been included in trade and other payables.</w:t>
      </w:r>
    </w:p>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Related party balances disclosed in the interim condensed consolidated statements of financial position relate to Mubadala Technology Investment Company and Silicon Manufacturing Partners Pte Ltd. ("SMP"). SMP is a joint venture with LSI Technology (Singapore) Pte. Ltd. The Company holds a 49% interest in SMP and manages all aspects of its manufacturing operations.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32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7"/>
                <w:szCs w:val="17"/>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320" w:type="dxa"/>
            <w:vAlign w:val="bottom"/>
          </w:tcPr>
          <w:p>
            <w:pPr>
              <w:spacing w:after="0"/>
              <w:rPr>
                <w:sz w:val="19"/>
                <w:szCs w:val="19"/>
                <w:color w:val="auto"/>
              </w:rPr>
            </w:pPr>
          </w:p>
        </w:tc>
        <w:tc>
          <w:tcPr>
            <w:tcW w:w="190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19"/>
                <w:szCs w:val="19"/>
                <w:color w:val="auto"/>
              </w:rPr>
            </w:pPr>
          </w:p>
        </w:tc>
      </w:tr>
      <w:tr>
        <w:trPr>
          <w:trHeight w:val="21"/>
        </w:trPr>
        <w:tc>
          <w:tcPr>
            <w:tcW w:w="3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9"/>
        </w:trPr>
        <w:tc>
          <w:tcPr>
            <w:tcW w:w="3820" w:type="dxa"/>
            <w:vAlign w:val="bottom"/>
          </w:tcPr>
          <w:p>
            <w:pPr>
              <w:spacing w:after="0"/>
              <w:rPr>
                <w:sz w:val="19"/>
                <w:szCs w:val="19"/>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21"/>
        </w:trPr>
        <w:tc>
          <w:tcPr>
            <w:tcW w:w="38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13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27"/>
        </w:trPr>
        <w:tc>
          <w:tcPr>
            <w:tcW w:w="3820" w:type="dxa"/>
            <w:vAlign w:val="bottom"/>
          </w:tcPr>
          <w:p>
            <w:pPr>
              <w:ind w:left="20"/>
              <w:spacing w:after="0"/>
              <w:rPr>
                <w:sz w:val="20"/>
                <w:szCs w:val="20"/>
                <w:color w:val="auto"/>
              </w:rPr>
            </w:pPr>
            <w:r>
              <w:rPr>
                <w:rFonts w:ascii="Arial" w:cs="Arial" w:eastAsia="Arial" w:hAnsi="Arial"/>
                <w:sz w:val="16"/>
                <w:szCs w:val="16"/>
                <w:color w:val="auto"/>
              </w:rPr>
              <w:t>SMP</w:t>
            </w:r>
          </w:p>
        </w:tc>
        <w:tc>
          <w:tcPr>
            <w:tcW w:w="1320" w:type="dxa"/>
            <w:vAlign w:val="bottom"/>
          </w:tcPr>
          <w:p>
            <w:pPr>
              <w:jc w:val="right"/>
              <w:ind w:right="11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320" w:type="dxa"/>
            <w:vAlign w:val="bottom"/>
          </w:tcPr>
          <w:p>
            <w:pPr>
              <w:jc w:val="right"/>
              <w:ind w:right="11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6"/>
        </w:trPr>
        <w:tc>
          <w:tcPr>
            <w:tcW w:w="38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38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
        </w:trPr>
        <w:tc>
          <w:tcPr>
            <w:tcW w:w="3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w:t>
            </w: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tools)</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8"/>
        </w:trPr>
        <w:tc>
          <w:tcPr>
            <w:tcW w:w="3820" w:type="dxa"/>
            <w:vAlign w:val="bottom"/>
          </w:tcPr>
          <w:p>
            <w:pPr>
              <w:ind w:left="20"/>
              <w:spacing w:after="0"/>
              <w:rPr>
                <w:sz w:val="20"/>
                <w:szCs w:val="20"/>
                <w:color w:val="auto"/>
              </w:rPr>
            </w:pPr>
            <w:r>
              <w:rPr>
                <w:rFonts w:ascii="Arial" w:cs="Arial" w:eastAsia="Arial" w:hAnsi="Arial"/>
                <w:sz w:val="16"/>
                <w:szCs w:val="16"/>
                <w:color w:val="auto"/>
              </w:rPr>
              <w:t>Mubadala Technology (reimbursement of expenses)</w:t>
            </w:r>
          </w:p>
        </w:tc>
        <w:tc>
          <w:tcPr>
            <w:tcW w:w="1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8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 Purchases from SMP were primarily comprised of wafers.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Commitments and Contingencies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 enters into several purchase agreements and supplementary agreements with its third-party manufacturers and suppliers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deliveries of equipment and components. In addition, the Company enters into intellectual property and licensing agreements with third parties. The total future payments under these agreements amounted to $661 million and $1.1 billion, as of June 30, 2024 and December 31, 2023, respectively. Unconditional purchase commitments of $347 million are due within the next 12 months.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the Company obtained letters of credit to primarily guarantee payments for utility suppliers and foreign statutory payroll related charges. The Company has obtained letters of credit of $30 million and $23 million as of June 30, 2024 and December 31, 2023, respectively, and has drawn down bank guarantees of $4 million and $54 million as of June 30, 2024 and December 31, 2023, respectively.</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condensed consolidated statements of financial position or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201F1E"/>
        </w:rPr>
        <w:t xml:space="preserve">On April 28, 2021, IBM sent the Company a letter alleging for the first time that it did not fulfill its obligations under the contracts entered into with IBM in 2014 and 2015 associated with the acquisition of IBM’s Microelectronics division. IBM asserted that the Company engaged in fraudulent misrepresentations during the underlying negotiations, and claimed the Company owed them </w:t>
      </w:r>
      <w:r>
        <w:rPr>
          <w:rFonts w:ascii="Arial" w:cs="Arial" w:eastAsia="Arial" w:hAnsi="Arial"/>
          <w:sz w:val="16"/>
          <w:szCs w:val="16"/>
          <w:color w:val="000000"/>
        </w:rPr>
        <w:t>$2.5 billion</w:t>
      </w:r>
      <w:r>
        <w:rPr>
          <w:rFonts w:ascii="Arial" w:cs="Arial" w:eastAsia="Arial" w:hAnsi="Arial"/>
          <w:sz w:val="16"/>
          <w:szCs w:val="16"/>
          <w:color w:val="201F1E"/>
        </w:rPr>
        <w:t xml:space="preserve">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the dismissal of its fraud claim, and on April 7, 2022, the New York Appellate Division reversed the Court’s decision. Discovery and dispositive motion practice have been completed and the trial is scheduled to commence on February 3, 2025. The Company believes, based on discussions with legal counsel, that it has meritorious defenses against IBM’s claims and intends to vigorously defend against them.</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Fair Value Measurements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9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30" w:lineRule="exact"/>
        <w:rPr>
          <w:rFonts w:ascii="Arial" w:cs="Arial" w:eastAsia="Arial" w:hAnsi="Arial"/>
          <w:sz w:val="16"/>
          <w:szCs w:val="16"/>
          <w:color w:val="auto"/>
        </w:rPr>
      </w:pPr>
    </w:p>
    <w:p>
      <w:pPr>
        <w:jc w:val="both"/>
        <w:ind w:left="660" w:right="20" w:hanging="328"/>
        <w:spacing w:after="0" w:line="25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w:t>
      </w:r>
    </w:p>
    <w:p>
      <w:pPr>
        <w:ind w:left="660" w:hanging="328"/>
        <w:spacing w:after="0" w:line="27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Quoted Prices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Identical Assets/</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3"/>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Inputs</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2"/>
                <w:szCs w:val="22"/>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June 30, 2024</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in cash and cash equivalents on the Company’s interim condensed consolidated statements of financial position.</w:t>
      </w:r>
    </w:p>
    <w:p>
      <w:pPr>
        <w:spacing w:after="0" w:line="12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122" w:lineRule="exact"/>
        <w:rPr>
          <w:rFonts w:ascii="Arial" w:cs="Arial" w:eastAsia="Arial" w:hAnsi="Arial"/>
          <w:sz w:val="9"/>
          <w:szCs w:val="9"/>
          <w:color w:val="auto"/>
        </w:rPr>
      </w:pPr>
    </w:p>
    <w:p>
      <w:pPr>
        <w:ind w:left="180" w:hanging="172"/>
        <w:spacing w:after="0" w:line="305" w:lineRule="auto"/>
        <w:tabs>
          <w:tab w:leader="none" w:pos="182" w:val="left"/>
        </w:tabs>
        <w:numPr>
          <w:ilvl w:val="0"/>
          <w:numId w:val="4"/>
        </w:numPr>
        <w:rPr>
          <w:rFonts w:ascii="Arial" w:cs="Arial" w:eastAsia="Arial" w:hAnsi="Arial"/>
          <w:sz w:val="9"/>
          <w:szCs w:val="9"/>
          <w:color w:val="auto"/>
        </w:rPr>
      </w:pPr>
      <w:r>
        <w:rPr>
          <w:rFonts w:ascii="Arial" w:cs="Arial" w:eastAsia="Arial" w:hAnsi="Arial"/>
          <w:sz w:val="14"/>
          <w:szCs w:val="14"/>
          <w:color w:val="auto"/>
        </w:rPr>
        <w:t>Consists of foreign currency forward contracts, interest rate swaps, cross currency swaps and commodity hedge. Included in other current and non-current financial assets and other current and non-current liabilities on the Company’s interim condensed consolidated statements of financial position.</w:t>
      </w:r>
    </w:p>
    <w:p>
      <w:pPr>
        <w:spacing w:after="0" w:line="33" w:lineRule="exact"/>
        <w:rPr>
          <w:rFonts w:ascii="Arial" w:cs="Arial" w:eastAsia="Arial" w:hAnsi="Arial"/>
          <w:sz w:val="9"/>
          <w:szCs w:val="9"/>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in current and non-current marketable securities on the Company's interim condensed consolidated statements of financial position.</w:t>
      </w: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year ended December 31, 2023 and the six-months ended June 30, 2024, there were no transfers between Level 1, Level 2 or Level 3 fair value measurements.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8"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26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Company’s current and non-current portion of long-term debt.</w:t>
      </w:r>
    </w:p>
    <w:p>
      <w:pPr>
        <w:spacing w:after="0" w:line="7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carrying amounts and fair values of the Company’s financial instruments not recorded at fair value on a recurring basis are presented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2024</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2023</w:t>
            </w:r>
          </w:p>
        </w:tc>
      </w:tr>
      <w:tr>
        <w:trPr>
          <w:trHeight w:val="21"/>
        </w:trPr>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45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2,135</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2,319</w:t>
            </w:r>
          </w:p>
        </w:tc>
      </w:tr>
      <w:tr>
        <w:trPr>
          <w:trHeight w:val="29"/>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2,319</w:t>
            </w:r>
          </w:p>
        </w:tc>
      </w:tr>
      <w:tr>
        <w:trPr>
          <w:trHeight w:val="20"/>
        </w:trPr>
        <w:tc>
          <w:tcPr>
            <w:tcW w:w="4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represents a Level 2 valuation. The fair values are estimated based on the type of debt and their maturities. The Company estimates the fair value using market interest rates of debts with similar maturities.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Share-Based Compensation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3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Equity</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22, 2024, the Company announced a share repurchase of 3.9 million ordinary shares from Mubadala Technology Investment Company ("MTIC"), a majority shareholder, at the price of $50.75 per share, for an aggregate purchase amount of $200 million. We completed the share repurchase on May 28, 2024.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On May 28, 2024, our Board of Directors resolved to cancel the 3.9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wars in Ukraine and Israel; domestic political developments, including with respect to the upcoming U.S. presidential election;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increasing interest rates, rising inflation and any potential recession;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2023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9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essential integrated circuits (“ICs”) that are used in billions of electronic devices across various industries. Our specialized foundry manufacturing processes, extensive library of qualified circuit-building block designs (known as IP titles or IP blocks), and advanced transistor and device technology allow us to serve a wide range of customers, including the global leaders in IC design. We focus on providing optimized solutions for critical applications that drive key secular growth end markets, ensuring function, performance, and power requirements are met. As the only scaled pure-play foundry with a global footprint that is not based in China or Taiwan, we offer our customers the advantage of mitigating geopolitical risk and ensuring greater supply chain certainty. Our definition of a scaled pure-play foundry is a company that specializes in producing ICs for other companies, with annual foundry revenue exceeding $2.5 billion. Our differentiated foundry solutions redefine the industry by offering essential chip solutions that empower our customers to develop innovative products for a wide range of applications in diverse markets.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We focus on essential devices that include digital, analog, mixed-signal, radio frequency (“RF”), ultra-low power and embedded memory solutions that connect, secure and process data, and efficiently power the digital world around us. Our core technology portfolio includes a range of differentiated technology platforms, including our industry-leading RF silicon-on-insulator solutions, advanced high-performance Fin Field-Effect Transistor, Complementary Metal-Oxide Semiconductor, our proprietary FDX</w:t>
      </w:r>
      <w:r>
        <w:rPr>
          <w:rFonts w:ascii="Arial" w:cs="Arial" w:eastAsia="Arial" w:hAnsi="Arial"/>
          <w:sz w:val="21"/>
          <w:szCs w:val="21"/>
          <w:color w:val="auto"/>
          <w:vertAlign w:val="superscript"/>
        </w:rPr>
        <w:t>TM</w:t>
      </w:r>
      <w:r>
        <w:rPr>
          <w:rFonts w:ascii="Arial" w:cs="Arial" w:eastAsia="Arial" w:hAnsi="Arial"/>
          <w:sz w:val="16"/>
          <w:szCs w:val="16"/>
          <w:color w:val="auto"/>
        </w:rPr>
        <w:t>, high-performance Silicon Germanium and Gallium Nitride (“GaN”) products and Silicon Photonics, all of which can be purposely engineered, innovated and designed for a broad set of demanding applications.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91% and 90% of our net revenue for the three and six months ended June 30, 2024, respectively. The rest of our net revenue was mainly derived from photomask manufacturing, sourcing services and pre-fab manufacturing services.</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 has experienced weaker demand across several of the end markets within which we operate, as our customers manage elevated inventory levels and tighter monetary policies, which adversely impacted our revenues. As discussed in Item 3.D. “Key Information - Risk Factors,” in our Annual Report on From 20-F for the fiscal year ended December 31, 2023, we have chosen to renegotiate certain of our long term agreements (“LTAs”) with existing customers to reflect lower volume commitments and/or longer commitment timelines, and we expect that we will continue to renegotiate additional LTAs through the remainder of 2024.</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remain cautious as the global macroeconomic uncertainty continues, reflecting the impacts of inflation, high interest rates, and geopolitical conflicts. Although we are starting to see the inflationary headwinds moderate, the ongoing high interest rate environment has led to a prolonged and deeper cyclical downturn than was first anticipated. The extent to which these uncertainties will impact our business activities will depend on future developments that cannot be predicted at this time. We continue to collaborate closely with our customers to support the acceleration of their inventory depletion, while seeking to preserve the economic value of the commercial agreements we have entered into.</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the majority of our revenue from sales of finished semiconductor wafers, which are priced on a per-wafer basis for the applicable design, and breakage fee or settlement fee arising from not meeting the minimum purchase requirements under certain LTAs with customers. We also generate revenue from rendering of non-recurring engineering (“NRE”) services, mask production and pre-fabrication services such as bump, test and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2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 We expect our cost of revenue as a percentage of revenue to increase modestly in the third quarter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operating expense consist of research and development (“R&amp;D”), selling, general and administrative expense (“SG&amp;A”), and restructuring charges. Personnel costs are the most significant component of our operating expenses, and consist of salaries, benefits, bonuses, share-based compensation and commissions.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as a percentage of revenue to modestly increase in the third quarter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 Beginning in the third quarter of 2023, SG&amp;A expenses also include certain contract cancellation fees, (gain) loss on tool sales and withholding taxes. Certain contract cancellation fees and (gain) loss on tool sales were previously included in other income (expense) while withholding taxes were previously recorded in income tax expense. We expect our SG&amp;A as a percentage of revenue to modestly decrease in the third quarter 2024.</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charges primarily relates to reductions in our global workforce, leased workspace and consultants we engage for strategic support of the restructuring.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consists of interest earned on our cash and cash equivalents and marketable securities, net of any interest expense on borrowings, amortization of debt issuance costs under our term loans, revolving credit facility, finance leases and the other credit facilities we maintain with various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8"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consists of our share of profit of our joint venture, one-time gains and losses and other miscellaneous income and expense items unrelated to our core operations. Included are gains and losses relating to hedging activities. Prior to third quarter of 2023, other income (expense), net also included (gain) loss on tool sales and certain contract cancellation fees.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Three and Six Months Ended June 30, 2024 and 2023.</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640" w:type="dxa"/>
            <w:vAlign w:val="bottom"/>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Six Months Ended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9"/>
              </w:rPr>
              <w:t>June 30,</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9"/>
              </w:rPr>
              <w:t>June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ind w:left="20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7"/>
        </w:trPr>
        <w:tc>
          <w:tcPr>
            <w:tcW w:w="1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(11.5)%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revenue decreased by $213 million, or 11.5%, for the three months ended June 30, 2024 compared to the three months ended June 30, 2023. The decrease from prior period was primarily driven by wafer shipment volume totaling 517 thousand (300mm equivalent), a 10% decrease from prior period. This was principally the result of elevated inventory levels for several of our customers across certain end markets that we serve, which has resulted in lower customer demand in the Home and Industrial IOT, Communications Infrastructure &amp; Datacenter and Smart mobile Devices end-markets. This has been partially offset by increased customer demand in the Automotive end-market.</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revenue decreased by $505 million, or 13.7%, for the six months ended June 30, 2024 compared to the six months ended June 30, 2023. The decrease from prior period was primarily driven by wafer shipment volume totaling 980 thousand (300mm equivalent), a 10% decrease from prior period. This was principally the result of elevated inventory levels for several of our customers across certain end markets that we serve, which has resulted in lower customer demand in the Communications Infrastructure &amp; Datacenter, Home and Industrial IOT, and Smart mobile Devices end-markets. This has been partially offset by increased customer demand in the Automotive end-market.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End Markets: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Six Months Ended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78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Communications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Infrastructure &amp;</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Datacenter</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line="162" w:lineRule="exact"/>
              <w:rPr>
                <w:sz w:val="20"/>
                <w:szCs w:val="20"/>
                <w:color w:val="auto"/>
              </w:rPr>
            </w:pPr>
            <w:r>
              <w:rPr>
                <w:rFonts w:ascii="Arial" w:cs="Arial" w:eastAsia="Arial" w:hAnsi="Arial"/>
                <w:sz w:val="16"/>
                <w:szCs w:val="16"/>
                <w:color w:val="auto"/>
              </w:rPr>
              <w:t>Home and Industrial</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5"/>
        </w:trPr>
        <w:tc>
          <w:tcPr>
            <w:tcW w:w="1780" w:type="dxa"/>
            <w:vAlign w:val="bottom"/>
          </w:tcPr>
          <w:p>
            <w:pPr>
              <w:ind w:left="20"/>
              <w:spacing w:after="0"/>
              <w:rPr>
                <w:sz w:val="20"/>
                <w:szCs w:val="20"/>
                <w:color w:val="auto"/>
              </w:rPr>
            </w:pPr>
            <w:r>
              <w:rPr>
                <w:rFonts w:ascii="Arial" w:cs="Arial" w:eastAsia="Arial" w:hAnsi="Arial"/>
                <w:sz w:val="16"/>
                <w:szCs w:val="16"/>
                <w:color w:val="auto"/>
              </w:rPr>
              <w:t>IoT</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line="162" w:lineRule="exact"/>
              <w:rPr>
                <w:sz w:val="20"/>
                <w:szCs w:val="20"/>
                <w:color w:val="auto"/>
              </w:rPr>
            </w:pPr>
            <w:r>
              <w:rPr>
                <w:rFonts w:ascii="Arial" w:cs="Arial" w:eastAsia="Arial" w:hAnsi="Arial"/>
                <w:sz w:val="16"/>
                <w:szCs w:val="16"/>
                <w:color w:val="auto"/>
              </w:rPr>
              <w:t>Non wafer revenue</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5"/>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other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9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Six Months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9"/>
              </w:rPr>
              <w:t>June 30,</w:t>
            </w: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99"/>
              </w:rPr>
              <w:t>June 30,</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7"/>
        </w:trPr>
        <w:tc>
          <w:tcPr>
            <w:tcW w:w="1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4"/>
        </w:trPr>
        <w:tc>
          <w:tcPr>
            <w:tcW w:w="170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24.2 %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28.8 %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i w:val="1"/>
                <w:iCs w:val="1"/>
                <w:color w:val="auto"/>
              </w:rPr>
              <w:t>(460)bps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24.8 %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28.4 %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i w:val="1"/>
                <w:iCs w:val="1"/>
                <w:color w:val="auto"/>
              </w:rPr>
              <w:t>(360)bps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Cost of revenue decreased by $76 million, or 5.8%, for the three months ended June 30, 2024 compared to the three months ended June 30, 2023. The change was driven by a 10% lower shipment volume, partially offset by an increase in manufacturing variances due to reduced absorption of fixed costs.</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Gross margin decreased to 24.2% for the three months ended June 30, 2024 from 28.8% for the three months ended June 30, 2023. The decrease of 460 basis points was primarily driven by 12% revenue reduction, leading to reduced factory utilization and unfavorable absorption of fixed manufacturing costs.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Cost of revenue decreased by $246 million, or 9.3%, for the six months ended June 30, 2024 compared to the six months ended June 30, 2023. The change was driven by a 10% lower shipment volume, partially offset by an increase in manufacturing variances due to reduced absorption of fixed costs..</w:t>
      </w:r>
    </w:p>
    <w:p>
      <w:pPr>
        <w:spacing w:after="0" w:line="1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Gross margin decreased to 24.8% for the six months ended June 30, 2024 from 28.4% for the six months ended June 30, 2023. The decrease of 360 basis points was primarily driven by 14% revenue reduction, leading to reduced factory utilization and unfavorable absorption of fixed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7"/>
        </w:trPr>
        <w:tc>
          <w:tcPr>
            <w:tcW w:w="18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Research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5"/>
                <w:szCs w:val="15"/>
                <w:color w:val="auto"/>
              </w:rPr>
            </w:pPr>
          </w:p>
        </w:tc>
        <w:tc>
          <w:tcPr>
            <w:tcW w:w="14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14.2 %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134"/>
        </w:trPr>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development expense</w:t>
            </w:r>
          </w:p>
        </w:tc>
        <w:tc>
          <w:tcPr>
            <w:tcW w:w="2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gridSpan w:val="3"/>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80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1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80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5.7 %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i w:val="1"/>
                <w:iCs w:val="1"/>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i w:val="1"/>
                <w:iCs w:val="1"/>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R&amp;D expense increased by $15 million, or 14.2%, for the three months ended June 30, 2024 compared to the three months ended June 30, 2023. The increase was primarily due to $8 million higher R&amp;D portfolio investments, $4 million higher employee-related expenses, and $2 million higher share-based compensation.</w:t>
      </w:r>
    </w:p>
    <w:p>
      <w:pPr>
        <w:spacing w:after="0" w:line="191"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R&amp;D expense increased by $30 million, or 14.0%, for the six months ended June 30, 2024 compared to the six months ended June 30, 2023. The change was primarily a result of $14 million higher portfolio investments, $9 million higher employee-related expenses, and $5 million higher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Three Months Ended</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Six Months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ind w:left="14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3"/>
        </w:trPr>
        <w:tc>
          <w:tcPr>
            <w:tcW w:w="25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6"/>
                <w:szCs w:val="16"/>
                <w:color w:val="auto"/>
              </w:rPr>
            </w:pPr>
          </w:p>
        </w:tc>
        <w:tc>
          <w:tcPr>
            <w:tcW w:w="13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(13.6)%  $</w:t>
            </w:r>
          </w:p>
        </w:tc>
        <w:tc>
          <w:tcPr>
            <w:tcW w:w="8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2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administrative expense</w:t>
            </w:r>
          </w:p>
        </w:tc>
        <w:tc>
          <w:tcPr>
            <w:tcW w:w="20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gridSpan w:val="3"/>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5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7.0 %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7.2 %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6.6 %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SG&amp;A expenses decreased by $18 million, or 13.6%, for the three months ended June 30, 2024 compared to the three months ended June 30, 2023. The change was primarily a result of $19 million advanced manufacturing investment tax credits (“AMITC”).</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SG&amp;A expenses decreased by $7 million, or 2.9%, for the six months ended June 30, 2024 compared to the six months ended June 30, 2023. The change was primarily a result of $30 million credits received for AMITC and $4 million less insurance costs partially offset by higher digital transformation costs of $17 million and higher share-based compensation of $8 million.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Arial" w:cs="Arial" w:eastAsia="Arial" w:hAnsi="Arial"/>
                <w:sz w:val="16"/>
                <w:szCs w:val="16"/>
                <w:b w:val="1"/>
                <w:bCs w:val="1"/>
                <w:i w:val="1"/>
                <w:iCs w:val="1"/>
                <w:color w:val="auto"/>
              </w:rPr>
              <w:t>Restructuring charges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6"/>
          </w:tcPr>
          <w:p>
            <w:pPr>
              <w:jc w:val="center"/>
              <w:spacing w:after="0"/>
              <w:rPr>
                <w:sz w:val="20"/>
                <w:szCs w:val="20"/>
                <w:color w:val="auto"/>
              </w:rPr>
            </w:pPr>
            <w:r>
              <w:rPr>
                <w:rFonts w:ascii="Arial" w:cs="Arial" w:eastAsia="Arial" w:hAnsi="Arial"/>
                <w:sz w:val="16"/>
                <w:szCs w:val="16"/>
                <w:b w:val="1"/>
                <w:bCs w:val="1"/>
                <w:color w:val="auto"/>
              </w:rPr>
              <w:t>Six Months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b w:val="1"/>
                <w:bCs w:val="1"/>
                <w:color w:val="auto"/>
                <w:w w:val="99"/>
              </w:rPr>
              <w:t>June 30,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3"/>
        </w:trPr>
        <w:tc>
          <w:tcPr>
            <w:tcW w:w="25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Restructuring charges decreased by $14 million, or 73.7%, for the three months ended June 30, 2024 compared to the three months ended June 30, 2023. The change was driven by a decrease of employee-related expenses associated with the reduction in our global workforce in the current period compared to the prior period.</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Restructuring charges decreased $19 million, or 79.2%, for the six months ended June 30, 2024 compared to the six months ended June 30, 2024. The change was driven by a decrease of employee-related expenses associated with the reduction in our global workforce in the current period compared to the prior period.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600" w:type="dxa"/>
            <w:vAlign w:val="bottom"/>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ind w:left="16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7"/>
        </w:trPr>
        <w:tc>
          <w:tcPr>
            <w:tcW w:w="2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100.0 %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Finance income (expense), net increased by $16 million, for the three months ended June 30, 2024 compared to the three months ended June 30, 2023. The increase was primarily a result of $19 million higher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9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generated from money market funds and investments in marketable securities, partially offset by $3 million higher interest expense.</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increased by $25 million, for the six months ended June 30, 2024 compared to the six months ended June 30, 2023. The increase was primarily a result of $34 million higher interest income generated from money market funds and investments in marketable securities, partially offset by $9 million higher interest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6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2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ind w:left="16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7"/>
        </w:trPr>
        <w:tc>
          <w:tcPr>
            <w:tcW w:w="24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60.0 %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(24)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income (expense), net decreased by $6 million for the three months ended June 30, 2024 compared to the three months ended June 30, 2023. The decrease was primarily driven by a reduction in foreign exchange currency losses.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decreased by $18 million for the six months ended June 30, 2024 compared to the six months ended June 30, 2023. The decrease was primarily driven by $25 million reduction in foreign exchange currency losses, offset by $3 million higher expenses related to a patent sale in 2023.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24"/>
                <w:szCs w:val="24"/>
                <w:color w:val="auto"/>
              </w:rPr>
            </w:pPr>
          </w:p>
        </w:tc>
        <w:tc>
          <w:tcPr>
            <w:tcW w:w="2000" w:type="dxa"/>
            <w:vAlign w:val="bottom"/>
            <w:gridSpan w:val="6"/>
          </w:tcPr>
          <w:p>
            <w:pPr>
              <w:jc w:val="center"/>
              <w:ind w:left="79"/>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left="559"/>
              <w:spacing w:after="0"/>
              <w:rPr>
                <w:sz w:val="20"/>
                <w:szCs w:val="20"/>
                <w:color w:val="auto"/>
              </w:rPr>
            </w:pPr>
            <w:r>
              <w:rPr>
                <w:rFonts w:ascii="Arial" w:cs="Arial" w:eastAsia="Arial" w:hAnsi="Arial"/>
                <w:sz w:val="16"/>
                <w:szCs w:val="16"/>
                <w:b w:val="1"/>
                <w:bCs w:val="1"/>
                <w:color w:val="auto"/>
              </w:rPr>
              <w:t>Six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June 30,</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07"/>
        </w:trPr>
        <w:tc>
          <w:tcPr>
            <w:tcW w:w="39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Income tax expense decreased by $16 million for the three months ended June 30, 2024 compared to the three months ended June 30, 2023, primarily due to a decrease of $98 million in global earnings before tax, partially offset by the accrual of United States corporate alternative minimum tax in the current year.</w:t>
      </w:r>
    </w:p>
    <w:p>
      <w:pPr>
        <w:spacing w:after="0" w:line="3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Income tax expense decreased by $18 million for the six months ended June 30, 2024 compared to the six months ended June 30, 2023, primarily due to a decrease of $220 million in global earnings before tax, partially offset by the accrual of United States corporate alternative minimum tax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9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3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historically financed operations primarily through cash and cash equivalents and marketable securities, as well as cash generated from our business operations, including prepayments under LTAs, debt and government grants. As of June 30, 2024, our cash, cash equivalents and marketable securities balances of approximately $4.1 billion included $2.2 billion of cash and cash equivalents and approximately $2.0 billion of marketable securities.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June 30, 2024 and December 31, 2023, we had an undrawn revolving credit facility of $1.0 billion. In addition to our available revolver, we had $2.2 billion and $2.4 billion of debt outstanding as of June 30, 2024 and December 31, 2023, respectively, which was primarily comprised of multiple term loans in various currencies. Our future capital requirements will depend on many factors, including our revenue growth rate, the timing and the amount of payments we receive from customers pursuant to our LTAs and other business arrangements, the timing and extent of spending to support development efforts, the introduction of new and enhanced products and solutions, the continuing market adoption of our platform, and our obligations to repay our indebtedness from time to time. We may from time to time seek to raise additional capital to support our growth. As of June 30, 2024, we believe that our existing cash, cash equivalents, marketable securities, credit under our revolving credit facility, and expected cash generated from operations are sufficient to meet our capital requirements for at least the next 12 months and beyond.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38"/>
        </w:trPr>
        <w:tc>
          <w:tcPr>
            <w:tcW w:w="734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7"/>
        </w:trPr>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r>
      <w:tr>
        <w:trPr>
          <w:trHeight w:val="223"/>
        </w:trPr>
        <w:tc>
          <w:tcPr>
            <w:tcW w:w="7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9"/>
                <w:szCs w:val="19"/>
                <w:color w:val="auto"/>
              </w:rPr>
            </w:pPr>
          </w:p>
        </w:tc>
      </w:tr>
      <w:tr>
        <w:trPr>
          <w:trHeight w:val="210"/>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15"/>
        </w:trPr>
        <w:tc>
          <w:tcPr>
            <w:tcW w:w="73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(1,474)</w:t>
            </w: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380" w:type="dxa"/>
            <w:vAlign w:val="bottom"/>
            <w:tcBorders>
              <w:bottom w:val="single" w:sz="8" w:color="auto"/>
            </w:tcBorders>
            <w:gridSpan w:val="2"/>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Cash provided by operating activities for the six months ended June 30, 2024 of $890 million decreased $135 million compared to the $1,025 million provided for the six month period ended June 30, 2023. The decrease was primarily due to $202 million in lower net income related to reduced sales partially offset by non cash adjustments of $56 million mainly driven by higher depreciation related to the expansion of our manufacturing capacity. Changes in assets and liabilities were flat year over year.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Cash used in investing activities for the six months ended June 30, 2024 of $770 million decreased $704 million compared to the cash used of $1,474 million for the six month period ended June 30, 2023. The decrease was primarily driven by $924 million lower capital and intangible expenditures related to the expansion of our fabrication facilities and an decrease of $23 million net proceeds from the sale of marketable securities. Offsetting this decrease was $238 million of proceeds from the sale of the East Fishkill facility, received in January 2023.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Cash used in financing activities for the six months ended June 30, 2024 of $321 million increased $250 million compared to the cash used of $71 million for the six months ended June 30, 2023. The change was primarily attributable to $200 million purchase of treasury shares in the second quarter 2024, $44 million net proceeds from borrowings and $23 million lower proceeds from the issuance of equity instruments. Offsetting these increases was $17 million repayment of debt and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2024-08-06T06:15:07Z</dcterms:created>
  <dcterms:modified xsi:type="dcterms:W3CDTF">2024-08-06T06:15:07Z</dcterms:modified>
</cp:coreProperties>
</file>